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4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28, 2019</w:t>
      </w:r>
    </w:p>
    <w:p>
      <w:pPr>
        <w:spacing w:after="0" w:line="63"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4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200" w:type="dxa"/>
            <w:vAlign w:val="bottom"/>
          </w:tcPr>
          <w:p>
            <w:pPr>
              <w:jc w:val="center"/>
              <w:ind w:right="1233"/>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Pr>
          <w:p>
            <w:pPr>
              <w:jc w:val="center"/>
              <w:ind w:left="314"/>
              <w:spacing w:after="0"/>
              <w:rPr>
                <w:sz w:val="20"/>
                <w:szCs w:val="20"/>
                <w:color w:val="auto"/>
              </w:rPr>
            </w:pPr>
            <w:r>
              <w:rPr>
                <w:rFonts w:ascii="Arial" w:cs="Arial" w:eastAsia="Arial" w:hAnsi="Arial"/>
                <w:sz w:val="18"/>
                <w:szCs w:val="18"/>
                <w:b w:val="1"/>
                <w:bCs w:val="1"/>
                <w:color w:val="auto"/>
                <w:w w:val="89"/>
              </w:rPr>
              <w:t>46-5288992</w:t>
            </w:r>
          </w:p>
        </w:tc>
      </w:tr>
      <w:tr>
        <w:trPr>
          <w:trHeight w:val="264"/>
        </w:trPr>
        <w:tc>
          <w:tcPr>
            <w:tcW w:w="5200" w:type="dxa"/>
            <w:vAlign w:val="bottom"/>
          </w:tcPr>
          <w:p>
            <w:pPr>
              <w:jc w:val="center"/>
              <w:ind w:right="1233"/>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660" w:type="dxa"/>
            <w:vAlign w:val="bottom"/>
          </w:tcPr>
          <w:p>
            <w:pPr>
              <w:jc w:val="center"/>
              <w:ind w:left="294"/>
              <w:spacing w:after="0"/>
              <w:rPr>
                <w:sz w:val="20"/>
                <w:szCs w:val="20"/>
                <w:color w:val="auto"/>
              </w:rPr>
            </w:pPr>
            <w:r>
              <w:rPr>
                <w:rFonts w:ascii="Arial" w:cs="Arial" w:eastAsia="Arial" w:hAnsi="Arial"/>
                <w:sz w:val="16"/>
                <w:szCs w:val="16"/>
                <w:color w:val="auto"/>
                <w:w w:val="94"/>
              </w:rPr>
              <w:t>(I.R.S. employer identification no.)</w:t>
            </w:r>
          </w:p>
        </w:tc>
      </w:tr>
      <w:tr>
        <w:trPr>
          <w:trHeight w:val="398"/>
        </w:trPr>
        <w:tc>
          <w:tcPr>
            <w:tcW w:w="5200" w:type="dxa"/>
            <w:vAlign w:val="bottom"/>
          </w:tcPr>
          <w:p>
            <w:pPr>
              <w:jc w:val="center"/>
              <w:ind w:right="1233"/>
              <w:spacing w:after="0"/>
              <w:rPr>
                <w:sz w:val="20"/>
                <w:szCs w:val="20"/>
                <w:color w:val="auto"/>
              </w:rPr>
            </w:pPr>
            <w:r>
              <w:rPr>
                <w:rFonts w:ascii="Arial" w:cs="Arial" w:eastAsia="Arial" w:hAnsi="Arial"/>
                <w:sz w:val="18"/>
                <w:szCs w:val="18"/>
                <w:b w:val="1"/>
                <w:bCs w:val="1"/>
                <w:color w:val="auto"/>
                <w:w w:val="92"/>
              </w:rPr>
              <w:t>7628 Thorndike Road</w:t>
            </w:r>
          </w:p>
        </w:tc>
        <w:tc>
          <w:tcPr>
            <w:tcW w:w="2660" w:type="dxa"/>
            <w:vAlign w:val="bottom"/>
          </w:tcPr>
          <w:p>
            <w:pPr>
              <w:spacing w:after="0"/>
              <w:rPr>
                <w:sz w:val="24"/>
                <w:szCs w:val="24"/>
                <w:color w:val="auto"/>
              </w:rPr>
            </w:pPr>
          </w:p>
        </w:tc>
      </w:tr>
      <w:tr>
        <w:trPr>
          <w:trHeight w:val="270"/>
        </w:trPr>
        <w:tc>
          <w:tcPr>
            <w:tcW w:w="5200" w:type="dxa"/>
            <w:vAlign w:val="bottom"/>
          </w:tcPr>
          <w:p>
            <w:pPr>
              <w:jc w:val="center"/>
              <w:ind w:right="973"/>
              <w:spacing w:after="0"/>
              <w:rPr>
                <w:sz w:val="20"/>
                <w:szCs w:val="20"/>
                <w:color w:val="auto"/>
              </w:rPr>
            </w:pPr>
            <w:r>
              <w:rPr>
                <w:rFonts w:ascii="Arial" w:cs="Arial" w:eastAsia="Arial" w:hAnsi="Arial"/>
                <w:sz w:val="18"/>
                <w:szCs w:val="18"/>
                <w:b w:val="1"/>
                <w:bCs w:val="1"/>
                <w:color w:val="auto"/>
                <w:w w:val="92"/>
              </w:rPr>
              <w:t>Greensboro North Carolina</w:t>
            </w:r>
          </w:p>
        </w:tc>
        <w:tc>
          <w:tcPr>
            <w:tcW w:w="2660" w:type="dxa"/>
            <w:vAlign w:val="bottom"/>
          </w:tcPr>
          <w:p>
            <w:pPr>
              <w:jc w:val="center"/>
              <w:ind w:left="314"/>
              <w:spacing w:after="0"/>
              <w:rPr>
                <w:sz w:val="20"/>
                <w:szCs w:val="20"/>
                <w:color w:val="auto"/>
              </w:rPr>
            </w:pPr>
            <w:r>
              <w:rPr>
                <w:rFonts w:ascii="Arial" w:cs="Arial" w:eastAsia="Arial" w:hAnsi="Arial"/>
                <w:sz w:val="18"/>
                <w:szCs w:val="18"/>
                <w:b w:val="1"/>
                <w:bCs w:val="1"/>
                <w:color w:val="auto"/>
                <w:w w:val="89"/>
              </w:rPr>
              <w:t>27409-9421</w:t>
            </w:r>
          </w:p>
        </w:tc>
      </w:tr>
      <w:tr>
        <w:trPr>
          <w:trHeight w:val="264"/>
        </w:trPr>
        <w:tc>
          <w:tcPr>
            <w:tcW w:w="5200" w:type="dxa"/>
            <w:vAlign w:val="bottom"/>
          </w:tcPr>
          <w:p>
            <w:pPr>
              <w:jc w:val="center"/>
              <w:ind w:right="973"/>
              <w:spacing w:after="0"/>
              <w:rPr>
                <w:sz w:val="20"/>
                <w:szCs w:val="20"/>
                <w:color w:val="auto"/>
              </w:rPr>
            </w:pPr>
            <w:r>
              <w:rPr>
                <w:rFonts w:ascii="Arial" w:cs="Arial" w:eastAsia="Arial" w:hAnsi="Arial"/>
                <w:sz w:val="16"/>
                <w:szCs w:val="16"/>
                <w:color w:val="auto"/>
                <w:w w:val="94"/>
              </w:rPr>
              <w:t>(Address of principal executive office)</w:t>
            </w:r>
          </w:p>
        </w:tc>
        <w:tc>
          <w:tcPr>
            <w:tcW w:w="2660" w:type="dxa"/>
            <w:vAlign w:val="bottom"/>
          </w:tcPr>
          <w:p>
            <w:pPr>
              <w:jc w:val="center"/>
              <w:ind w:left="294"/>
              <w:spacing w:after="0"/>
              <w:rPr>
                <w:sz w:val="20"/>
                <w:szCs w:val="20"/>
                <w:color w:val="auto"/>
              </w:rPr>
            </w:pPr>
            <w:r>
              <w:rPr>
                <w:rFonts w:ascii="Arial" w:cs="Arial" w:eastAsia="Arial" w:hAnsi="Arial"/>
                <w:sz w:val="16"/>
                <w:szCs w:val="16"/>
                <w:color w:val="auto"/>
                <w:w w:val="94"/>
              </w:rPr>
              <w:t>(Zip code)</w:t>
            </w:r>
          </w:p>
        </w:tc>
      </w:tr>
      <w:tr>
        <w:trPr>
          <w:trHeight w:val="276"/>
        </w:trPr>
        <w:tc>
          <w:tcPr>
            <w:tcW w:w="5200" w:type="dxa"/>
            <w:vAlign w:val="bottom"/>
          </w:tcPr>
          <w:p>
            <w:pPr>
              <w:jc w:val="right"/>
              <w:ind w:right="293"/>
              <w:spacing w:after="0"/>
              <w:rPr>
                <w:sz w:val="20"/>
                <w:szCs w:val="20"/>
                <w:color w:val="auto"/>
              </w:rPr>
            </w:pPr>
            <w:r>
              <w:rPr>
                <w:rFonts w:ascii="Arial" w:cs="Arial" w:eastAsia="Arial" w:hAnsi="Arial"/>
                <w:sz w:val="18"/>
                <w:szCs w:val="18"/>
                <w:b w:val="1"/>
                <w:bCs w:val="1"/>
                <w:color w:val="auto"/>
              </w:rPr>
              <w:t>(336) 664-1233</w:t>
            </w:r>
          </w:p>
        </w:tc>
        <w:tc>
          <w:tcPr>
            <w:tcW w:w="2660" w:type="dxa"/>
            <w:vAlign w:val="bottom"/>
          </w:tcPr>
          <w:p>
            <w:pPr>
              <w:spacing w:after="0"/>
              <w:rPr>
                <w:sz w:val="24"/>
                <w:szCs w:val="24"/>
                <w:color w:val="auto"/>
              </w:rPr>
            </w:pPr>
          </w:p>
        </w:tc>
      </w:tr>
    </w:tbl>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20" w:type="dxa"/>
            <w:vAlign w:val="bottom"/>
            <w:gridSpan w:val="5"/>
          </w:tcPr>
          <w:p>
            <w:pPr>
              <w:jc w:val="center"/>
              <w:ind w:right="29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Title of each class</w:t>
            </w:r>
          </w:p>
        </w:tc>
        <w:tc>
          <w:tcPr>
            <w:tcW w:w="1600" w:type="dxa"/>
            <w:vAlign w:val="bottom"/>
          </w:tcPr>
          <w:p>
            <w:pPr>
              <w:spacing w:after="0"/>
              <w:rPr>
                <w:sz w:val="19"/>
                <w:szCs w:val="19"/>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Trading Symbol(s)</w:t>
            </w: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6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 Stock, $0.0001 par value</w:t>
            </w:r>
          </w:p>
        </w:tc>
        <w:tc>
          <w:tcPr>
            <w:tcW w:w="1600" w:type="dxa"/>
            <w:vAlign w:val="bottom"/>
          </w:tcPr>
          <w:p>
            <w:pPr>
              <w:spacing w:after="0"/>
              <w:rPr>
                <w:sz w:val="24"/>
                <w:szCs w:val="24"/>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79"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ind w:right="4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240" w:top="229" w:right="39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tbl>
      <w:tblPr>
        <w:tblLayout w:type="fixed"/>
        <w:tblInd w:w="920" w:type="dxa"/>
        <w:tblCellMar>
          <w:top w:w="0" w:type="dxa"/>
          <w:left w:w="0" w:type="dxa"/>
          <w:bottom w:w="0" w:type="dxa"/>
          <w:right w:w="0" w:type="dxa"/>
        </w:tblCellMar>
      </w:tblPr>
      <w:tr>
        <w:trPr>
          <w:trHeight w:val="268"/>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0"/>
          <w:szCs w:val="20"/>
          <w:color w:val="auto"/>
        </w:rPr>
      </w:pPr>
    </w:p>
    <w:p>
      <w:pPr>
        <w:jc w:val="both"/>
        <w:ind w:left="40" w:right="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23, 2019, there were 116,174,131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600" w:type="dxa"/>
            <w:vAlign w:val="bottom"/>
            <w:gridSpan w:val="2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4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99"/>
              </w:rPr>
              <w:t>QORVO, INC. AND SUBSIDIARIES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7"/>
          </w:tcPr>
          <w:p>
            <w:pPr>
              <w:jc w:val="center"/>
              <w:ind w:right="452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540" w:type="dxa"/>
            <w:vAlign w:val="bottom"/>
            <w:gridSpan w:val="21"/>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1"/>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7320" w:type="dxa"/>
            <w:vAlign w:val="bottom"/>
            <w:gridSpan w:val="10"/>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28, 2019 and March 30, 2019</w:t>
              </w:r>
            </w:hyperlink>
          </w:p>
        </w:tc>
        <w:tc>
          <w:tcPr>
            <w:tcW w:w="4120" w:type="dxa"/>
            <w:vAlign w:val="bottom"/>
            <w:gridSpan w:val="6"/>
          </w:tcPr>
          <w:p>
            <w:pPr>
              <w:spacing w:after="0"/>
              <w:rPr>
                <w:sz w:val="21"/>
                <w:szCs w:val="21"/>
                <w:color w:val="auto"/>
              </w:rPr>
            </w:pPr>
          </w:p>
        </w:tc>
        <w:tc>
          <w:tcPr>
            <w:tcW w:w="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Income for the three and six months ended September 28, 2019 and September 29, 2018</w:t>
              </w:r>
            </w:hyperlink>
          </w:p>
        </w:tc>
        <w:tc>
          <w:tcPr>
            <w:tcW w:w="1200" w:type="dxa"/>
            <w:vAlign w:val="bottom"/>
            <w:gridSpan w:val="3"/>
          </w:tcPr>
          <w:p>
            <w:pPr>
              <w:spacing w:after="0"/>
              <w:rPr>
                <w:sz w:val="21"/>
                <w:szCs w:val="21"/>
                <w:color w:val="auto"/>
              </w:rPr>
            </w:pPr>
          </w:p>
        </w:tc>
        <w:tc>
          <w:tcPr>
            <w:tcW w:w="7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20" w:type="dxa"/>
            <w:vAlign w:val="bottom"/>
            <w:gridSpan w:val="20"/>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Comprehensive Income (Loss) for the three and six months ended September 28, 2019 and</w:t>
              </w:r>
            </w:hyperlink>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September 29, 2018</w:t>
              </w:r>
            </w:hyperlink>
          </w:p>
        </w:tc>
        <w:tc>
          <w:tcPr>
            <w:tcW w:w="7800" w:type="dxa"/>
            <w:vAlign w:val="bottom"/>
            <w:tcBorders>
              <w:top w:val="single" w:sz="8" w:color="0000EE"/>
            </w:tcBorders>
            <w:gridSpan w:val="12"/>
          </w:tcPr>
          <w:p>
            <w:pPr>
              <w:spacing w:after="0"/>
              <w:rPr>
                <w:sz w:val="17"/>
                <w:szCs w:val="17"/>
                <w:color w:val="auto"/>
              </w:rPr>
            </w:pPr>
          </w:p>
        </w:tc>
        <w:tc>
          <w:tcPr>
            <w:tcW w:w="1020" w:type="dxa"/>
            <w:vAlign w:val="bottom"/>
            <w:gridSpan w:val="2"/>
          </w:tcPr>
          <w:p>
            <w:pPr>
              <w:spacing w:after="0"/>
              <w:rPr>
                <w:sz w:val="17"/>
                <w:szCs w:val="17"/>
                <w:color w:val="auto"/>
              </w:rPr>
            </w:pPr>
          </w:p>
        </w:tc>
        <w:tc>
          <w:tcPr>
            <w:tcW w:w="7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Stockholders' Equity for the three and six months ended September 28, 2019 and September 29, 2018</w:t>
              </w:r>
            </w:hyperlink>
          </w:p>
        </w:tc>
        <w:tc>
          <w:tcPr>
            <w:tcW w:w="24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 for the six months ended September 28, 2019 and September 29, 2018</w:t>
              </w:r>
            </w:hyperlink>
          </w:p>
        </w:tc>
        <w:tc>
          <w:tcPr>
            <w:tcW w:w="1600" w:type="dxa"/>
            <w:vAlign w:val="bottom"/>
            <w:gridSpan w:val="4"/>
          </w:tcPr>
          <w:p>
            <w:pPr>
              <w:spacing w:after="0"/>
              <w:rPr>
                <w:sz w:val="21"/>
                <w:szCs w:val="21"/>
                <w:color w:val="auto"/>
              </w:rPr>
            </w:pPr>
          </w:p>
        </w:tc>
        <w:tc>
          <w:tcPr>
            <w:tcW w:w="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2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8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6"/>
          </w:tcPr>
          <w:p>
            <w:pPr>
              <w:spacing w:after="0"/>
              <w:rPr>
                <w:rFonts w:ascii="Arial" w:cs="Arial" w:eastAsia="Arial" w:hAnsi="Arial"/>
                <w:sz w:val="18"/>
                <w:szCs w:val="18"/>
                <w:b w:val="1"/>
                <w:bCs w:val="1"/>
                <w:color w:val="0000FF"/>
                <w:w w:val="89"/>
              </w:rPr>
            </w:pPr>
            <w:hyperlink w:anchor="page31">
              <w:r>
                <w:rPr>
                  <w:rFonts w:ascii="Arial" w:cs="Arial" w:eastAsia="Arial" w:hAnsi="Arial"/>
                  <w:sz w:val="18"/>
                  <w:szCs w:val="18"/>
                  <w:b w:val="1"/>
                  <w:bCs w:val="1"/>
                  <w:color w:val="0000FF"/>
                  <w:w w:val="89"/>
                </w:rPr>
                <w:t>Item 2. Management's Discussion and Analysis of Financial Condition and Results of Operations.</w:t>
              </w:r>
            </w:hyperlink>
          </w:p>
        </w:tc>
        <w:tc>
          <w:tcPr>
            <w:tcW w:w="3100" w:type="dxa"/>
            <w:vAlign w:val="bottom"/>
            <w:gridSpan w:val="5"/>
          </w:tcPr>
          <w:p>
            <w:pPr>
              <w:spacing w:after="0"/>
              <w:rPr>
                <w:sz w:val="24"/>
                <w:szCs w:val="24"/>
                <w:color w:val="auto"/>
              </w:rPr>
            </w:pPr>
          </w:p>
        </w:tc>
        <w:tc>
          <w:tcPr>
            <w:tcW w:w="8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4"/>
          </w:tcPr>
          <w:p>
            <w:pPr>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3100" w:type="dxa"/>
            <w:vAlign w:val="bottom"/>
            <w:gridSpan w:val="5"/>
          </w:tcPr>
          <w:p>
            <w:pPr>
              <w:spacing w:after="0"/>
              <w:rPr>
                <w:sz w:val="21"/>
                <w:szCs w:val="21"/>
                <w:color w:val="auto"/>
              </w:rPr>
            </w:pPr>
          </w:p>
        </w:tc>
        <w:tc>
          <w:tcPr>
            <w:tcW w:w="8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8"/>
          </w:tcPr>
          <w:p>
            <w:pPr>
              <w:spacing w:after="0"/>
              <w:rPr>
                <w:rFonts w:ascii="Arial" w:cs="Arial" w:eastAsia="Arial" w:hAnsi="Arial"/>
                <w:sz w:val="18"/>
                <w:szCs w:val="18"/>
                <w:b w:val="1"/>
                <w:bCs w:val="1"/>
                <w:color w:val="0000FF"/>
                <w:w w:val="88"/>
              </w:rPr>
            </w:pPr>
            <w:hyperlink w:anchor="page39">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5260" w:type="dxa"/>
            <w:vAlign w:val="bottom"/>
            <w:gridSpan w:val="7"/>
          </w:tcPr>
          <w:p>
            <w:pPr>
              <w:spacing w:after="0"/>
              <w:rPr>
                <w:sz w:val="21"/>
                <w:szCs w:val="21"/>
                <w:color w:val="auto"/>
              </w:rPr>
            </w:pPr>
          </w:p>
        </w:tc>
        <w:tc>
          <w:tcPr>
            <w:tcW w:w="8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540" w:type="dxa"/>
            <w:vAlign w:val="bottom"/>
            <w:gridSpan w:val="21"/>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 OTHER INFORMATION</w:t>
              </w:r>
            </w:hyperlink>
          </w:p>
        </w:tc>
        <w:tc>
          <w:tcPr>
            <w:tcW w:w="80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9"/>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1A. Risk Factors.</w:t>
              </w:r>
            </w:hyperlink>
          </w:p>
        </w:tc>
        <w:tc>
          <w:tcPr>
            <w:tcW w:w="7620" w:type="dxa"/>
            <w:vAlign w:val="bottom"/>
            <w:gridSpan w:val="12"/>
          </w:tcPr>
          <w:p>
            <w:pPr>
              <w:spacing w:after="0"/>
              <w:rPr>
                <w:sz w:val="24"/>
                <w:szCs w:val="24"/>
                <w:color w:val="auto"/>
              </w:rPr>
            </w:pPr>
          </w:p>
        </w:tc>
        <w:tc>
          <w:tcPr>
            <w:tcW w:w="80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Item 2. Unregistered Sales of Equity Securities and Use of Proceeds.</w:t>
              </w:r>
            </w:hyperlink>
          </w:p>
        </w:tc>
        <w:tc>
          <w:tcPr>
            <w:tcW w:w="5360" w:type="dxa"/>
            <w:vAlign w:val="bottom"/>
            <w:gridSpan w:val="8"/>
          </w:tcPr>
          <w:p>
            <w:pPr>
              <w:spacing w:after="0"/>
              <w:rPr>
                <w:sz w:val="21"/>
                <w:szCs w:val="21"/>
                <w:color w:val="auto"/>
              </w:rPr>
            </w:pPr>
          </w:p>
        </w:tc>
        <w:tc>
          <w:tcPr>
            <w:tcW w:w="80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40" w:type="dxa"/>
            <w:vAlign w:val="bottom"/>
            <w:gridSpan w:val="8"/>
            <w:shd w:val="clear" w:color="auto" w:fill="0000EE"/>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6. Exhibits.</w:t>
              </w:r>
            </w:hyperlink>
          </w:p>
        </w:tc>
        <w:tc>
          <w:tcPr>
            <w:tcW w:w="5360" w:type="dxa"/>
            <w:vAlign w:val="bottom"/>
            <w:gridSpan w:val="8"/>
          </w:tcPr>
          <w:p>
            <w:pPr>
              <w:spacing w:after="0"/>
              <w:rPr>
                <w:sz w:val="21"/>
                <w:szCs w:val="21"/>
                <w:color w:val="auto"/>
              </w:rPr>
            </w:pPr>
          </w:p>
        </w:tc>
        <w:tc>
          <w:tcPr>
            <w:tcW w:w="80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300" w:type="dxa"/>
            <w:vAlign w:val="bottom"/>
            <w:gridSpan w:val="1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SIGNATURES</w:t>
              </w:r>
            </w:hyperlink>
          </w:p>
        </w:tc>
        <w:tc>
          <w:tcPr>
            <w:tcW w:w="9300" w:type="dxa"/>
            <w:vAlign w:val="bottom"/>
            <w:gridSpan w:val="16"/>
          </w:tcPr>
          <w:p>
            <w:pPr>
              <w:spacing w:after="0"/>
              <w:rPr>
                <w:sz w:val="24"/>
                <w:szCs w:val="24"/>
                <w:color w:val="auto"/>
              </w:rPr>
            </w:pPr>
          </w:p>
        </w:tc>
        <w:tc>
          <w:tcPr>
            <w:tcW w:w="80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507"/>
        </w:trPr>
        <w:tc>
          <w:tcPr>
            <w:tcW w:w="60" w:type="dxa"/>
            <w:vAlign w:val="bottom"/>
          </w:tcPr>
          <w:p>
            <w:pPr>
              <w:spacing w:after="0"/>
              <w:rPr>
                <w:sz w:val="24"/>
                <w:szCs w:val="24"/>
                <w:color w:val="auto"/>
              </w:rPr>
            </w:pPr>
          </w:p>
        </w:tc>
        <w:tc>
          <w:tcPr>
            <w:tcW w:w="1140" w:type="dxa"/>
            <w:vAlign w:val="bottom"/>
            <w:tcBorders>
              <w:top w:val="single" w:sz="8" w:color="0000FF"/>
            </w:tcBorders>
            <w:gridSpan w:val="4"/>
          </w:tcPr>
          <w:p>
            <w:pPr>
              <w:spacing w:after="0"/>
              <w:rPr>
                <w:sz w:val="24"/>
                <w:szCs w:val="24"/>
                <w:color w:val="auto"/>
              </w:rPr>
            </w:pPr>
          </w:p>
        </w:tc>
        <w:tc>
          <w:tcPr>
            <w:tcW w:w="5280" w:type="dxa"/>
            <w:vAlign w:val="bottom"/>
            <w:gridSpan w:val="11"/>
          </w:tcPr>
          <w:p>
            <w:pPr>
              <w:jc w:val="center"/>
              <w:ind w:left="365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 2019</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711,035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Accounts receivable, less allowance of $43 and $40 as of September 28, 2019 and March 30, 2019,</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405,108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378,172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511,793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33,205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36,141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1,684,841</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8"/>
              </w:rPr>
              <w:t>Property and equipment, net of accumulated depreciation of $1,322,103 at September 28, 2019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$1,218,507 at March 30, 2019</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1,296,103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1,366,513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2,305,136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 4)</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451,788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408,210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146,181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76,785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5,848,571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213,936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160,516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Current portion of long-term debt </w:t>
            </w:r>
            <w:r>
              <w:rPr>
                <w:rFonts w:ascii="Arial" w:cs="Arial" w:eastAsia="Arial" w:hAnsi="Arial"/>
                <w:sz w:val="18"/>
                <w:szCs w:val="18"/>
                <w:i w:val="1"/>
                <w:iCs w:val="1"/>
                <w:color w:val="auto"/>
              </w:rPr>
              <w:t>(Note 7)</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(Note 6)</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449,629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117,385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91,796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1,583,077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1,448,345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116,294</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w w:val="90"/>
              </w:rPr>
              <w:t>and 119,063 shares issued and outstanding at September 28, 2019 and March 30, 2019,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4,471,656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4,687,455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(198,504)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(321,152)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4,265,494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5,848,571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00"/>
        <w:spacing w:after="0"/>
        <w:tabs>
          <w:tab w:leader="none" w:pos="6600" w:val="left"/>
        </w:tabs>
        <w:rPr>
          <w:sz w:val="20"/>
          <w:szCs w:val="20"/>
          <w:color w:val="auto"/>
        </w:rPr>
      </w:pPr>
      <w:r>
        <w:rPr>
          <w:rFonts w:ascii="Arial" w:cs="Arial" w:eastAsia="Arial" w:hAnsi="Arial"/>
          <w:sz w:val="14"/>
          <w:szCs w:val="14"/>
          <w:b w:val="1"/>
          <w:bCs w:val="1"/>
          <w:color w:val="auto"/>
        </w:rPr>
        <w:t>September 28, 2019</w:t>
      </w:r>
      <w:r>
        <w:rPr>
          <w:sz w:val="20"/>
          <w:szCs w:val="20"/>
          <w:color w:val="auto"/>
        </w:rPr>
        <w:tab/>
      </w:r>
      <w:r>
        <w:rPr>
          <w:rFonts w:ascii="Arial" w:cs="Arial" w:eastAsia="Arial" w:hAnsi="Arial"/>
          <w:sz w:val="12"/>
          <w:szCs w:val="12"/>
          <w:b w:val="1"/>
          <w:bCs w:val="1"/>
          <w:color w:val="auto"/>
        </w:rPr>
        <w:t>September 29, 2018</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September 28, 2019</w:t>
      </w:r>
      <w:r>
        <w:rPr>
          <w:sz w:val="20"/>
          <w:szCs w:val="20"/>
          <w:color w:val="auto"/>
        </w:rPr>
        <w:tab/>
      </w:r>
      <w:r>
        <w:rPr>
          <w:rFonts w:ascii="Arial" w:cs="Arial" w:eastAsia="Arial" w:hAnsi="Arial"/>
          <w:sz w:val="12"/>
          <w:szCs w:val="12"/>
          <w:b w:val="1"/>
          <w:bCs w:val="1"/>
          <w:color w:val="auto"/>
        </w:rPr>
        <w:t>September 29, 2018</w:t>
      </w:r>
    </w:p>
    <w:p>
      <w:pPr>
        <w:spacing w:after="0" w:line="25" w:lineRule="exact"/>
        <w:rPr>
          <w:sz w:val="20"/>
          <w:szCs w:val="20"/>
          <w:color w:val="auto"/>
        </w:rPr>
      </w:pPr>
    </w:p>
    <w:p>
      <w:pPr>
        <w:sectPr>
          <w:pgSz w:w="11900" w:h="16838" w:orient="portrait"/>
          <w:cols w:equalWidth="0" w:num="2">
            <w:col w:w="7820" w:space="500"/>
            <w:col w:w="31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806,698</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884,443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1,582,296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1,577,113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483,116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530,929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964,425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986,866</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323,582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617,871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590,247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227,651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88,274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139,507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177,253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275,437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(Notes 4 and 10)</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210,815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263,037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449,878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518,985</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7)</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(24,042)</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7)</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(81,487)</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102,066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32,836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147,263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(29,293)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12)</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31,384</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122,579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13):</w:t>
            </w: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117,294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125,643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117,945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125,859</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119,429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120,196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128,977</w:t>
            </w:r>
          </w:p>
        </w:tc>
      </w:tr>
      <w:tr>
        <w:trPr>
          <w:trHeight w:val="27"/>
        </w:trPr>
        <w:tc>
          <w:tcPr>
            <w:tcW w:w="4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29,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 2019</w:t>
            </w:r>
          </w:p>
        </w:tc>
        <w:tc>
          <w:tcPr>
            <w:tcW w:w="16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September 29, 2018</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122,579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Foreign currency translation adjustment, including intra-entity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foreign currency transactions that are of a long-term</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investment nature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loss included in net income</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82,061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Common Stock</w:t>
      </w:r>
    </w:p>
    <w:tbl>
      <w:tblPr>
        <w:tblLayout w:type="fixed"/>
        <w:tblInd w:w="0" w:type="dxa"/>
        <w:tblCellMar>
          <w:top w:w="0" w:type="dxa"/>
          <w:left w:w="0" w:type="dxa"/>
          <w:bottom w:w="0" w:type="dxa"/>
          <w:right w:w="0" w:type="dxa"/>
        </w:tblCellMar>
      </w:tblPr>
      <w:tr>
        <w:trPr>
          <w:trHeight w:val="47"/>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ind w:left="60"/>
              <w:spacing w:after="0" w:line="133" w:lineRule="exact"/>
              <w:rPr>
                <w:sz w:val="20"/>
                <w:szCs w:val="20"/>
                <w:color w:val="auto"/>
              </w:rPr>
            </w:pPr>
            <w:r>
              <w:rPr>
                <w:rFonts w:ascii="Arial" w:cs="Arial" w:eastAsia="Arial" w:hAnsi="Arial"/>
                <w:sz w:val="14"/>
                <w:szCs w:val="14"/>
                <w:b w:val="1"/>
                <w:bCs w:val="1"/>
                <w:color w:val="auto"/>
              </w:rPr>
              <w:t>Accumulated Other</w:t>
            </w: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29, 2019</w:t>
            </w:r>
          </w:p>
        </w:tc>
        <w:tc>
          <w:tcPr>
            <w:tcW w:w="13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4,625,566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4,337,343</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83,038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83,038</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(165,032)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(165,032)</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23,155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28, 2019</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4,471,656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4,265,494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125,598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5,167,311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4,678,105</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32,084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(15,284)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(86,678)</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29, 2018</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5,089,331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4,632,137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Common Stock</w:t>
      </w:r>
    </w:p>
    <w:tbl>
      <w:tblPr>
        <w:tblLayout w:type="fixed"/>
        <w:tblInd w:w="0" w:type="dxa"/>
        <w:tblCellMar>
          <w:top w:w="0" w:type="dxa"/>
          <w:left w:w="0" w:type="dxa"/>
          <w:bottom w:w="0" w:type="dxa"/>
          <w:right w:w="0" w:type="dxa"/>
        </w:tblCellMar>
      </w:tblPr>
      <w:tr>
        <w:trPr>
          <w:trHeight w:val="47"/>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ind w:left="60"/>
              <w:spacing w:after="0" w:line="133" w:lineRule="exact"/>
              <w:rPr>
                <w:sz w:val="20"/>
                <w:szCs w:val="20"/>
                <w:color w:val="auto"/>
              </w:rPr>
            </w:pPr>
            <w:r>
              <w:rPr>
                <w:rFonts w:ascii="Arial" w:cs="Arial" w:eastAsia="Arial" w:hAnsi="Arial"/>
                <w:sz w:val="14"/>
                <w:szCs w:val="14"/>
                <w:b w:val="1"/>
                <w:bCs w:val="1"/>
                <w:color w:val="auto"/>
              </w:rPr>
              <w:t>Accumulated Other</w:t>
            </w: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w:t>
            </w: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30, 2019</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4,687,455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122,579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122,579</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(15,609)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14,948</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Cumulative-effect adoption of ASU 2016-02</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(265,105)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(265,105)</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49,967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49,967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28, 2019</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4,471,656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4,265,494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126,322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5,237,085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14,282</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Cumulative-effect adoption of ASU 2014-09</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9"/>
        </w:trPr>
        <w:tc>
          <w:tcPr>
            <w:tcW w:w="4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(186,682)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(186,682)</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44,505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44,505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29,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5,089,331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4,632,137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 2019</w:t>
            </w:r>
          </w:p>
        </w:tc>
        <w:tc>
          <w:tcPr>
            <w:tcW w:w="180" w:type="dxa"/>
            <w:vAlign w:val="bottom"/>
          </w:tcPr>
          <w:p>
            <w:pPr>
              <w:spacing w:after="0"/>
              <w:rPr>
                <w:sz w:val="22"/>
                <w:szCs w:val="22"/>
                <w:color w:val="auto"/>
              </w:rPr>
            </w:pPr>
          </w:p>
        </w:tc>
        <w:tc>
          <w:tcPr>
            <w:tcW w:w="1520" w:type="dxa"/>
            <w:vAlign w:val="bottom"/>
          </w:tcPr>
          <w:p>
            <w:pPr>
              <w:jc w:val="right"/>
              <w:ind w:right="170"/>
              <w:spacing w:after="0"/>
              <w:rPr>
                <w:sz w:val="20"/>
                <w:szCs w:val="20"/>
                <w:color w:val="auto"/>
              </w:rPr>
            </w:pPr>
            <w:r>
              <w:rPr>
                <w:rFonts w:ascii="Arial" w:cs="Arial" w:eastAsia="Arial" w:hAnsi="Arial"/>
                <w:sz w:val="14"/>
                <w:szCs w:val="14"/>
                <w:b w:val="1"/>
                <w:bCs w:val="1"/>
                <w:color w:val="auto"/>
                <w:w w:val="94"/>
              </w:rPr>
              <w:t>September 29, 2018</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122,579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2,091</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118,622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90,214</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assets amortization </w:t>
            </w:r>
            <w:r>
              <w:rPr>
                <w:rFonts w:ascii="Arial" w:cs="Arial" w:eastAsia="Arial" w:hAnsi="Arial"/>
                <w:sz w:val="18"/>
                <w:szCs w:val="18"/>
                <w:i w:val="1"/>
                <w:iCs w:val="1"/>
                <w:color w:val="auto"/>
              </w:rPr>
              <w:t>(Note 4)</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266,708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8"/>
                <w:szCs w:val="18"/>
                <w:i w:val="1"/>
                <w:iCs w:val="1"/>
                <w:color w:val="auto"/>
              </w:rPr>
              <w:t>(Note 7)</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82,152</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(42,962)</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45,829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40,250</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(145,874)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23,980</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payable and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(6,229)</w:t>
            </w: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289,796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(113,666)</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available-for-sale debt securities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(132,729)</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Purchase of a business, net of cash acquired </w:t>
            </w:r>
            <w:r>
              <w:rPr>
                <w:rFonts w:ascii="Arial" w:cs="Arial" w:eastAsia="Arial" w:hAnsi="Arial"/>
                <w:sz w:val="18"/>
                <w:szCs w:val="18"/>
                <w:i w:val="1"/>
                <w:iCs w:val="1"/>
                <w:color w:val="auto"/>
              </w:rPr>
              <w:t>(Note 4)</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sales and maturities of available-for-sale debt securities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133,132</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(132,755)</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8"/>
                <w:szCs w:val="18"/>
                <w:i w:val="1"/>
                <w:iCs w:val="1"/>
                <w:color w:val="auto"/>
              </w:rPr>
              <w:t>(Note 7)</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(954,745)</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Proceeds from borrowings </w:t>
            </w:r>
            <w:r>
              <w:rPr>
                <w:rFonts w:ascii="Arial" w:cs="Arial" w:eastAsia="Arial" w:hAnsi="Arial"/>
                <w:sz w:val="18"/>
                <w:szCs w:val="18"/>
                <w:i w:val="1"/>
                <w:iCs w:val="1"/>
                <w:color w:val="auto"/>
              </w:rPr>
              <w:t>(Note 7)</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Proceeds from debt issuances </w:t>
            </w:r>
            <w:r>
              <w:rPr>
                <w:rFonts w:ascii="Arial" w:cs="Arial" w:eastAsia="Arial" w:hAnsi="Arial"/>
                <w:sz w:val="18"/>
                <w:szCs w:val="18"/>
                <w:i w:val="1"/>
                <w:iCs w:val="1"/>
                <w:color w:val="auto"/>
              </w:rPr>
              <w:t>(Note 7)</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631,300</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Repurchase of common stock, including transaction costs </w:t>
            </w:r>
            <w:r>
              <w:rPr>
                <w:rFonts w:ascii="Arial" w:cs="Arial" w:eastAsia="Arial" w:hAnsi="Arial"/>
                <w:sz w:val="18"/>
                <w:szCs w:val="18"/>
                <w:i w:val="1"/>
                <w:iCs w:val="1"/>
                <w:color w:val="auto"/>
              </w:rPr>
              <w:t>(Note 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(186,682)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18,406</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(7,057)</w:t>
            </w: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(522,959)</w:t>
            </w:r>
          </w:p>
        </w:tc>
      </w:tr>
      <w:tr>
        <w:trPr>
          <w:trHeight w:val="156"/>
        </w:trPr>
        <w:tc>
          <w:tcPr>
            <w:tcW w:w="80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(368,134)</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711,382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926,402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587,241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558,268</w:t>
            </w:r>
          </w:p>
        </w:tc>
      </w:tr>
      <w:tr>
        <w:trPr>
          <w:trHeight w:val="67"/>
        </w:trPr>
        <w:tc>
          <w:tcPr>
            <w:tcW w:w="80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information:</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30,052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44,634</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62"/>
        </w:trPr>
        <w:tc>
          <w:tcPr>
            <w:tcW w:w="8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557,924</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Restricted cash included in "Other non-current assets"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558,268</w:t>
            </w:r>
          </w:p>
        </w:tc>
      </w:tr>
      <w:tr>
        <w:trPr>
          <w:trHeight w:val="230"/>
        </w:trPr>
        <w:tc>
          <w:tcPr>
            <w:tcW w:w="9720" w:type="dxa"/>
            <w:vAlign w:val="bottom"/>
            <w:gridSpan w:val="4"/>
          </w:tcPr>
          <w:p>
            <w:pPr>
              <w:ind w:left="300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30, 2019.</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2019 financial statements have been reclassified to conform with the fiscal 2020 presentation.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years 2020 and 2019 are 52-week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30, 2019.</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with multiple amendments subsequently issued. The new guidance requires that lease arrangements be presented on the lessee's balance sheet by recording a right-of-use asset and a lease liability equal to the present value of the related future minimum lease payments. The Company adopted the standard in the first quarter of fiscal 2020, using the modified retrospective approach which permits lessees to recognize a cumulative-effect adjustment to the opening balance of accumulated deficit in the period of adoption. Upon adoption, the Company recorded a right-of-use asset of $70.7 million and a lease liability of $75.0 million. The difference between the right-of-use asset and lease liability is primarily attributed to a deferred rent liability which existed under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Company elected the transition package of practical expedients, under which the Company does not have to reassess (1) whether any expired or existing contracts are leases, or contain leases, (2) the lease classification for any expired or existing leases, and (3) initial direct costs for any existing leases. Further,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leases with an initial term of 12 months or less from the balance sheet.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adoption of this standard resulted in a cumulative-effect adjustment to accumulated deficit of less than $0.1 million. This standard did not have a material impact on the Condensed Consolidated Statement of Income or Condensed Consolidated Statement of Cash Flows. See Note 6 for further disclosures resulting from the adoption of this new standard.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 2019</w:t>
            </w:r>
          </w:p>
        </w:tc>
        <w:tc>
          <w:tcPr>
            <w:tcW w:w="24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259,031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272,469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119,753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120,716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485,284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511,793</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May 6, 2019, the Company completed its acquisition of Active-Semi International, Inc. ("Active-Semi"), a private fabless supplier of programmable analog power solutions. The acquisition expanded the Company's product offerings for existing customers and new customers in power management markets. The purchase price of $309.5 million was allocated to Active-Semi's net tangible assets (approximately $19.8 million) and intangible assets (approximately $158.4 million) based on their estimated fair values as of May 6, 2019. The excess of the purchase price over the value of the net tangible assets and intangible assets resulted in goodwill of approximately $131.2 million. The more significant intangible assets acquired included developed technology of $76.7 million (being amortized over 5 to 9 years), customer relationships of $40.9 million (being amortized over 5 years) and in-process research and development ("IPRD") of $40.6 million. During the six months ended September 28, 2019, $31.0 million of IPRD assets were completed, transferred to finite-lived intangible assets, and are being amortized over their useful lives of 5 to 7 years. The IPRD remaining as of September 28, 2019 is expected to be completed during fiscal 2021 with remaining costs to complete of less than $2.0 million.</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will continue to evaluate certain assets, liabilities and tax estimates that are subject to change within the measurement period (up to one year from the acquisition date).</w:t>
      </w:r>
    </w:p>
    <w:p>
      <w:pPr>
        <w:spacing w:after="0" w:line="17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 recorded postcombination compensation expense as well as other acquisition and integration related costs during the three and six months ended September 28, 2019 of $1.7 million and $23.0 million, respectively, in "Other operating expense" in the Condensed Consolidated Statements of Income. In addition, the Company recorded acquisition and integration related costs during the three and six months ended September 28, 2019 of $3.5 million and $4.2 million, respectively, in "Cost of goods sold" in the Condensed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for the six months ended September 28, 2019,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9"/>
              </w:rPr>
              <w:t>Mobile Products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5"/>
              </w:rPr>
              <w:t>Defense Products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30, 2019</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1,751,503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Goodwill resulting from Active-Semi acquisition</w:t>
            </w: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131,247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131,247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September 28, 2019</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1,751,503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553,633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2,305,136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regarding the gross carrying amounts and accumulated amortization of intangible assets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September 28, 2019</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30, 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460" w:type="dxa"/>
            <w:vAlign w:val="bottom"/>
          </w:tcPr>
          <w:p>
            <w:pPr>
              <w:spacing w:after="0"/>
              <w:rPr>
                <w:sz w:val="13"/>
                <w:szCs w:val="13"/>
                <w:color w:val="auto"/>
              </w:rPr>
            </w:pPr>
          </w:p>
        </w:tc>
        <w:tc>
          <w:tcPr>
            <w:tcW w:w="11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6"/>
                <w:szCs w:val="16"/>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871,872</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557,626</w:t>
            </w:r>
          </w:p>
        </w:tc>
        <w:tc>
          <w:tcPr>
            <w:tcW w:w="3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1,246,335</w:t>
            </w:r>
          </w:p>
        </w:tc>
        <w:tc>
          <w:tcPr>
            <w:tcW w:w="2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960,793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426,522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309,864</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1,272,725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1,161,735</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29,391</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1,954</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14,704</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Non-compete agreement</w:t>
            </w:r>
          </w:p>
        </w:tc>
        <w:tc>
          <w:tcPr>
            <w:tcW w:w="36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IPRD</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19,600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1,321,399</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869,611</w:t>
            </w:r>
          </w:p>
        </w:tc>
        <w:tc>
          <w:tcPr>
            <w:tcW w:w="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2,574,181</w:t>
            </w:r>
          </w:p>
        </w:tc>
        <w:tc>
          <w:tcPr>
            <w:tcW w:w="2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2,165,971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first quarter of each fiscal year, the Company removes the fully amortized balances from the gross asset and accumulated amortization amounts of those intangible assets that were fully amortized as of the prior fiscal year end.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intangible assets amortization expense was $56.4 million and $114.8 million, respectively, for the three and six months ended September 28, 2019, and $133.4 million and $266.7 million, respectively, for the three and six months ended September 29,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September 28, 2019 and March 30, 2019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5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5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28, 2019</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tcPr>
          <w:p>
            <w:pPr>
              <w:spacing w:after="0"/>
              <w:rPr>
                <w:sz w:val="21"/>
                <w:szCs w:val="21"/>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vMerge w:val="restart"/>
          </w:tcPr>
          <w:p>
            <w:pPr>
              <w:jc w:val="right"/>
              <w:ind w:right="34"/>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March 30, 2019</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(2)</w:t>
            </w:r>
          </w:p>
        </w:tc>
        <w:tc>
          <w:tcPr>
            <w:tcW w:w="400" w:type="dxa"/>
            <w:vAlign w:val="bottom"/>
          </w:tcPr>
          <w:p>
            <w:pPr>
              <w:spacing w:after="0"/>
              <w:rPr>
                <w:sz w:val="21"/>
                <w:szCs w:val="21"/>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19,651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30" w:lineRule="exact"/>
        <w:rPr>
          <w:rFonts w:ascii="Arial" w:cs="Arial" w:eastAsia="Arial" w:hAnsi="Arial"/>
          <w:sz w:val="15"/>
          <w:szCs w:val="15"/>
          <w:color w:val="auto"/>
        </w:rPr>
      </w:pPr>
    </w:p>
    <w:p>
      <w:pPr>
        <w:ind w:right="100"/>
        <w:spacing w:after="0" w:line="246"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 w:lineRule="exact"/>
        <w:rPr>
          <w:rFonts w:ascii="Arial" w:cs="Arial" w:eastAsia="Arial" w:hAnsi="Arial"/>
          <w:sz w:val="15"/>
          <w:szCs w:val="15"/>
          <w:color w:val="auto"/>
        </w:rPr>
      </w:pPr>
    </w:p>
    <w:p>
      <w:pPr>
        <w:ind w:right="280" w:firstLine="8"/>
        <w:spacing w:after="0" w:line="328" w:lineRule="auto"/>
        <w:tabs>
          <w:tab w:leader="none" w:pos="23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Level 2 auction rate securities were debt instruments with interest rates that reset through periodic short-term auctions and were valued based on quoted prices for identical or similar instruments in markets that were not active. During the first quarter of fiscal 2020, the Company sold its auction rate securities at par value.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28, 2019 and March 30, 2019,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Without a Readily Determinable Fair Value</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As of September 28, 2019, the Company has invested $60.0 million to acquire preferred shares of Cavendish Kinetics Limited (“Cavendish”). This investment was determined to be an equity investment without a readily determinable fair value and is accounted for using the measurement alternative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As of September 28, 2019, there was no impairment or observable price change for this investment. This investment is classified in "Long-term investments" in the Condensed Consolidated Balance Sheets. See Note 15 for additional disclosures related to the subsequent acquisition of the entire issued and outstanding capital of Cavendish.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Marketable securities are measured at fair value and recorded in "Cash and cash equivalents," "Other current assets" and "Long-term investments" in the Condensed Consolidated Balance Sheets, and the related unrealized gains and losses are included in "Accumulated other comprehensive loss," a component of stockholders’ equity, net of tax (debt securities) and "Other income (expense)" in the Condensed Consolidated Statements of Income (equity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The carrying values of cash and cash equivalents, accounts receivable, accounts payable and other accrued liabilities approximate fair values because of the relatively short-term maturities of these instruments. See Note 7 for further disclosures related to the fair value of the Company's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fiscal 2018, the Company entered into a finance lease which is expected to commence in fiscal 2021 and is not recorded in the Condensed Consolidated Balance Sheet as of September 28, 2019. The Company’s other finance lease, which is classified in "Property and equipment" in the Condensed Consolidated Balance Sheets, is immaterial for disclosure.</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Right-of-use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operating leases for the three and six months ended September 28,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September 28, 2019</w:t>
            </w:r>
          </w:p>
        </w:tc>
      </w:tr>
      <w:tr>
        <w:trPr>
          <w:trHeight w:val="264"/>
        </w:trPr>
        <w:tc>
          <w:tcPr>
            <w:tcW w:w="7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2"/>
                <w:szCs w:val="22"/>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Six Months Ended</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Short-term lease expense</w:t>
            </w:r>
          </w:p>
        </w:tc>
        <w:tc>
          <w:tcPr>
            <w:tcW w:w="160" w:type="dxa"/>
            <w:vAlign w:val="bottom"/>
          </w:tcPr>
          <w:p>
            <w:pPr>
              <w:spacing w:after="0"/>
              <w:rPr>
                <w:sz w:val="21"/>
                <w:szCs w:val="21"/>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3,152</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w:t>
            </w:r>
          </w:p>
        </w:tc>
      </w:tr>
      <w:tr>
        <w:trPr>
          <w:trHeight w:val="257"/>
        </w:trPr>
        <w:tc>
          <w:tcPr>
            <w:tcW w:w="7900" w:type="dxa"/>
            <w:vAlign w:val="bottom"/>
          </w:tcPr>
          <w:p>
            <w:pPr>
              <w:ind w:left="360"/>
              <w:spacing w:after="0"/>
              <w:rPr>
                <w:sz w:val="20"/>
                <w:szCs w:val="20"/>
                <w:color w:val="auto"/>
              </w:rPr>
            </w:pPr>
            <w:r>
              <w:rPr>
                <w:rFonts w:ascii="Arial" w:cs="Arial" w:eastAsia="Arial" w:hAnsi="Arial"/>
                <w:sz w:val="18"/>
                <w:szCs w:val="18"/>
                <w:color w:val="auto"/>
              </w:rPr>
              <w:t>Total lease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12,164</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information and non-cash activities related to operating leases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400" w:type="dxa"/>
            <w:vAlign w:val="bottom"/>
            <w:tcBorders>
              <w:bottom w:val="single" w:sz="8" w:color="CCEEFF"/>
            </w:tcBorders>
          </w:tcPr>
          <w:p>
            <w:pPr>
              <w:spacing w:after="0"/>
              <w:rPr>
                <w:sz w:val="21"/>
                <w:szCs w:val="21"/>
                <w:color w:val="auto"/>
              </w:rPr>
            </w:pPr>
          </w:p>
        </w:tc>
        <w:tc>
          <w:tcPr>
            <w:tcW w:w="4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4"/>
              </w:rPr>
              <w:t>September 28, 2019</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Cash paid for amounts included in measurement of lease liabilities:</w:t>
            </w:r>
          </w:p>
        </w:tc>
        <w:tc>
          <w:tcPr>
            <w:tcW w:w="4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8,377</w:t>
            </w:r>
          </w:p>
        </w:tc>
      </w:tr>
      <w:tr>
        <w:trPr>
          <w:trHeight w:val="27"/>
        </w:trPr>
        <w:tc>
          <w:tcPr>
            <w:tcW w:w="5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40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Non-cash activities:</w:t>
            </w: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Operating lease assets obtained in exchange for new lease liabilities</w:t>
            </w:r>
          </w:p>
        </w:tc>
        <w:tc>
          <w:tcPr>
            <w:tcW w:w="4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2,486</w:t>
            </w:r>
          </w:p>
        </w:tc>
      </w:tr>
      <w:tr>
        <w:trPr>
          <w:trHeight w:val="675"/>
        </w:trPr>
        <w:tc>
          <w:tcPr>
            <w:tcW w:w="5400" w:type="dxa"/>
            <w:vAlign w:val="bottom"/>
          </w:tcPr>
          <w:p>
            <w:pPr>
              <w:spacing w:after="0"/>
              <w:rPr>
                <w:sz w:val="24"/>
                <w:szCs w:val="24"/>
                <w:color w:val="auto"/>
              </w:rPr>
            </w:pPr>
          </w:p>
        </w:tc>
        <w:tc>
          <w:tcPr>
            <w:tcW w:w="4320" w:type="dxa"/>
            <w:vAlign w:val="bottom"/>
          </w:tcPr>
          <w:p>
            <w:pPr>
              <w:jc w:val="right"/>
              <w:ind w:right="38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Classification on the Condensed Consolidated Balance Sheet</w:t>
            </w:r>
          </w:p>
        </w:tc>
        <w:tc>
          <w:tcPr>
            <w:tcW w:w="160" w:type="dxa"/>
            <w:vAlign w:val="bottom"/>
          </w:tcPr>
          <w:p>
            <w:pPr>
              <w:spacing w:after="0"/>
              <w:rPr>
                <w:sz w:val="16"/>
                <w:szCs w:val="16"/>
                <w:color w:val="auto"/>
              </w:rPr>
            </w:pPr>
          </w:p>
        </w:tc>
        <w:tc>
          <w:tcPr>
            <w:tcW w:w="15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September 28, 2019</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514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61,693</w:t>
            </w: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580" w:type="dxa"/>
            <w:vAlign w:val="bottom"/>
            <w:shd w:val="clear" w:color="auto" w:fill="CCEEFF"/>
          </w:tcPr>
          <w:p>
            <w:pPr>
              <w:spacing w:after="0"/>
              <w:rPr>
                <w:sz w:val="23"/>
                <w:szCs w:val="23"/>
                <w:color w:val="auto"/>
              </w:rPr>
            </w:pPr>
          </w:p>
        </w:tc>
        <w:tc>
          <w:tcPr>
            <w:tcW w:w="5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current liabilities</w:t>
            </w:r>
          </w:p>
        </w:tc>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12,965</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Operating lease non-current liabilities</w:t>
            </w:r>
          </w:p>
        </w:tc>
        <w:tc>
          <w:tcPr>
            <w:tcW w:w="514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56,923</w:t>
            </w:r>
          </w:p>
        </w:tc>
      </w:tr>
      <w:tr>
        <w:trPr>
          <w:trHeight w:val="608"/>
        </w:trPr>
        <w:tc>
          <w:tcPr>
            <w:tcW w:w="9720" w:type="dxa"/>
            <w:vAlign w:val="bottom"/>
            <w:gridSpan w:val="4"/>
          </w:tcPr>
          <w:p>
            <w:pPr>
              <w:spacing w:after="0"/>
              <w:rPr>
                <w:sz w:val="20"/>
                <w:szCs w:val="20"/>
                <w:color w:val="auto"/>
              </w:rPr>
            </w:pPr>
            <w:r>
              <w:rPr>
                <w:rFonts w:ascii="Arial" w:cs="Arial" w:eastAsia="Arial" w:hAnsi="Arial"/>
                <w:sz w:val="18"/>
                <w:szCs w:val="18"/>
                <w:color w:val="auto"/>
              </w:rPr>
              <w:t>Weighted-average remaining lease term and discount rate related to operating leases are as follows: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3"/>
        </w:trPr>
        <w:tc>
          <w:tcPr>
            <w:tcW w:w="4580" w:type="dxa"/>
            <w:vAlign w:val="bottom"/>
            <w:tcBorders>
              <w:bottom w:val="single" w:sz="8" w:color="CCEEFF"/>
            </w:tcBorders>
          </w:tcPr>
          <w:p>
            <w:pPr>
              <w:spacing w:after="0"/>
              <w:rPr>
                <w:sz w:val="24"/>
                <w:szCs w:val="24"/>
                <w:color w:val="auto"/>
              </w:rPr>
            </w:pPr>
          </w:p>
        </w:tc>
        <w:tc>
          <w:tcPr>
            <w:tcW w:w="5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3"/>
              </w:rPr>
              <w:t>September 28, 2019</w:t>
            </w:r>
          </w:p>
        </w:tc>
      </w:tr>
      <w:tr>
        <w:trPr>
          <w:trHeight w:val="250"/>
        </w:trPr>
        <w:tc>
          <w:tcPr>
            <w:tcW w:w="9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 - 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8.70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w w:val="93"/>
              </w:rPr>
              <w:t>4.24%</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under operating leases by fiscal year as of September 28, 2019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September 28, 2019</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14,980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32,011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83,358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69,888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7. DEBT</w:t>
            </w: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Long-term debt as of September 28, 2019 and March 30, 2019 is as follows (in thousands):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28, 2019</w:t>
            </w:r>
          </w:p>
        </w:tc>
        <w:tc>
          <w:tcPr>
            <w:tcW w:w="180" w:type="dxa"/>
            <w:vAlign w:val="bottom"/>
          </w:tcPr>
          <w:p>
            <w:pPr>
              <w:spacing w:after="0"/>
              <w:rPr>
                <w:sz w:val="24"/>
                <w:szCs w:val="24"/>
                <w:color w:val="auto"/>
              </w:rPr>
            </w:pPr>
          </w:p>
        </w:tc>
        <w:tc>
          <w:tcPr>
            <w:tcW w:w="15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23,404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23,404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premium and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1,016,063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920,935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2023 and 2025</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November 19, 2015, the Company issued $450.0 million aggregate principal amount 6.75% senior notes due December 1, 2023 (the "2023 Notes") and $550.0 million aggregate principal amount 7.00% senior notes due December 1, 2025 (the "2025 Notes"). The 2023 Notes were, and the 2025 Notes are, senior unsecured obligations of the Company and guaranteed, jointly and severally, by the Company and certain of its U.S. subsidiaries (the "Guarantors"). The 2023 Notes and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ectPr>
          <w:pgSz w:w="11900" w:h="16838" w:orient="portrait"/>
          <w:cols w:equalWidth="0" w:num="1">
            <w:col w:w="11420"/>
          </w:cols>
          <w:pgMar w:left="240" w:top="12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fiscal years 2018 and 2019, the Company retired all of the issued and outstanding 2023 Notes and $526.6 million of the 2025 Notes. During the three and six months ended September 29, 2018, the Company recognized a loss on debt extinguishment of $48.8 million and $82.2 million, respectively, as "Other expense" in the Condensed Consolidated Statements of Income in connection with certain purchases of the 2023 Notes and the 2025 Notes. As of September 28, 2019, an aggregate principal amount of $23.4 million of the 2025 Notes remained outstanding.</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respect to the 2023 Notes, interest was payable on June 1 and December 1 of each year at a rate of 6.75% per annum, and with respect to the 2025 Notes, interest is payable on June 1 and December 1 of each year at a rate of 7.00% per annum. The Company paid no interest on the 2025 Notes during the three months ended September 28, 2019 and paid interest of $0.8 million on the 2025 Notes during the six months ended September 28, 2019. Interest paid on the 2023 Notes and the 2025 Notes during the three and six months ended September 29, 2018 was $7.3 million and $41.5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On July 16, 2018, the Company issued $500.0 million aggregate principal amount 5.50% senior notes due 2026 (the “Initial 2026 Notes”). On August 28, 2018 and March 5, 2019, the Company issued an additional $130.0 million and $270.0 million, respectively, aggregate principal amount of such notes (together, the "Additional 2026 Notes" and together with the Initial 2026 Notes, the "2026 Notes"). The 2026 Notes will mature on July 15, 2026, unless earlier redeemed in accordance with their terms. The 2026 Notes are senior unsecured obligations of the Company and are initially guaranteed, jointly and severally, by the Guarantors.</w:t>
      </w:r>
    </w:p>
    <w:p>
      <w:pPr>
        <w:spacing w:after="0" w:line="19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Initial 2026 Notes were issued pursuant to an indenture, dated as of July 16, 2018 by and among the Company, the Guarantors and MUFG Union Bank, N.A., as trustee, and the Additional 2026 Notes were issued pursuant to supplemental indentures, dated as of August 28, 2018 and March 5, 2019, respectively (such indenture and supplemental indentures, collectively,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offerings of the 2026 Notes, the Company agreed to provide the holders of the 2026 Notes with an opportunity to exchange the 2026 Notes for registered notes having terms substantially identical to the 2026 Notes. On June 25, 2019, the Company completed the exchange offer, in which all of the privately placed 2026 Notes were exchanged for new notes that have been registered under the Securities Act of 1933, as amended (the "Securities Act").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is payable on the 2026 Notes on January 15 and July 15 of each year at a rate of 5.50% per annum. Interest paid on the 2026 Notes during the three and six months ended September 28, 2019 was $24.8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The Credit Agreement includes a senior delayed draw term loan of up to $400.0 million (the "Term Loan") and a $300.0 million senior revolving line of credit (the "Revolving Facility", together with the Term Loan, the "Credit Facility"). On the closing date, $100.0 million of the Term Loan was funded (and subsequently repaid in March 2018). On June 17, 2019, the Company drew $100.0 million of the Term Loan, with the remaining $200.0 million available, at the discretion of the Company, in a final draw. Subsequent amendments to the Credit Agreement have, among other things, extended the delayed draw availability period to December 31, 2019. The Revolving Facility includes a $25.0 million sublimit for the issuance of standby letters of credit and a $10.0 million sublimit for swing line loans. The Company may request that the Credit Facility be increased by up to $300.0 million, subject to securing additional funding commitments from the existing or new lenders.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the six months ended September 28, 2019, there were no borrowings under the Revolving Facility. Interest paid on the Term Loan during the three and six months ended September 28, 2019 was $0.9 million.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As of September 28, 2019, the Company was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debt is carried at amortized cost and is measured at fair value quarterly for disclosure purposes. The estimated fair value of the 2025 Notes and the 2026 Notes as of September 28, 2019 was $25.1 million and $954.8 million, respectively (compared to a carrying value of $23.4 million and $900.0 million, respectively). The estimated fair value of the 2025 Notes and the 2026 Notes as of March 30, 2019 was $25.8 million and $929.3 million, respectively. The Company considers its debt to be Level 2 in the fair value hierarchy. Fair values are estimated based on quoted market prices for identical or similar instruments. The 2025 Notes and 2026 Notes trade over the counter, and their fair values were estimated based upon the value of their last trade at the end of the period.</w:t>
      </w:r>
    </w:p>
    <w:p>
      <w:pPr>
        <w:spacing w:after="0" w:line="19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 had no outstanding amounts under the Revolving Facility as of September 28, 2019. The Term Loan carries a variable interest rate set at current market rates, and as such, the fair value of the Term Loan approximated book value as of September 28,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three and six months ended September 28, 2019, the Company recognized $13.6 million and $26.5 million, respectively, of interest expense related to the 2025 Notes, the 2026 Notes and the Term Loan, which was partially offset by $1.3 million and $3.0 million, respectively, of interest capitalized to property and equipment. During the three and six months ended September 29, 2018, the Company recognized $10.9 million and $28.0 million, respectively, of interest expense related to the 2023 Notes, the 2025 Notes and the 2026 Notes, which was partially offset by $1.8 million and $5.3 million, respectively, of interest capitalized to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May 23, 2018, the Company announced that its Board of Directors authorized a share repurchase program to repurchase up to $1.0 billion of the Company's outstanding stock, which included approximately $126.3 million authorized under the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and six months ended September 28, 2019, the Company repurchased approximately 2.3 million shares and 3.8 million shares, respectively, of its common stock for approximately $165.0 million and $265.1 million, respectively. As of September 28, 2019, $132.8 million remains available for repurchases under the current share repurchase program. See Note 15 for information regarding the new share repurchase program which was announced by the Company on October 31, 2019.</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and six months ended September 29, 2018, the Company repurchased approximately 1.1 million shares and 2.3 million shares, respectively, of its common stock for approximately $86.7 million and $186.7 million, respectively.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ectPr>
          <w:pgSz w:w="11900" w:h="16838" w:orient="portrait"/>
          <w:cols w:equalWidth="0" w:num="1">
            <w:col w:w="11420"/>
          </w:cols>
          <w:pgMar w:left="240" w:top="122" w:right="239" w:bottom="1440" w:gutter="0" w:footer="0" w:header="0"/>
        </w:sectPr>
      </w:pPr>
    </w:p>
    <w:p>
      <w:pPr>
        <w:spacing w:after="0" w:line="253"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00"/>
        <w:spacing w:after="0"/>
        <w:tabs>
          <w:tab w:leader="none" w:pos="6600" w:val="left"/>
        </w:tabs>
        <w:rPr>
          <w:sz w:val="20"/>
          <w:szCs w:val="20"/>
          <w:color w:val="auto"/>
        </w:rPr>
      </w:pPr>
      <w:r>
        <w:rPr>
          <w:rFonts w:ascii="Arial" w:cs="Arial" w:eastAsia="Arial" w:hAnsi="Arial"/>
          <w:sz w:val="14"/>
          <w:szCs w:val="14"/>
          <w:b w:val="1"/>
          <w:bCs w:val="1"/>
          <w:color w:val="auto"/>
        </w:rPr>
        <w:t>September 28, 2019</w:t>
      </w:r>
      <w:r>
        <w:rPr>
          <w:sz w:val="20"/>
          <w:szCs w:val="20"/>
          <w:color w:val="auto"/>
        </w:rPr>
        <w:tab/>
      </w:r>
      <w:r>
        <w:rPr>
          <w:rFonts w:ascii="Arial" w:cs="Arial" w:eastAsia="Arial" w:hAnsi="Arial"/>
          <w:sz w:val="12"/>
          <w:szCs w:val="12"/>
          <w:b w:val="1"/>
          <w:bCs w:val="1"/>
          <w:color w:val="auto"/>
        </w:rPr>
        <w:t>September 29, 2018</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September 28, 2019</w:t>
      </w:r>
      <w:r>
        <w:rPr>
          <w:sz w:val="20"/>
          <w:szCs w:val="20"/>
          <w:color w:val="auto"/>
        </w:rPr>
        <w:tab/>
      </w:r>
      <w:r>
        <w:rPr>
          <w:rFonts w:ascii="Arial" w:cs="Arial" w:eastAsia="Arial" w:hAnsi="Arial"/>
          <w:sz w:val="12"/>
          <w:szCs w:val="12"/>
          <w:b w:val="1"/>
          <w:bCs w:val="1"/>
          <w:color w:val="auto"/>
        </w:rPr>
        <w:t>September 29, 2018</w:t>
      </w:r>
    </w:p>
    <w:p>
      <w:pPr>
        <w:spacing w:after="0" w:line="25" w:lineRule="exact"/>
        <w:rPr>
          <w:sz w:val="20"/>
          <w:szCs w:val="20"/>
          <w:color w:val="auto"/>
        </w:rPr>
      </w:pPr>
    </w:p>
    <w:p>
      <w:pPr>
        <w:sectPr>
          <w:pgSz w:w="11900" w:h="16838" w:orient="portrait"/>
          <w:cols w:equalWidth="0" w:num="2">
            <w:col w:w="7820" w:space="500"/>
            <w:col w:w="31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452,926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423,844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720,422</w:t>
            </w: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693,298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China</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199,945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561,088</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588,273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Asia</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148,615</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Taiwan</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38,044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79,033</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106,895</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37,177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73,138</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74,717</w:t>
            </w:r>
          </w:p>
        </w:tc>
      </w:tr>
      <w:tr>
        <w:trPr>
          <w:trHeight w:val="257"/>
        </w:trPr>
        <w:tc>
          <w:tcPr>
            <w:tcW w:w="47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806,698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884,443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1,582,296</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1,577,113</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first quarter of fiscal 2020, the Company changed its presentation of net revenue based on the "sold to" address of the customer to the above presentation of net revenue based on the location of the customers' headquarters. The September 29, 2018 information above has been reclassified to reflect this change. The Company believes that the disaggregation of revenue based on the location of the customers' headquarters is more representative of how its revenue and cash flows are impacted by geographically-sensitive changes in economic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third quarter of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actions, the Company expects to record total restructuring charges of approximately $95.0 million, including accelerated depreciation of $49.0 million (to reflect changes in estimated useful lives of certain property and equipment), impairment charges of $16.0 million (to adjust the carrying value of certain property and equipment to reflect its fair value), employee termination benefits of $16.0 million, and other exit costs of $14.0 million. As of the end of the second quarter of fiscal 2020, the Company has recorded cumulative expenses of approximately $42.9 million, $16.0 million, $12.3 million and $6.9 million for accelerated depreciation, impairment charges, employee termination benefits and other exit costs, respectively, as a result of these restructuring actions (which are expected to be substantially completed by the end of fiscal 2020).</w:t>
      </w:r>
    </w:p>
    <w:p>
      <w:pPr>
        <w:spacing w:after="0" w:line="1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fiscal 2018, the Company initiated restructuring actions to improve operating efficiencies. As of the end of the second quarter of fiscal 2020, the Company has recorded cumulative expenses of $46.3 million, $23.4 million and $0.2 million for impairment charges, employee termination benefits and other exit costs, respectively, as a result of these restructuring actions. The Company believes these amounts approximate the total costs to be recognized as these restructuring actions are substantially complete.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 Company recorded immaterial restructuring expenses in the three and six months ended September 28, 2019 and September 29, 2018, related to exited leased facilities associated with other restructuring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allocate restructuring costs to its reportable segments.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activity primarily resulting from these restructuring events: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274"/>
              <w:spacing w:after="0"/>
              <w:rPr>
                <w:sz w:val="20"/>
                <w:szCs w:val="20"/>
                <w:color w:val="auto"/>
              </w:rPr>
            </w:pPr>
            <w:r>
              <w:rPr>
                <w:rFonts w:ascii="Arial" w:cs="Arial" w:eastAsia="Arial" w:hAnsi="Arial"/>
                <w:sz w:val="14"/>
                <w:szCs w:val="14"/>
                <w:b w:val="1"/>
                <w:bCs w:val="1"/>
                <w:color w:val="auto"/>
                <w:w w:val="93"/>
              </w:rPr>
              <w:t>Three Months Ended September 28, 2019</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7"/>
          </w:tcPr>
          <w:p>
            <w:pPr>
              <w:jc w:val="center"/>
              <w:ind w:right="314"/>
              <w:spacing w:after="0"/>
              <w:rPr>
                <w:sz w:val="20"/>
                <w:szCs w:val="20"/>
                <w:color w:val="auto"/>
              </w:rPr>
            </w:pPr>
            <w:r>
              <w:rPr>
                <w:rFonts w:ascii="Arial" w:cs="Arial" w:eastAsia="Arial" w:hAnsi="Arial"/>
                <w:sz w:val="14"/>
                <w:szCs w:val="14"/>
                <w:b w:val="1"/>
                <w:bCs w:val="1"/>
                <w:color w:val="auto"/>
                <w:w w:val="93"/>
              </w:rPr>
              <w:t>Three Months Ended September 29, 2018</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 Operating</w:t>
            </w:r>
          </w:p>
        </w:tc>
        <w:tc>
          <w:tcPr>
            <w:tcW w:w="460" w:type="dxa"/>
            <w:vAlign w:val="bottom"/>
          </w:tcPr>
          <w:p>
            <w:pPr>
              <w:spacing w:after="0"/>
              <w:rPr>
                <w:sz w:val="13"/>
                <w:szCs w:val="13"/>
                <w:color w:val="auto"/>
              </w:rPr>
            </w:pPr>
          </w:p>
        </w:tc>
        <w:tc>
          <w:tcPr>
            <w:tcW w:w="7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Other Operating</w:t>
            </w:r>
          </w:p>
        </w:tc>
        <w:tc>
          <w:tcPr>
            <w:tcW w:w="480" w:type="dxa"/>
            <w:vAlign w:val="bottom"/>
          </w:tcPr>
          <w:p>
            <w:pPr>
              <w:spacing w:after="0"/>
              <w:rPr>
                <w:sz w:val="13"/>
                <w:szCs w:val="13"/>
                <w:color w:val="auto"/>
              </w:rPr>
            </w:pPr>
          </w:p>
        </w:tc>
        <w:tc>
          <w:tcPr>
            <w:tcW w:w="7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8"/>
              </w:rPr>
              <w:t>Contract termination and other associated</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9,441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354"/>
              <w:spacing w:after="0"/>
              <w:rPr>
                <w:sz w:val="20"/>
                <w:szCs w:val="20"/>
                <w:color w:val="auto"/>
              </w:rPr>
            </w:pPr>
            <w:r>
              <w:rPr>
                <w:rFonts w:ascii="Arial" w:cs="Arial" w:eastAsia="Arial" w:hAnsi="Arial"/>
                <w:sz w:val="14"/>
                <w:szCs w:val="14"/>
                <w:b w:val="1"/>
                <w:bCs w:val="1"/>
                <w:color w:val="auto"/>
                <w:w w:val="92"/>
              </w:rPr>
              <w:t>Six Months Ended September 28, 2019</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294"/>
              <w:spacing w:after="0"/>
              <w:rPr>
                <w:sz w:val="20"/>
                <w:szCs w:val="20"/>
                <w:color w:val="auto"/>
              </w:rPr>
            </w:pPr>
            <w:r>
              <w:rPr>
                <w:rFonts w:ascii="Arial" w:cs="Arial" w:eastAsia="Arial" w:hAnsi="Arial"/>
                <w:sz w:val="14"/>
                <w:szCs w:val="14"/>
                <w:b w:val="1"/>
                <w:bCs w:val="1"/>
                <w:color w:val="auto"/>
                <w:w w:val="92"/>
              </w:rPr>
              <w:t>Six Months Ended September 29, 2018</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 Operating</w:t>
            </w:r>
          </w:p>
        </w:tc>
        <w:tc>
          <w:tcPr>
            <w:tcW w:w="460" w:type="dxa"/>
            <w:vAlign w:val="bottom"/>
          </w:tcPr>
          <w:p>
            <w:pPr>
              <w:spacing w:after="0"/>
              <w:rPr>
                <w:sz w:val="13"/>
                <w:szCs w:val="13"/>
                <w:color w:val="auto"/>
              </w:rPr>
            </w:pPr>
          </w:p>
        </w:tc>
        <w:tc>
          <w:tcPr>
            <w:tcW w:w="7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Other Operating</w:t>
            </w:r>
          </w:p>
        </w:tc>
        <w:tc>
          <w:tcPr>
            <w:tcW w:w="480" w:type="dxa"/>
            <w:vAlign w:val="bottom"/>
          </w:tcPr>
          <w:p>
            <w:pPr>
              <w:spacing w:after="0"/>
              <w:rPr>
                <w:sz w:val="13"/>
                <w:szCs w:val="13"/>
                <w:color w:val="auto"/>
              </w:rPr>
            </w:pPr>
          </w:p>
        </w:tc>
        <w:tc>
          <w:tcPr>
            <w:tcW w:w="7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8"/>
              </w:rPr>
              <w:t>Contract termination and other associated</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7,085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21,516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24,386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9,024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33,410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restructuring liabilities for the six months ended September 28,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One-Time Employee</w:t>
            </w:r>
          </w:p>
        </w:tc>
        <w:tc>
          <w:tcPr>
            <w:tcW w:w="260" w:type="dxa"/>
            <w:vAlign w:val="bottom"/>
          </w:tcPr>
          <w:p>
            <w:pPr>
              <w:spacing w:after="0"/>
              <w:rPr>
                <w:sz w:val="14"/>
                <w:szCs w:val="14"/>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Accelerated</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Contract Termination</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and Other Associated</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Termination Benefits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balance as of March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21,516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33,410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Transfer to right-of-use asset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activity</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Accrued restructuring balance as of September 28,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operating segments as of September 28, 2019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MP is a global supplier of cellular radio frequency ("RF") and Wi-Fi solutions for a variety of mobile devices, including smartphones, wearables, laptops, tablets and cellular-based applications for the Internet of Things ("IoT").</w:t>
      </w:r>
    </w:p>
    <w:p>
      <w:pPr>
        <w:spacing w:after="0" w:line="17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cellular base station, smart home, IoT and other wireless communications, defense, automotive and multiple analog power management applications.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restructuring costs, start-up costs, asset impairment and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tcPr>
          <w:p>
            <w:pPr>
              <w:spacing w:after="0"/>
              <w:rPr>
                <w:sz w:val="13"/>
                <w:szCs w:val="13"/>
                <w:color w:val="auto"/>
              </w:rPr>
            </w:pPr>
          </w:p>
        </w:tc>
        <w:tc>
          <w:tcPr>
            <w:tcW w:w="1360" w:type="dxa"/>
            <w:vAlign w:val="bottom"/>
          </w:tcPr>
          <w:p>
            <w:pPr>
              <w:jc w:val="center"/>
              <w:ind w:right="193"/>
              <w:spacing w:after="0" w:line="153" w:lineRule="exact"/>
              <w:rPr>
                <w:sz w:val="20"/>
                <w:szCs w:val="20"/>
                <w:color w:val="auto"/>
              </w:rPr>
            </w:pPr>
            <w:r>
              <w:rPr>
                <w:rFonts w:ascii="Arial" w:cs="Arial" w:eastAsia="Arial" w:hAnsi="Arial"/>
                <w:sz w:val="14"/>
                <w:szCs w:val="14"/>
                <w:b w:val="1"/>
                <w:bCs w:val="1"/>
                <w:color w:val="auto"/>
                <w:w w:val="91"/>
              </w:rPr>
              <w:t>September 29,</w:t>
            </w:r>
          </w:p>
        </w:tc>
      </w:tr>
      <w:tr>
        <w:trPr>
          <w:trHeight w:val="192"/>
        </w:trPr>
        <w:tc>
          <w:tcPr>
            <w:tcW w:w="4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623,106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666,539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1,179,359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1,152,618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183,592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217,904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424,495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806,698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884,443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1,582,296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1,577,113</w:t>
            </w: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193,431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196,948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333,366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286,119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111,515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(326,372)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(24,042)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7)</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(81,487)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(29,293)</w:t>
            </w:r>
          </w:p>
        </w:tc>
      </w:tr>
      <w:tr>
        <w:trPr>
          <w:trHeight w:val="20"/>
        </w:trPr>
        <w:tc>
          <w:tcPr>
            <w:tcW w:w="4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r>
      <w:tr>
        <w:trPr>
          <w:trHeight w:val="798"/>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tcPr>
          <w:p>
            <w:pPr>
              <w:spacing w:after="0"/>
              <w:rPr>
                <w:sz w:val="13"/>
                <w:szCs w:val="13"/>
                <w:color w:val="auto"/>
              </w:rPr>
            </w:pPr>
          </w:p>
        </w:tc>
        <w:tc>
          <w:tcPr>
            <w:tcW w:w="1360" w:type="dxa"/>
            <w:vAlign w:val="bottom"/>
          </w:tcPr>
          <w:p>
            <w:pPr>
              <w:jc w:val="center"/>
              <w:ind w:right="193"/>
              <w:spacing w:after="0" w:line="153" w:lineRule="exact"/>
              <w:rPr>
                <w:sz w:val="20"/>
                <w:szCs w:val="20"/>
                <w:color w:val="auto"/>
              </w:rPr>
            </w:pPr>
            <w:r>
              <w:rPr>
                <w:rFonts w:ascii="Arial" w:cs="Arial" w:eastAsia="Arial" w:hAnsi="Arial"/>
                <w:sz w:val="14"/>
                <w:szCs w:val="14"/>
                <w:b w:val="1"/>
                <w:bCs w:val="1"/>
                <w:color w:val="auto"/>
                <w:w w:val="91"/>
              </w:rPr>
              <w:t>September 29,</w:t>
            </w:r>
          </w:p>
        </w:tc>
      </w:tr>
      <w:tr>
        <w:trPr>
          <w:trHeight w:val="192"/>
        </w:trPr>
        <w:tc>
          <w:tcPr>
            <w:tcW w:w="4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(20,876)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(45,829)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(40,250)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(266,291)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(11,244)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and accelerated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0"/>
              </w:rPr>
              <w:t>Other (including (loss) gain on assets and other miscellaneous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corporate overhead)</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(3,095)</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(326,372)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Company’s provision for income taxes for the three and six months ended September 28, 2019 and September 29, 2018 was calculated by applying an estimate of the annual effective tax rate for the full fiscal year to “ordinary” income or loss (pre-</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tax income or loss excluding unusual or infrequently occurring discrete items) for the three and six months ended September 28, 2019 and September 29, 2018.</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Company’s income tax expense was $19.0 million and $24.7 million, respectively, for the three and six months ended September 28, 2019, and the Company’s income tax expense was $0.8 million and income tax benefit was $31.4 million, for the three and six months ended September 29, 2018, respectively. The Company’s effective tax rate was 18.6% and 16.8% for the three and six months ended September 28, 2019, respectively, and 2.3% and 107.1% for the three and six months ended September 29, 2018, respectively.</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effective tax rate for the three and six months ended September 28, 2019 differed from the statutory rate primarily due to tax rate differences in foreign jurisdictions, global intangible low tax income (“GILTI”), domestic tax credits generated, foreign permanent differences, the discrete treatment of postcombination compensation expenses related to the Active-Semi acquisition, and a discrete expense related to the Company’s change in its permanent reinvestment assertion for certain unrepatriated foreign earnings previously subject to U.S. federal taxation. The Company's effective tax rate for the three and six months ended September 29, 2018 differed from the statutory rate primarily due to tax rate differences in foreign jurisdictions, foreign permanent differences, state income taxes, domestic tax credits generated, changes in unrecognized tax benefits, GILTI, a discrete tax benefit for changes in provisional estimates related to the one-time transition tax on certain unrepatriated earnings of foreign subsidiaries enacted in the Tax Cuts and Jobs Act and a discrete tax benefit resulting from a retroactive incentive allowing previously non-deductible payments to be amortized.</w:t>
      </w:r>
    </w:p>
    <w:p>
      <w:pPr>
        <w:spacing w:after="0" w:line="16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Management has concluded that it can no longer support an assertion that certain earnings which have previously been subject to U.S. federal taxation at its foreign subsidiaries are permanently reinvested. During the second quarter of fiscal 2020, the Company updated forecasts of cash balances and cash flow outside the U.S. and began to implement a more centralized approach to cash management. As a result, the Company recorded $4.0 million discrete tax expense during the second quarter of fiscal 2020. The Company had previously released in the third quarter of fiscal 2018 its permanent reinvestment assertion on its operating subsidiary in Singapore, Qorvo International Pte. Ltd.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29,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29, 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income per share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34"/>
              <w:spacing w:after="0"/>
              <w:rPr>
                <w:sz w:val="20"/>
                <w:szCs w:val="20"/>
                <w:color w:val="auto"/>
              </w:rPr>
            </w:pPr>
            <w:r>
              <w:rPr>
                <w:rFonts w:ascii="Arial" w:cs="Arial" w:eastAsia="Arial" w:hAnsi="Arial"/>
                <w:sz w:val="18"/>
                <w:szCs w:val="18"/>
                <w:color w:val="auto"/>
              </w:rPr>
              <w:t>83,038</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33"/>
              <w:spacing w:after="0"/>
              <w:rPr>
                <w:sz w:val="20"/>
                <w:szCs w:val="20"/>
                <w:color w:val="auto"/>
              </w:rPr>
            </w:pPr>
            <w:r>
              <w:rPr>
                <w:rFonts w:ascii="Arial" w:cs="Arial" w:eastAsia="Arial" w:hAnsi="Arial"/>
                <w:sz w:val="18"/>
                <w:szCs w:val="18"/>
                <w:color w:val="auto"/>
              </w:rPr>
              <w:t>32,084</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14"/>
              <w:spacing w:after="0"/>
              <w:rPr>
                <w:sz w:val="20"/>
                <w:szCs w:val="20"/>
                <w:color w:val="auto"/>
              </w:rPr>
            </w:pPr>
            <w:r>
              <w:rPr>
                <w:rFonts w:ascii="Arial" w:cs="Arial" w:eastAsia="Arial" w:hAnsi="Arial"/>
                <w:sz w:val="18"/>
                <w:szCs w:val="18"/>
                <w:color w:val="auto"/>
              </w:rPr>
              <w:t>122,579</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13"/>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income available to common stockholders</w:t>
            </w:r>
          </w:p>
        </w:tc>
        <w:tc>
          <w:tcPr>
            <w:tcW w:w="16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Denominator for basic net income per share — weighted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average shares</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117,294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125,643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117,945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125,859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for diluted net income per share — adjusted</w:t>
            </w:r>
          </w:p>
        </w:tc>
        <w:tc>
          <w:tcPr>
            <w:tcW w:w="1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119,429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128,550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120,196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128,977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shares and assumed 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computation of diluted net income per share for the three and six months ended September 28, 2019, approximately 0.4 million and 0.2 million outstanding shares, respectively, were excluded because the effect of their inclusion would have been anti-dilutive. In the computation of diluted net income per share for the three and six months ended September 29,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0.3 million and 0.2 million outstanding shares, respectively, were excluded because the effect of their inclusion would have been anti-dilutive.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accordance with the applicable indentures governing the 2025 Notes and 2026 Notes, the Company's obligations under the 2025 Notes and 2026 Notes are fully and unconditionally guaranteed on a joint and several basis by each Guarantor, each of which is 100% owned, directly or indirectly, by Qorvo, Inc. (the "Parent Company"). A Guarantor can be released in certain customary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applicable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entries, eliminations and reclassifications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28, 2019</w:t>
            </w: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260" w:type="dxa"/>
            <w:vAlign w:val="bottom"/>
          </w:tcPr>
          <w:p>
            <w:pPr>
              <w:jc w:val="center"/>
              <w:ind w:left="45"/>
              <w:spacing w:after="0" w:line="147" w:lineRule="exact"/>
              <w:rPr>
                <w:sz w:val="20"/>
                <w:szCs w:val="20"/>
                <w:color w:val="auto"/>
              </w:rPr>
            </w:pPr>
            <w:r>
              <w:rPr>
                <w:rFonts w:ascii="Arial" w:cs="Arial" w:eastAsia="Arial" w:hAnsi="Arial"/>
                <w:sz w:val="14"/>
                <w:szCs w:val="14"/>
                <w:b w:val="1"/>
                <w:bCs w:val="1"/>
                <w:color w:val="auto"/>
                <w:w w:val="97"/>
              </w:rPr>
              <w:t>Guarantor</w:t>
            </w:r>
          </w:p>
        </w:tc>
        <w:tc>
          <w:tcPr>
            <w:tcW w:w="1700" w:type="dxa"/>
            <w:vAlign w:val="bottom"/>
          </w:tcPr>
          <w:p>
            <w:pPr>
              <w:jc w:val="center"/>
              <w:ind w:left="2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6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60" w:type="dxa"/>
            <w:vAlign w:val="bottom"/>
          </w:tcPr>
          <w:p>
            <w:pPr>
              <w:jc w:val="center"/>
              <w:ind w:left="25"/>
              <w:spacing w:after="0"/>
              <w:rPr>
                <w:sz w:val="20"/>
                <w:szCs w:val="20"/>
                <w:color w:val="auto"/>
              </w:rPr>
            </w:pPr>
            <w:r>
              <w:rPr>
                <w:rFonts w:ascii="Arial" w:cs="Arial" w:eastAsia="Arial" w:hAnsi="Arial"/>
                <w:sz w:val="14"/>
                <w:szCs w:val="14"/>
                <w:b w:val="1"/>
                <w:bCs w:val="1"/>
                <w:color w:val="auto"/>
                <w:w w:val="91"/>
              </w:rPr>
              <w:t>Subsidiaries</w:t>
            </w:r>
          </w:p>
        </w:tc>
        <w:tc>
          <w:tcPr>
            <w:tcW w:w="1700" w:type="dxa"/>
            <w:vAlign w:val="bottom"/>
          </w:tcPr>
          <w:p>
            <w:pPr>
              <w:jc w:val="center"/>
              <w:ind w:left="5"/>
              <w:spacing w:after="0"/>
              <w:rPr>
                <w:sz w:val="20"/>
                <w:szCs w:val="20"/>
                <w:color w:val="auto"/>
              </w:rPr>
            </w:pPr>
            <w:r>
              <w:rPr>
                <w:rFonts w:ascii="Arial" w:cs="Arial" w:eastAsia="Arial" w:hAnsi="Arial"/>
                <w:sz w:val="14"/>
                <w:szCs w:val="14"/>
                <w:b w:val="1"/>
                <w:bCs w:val="1"/>
                <w:color w:val="auto"/>
                <w:w w:val="88"/>
              </w:rPr>
              <w:t>Subsidiaries</w:t>
            </w: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6,716,288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6,635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6,722,923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10,854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3,750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14,604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1,014,423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1,428,402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2,457,429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4,265,494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6,722,923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-5239385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80,065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506,729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586,794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43,952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361,156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405,108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473,809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(478,433)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165,456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341,741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485,284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20,793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27,286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1,799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14,137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29,930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33,205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815,804</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1,236,356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(500,346)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1,551,814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1,059,674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233,337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1,296,103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1,122,629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1,182,507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2,305,136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154,482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297,306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451,788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5,537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92,012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97,549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1,341,488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220,231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(1,561,719)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2,591,241</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(9,307,529)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101,258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43,286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146,181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7,192,113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3,305,035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(11,371,500)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5,848,571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70,435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143,501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213,936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4,624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473,809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(478,433)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114,289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45,578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172,345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10,167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48,948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59,115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199,515</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712,319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(476,809)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449,629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1,016,063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133,317</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(1,561,719)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114,388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28,440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117,385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447,220</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742,399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(2,063,971)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1,583,077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6,744,893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2,562,636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(9,307,529)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4,265,494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7,192,113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3,305,035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(11,371,500)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5,848,571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-1251585</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March 30, 2019</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Guarantor</w:t>
            </w:r>
          </w:p>
        </w:tc>
        <w:tc>
          <w:tcPr>
            <w:tcW w:w="1560" w:type="dxa"/>
            <w:vAlign w:val="bottom"/>
          </w:tcPr>
          <w:p>
            <w:pPr>
              <w:jc w:val="center"/>
              <w:ind w:left="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52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6,540,081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17,245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6,557,326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11,174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11,174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919,270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1,267,203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2,197,647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4,359,679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6,557,326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231,865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479,170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711,035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47,181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330,991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378,172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381,558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62,640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173,885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359,252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511,793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24,087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25,766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5,121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21,934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33,956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36,141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897,653</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1,252,899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(465,711)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1,684,841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1,090,171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268,040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1,366,513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1,122,629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1,051,260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2,173,889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214,348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193,862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408,210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4,969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92,817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97,786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1,239,474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93,923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(1,333,397)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2,321,170</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(8,861,251)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46,784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28,234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76,785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6,937,198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2,981,035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5,808,024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95,089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138,218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233,307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62,640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381,558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96,238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51,781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160,516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41,880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41,711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253,967</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613,517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(443,044)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435,614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920,935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66,195</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(1,333,398)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76,955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45,202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91,796</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397,117</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660,384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(1,806,803)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1,448,345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6,540,081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2,320,651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(8,860,732)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4,359,679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6,937,198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2,981,035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5,808,024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-1251585</wp:posOffset>
            </wp:positionV>
            <wp:extent cx="866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September 28, 2019</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806,698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193,994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423,834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483,116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323,582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115,614</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44,710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51,819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88,274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45,153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210,815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112,767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102,066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83,038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109,415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138,257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(247,672)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83,038</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82,061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109,510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136,942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(246,452)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82,061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September 29, 2018</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825,844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884,443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207,221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476,256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(152,548)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530,929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353,514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116,748</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58,924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91,399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139,507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64,072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203,528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263,037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90,477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(49,532)</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32,836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25,920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139,642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32,084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85,263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139,642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(224,905)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85,347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139,472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(224,819)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32,012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Six Months Ended September 28, 2019</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1,474,695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1,582,296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437,864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843,949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964,425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617,871</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234,534</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31,827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94,992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95,643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177,253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38,091</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125,842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325,324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449,878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167,993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147,263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(24,684)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122,579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177,260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270,141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(447,401)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122,579</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121,545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177,355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268,833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(446,188)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121,545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89"/>
              </w:rPr>
              <w:t>Condensed Consolidating Statement of Income and Comprehensive (Loss) Income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Six Months Ended September 29, 2018</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1,577,113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397,532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885,953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986,866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590,247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227,651</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26,671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116,880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177,778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275,437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15,897</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40,251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133,247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393,409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518,985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71,262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(81,487)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31,384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109,282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172,207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(281,489)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109,371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169,727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(279,098)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1" w:right="2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1"/>
              </w:rPr>
              <w:t>Six Months Ended September 28, 2019</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166,127</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408,549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430,530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a business, net of cash acquired</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(299,673)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(299,673)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available-for-sale debt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(265,105)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20,205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(166,277)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3"/>
              </w:rPr>
              <w:t>Net (decrease) increase in cash, cash equivalents and</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27,659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(124,141)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231,865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479,517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711,382</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80,065</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507,176</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587,241</w:t>
            </w: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Six Months Ended September 29, 2018</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522,959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315,152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289,796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(113,666)</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available-for-sale debt securities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Proceeds from maturities and sales of available-for-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 debt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133,132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Repurchase of debt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(954,745)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(954,745)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631,300</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(186,682)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(186,682)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(522,959)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(522,959)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(decrease) increase in cash, cash equivalents and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(368,134)</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629,314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297,088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95,152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463,116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558,268</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“2029 Notes”). The 2029 Notes pay interest semi-annually on April 15 and October 15 at a rate of 4.375% per annum. The 2029 Notes will mature on October 15, 2029, unless earlier redeemed in accordance with their terms.</w:t>
      </w:r>
    </w:p>
    <w:p>
      <w:pPr>
        <w:spacing w:after="0" w:line="1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2029 Notes were sold in a private offering to certain institutions that then resold the 2029 Notes in the United States to persons reasonably believed to be qualified institutional buyers pursuant to Rule 144A under the Securities Act, and to certain non-U.S. persons in accordance with Regulation S under the Securities Act. The Company intends to use the net proceeds of the offering for general corporate purposes. The 2029 Notes are senior unsecured obligations of the Company and are initially guaranteed, jointly and severally, by each of the Guarantors.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2029 Notes were issued pursuant to an indenture, dated as of September 30, 2019 (the “2019 Indenture”), by and among the Company, the Guarantors and MUFG Union Bank, N.A., as trustee. The 2019 Indenture contains customary events of default, including payment default, exchange default, failure to provide certain notices thereunder and certain provisions related to bankruptcy events. The 2019 Indenture also contains customary negative covenants.</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any time prior to October 15, 2024, the Company may redeem all or part of the 2029 Notes, at a redemption price equal to their principal amount, plus a “make-whole” premium as of the redemption date, and accrued and unpaid interest. In addition, at any time prior to October 15, 2024, the Company may redeem up to 35% of the original aggregate principal amount of the 2029 Notes with the proceeds of one or more equity offerings, at a redemption price equal to 104.375%, plus accrued and unpaid interest. Furthermore, at any time on or after October 15, 2024, the Company may redeem the 2029 Notes, in whole or in part, at the redemption prices specified in the 2019 Indenture, plus accrued and unpaid interest.</w:t>
      </w:r>
    </w:p>
    <w:p>
      <w:pPr>
        <w:spacing w:after="0" w:line="17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2029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offering of the 2029 Notes, the Company entered into a Registration Rights Agreement, dated as of September 30, 2019 (the “Registration Rights Agreement”), by and among the Company and the Guarantors, on the one hand, and BofA Securities, Inc., as representative of the initial purchasers of the 2029 Notes, on the other hand.</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Registration Rights Agreement, the Company and the Guarantors have agreed to use their commercially reasonable efforts to (i) file with the SEC a registration statement (the “Exchange Offer Registration Statement”) relating to the registered exchange offer (the “Exchange Offer”) to exchange the 2029 Notes for a new series of the Company’s exchange notes having terms substantially identical in all material respects to, and in the same aggregate principal amount as, the 2029 Notes; (ii) cause the Exchange Offer Registration Statement to be declared effective by the SEC; and (iii) cause the Exchange Offer to be consummated no later than the 360th day after September 30, 2019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2029 Notes as promptly as practicable, and (ii) cause the shelf 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2029 Notes covered thereby have been sold pursuant thereto).</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the Company fails to meet any of these targets, the annual interest rate on the 2029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2029 Notes will revert to the original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Cavendish Kinetics Limited Acquisition</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October 4, 2019, the Company completed the acquisition of the entire issued and outstanding capital of Cavendish for a cash purchase price of approximately $203.0 million, subject to customary purchase price adjustments. Cavendish is a private supplier of high-performance RF microelectromechanical system ("MEMS") technology for antenna tuning applications and will become part of the Company's MP operating segment. As a result of the acquisition, RF MEMS technology will be advanced for applications across the Company's products and the technology will be transitioned into high-volume manufacturing for mobile devices and other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On October 31, 2019, the Company announced that its Board of Directors authorized a new share repurchase program to repurchase up to $1.0 billion of the Company's outstanding common stock, which includes approximately $117.0 million authorized under the prior program terminated concurrent with the new authorization. Under this new program, share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121" w:right="3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a few large customers for a substantial portion of our revenue; a loss of revenue if contracts with the United States government or defense and aerospace contractors are canceled or delayed or if defense spending is reduced;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risks from international sales and operations; economic regulation in China; changes in government trade policies, including imposition of tariffs and export restrictions; our ability to implement innovative technologies; underutilization of manufacturing facilities as a result of industry overcapacity; we may not be able to borrow funds under our credit facility or secure future financing; we may not be able to generate sufficient cash to service all of our debt; restrictions imposed by the agreements governing our debt; volatility in the price of our common stock; damage to our reputation or brand; fluctuations in the amount and frequency of our stock repurchases; our acquisitions and other strategic investments, including our recent acquisitions of Active-Semi International, Inc. ("Active-Semi") and Cavendish Kinetics Limited ("Cavendish"), could fail to achieve financial or strategic objectives; our ability to attract, retain and motivate key employees;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warranty claims, product recalls and product liability; and risks associated with environmental, health and safety regulations and climate change.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Qorvo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product and technology leader at the forefront of the growing global demand for always-on connectivity. We combine a broad portfolio of innovative radio frequency ("RF") solutions, highly differentiated semiconductor technologies, systems-level expertise and global manufacturing scale to supply a diverse group of customers in expanding markets, including smartphones and other mobile devices, defense and aerospace, Wi-Fi customer premises equipment, cellular base stations, and multiple Internet of Things ("IoT") applications including the smart home and connected car.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20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and original design manufacturers in the following operating segments:</w:t>
      </w:r>
    </w:p>
    <w:p>
      <w:pPr>
        <w:spacing w:after="0" w:line="170" w:lineRule="exact"/>
        <w:rPr>
          <w:sz w:val="20"/>
          <w:szCs w:val="20"/>
          <w:color w:val="auto"/>
        </w:rPr>
      </w:pPr>
    </w:p>
    <w:p>
      <w:pPr>
        <w:ind w:left="340" w:right="3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global supplier of cellular RF and Wi-Fi solutions for a variety of mobile devices, including smartphones, wearables,</w:t>
      </w:r>
      <w:r>
        <w:rPr>
          <w:rFonts w:ascii="Arial" w:cs="Arial" w:eastAsia="Arial" w:hAnsi="Arial"/>
          <w:sz w:val="18"/>
          <w:szCs w:val="18"/>
          <w:i w:val="1"/>
          <w:iCs w:val="1"/>
          <w:color w:val="auto"/>
        </w:rPr>
        <w:t xml:space="preserve"> </w:t>
      </w:r>
      <w:r>
        <w:rPr>
          <w:rFonts w:ascii="Arial" w:cs="Arial" w:eastAsia="Arial" w:hAnsi="Arial"/>
          <w:sz w:val="18"/>
          <w:szCs w:val="18"/>
          <w:color w:val="auto"/>
        </w:rPr>
        <w:t>laptops, tablets and cellular-based applications for the IoT.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right="1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global supplier of RF, system-on-a-chip and power management solutions for cellular base station,</w:t>
      </w:r>
      <w:r>
        <w:rPr>
          <w:rFonts w:ascii="Arial" w:cs="Arial" w:eastAsia="Arial" w:hAnsi="Arial"/>
          <w:sz w:val="17"/>
          <w:szCs w:val="17"/>
          <w:i w:val="1"/>
          <w:iCs w:val="1"/>
          <w:color w:val="auto"/>
        </w:rPr>
        <w:t xml:space="preserve"> </w:t>
      </w:r>
      <w:r>
        <w:rPr>
          <w:rFonts w:ascii="Arial" w:cs="Arial" w:eastAsia="Arial" w:hAnsi="Arial"/>
          <w:sz w:val="17"/>
          <w:szCs w:val="17"/>
          <w:color w:val="auto"/>
        </w:rPr>
        <w:t>smart home, IoT and other wireless communications, defense, automotive and multiple analog power management applications.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September 28, 2019,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non-GAAP operating income (see Note 11 of the Notes to Condensed Consolidated Financial Statements in Part I, Item 1 of this report for additional information regarding our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2020 FINANCIAL HIGHLIGHTS:</w:t>
      </w:r>
    </w:p>
    <w:p>
      <w:pPr>
        <w:spacing w:after="0" w:line="229" w:lineRule="exact"/>
        <w:rPr>
          <w:sz w:val="20"/>
          <w:szCs w:val="20"/>
          <w:color w:val="auto"/>
        </w:rPr>
      </w:pPr>
    </w:p>
    <w:p>
      <w:pPr>
        <w:ind w:left="280" w:hanging="272"/>
        <w:spacing w:after="0" w:line="259"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revenue decreased 8.8% as compared to the second quarter of fiscal 2019, primarily due to lower shipments of our mobile products and base station products to Huawei Technologies Co., Ltd. and its affiliates ("Huawei") as well as lower demand for our mobile products in support of our customers based in China. These decreases were partially offset by increased revenue resulting from higher demand for marquee smartphones experienced by our largest end customer as well as higher demand from a Korea-based customer.</w:t>
      </w:r>
    </w:p>
    <w:p>
      <w:pPr>
        <w:spacing w:after="0" w:line="186" w:lineRule="exact"/>
        <w:rPr>
          <w:rFonts w:ascii="Arial" w:cs="Arial" w:eastAsia="Arial" w:hAnsi="Arial"/>
          <w:sz w:val="18"/>
          <w:szCs w:val="18"/>
          <w:color w:val="auto"/>
        </w:rPr>
      </w:pPr>
    </w:p>
    <w:p>
      <w:pPr>
        <w:ind w:left="280" w:right="620" w:hanging="272"/>
        <w:spacing w:after="0" w:line="26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for the second quarter of fiscal 2020 was 40.1% as compared to 40.0% for the second quarter of fiscal 2019, with gross margin improvements related to lower intangible amortization expense and favorable changes in product mix being offset by lower factory utilization and increased restructuring charges.</w:t>
      </w:r>
    </w:p>
    <w:p>
      <w:pPr>
        <w:spacing w:after="0" w:line="181" w:lineRule="exact"/>
        <w:rPr>
          <w:rFonts w:ascii="Arial" w:cs="Arial" w:eastAsia="Arial" w:hAnsi="Arial"/>
          <w:sz w:val="18"/>
          <w:szCs w:val="18"/>
          <w:color w:val="auto"/>
        </w:rPr>
      </w:pPr>
    </w:p>
    <w:p>
      <w:pPr>
        <w:ind w:left="280" w:right="320" w:hanging="272"/>
        <w:spacing w:after="0" w:line="27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$112.8 million for the second quarter of fiscal 2020 as compared to operating income of $90.5 million for the second quarter of fiscal 2019. This increase was primarily due to lower operating expenses, partially offset by lower revenue.</w:t>
      </w:r>
    </w:p>
    <w:p>
      <w:pPr>
        <w:spacing w:after="0" w:line="170" w:lineRule="exact"/>
        <w:rPr>
          <w:rFonts w:ascii="Arial" w:cs="Arial" w:eastAsia="Arial" w:hAnsi="Arial"/>
          <w:sz w:val="18"/>
          <w:szCs w:val="18"/>
          <w:color w:val="auto"/>
        </w:rPr>
      </w:pPr>
    </w:p>
    <w:p>
      <w:pPr>
        <w:ind w:left="280" w:right="140" w:hanging="272"/>
        <w:spacing w:after="0" w:line="26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decreased to $38.0 million for the second quarter of fiscal 2020 as compared to $70.1 million for the second quarter of fiscal 2019. Our capital expenditures in the second quarter of fiscal 2020 were primarily strategic investments in premium filter capacity and gallium nitride ("GaN") technology capabilities.</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second quarter of fiscal 2020, we repurchased approximately 2.3 million shares of our common stock for approximately $165.0 million.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six months ended September 28, 2019 and September 29, 2018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9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806,698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884,443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(77,745)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483,116</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530,929</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(47,813)</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323,582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353,514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4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115,614</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116,748</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(1,134)</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88,274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139,507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14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112,767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90,477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22,290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September 28, 2019</w:t>
            </w:r>
          </w:p>
        </w:tc>
        <w:tc>
          <w:tcPr>
            <w:tcW w:w="10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of Revenue</w:t>
            </w:r>
          </w:p>
        </w:tc>
        <w:tc>
          <w:tcPr>
            <w:tcW w:w="120" w:type="dxa"/>
            <w:vAlign w:val="bottom"/>
            <w:vMerge w:val="restart"/>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September 29, 2018</w:t>
            </w:r>
          </w:p>
        </w:tc>
        <w:tc>
          <w:tcPr>
            <w:tcW w:w="12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1,582,296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1,577,113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964,425</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986,866</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(22,441)</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617,871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590,247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27,624</w:t>
            </w:r>
          </w:p>
        </w:tc>
        <w:tc>
          <w:tcPr>
            <w:tcW w:w="14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234,534</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227,651</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6,883</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177,253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(98,184)</w:t>
            </w:r>
          </w:p>
        </w:tc>
        <w:tc>
          <w:tcPr>
            <w:tcW w:w="14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38,091</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15,897</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22,194</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167,993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71,262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96,731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decreased for the three months ended September 28, 2019, as compared to the three months ended September 29, 2018, primarily due to lower shipments of our mobile products and base station products to Huawei as well as lower demand for our mobile products in support of our customers based in China. These decreases were partially offset by increased revenue resulting from higher demand for marquee smartphones experienced by our largest end customer as well as higher demand from a Korea-based customer.</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Revenue was flat for the six months ended September 28, 2019, as compared to the six months ended September 29, 2018, with increased revenue resulting from higher demand for marquee smartphones experienced by our largest end customer as well as higher demand from a Korea-based customer, being offset by lower demand for our mobile products in support of customers based in China.</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six months ended September 28, 2019, we temporarily suspended shipments of products to Huawei after the Bureau of Industry and Security ("BIS") of the U.S. Department of Commerce added Huawei Technologies Co., Ltd. and over 100 of its affiliates to the BIS's Entity List. Eventually, we restarted shipments from outside the U.S. of certain foreign-made products that are not subject to the Export Administration Regulations ("EAR") to Huawei in compliance with the BIS order. We have also applied for a license to ship other products that are subject to the EAR, as required by the rules governing the Entity List.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Consistent with our prior disclosure, we recognized significantly lower sales to Huawei in the three months ended September 28, 2019 (approximately 5.0% of our total revenue) as compared to the three months ended June 29, 2019 (approximately 22.0% of our total revenue).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was flat for the three months ended September 28, 2019 as compared to the three months ended September 29, 2018, with gross margin improvements related to lower intangible amortization expense and favorable changes in product mix being offset by lower factory utilization and increased restructuring charges.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0" w:right="100"/>
        <w:spacing w:after="0" w:line="264" w:lineRule="auto"/>
        <w:rPr>
          <w:sz w:val="20"/>
          <w:szCs w:val="20"/>
          <w:color w:val="auto"/>
        </w:rPr>
      </w:pPr>
      <w:r>
        <w:rPr>
          <w:rFonts w:ascii="Arial" w:cs="Arial" w:eastAsia="Arial" w:hAnsi="Arial"/>
          <w:sz w:val="18"/>
          <w:szCs w:val="18"/>
          <w:color w:val="auto"/>
        </w:rPr>
        <w:t>Gross margin for the six months ended September 28, 2019 was 39.0%, as compared to 37.4% the six months ended September 29, 2018. This increase was primarily due to lower intangible amortization expense, favorable changes in product mix and lower manufacturing costs, partially offset by increased restructuring charges, average selling price erosion and lower factory utilization.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Research and development expense was relatively flat for the three months ended September 28, 2019 as compared to the three months ended September 29, 2018, with lower product development spend being partially offset by the addition of Active-Semi expenses. Research and development expense increased $6.9 million, or 3.0%, for the six months ended September 28, 2019 as compared to the six months ended September 29, 2018, primarily due to higher personnel costs and the addition of Active-Semi expenses, partially offset by lower product development spend.</w:t>
      </w:r>
    </w:p>
    <w:p>
      <w:pPr>
        <w:spacing w:after="0" w:line="15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Selling, general and administrative expense decreased $51.2 million, or 36.7%, for the three months ended September 28, 2019 as compared to the three months ended September 29, 2018, primarily due to lower intangible amortization. Selling, general and administrative expense decreased $98.2 million, or 35.6%, for the six months ended September 28, 2019 as compared to the six months ended September 29, 2018, primarily due to lower intangible amortization, partially offset by higher personnel costs and the addition of Active-Semi expenses.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 was flat for the three months ended September 28, 2019 as compared to the three months ended September 29, 2018. Other operating expense increased $22.2 million for the six months ended September 28, 2019 as compared to the six months ended September 29, 2018, primarily due to expenses related to the acquisition of Active-Semi as well as restructuring expenses. These costs were partially offset by lower start-up costs as compared to the six months ended September 29,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60" w:type="dxa"/>
            <w:vAlign w:val="bottom"/>
          </w:tcPr>
          <w:p>
            <w:pPr>
              <w:spacing w:after="0"/>
              <w:rPr>
                <w:sz w:val="13"/>
                <w:szCs w:val="13"/>
                <w:color w:val="auto"/>
              </w:rPr>
            </w:pPr>
          </w:p>
        </w:tc>
        <w:tc>
          <w:tcPr>
            <w:tcW w:w="15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9"/>
              </w:rPr>
              <w:t>September 29,</w:t>
            </w:r>
          </w:p>
        </w:tc>
        <w:tc>
          <w:tcPr>
            <w:tcW w:w="540" w:type="dxa"/>
            <w:vAlign w:val="bottom"/>
          </w:tcPr>
          <w:p>
            <w:pPr>
              <w:spacing w:after="0"/>
              <w:rPr>
                <w:sz w:val="13"/>
                <w:szCs w:val="13"/>
                <w:color w:val="auto"/>
              </w:rPr>
            </w:pPr>
          </w:p>
        </w:tc>
        <w:tc>
          <w:tcPr>
            <w:tcW w:w="11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623,106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666,539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193,431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196,948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21"/>
                <w:szCs w:val="21"/>
                <w:color w:val="auto"/>
              </w:rPr>
            </w:pPr>
          </w:p>
        </w:tc>
        <w:tc>
          <w:tcPr>
            <w:tcW w:w="1780" w:type="dxa"/>
            <w:vAlign w:val="bottom"/>
          </w:tcPr>
          <w:p>
            <w:pPr>
              <w:jc w:val="right"/>
              <w:ind w:right="9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60" w:type="dxa"/>
            <w:vAlign w:val="bottom"/>
          </w:tcPr>
          <w:p>
            <w:pPr>
              <w:spacing w:after="0"/>
              <w:rPr>
                <w:sz w:val="13"/>
                <w:szCs w:val="13"/>
                <w:color w:val="auto"/>
              </w:rPr>
            </w:pPr>
          </w:p>
        </w:tc>
        <w:tc>
          <w:tcPr>
            <w:tcW w:w="15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9"/>
              </w:rPr>
              <w:t>September 29,</w:t>
            </w:r>
          </w:p>
        </w:tc>
        <w:tc>
          <w:tcPr>
            <w:tcW w:w="540" w:type="dxa"/>
            <w:vAlign w:val="bottom"/>
          </w:tcPr>
          <w:p>
            <w:pPr>
              <w:spacing w:after="0"/>
              <w:rPr>
                <w:sz w:val="13"/>
                <w:szCs w:val="13"/>
                <w:color w:val="auto"/>
              </w:rPr>
            </w:pPr>
          </w:p>
        </w:tc>
        <w:tc>
          <w:tcPr>
            <w:tcW w:w="112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1,179,359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1,152,618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26,741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333,366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286,119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47,247</w:t>
            </w:r>
          </w:p>
        </w:tc>
        <w:tc>
          <w:tcPr>
            <w:tcW w:w="120" w:type="dxa"/>
            <w:vAlign w:val="bottom"/>
          </w:tcPr>
          <w:p>
            <w:pPr>
              <w:spacing w:after="0"/>
              <w:rPr>
                <w:sz w:val="21"/>
                <w:szCs w:val="21"/>
                <w:color w:val="auto"/>
              </w:rPr>
            </w:pPr>
          </w:p>
        </w:tc>
        <w:tc>
          <w:tcPr>
            <w:tcW w:w="1780" w:type="dxa"/>
            <w:vAlign w:val="bottom"/>
          </w:tcPr>
          <w:p>
            <w:pPr>
              <w:jc w:val="right"/>
              <w:ind w:right="159"/>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MP revenue decreased $43.4 million, or 6.5%, for the three months ended September 28, 2019 as compared to the three months ended September 29, 2018, primarily due to lower shipments to Huawei as well as lower demand for our mobile products in support of customers based in China. These decreases were partially offset by increased revenue resulting from higher demand for marquee smartphones experienced by our largest end customer as well as higher demand from a Korea-based customer.</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MP revenue increased $26.7 million, or 2.3%, for the six months ended September 28, 2019 as compared to the six months ended September 29, 2018, primarily due to increased revenue resulting from higher demand for marquee smartphones experienced by our largest end customer as well as higher demand from a Korea-based customer as well as higher demand from Huawei (which resulted from content expansion). These increases were partially offset by lower demand for our mobile products in support of customers based in China.</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MP operating income as a percentage of revenue was relatively flat for the three months ended September 28, 2019 as compared to the three months ended September 29,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MP operating income increased $47.2 million, or 16.5%, for the six months ended September 28, 2019 as compared to the six months ended September 29, 2018, primarily due to higher gross margin, lower operating expenses and higher revenue. Gross margin was positively impacted by favorable changes in product mix and lower manufacturing costs, partially offset by average selling price erosion and lower factory utilization. Operating expenses decreased primarily due to lower personnel related costs and lower product development spend.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22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80" w:type="dxa"/>
            <w:vAlign w:val="bottom"/>
          </w:tcPr>
          <w:p>
            <w:pPr>
              <w:spacing w:after="0"/>
              <w:rPr>
                <w:sz w:val="13"/>
                <w:szCs w:val="13"/>
                <w:color w:val="auto"/>
              </w:rPr>
            </w:pPr>
          </w:p>
        </w:tc>
        <w:tc>
          <w:tcPr>
            <w:tcW w:w="11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Decrease</w:t>
            </w:r>
          </w:p>
        </w:tc>
        <w:tc>
          <w:tcPr>
            <w:tcW w:w="100" w:type="dxa"/>
            <w:vAlign w:val="bottom"/>
            <w:vMerge w:val="restart"/>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183,592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217,904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14,969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8"/>
                <w:szCs w:val="18"/>
                <w:color w:val="auto"/>
              </w:rPr>
              <w:t>56,311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(41,342)</w:t>
            </w:r>
          </w:p>
        </w:tc>
        <w:tc>
          <w:tcPr>
            <w:tcW w:w="100" w:type="dxa"/>
            <w:vAlign w:val="bottom"/>
          </w:tcPr>
          <w:p>
            <w:pPr>
              <w:spacing w:after="0"/>
              <w:rPr>
                <w:sz w:val="21"/>
                <w:szCs w:val="21"/>
                <w:color w:val="auto"/>
              </w:rPr>
            </w:pPr>
          </w:p>
        </w:tc>
        <w:tc>
          <w:tcPr>
            <w:tcW w:w="1600" w:type="dxa"/>
            <w:vAlign w:val="bottom"/>
          </w:tcPr>
          <w:p>
            <w:pPr>
              <w:jc w:val="right"/>
              <w:ind w:right="119"/>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22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80" w:type="dxa"/>
            <w:vAlign w:val="bottom"/>
          </w:tcPr>
          <w:p>
            <w:pPr>
              <w:spacing w:after="0"/>
              <w:rPr>
                <w:sz w:val="13"/>
                <w:szCs w:val="13"/>
                <w:color w:val="auto"/>
              </w:rPr>
            </w:pPr>
          </w:p>
        </w:tc>
        <w:tc>
          <w:tcPr>
            <w:tcW w:w="11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Decrease</w:t>
            </w:r>
          </w:p>
        </w:tc>
        <w:tc>
          <w:tcPr>
            <w:tcW w:w="100" w:type="dxa"/>
            <w:vAlign w:val="bottom"/>
            <w:vMerge w:val="restart"/>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402,937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424,495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65,093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8"/>
                <w:szCs w:val="18"/>
                <w:color w:val="auto"/>
              </w:rPr>
              <w:t>111,515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(46,422)</w:t>
            </w:r>
          </w:p>
        </w:tc>
        <w:tc>
          <w:tcPr>
            <w:tcW w:w="100" w:type="dxa"/>
            <w:vAlign w:val="bottom"/>
          </w:tcPr>
          <w:p>
            <w:pPr>
              <w:spacing w:after="0"/>
              <w:rPr>
                <w:sz w:val="21"/>
                <w:szCs w:val="21"/>
                <w:color w:val="auto"/>
              </w:rPr>
            </w:pPr>
          </w:p>
        </w:tc>
        <w:tc>
          <w:tcPr>
            <w:tcW w:w="1600" w:type="dxa"/>
            <w:vAlign w:val="bottom"/>
          </w:tcPr>
          <w:p>
            <w:pPr>
              <w:jc w:val="right"/>
              <w:ind w:right="119"/>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IDP revenue decreased $34.3 million, or 15.7%, for the three months ended September 28, 2019 as compared to the three months ended September 29, 2018, primarily due to lower demand for our base station products from Huawei as well as lower demand for our Wi-Fi products. These decreases were partially offset by sales of our programmable power management products as a result of the acquisition of Active-Semi.</w:t>
      </w:r>
    </w:p>
    <w:p>
      <w:pPr>
        <w:spacing w:after="0" w:line="16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IDP revenue decreased $21.6 million, or 5.1%, for the six months ended September 28, 2019 as compared to the six months ended September 29, 2018, primarily due to lower demand for our Wi-Fi products, partially offset by sales of our programmable power management products as a result of the acquisition of Active-Semi.</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IDP operating income decreased $41.3 million, or 73.4%, for the three months ended September 28, 2019 as compared to the three months ended September 29, 2018, primarily due to lower revenue, lower gross margin and higher operating expenses. Gross margin was negatively impacted by inventory charges and lower factory utilization. The increase in operating expenses was primarily due to higher personnel costs and the addition of Active-Semi expenses.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IDP operating income decreased $46.4 million, or 41.6%, for the six months ended September 28, 2019 as compared to the six months ended September 29, 2018, primarily due to higher operating expenses, lower gross margin and lower revenue. The increase in operating expenses was primarily due to higher personnel costs and the addition of Active-Semi expenses. Gross margin was negatively impacted by inventory charges and lower factory utilization.</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11 of the Notes to Condensed Consolidated Financial Statements for a reconciliation of segment operating income to the consolidated operating income for the three and six months ended September 28, 2019 and September 29,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13"/>
                <w:szCs w:val="13"/>
                <w:color w:val="auto"/>
              </w:rPr>
            </w:pPr>
          </w:p>
        </w:tc>
        <w:tc>
          <w:tcPr>
            <w:tcW w:w="144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September 29,</w:t>
            </w: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4,974</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(81,487)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31,384</w:t>
            </w:r>
          </w:p>
        </w:tc>
      </w:tr>
      <w:tr>
        <w:trPr>
          <w:trHeight w:val="702"/>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During the three and six months ended September 28, 2019, we recorded interest expense of $14.0 million and $27.6 million, respectively, primarily related to the 5.50% senior notes due July 15, 2026 (the "2026 Notes"), which was partially offset by $1.3 million and $3.0 million, respectively, of capitalized interest.</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and six months ended September 29, 2018, we recorded interest expense of $11.5 million and $29.3 million, respectively, primarily related to the 6.75% senior notes due December 1, 2023 (the "2023 Notes"), the 7.00% senior notes due December 1, 2025 (the "2025 Notes") and the 2026 Notes, which was partially offset by $1.8 million and $5.3 million of capitalized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three and six months ended September 29, 2018, we recorded a loss on debt extinguishment of $48.8 million and $82.2 million, respectively, in connection with certain purchases of the 2023 Notes and the 2025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provision for income taxes for the three and six months ended September 28, 2019 and September 29, 2018 was calculated by applying an estimate of the annual effective tax rate for the full fiscal year to “ordinary” income or loss (pre-tax income or loss excluding unusual or infrequently occurring discrete items) for those respective periods.</w:t>
      </w:r>
    </w:p>
    <w:p>
      <w:pPr>
        <w:spacing w:after="0" w:line="1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and six months ended September 28, 2019, we recorded income tax expense of $19.0 million and $24.7 million, respectively, which was comprised primarily of tax expense related to international operations generating pre-tax book income and the reversal of the permanent reinvestment assertion with regards to unrepatriated foreign earnings, offset by a tax benefit related to domestic and international operations generating pre-tax book losses and domestic tax credits. For the three and six months ended September 29, 2018, we recorded income tax expense of $0.8 million and income tax benefit of $31.4 million, respectively, which was comprised primarily of tax benefit related to domestic and international operations generating pre-tax book losses, a tax incentive granted in Singapore and adjustments in the provisional estimates required by the Tax Cuts and Jobs Act, offset by a tax expense related to international operations generating pre-tax book income.</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second quarter of fiscal 2020, we determined that we could no longer support a permanent reinvestment position on certain earnings previously subject to U.S. federal taxation at our foreign subsidiaries. This change was primarily a result of future cash flow projections outside the U.S. and implementation of a more centralized approach to cash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Cash generated by operations is our primary source of liquidity. As of September 28, 2019, we had working capital of approximately $1,102.2 million, including $586.8 million in cash and cash equivalents, compared to working capital of approximately $1,249.2 million at March 30, 2019, including $711.0 million in cash and cash equivalents. The decrease in working capital was primarily due to the acquisition of Active-Semi. This decrease in working capital was partially offset by the $100.0 million draw on the Term Loan in the first quarter of fiscal 2020.</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$586.8 million of total cash and cash equivalents as of September 28, 2019 includes approximately $503.5 million held by our foreign subsidiaries, of which $424.0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During the six months ended September 28, 2019, we repurchased approximately 3.8 million shares of our common stock for approximately $265.1 million under our share repurchase program. As of September 28, 2019, $132.8 million remained available for repurchases under the program.</w:t>
      </w:r>
    </w:p>
    <w:p>
      <w:pPr>
        <w:spacing w:after="0" w:line="1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October 31, 2019, we announced that our Board of Directors authorized a new share repurchase program. See Note 15 of the Notes to Condensed Consolidated Financial Statements for information regarding the new share repurchase program.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Operating activities for the six months ended September 28, 2019 generated cash of $430.5 million, compared to $289.8 million for the six months ended September 29, 2018, primarily due to favorable changes in working capital driven by improvements in days sales outstanding as well as the timing of sales during the six months ended September 28,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Net cash used in investing activities was $387.3 million for the six months ended September 28, 2019, compared to $132.8 million for the six months ended September 29, 2018, primarily due to the acquisition of Active-Semi.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used in financing activities was $166.3 million for the six months ended September 28, 2019, compared to $523.0 million for the six months ended September 29, 2018. During the six months ended September 29, 2018, cash disbursed in connection with the retirement of all of the 2023 Notes and a majority of the 2025 Notes was partially offset by cash proceeds received from the issuance of the 2026 Notes. During the six months ended September 28, 2019, we drew $100.0 million on our Term Loan.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u w:val="single" w:color="auto"/>
          <w:color w:val="auto"/>
        </w:rPr>
        <w:t>2023 Notes and 2025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issued $450.0 million aggregate principal amount of the 2023 Notes and $550.0 million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the 2025 Notes. The 2023 Notes were, and the 2025 Notes are, senior unsecured obligations of the Company and guaranteed, jointly and severally, by certain of our U.S. subsidiaries (the "Guarantors"). With respect to the 2023 Notes, interest was payable semi-annually on June 1 and December 1 of each year at a rate of 6.75% per annum, and with respect to the 2025 Notes, interest is payable on June 1 and December 1 of each year at a rate of 7.00% per annum. We paid no interest on the 2025 Notes during the three months ended September 28, 2019 and we paid interest of $0.8 million on the 2025 Notes during the six months ended September 28, 2019. Interest paid on the 2023 Notes and the 2025 Notes during the three and six months ended September 29, 2018 was $7.3 million and $41.5 million, respectively.</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years 2018 and 2019, we retired all of the issued and outstanding 2023 Notes and $526.6 million of the 2025 Notes. As of September 28, 2019, an aggregate principal amount of $23.4 million of the 2025 Notes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See Note 7 of the Notes to Condensed Consolidated Financial Statements for additional information regarding the 2023 Notes and the 2025 Notes.</w:t>
      </w:r>
    </w:p>
    <w:p>
      <w:pPr>
        <w:spacing w:after="0" w:line="23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u w:val="single" w:color="auto"/>
          <w:color w:val="auto"/>
        </w:rPr>
        <w:t>2026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July 16, 2018, we issued $500.0 million aggregate principal amount of the 2026 Notes (the "Initial 2026 Notes"). On August 28, 2018 and</w:t>
      </w:r>
      <w:r>
        <w:rPr>
          <w:rFonts w:ascii="Arial" w:cs="Arial" w:eastAsia="Arial" w:hAnsi="Arial"/>
          <w:sz w:val="16"/>
          <w:szCs w:val="16"/>
          <w:i w:val="1"/>
          <w:iCs w:val="1"/>
          <w:color w:val="auto"/>
        </w:rPr>
        <w:t xml:space="preserve"> </w:t>
      </w:r>
      <w:r>
        <w:rPr>
          <w:rFonts w:ascii="Arial" w:cs="Arial" w:eastAsia="Arial" w:hAnsi="Arial"/>
          <w:sz w:val="16"/>
          <w:szCs w:val="16"/>
          <w:color w:val="auto"/>
        </w:rPr>
        <w:t>March 5, 2019, we completed offerings of an additional $130.0 million and $270.0 million, respectively, aggregate principal amount of such notes (together, the "Additional 2026 Notes", and together with the Initial 2026 Notes, the "2026 Notes"). The 2026 Notes are senior unsecured obligations of the Company and are guaranteed, jointly and severally, by each of the Guarantors. Interest on the 2026 Notes is payable on January 15 and July 15 of each year at a rate of 5.50% per annum. Interest paid on the 2026 Notes during the three and six months ended September 28, 2019 was $24.8 million.</w:t>
      </w:r>
    </w:p>
    <w:p>
      <w:pPr>
        <w:spacing w:after="0" w:line="15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connection with the offerings of the 2026 Notes, we agreed to provide the holders of the 2026 Notes with an opportunity to exchange the 2026 Notes for registered notes having terms substantially identical to the 2026 Notes. On June 25, 2019, we completed the exchange offer, in which all of the privately placed 2026 Notes were exchanged for new notes that have been registered under the Securities Act of 1933, as amended (the "Securities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2026 Notes.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u w:val="single" w:color="auto"/>
          <w:color w:val="auto"/>
        </w:rPr>
        <w:t>2029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30, 2019, we issued $350.0 million aggregate principal amount of the 4.375% senior notes due October 15, 2029 (the "2029</w:t>
      </w:r>
      <w:r>
        <w:rPr>
          <w:rFonts w:ascii="Arial" w:cs="Arial" w:eastAsia="Arial" w:hAnsi="Arial"/>
          <w:sz w:val="17"/>
          <w:szCs w:val="17"/>
          <w:i w:val="1"/>
          <w:iCs w:val="1"/>
          <w:color w:val="auto"/>
        </w:rPr>
        <w:t xml:space="preserve"> </w:t>
      </w:r>
      <w:r>
        <w:rPr>
          <w:rFonts w:ascii="Arial" w:cs="Arial" w:eastAsia="Arial" w:hAnsi="Arial"/>
          <w:sz w:val="17"/>
          <w:szCs w:val="17"/>
          <w:color w:val="auto"/>
        </w:rPr>
        <w:t>Notes"). The 2029 Notes were sold in a private offering to certain institutions that then resold the 2029 Notes in the United States to persons reasonably believed to be qualified institutional buyers pursuant to Rule 144A under the Securities Act and to certain non-U.S. persons in accordance with Regulation S under the Securities Act. We intend to use the net proceeds of the offering for general corporate purposes. The 2029 Notes are senior unsecured obligations of the Company and are guaranteed, jointly and severally, by each of the Guarantors.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2029 Notes is payable on October 15 and April 15 of each year at a rate of 4.375% per annum.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15 of the Notes to Condensed Consolidated Financial Statements for additional information regarding the 2029 Notes.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5, 2017, we and the Guarantors entered into a five-year unsecured senior credit facility with Bank of America, N.A.,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swing line lender, and L/C issuer, and a syndicate of lenders (the “Credit Agreement”). On the same date, in connection with the execution of the Credit Agreement, we terminated our prior credit agreement, dated April 7, 2015.</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Credit Agreement includes a senior delayed draw term loan of up to $400.0 million (the "Term Loan") and a $300.0 million revolving line of credit (the "Revolving Facility", together with the Term Loan, the "Credit Facility"). On the closing date, $100.0 million of the Term Loan was funded, and this amount was subsequently repaid in March 2018. On June 17, 2019, we drew $100.0 million of the Term Loan, with the remaining $200.0 million available, at our discretion, in a final draw. Subsequent amendments to the Credit Agreement have, among other things, extended the delayed draw availability period to December 31, 2019. The Revolving Facility includes a $25.0 million sublimit for the issuance of standby letters of credit and a $10.0 million sublimit for swing line loans. We may request at any time that the Credit Facility be increased up to $300.0 million. The Credit Facility is available to finance working capital, capital expenditures and other corporate purposes. Our obligations under the Credit Agreement are jointly and severally guaranteed by the Guarantors. Outstanding amounts are due in full on the maturity date of December 5, 2022 (with amounts borrowed under the swing line option due in full no later than ten business days after such loan is made). During the three and six months ended September 28, 2019, there were no borrowings under the Revolving Facility. Interest paid on the Term Loan during the three and six months ended September 28, 2019 was $0.9 million.</w:t>
      </w:r>
    </w:p>
    <w:p>
      <w:pPr>
        <w:spacing w:after="0" w:line="1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As of September 28, 2019, we were in compliance with all the financial covenants under the Credit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Credit Agreement.</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u w:val="single" w:color="auto"/>
          <w:color w:val="auto"/>
        </w:rPr>
        <w:t>Capital Commitments</w:t>
      </w:r>
      <w:r>
        <w:rPr>
          <w:rFonts w:ascii="Arial" w:cs="Arial" w:eastAsia="Arial" w:hAnsi="Arial"/>
          <w:sz w:val="16"/>
          <w:szCs w:val="16"/>
          <w:i w:val="1"/>
          <w:iCs w:val="1"/>
          <w:color w:val="auto"/>
        </w:rPr>
        <w:t xml:space="preserve"> </w:t>
      </w:r>
      <w:r>
        <w:rPr>
          <w:rFonts w:ascii="Arial" w:cs="Arial" w:eastAsia="Arial" w:hAnsi="Arial"/>
          <w:sz w:val="16"/>
          <w:szCs w:val="16"/>
          <w:color w:val="auto"/>
        </w:rPr>
        <w:t>At September 28, 2019, we had capital commitments of approximately $52.2 million primarily for projects related to GaN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premium filter capacity and manufacturing cost savings initiatives, as well as for equipment replacements and general corporate purposes.</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anticipated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second quarter of fiscal 2020. For a discussion of our exposure to market risk, refer to Item 7A, “Quantitative and Qualitative Disclosures About Market Risk,” contained in Qorvo's Annual Report on Form 10-K for the fiscal year ended March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September 28, 2019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30, 2019, which could materially affect our business, financial condition or future results. The risks described in Qorvo's Annual Report on Form 10-K for the fiscal year ended March 30, 2019 are not the only risks that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2143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w:t>
      </w:r>
    </w:p>
    <w:p>
      <w:pPr>
        <w:ind w:left="160"/>
        <w:spacing w:after="0" w:line="223" w:lineRule="auto"/>
        <w:rPr>
          <w:sz w:val="20"/>
          <w:szCs w:val="20"/>
          <w:color w:val="auto"/>
        </w:rPr>
      </w:pPr>
      <w:r>
        <w:rPr>
          <w:rFonts w:ascii="Arial" w:cs="Arial" w:eastAsia="Arial" w:hAnsi="Arial"/>
          <w:sz w:val="16"/>
          <w:szCs w:val="16"/>
          <w:b w:val="1"/>
          <w:bCs w:val="1"/>
          <w:color w:val="auto"/>
        </w:rPr>
        <w:t>of shares</w:t>
      </w:r>
    </w:p>
    <w:p>
      <w:pPr>
        <w:ind w:left="20"/>
        <w:spacing w:after="0"/>
        <w:tabs>
          <w:tab w:leader="none" w:pos="1180" w:val="left"/>
        </w:tabs>
        <w:rPr>
          <w:sz w:val="20"/>
          <w:szCs w:val="20"/>
          <w:color w:val="auto"/>
        </w:rPr>
      </w:pPr>
      <w:r>
        <w:rPr>
          <w:rFonts w:ascii="Arial" w:cs="Arial" w:eastAsia="Arial" w:hAnsi="Arial"/>
          <w:sz w:val="23"/>
          <w:szCs w:val="23"/>
          <w:b w:val="1"/>
          <w:bCs w:val="1"/>
          <w:color w:val="auto"/>
          <w:vertAlign w:val="subscript"/>
        </w:rPr>
        <w:t>purchased</w:t>
      </w: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bscript"/>
        </w:rPr>
        <w:t>(in</w:t>
      </w:r>
      <w:r>
        <w:rPr>
          <w:sz w:val="20"/>
          <w:szCs w:val="20"/>
          <w:color w:val="auto"/>
        </w:rPr>
        <w:tab/>
      </w:r>
      <w:r>
        <w:rPr>
          <w:rFonts w:ascii="Arial" w:cs="Arial" w:eastAsia="Arial" w:hAnsi="Arial"/>
          <w:sz w:val="14"/>
          <w:szCs w:val="14"/>
          <w:b w:val="1"/>
          <w:bCs w:val="1"/>
          <w:color w:val="auto"/>
        </w:rPr>
        <w:t>Average price paid per</w:t>
      </w:r>
    </w:p>
    <w:p>
      <w:pPr>
        <w:spacing w:after="0" w:line="1"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3"/>
          <w:szCs w:val="13"/>
          <w:b w:val="1"/>
          <w:bCs w:val="1"/>
          <w:color w:val="auto"/>
        </w:rPr>
        <w:t>thousands)</w:t>
      </w:r>
      <w:r>
        <w:rPr>
          <w:sz w:val="20"/>
          <w:szCs w:val="20"/>
          <w:color w:val="auto"/>
        </w:rPr>
        <w:tab/>
      </w: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26035</wp:posOffset>
            </wp:positionV>
            <wp:extent cx="18522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0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4">
            <w:col w:w="2980" w:space="720"/>
            <w:col w:w="2780" w:space="240"/>
            <w:col w:w="2060" w:space="340"/>
            <w:col w:w="2240"/>
          </w:cols>
          <w:pgMar w:left="240" w:top="122" w:right="299" w:bottom="1440" w:gutter="0" w:footer="0" w:header="0"/>
          <w:type w:val="continuous"/>
        </w:sectPr>
      </w:pPr>
    </w:p>
    <w:p>
      <w:pPr>
        <w:ind w:left="140"/>
        <w:spacing w:after="0"/>
        <w:rPr>
          <w:sz w:val="20"/>
          <w:szCs w:val="20"/>
          <w:color w:val="auto"/>
        </w:rPr>
      </w:pPr>
      <w:r>
        <w:rPr>
          <w:rFonts w:ascii="Arial" w:cs="Arial" w:eastAsia="Arial" w:hAnsi="Arial"/>
          <w:sz w:val="14"/>
          <w:szCs w:val="14"/>
          <w:color w:val="auto"/>
        </w:rPr>
        <w:t>June 30, 2019 to July 27, 2019</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July 28, 2019 to August 24, 2019</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August 25, 2019 to September 28, 2019</w:t>
      </w:r>
    </w:p>
    <w:p>
      <w:pPr>
        <w:spacing w:after="0" w:line="132"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5"/>
                <w:szCs w:val="15"/>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70.15</w:t>
            </w:r>
          </w:p>
        </w:tc>
        <w:tc>
          <w:tcPr>
            <w:tcW w:w="100" w:type="dxa"/>
            <w:vAlign w:val="bottom"/>
          </w:tcPr>
          <w:p>
            <w:pPr>
              <w:spacing w:after="0"/>
              <w:rPr>
                <w:sz w:val="15"/>
                <w:szCs w:val="15"/>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173</w:t>
            </w:r>
          </w:p>
        </w:tc>
      </w:tr>
      <w:tr>
        <w:trPr>
          <w:trHeight w:val="270"/>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23"/>
                <w:szCs w:val="23"/>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71.26</w:t>
            </w:r>
          </w:p>
        </w:tc>
        <w:tc>
          <w:tcPr>
            <w:tcW w:w="100" w:type="dxa"/>
            <w:vAlign w:val="bottom"/>
          </w:tcPr>
          <w:p>
            <w:pPr>
              <w:spacing w:after="0"/>
              <w:rPr>
                <w:sz w:val="23"/>
                <w:szCs w:val="23"/>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1,342</w:t>
            </w:r>
          </w:p>
        </w:tc>
      </w:tr>
      <w:tr>
        <w:trPr>
          <w:trHeight w:val="276"/>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72.78</w:t>
            </w: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w:t>
            </w:r>
          </w:p>
        </w:tc>
      </w:tr>
      <w:tr>
        <w:trPr>
          <w:trHeight w:val="237"/>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2,301</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71.70</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$285.7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$190.1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$132.8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$132.8 million</w:t>
      </w:r>
    </w:p>
    <w:p>
      <w:pPr>
        <w:spacing w:after="0" w:line="271" w:lineRule="exact"/>
        <w:rPr>
          <w:sz w:val="20"/>
          <w:szCs w:val="20"/>
          <w:color w:val="auto"/>
        </w:rPr>
      </w:pPr>
    </w:p>
    <w:p>
      <w:pPr>
        <w:sectPr>
          <w:pgSz w:w="11900" w:h="16838" w:orient="portrait"/>
          <w:cols w:equalWidth="0" w:num="3">
            <w:col w:w="2900" w:space="720"/>
            <w:col w:w="6100" w:space="720"/>
            <w:col w:w="920"/>
          </w:cols>
          <w:pgMar w:left="240" w:top="122" w:right="299" w:bottom="1440" w:gutter="0" w:footer="0" w:header="0"/>
          <w:type w:val="continuous"/>
        </w:sectPr>
      </w:pP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May 23, 2018, we announced that our Board of Directors authorized a share repurchase program to repurchase up to $1.0 billion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October 31, 2019, we announced that our Board of Directors authorized a new share repurchase program. See Note 15 of the Notes to Condensed Consolidated Financial Statements for information regarding the new share repurchase program.</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2" w:right="29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620" w:right="26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43">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20" w:right="32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4">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20" w:right="16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5">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6">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20" w:hanging="423"/>
        <w:spacing w:after="0" w:line="255"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September 28, 2019, formatted in iXBRL (Inline eXtensible Business Reporting Language): (i) the Condensed Consolidated Balance Sheets as of September 28, 2019 and March 30, 2019; (ii) the Condensed Consolidated Statements of Income for the three and six months ended September 28, 2019 and September 29, 2018; (iii) the Condensed Consolidated Statements of Comprehensive Income (Loss) for the three and six months ended September 28, 2019 and September 29, 2018; (iv) the Condensed Consolidated Statements of Stockholders' Equity for the three and six months ended September 28, 2019 and September 29, 2018; (v) the Condensed Consolidated Statements of Cash Flows for the six months ended September 28, 2019 and September 29, 2018; and (vi) the Notes to Condensed Consolidated Financial Statements</w:t>
      </w:r>
    </w:p>
    <w:p>
      <w:pPr>
        <w:spacing w:after="0" w:line="311" w:lineRule="exact"/>
        <w:rPr>
          <w:sz w:val="20"/>
          <w:szCs w:val="20"/>
          <w:color w:val="auto"/>
        </w:rPr>
      </w:pPr>
    </w:p>
    <w:p>
      <w:pPr>
        <w:ind w:right="1840" w:firstLine="197"/>
        <w:spacing w:after="0" w:line="659" w:lineRule="auto"/>
        <w:tabs>
          <w:tab w:leader="none" w:pos="60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quarter ended September 28, 2019, formatted in iXBRL Our SEC file number for documents filed with the SEC pursuant to the Securities Exchange Act of 1934, as amended, is 001-36801.</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November 1, 2019</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20"/>
          </w:cols>
          <w:pgMar w:left="240" w:top="122" w:right="9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 2019</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 2019</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28,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6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1, 2019</w:t>
      </w:r>
    </w:p>
    <w:p>
      <w:pPr>
        <w:sectPr>
          <w:pgSz w:w="11900" w:h="16838" w:orient="portrait"/>
          <w:cols w:equalWidth="0" w:num="1">
            <w:col w:w="11400"/>
          </w:cols>
          <w:pgMar w:left="240" w:top="576" w:right="25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hanging="652"/>
        <w:spacing w:after="0" w:line="260"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28,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60"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1, 2019</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2019-12-28T03:17:49Z</dcterms:created>
  <dcterms:modified xsi:type="dcterms:W3CDTF">2019-12-28T03:17:49Z</dcterms:modified>
</cp:coreProperties>
</file>