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535305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501015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640" w:right="46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January 1,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40" w:right="44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3"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55880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40" w:type="dxa"/>
            <w:vAlign w:val="bottom"/>
          </w:tcPr>
          <w:p>
            <w:pPr>
              <w:jc w:val="center"/>
              <w:ind w:right="774"/>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775"/>
              <w:spacing w:after="0"/>
              <w:rPr>
                <w:sz w:val="20"/>
                <w:szCs w:val="20"/>
                <w:color w:val="auto"/>
              </w:rPr>
            </w:pPr>
            <w:r>
              <w:rPr>
                <w:rFonts w:ascii="Arial" w:cs="Arial" w:eastAsia="Arial" w:hAnsi="Arial"/>
                <w:sz w:val="18"/>
                <w:szCs w:val="18"/>
                <w:b w:val="1"/>
                <w:bCs w:val="1"/>
                <w:color w:val="auto"/>
                <w:w w:val="89"/>
              </w:rPr>
              <w:t>46-5288992</w:t>
            </w:r>
          </w:p>
        </w:tc>
      </w:tr>
      <w:tr>
        <w:trPr>
          <w:trHeight w:val="210"/>
        </w:trPr>
        <w:tc>
          <w:tcPr>
            <w:tcW w:w="4740" w:type="dxa"/>
            <w:vAlign w:val="bottom"/>
          </w:tcPr>
          <w:p>
            <w:pPr>
              <w:jc w:val="center"/>
              <w:ind w:right="774"/>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160" w:type="dxa"/>
            <w:vAlign w:val="bottom"/>
          </w:tcPr>
          <w:p>
            <w:pPr>
              <w:jc w:val="center"/>
              <w:ind w:left="795"/>
              <w:spacing w:after="0"/>
              <w:rPr>
                <w:sz w:val="20"/>
                <w:szCs w:val="20"/>
                <w:color w:val="auto"/>
              </w:rPr>
            </w:pPr>
            <w:r>
              <w:rPr>
                <w:rFonts w:ascii="Arial" w:cs="Arial" w:eastAsia="Arial" w:hAnsi="Arial"/>
                <w:sz w:val="16"/>
                <w:szCs w:val="16"/>
                <w:color w:val="auto"/>
                <w:w w:val="94"/>
              </w:rPr>
              <w:t>(I.R.S. employer identification no.)</w:t>
            </w:r>
          </w:p>
        </w:tc>
      </w:tr>
      <w:tr>
        <w:trPr>
          <w:trHeight w:val="312"/>
        </w:trPr>
        <w:tc>
          <w:tcPr>
            <w:tcW w:w="4740" w:type="dxa"/>
            <w:vAlign w:val="bottom"/>
          </w:tcPr>
          <w:p>
            <w:pPr>
              <w:jc w:val="center"/>
              <w:ind w:right="774"/>
              <w:spacing w:after="0"/>
              <w:rPr>
                <w:sz w:val="20"/>
                <w:szCs w:val="20"/>
                <w:color w:val="auto"/>
              </w:rPr>
            </w:pPr>
            <w:r>
              <w:rPr>
                <w:rFonts w:ascii="Arial" w:cs="Arial" w:eastAsia="Arial" w:hAnsi="Arial"/>
                <w:sz w:val="18"/>
                <w:szCs w:val="18"/>
                <w:b w:val="1"/>
                <w:bCs w:val="1"/>
                <w:color w:val="auto"/>
                <w:w w:val="92"/>
              </w:rPr>
              <w:t>7628 Thorndike Road</w:t>
            </w:r>
          </w:p>
        </w:tc>
        <w:tc>
          <w:tcPr>
            <w:tcW w:w="3160" w:type="dxa"/>
            <w:vAlign w:val="bottom"/>
          </w:tcPr>
          <w:p>
            <w:pPr>
              <w:spacing w:after="0"/>
              <w:rPr>
                <w:sz w:val="24"/>
                <w:szCs w:val="24"/>
                <w:color w:val="auto"/>
              </w:rPr>
            </w:pPr>
          </w:p>
        </w:tc>
      </w:tr>
      <w:tr>
        <w:trPr>
          <w:trHeight w:val="234"/>
        </w:trPr>
        <w:tc>
          <w:tcPr>
            <w:tcW w:w="4740" w:type="dxa"/>
            <w:vAlign w:val="bottom"/>
          </w:tcPr>
          <w:p>
            <w:pPr>
              <w:jc w:val="center"/>
              <w:ind w:right="554"/>
              <w:spacing w:after="0"/>
              <w:rPr>
                <w:sz w:val="20"/>
                <w:szCs w:val="20"/>
                <w:color w:val="auto"/>
              </w:rPr>
            </w:pPr>
            <w:r>
              <w:rPr>
                <w:rFonts w:ascii="Arial" w:cs="Arial" w:eastAsia="Arial" w:hAnsi="Arial"/>
                <w:sz w:val="18"/>
                <w:szCs w:val="18"/>
                <w:b w:val="1"/>
                <w:bCs w:val="1"/>
                <w:color w:val="auto"/>
                <w:w w:val="91"/>
              </w:rPr>
              <w:t>Greensboro, North Carolina</w:t>
            </w:r>
          </w:p>
        </w:tc>
        <w:tc>
          <w:tcPr>
            <w:tcW w:w="3160" w:type="dxa"/>
            <w:vAlign w:val="bottom"/>
          </w:tcPr>
          <w:p>
            <w:pPr>
              <w:jc w:val="center"/>
              <w:ind w:left="775"/>
              <w:spacing w:after="0"/>
              <w:rPr>
                <w:sz w:val="20"/>
                <w:szCs w:val="20"/>
                <w:color w:val="auto"/>
              </w:rPr>
            </w:pPr>
            <w:r>
              <w:rPr>
                <w:rFonts w:ascii="Arial" w:cs="Arial" w:eastAsia="Arial" w:hAnsi="Arial"/>
                <w:sz w:val="18"/>
                <w:szCs w:val="18"/>
                <w:b w:val="1"/>
                <w:bCs w:val="1"/>
                <w:color w:val="auto"/>
                <w:w w:val="89"/>
              </w:rPr>
              <w:t>27409-9421</w:t>
            </w:r>
          </w:p>
        </w:tc>
      </w:tr>
      <w:tr>
        <w:trPr>
          <w:trHeight w:val="210"/>
        </w:trPr>
        <w:tc>
          <w:tcPr>
            <w:tcW w:w="4740" w:type="dxa"/>
            <w:vAlign w:val="bottom"/>
          </w:tcPr>
          <w:p>
            <w:pPr>
              <w:jc w:val="center"/>
              <w:ind w:right="514"/>
              <w:spacing w:after="0"/>
              <w:rPr>
                <w:sz w:val="20"/>
                <w:szCs w:val="20"/>
                <w:color w:val="auto"/>
              </w:rPr>
            </w:pPr>
            <w:r>
              <w:rPr>
                <w:rFonts w:ascii="Arial" w:cs="Arial" w:eastAsia="Arial" w:hAnsi="Arial"/>
                <w:sz w:val="16"/>
                <w:szCs w:val="16"/>
                <w:color w:val="auto"/>
                <w:w w:val="94"/>
              </w:rPr>
              <w:t>(Address of principal executive office)</w:t>
            </w:r>
          </w:p>
        </w:tc>
        <w:tc>
          <w:tcPr>
            <w:tcW w:w="3160" w:type="dxa"/>
            <w:vAlign w:val="bottom"/>
          </w:tcPr>
          <w:p>
            <w:pPr>
              <w:jc w:val="center"/>
              <w:ind w:left="795"/>
              <w:spacing w:after="0"/>
              <w:rPr>
                <w:sz w:val="20"/>
                <w:szCs w:val="20"/>
                <w:color w:val="auto"/>
              </w:rPr>
            </w:pPr>
            <w:r>
              <w:rPr>
                <w:rFonts w:ascii="Arial" w:cs="Arial" w:eastAsia="Arial" w:hAnsi="Arial"/>
                <w:sz w:val="16"/>
                <w:szCs w:val="16"/>
                <w:color w:val="auto"/>
                <w:w w:val="94"/>
              </w:rPr>
              <w:t>(Zip code)</w:t>
            </w:r>
          </w:p>
        </w:tc>
      </w:tr>
    </w:tbl>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(336) 664-1233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46"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580" w:type="dxa"/>
            <w:vAlign w:val="bottom"/>
          </w:tcPr>
          <w:p>
            <w:pPr>
              <w:spacing w:after="0"/>
              <w:rPr>
                <w:sz w:val="16"/>
                <w:szCs w:val="16"/>
                <w:color w:val="auto"/>
              </w:rPr>
            </w:pPr>
          </w:p>
        </w:tc>
        <w:tc>
          <w:tcPr>
            <w:tcW w:w="2000" w:type="dxa"/>
            <w:vAlign w:val="bottom"/>
            <w:gridSpan w:val="2"/>
          </w:tcPr>
          <w:p>
            <w:pPr>
              <w:jc w:val="center"/>
              <w:ind w:right="660"/>
              <w:spacing w:after="0" w:line="194" w:lineRule="exact"/>
              <w:rPr>
                <w:sz w:val="20"/>
                <w:szCs w:val="20"/>
                <w:color w:val="auto"/>
              </w:rPr>
            </w:pPr>
            <w:r>
              <w:rPr>
                <w:rFonts w:ascii="Arial" w:cs="Arial" w:eastAsia="Arial" w:hAnsi="Arial"/>
                <w:sz w:val="18"/>
                <w:szCs w:val="18"/>
                <w:b w:val="1"/>
                <w:bCs w:val="1"/>
                <w:color w:val="auto"/>
                <w:w w:val="86"/>
              </w:rPr>
              <w:t>Title of each class</w:t>
            </w:r>
          </w:p>
        </w:tc>
        <w:tc>
          <w:tcPr>
            <w:tcW w:w="1560" w:type="dxa"/>
            <w:vAlign w:val="bottom"/>
          </w:tcPr>
          <w:p>
            <w:pPr>
              <w:spacing w:after="0"/>
              <w:rPr>
                <w:sz w:val="16"/>
                <w:szCs w:val="16"/>
                <w:color w:val="auto"/>
              </w:rPr>
            </w:pPr>
          </w:p>
        </w:tc>
        <w:tc>
          <w:tcPr>
            <w:tcW w:w="2040" w:type="dxa"/>
            <w:vAlign w:val="bottom"/>
            <w:gridSpan w:val="2"/>
          </w:tcPr>
          <w:p>
            <w:pPr>
              <w:jc w:val="center"/>
              <w:ind w:right="600"/>
              <w:spacing w:after="0" w:line="194" w:lineRule="exact"/>
              <w:rPr>
                <w:sz w:val="20"/>
                <w:szCs w:val="20"/>
                <w:color w:val="auto"/>
              </w:rPr>
            </w:pPr>
            <w:r>
              <w:rPr>
                <w:rFonts w:ascii="Arial" w:cs="Arial" w:eastAsia="Arial" w:hAnsi="Arial"/>
                <w:sz w:val="18"/>
                <w:szCs w:val="18"/>
                <w:b w:val="1"/>
                <w:bCs w:val="1"/>
                <w:color w:val="auto"/>
                <w:w w:val="91"/>
              </w:rPr>
              <w:t>Trading Symbol(s)</w:t>
            </w:r>
          </w:p>
        </w:tc>
        <w:tc>
          <w:tcPr>
            <w:tcW w:w="3960" w:type="dxa"/>
            <w:vAlign w:val="bottom"/>
            <w:gridSpan w:val="2"/>
          </w:tcPr>
          <w:p>
            <w:pPr>
              <w:jc w:val="center"/>
              <w:ind w:left="530"/>
              <w:spacing w:after="0" w:line="194"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47"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ind w:left="88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680" w:type="dxa"/>
            <w:vAlign w:val="bottom"/>
          </w:tcPr>
          <w:p>
            <w:pPr>
              <w:ind w:left="88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6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800" w:type="dxa"/>
            <w:vAlign w:val="bottom"/>
          </w:tcPr>
          <w:p>
            <w:pPr>
              <w:ind w:left="268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994"/>
        </w:trPr>
        <w:tc>
          <w:tcPr>
            <w:tcW w:w="26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27, 2022, there were 108,431,627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99"/>
              </w:rPr>
              <w:t>QORVO, INC. AND SUBSIDIARIES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ind w:right="1450"/>
              <w:spacing w:after="0"/>
              <w:rPr>
                <w:sz w:val="20"/>
                <w:szCs w:val="20"/>
                <w:color w:val="auto"/>
              </w:rPr>
            </w:pPr>
            <w:r>
              <w:rPr>
                <w:rFonts w:ascii="Arial" w:cs="Arial" w:eastAsia="Arial" w:hAnsi="Arial"/>
                <w:sz w:val="18"/>
                <w:szCs w:val="18"/>
                <w:b w:val="1"/>
                <w:bCs w:val="1"/>
                <w:color w:val="auto"/>
              </w:rPr>
              <w:t>INDEX</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260" w:type="dxa"/>
            <w:vAlign w:val="bottom"/>
            <w:gridSpan w:val="10"/>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4200" w:type="dxa"/>
            <w:vAlign w:val="bottom"/>
            <w:gridSpan w:val="8"/>
            <w:vMerge w:val="restart"/>
          </w:tcPr>
          <w:p>
            <w:pPr>
              <w:spacing w:after="0"/>
              <w:rPr>
                <w:sz w:val="24"/>
                <w:szCs w:val="24"/>
                <w:color w:val="auto"/>
              </w:rPr>
            </w:pPr>
          </w:p>
        </w:tc>
        <w:tc>
          <w:tcPr>
            <w:tcW w:w="3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0000FF"/>
            </w:tcBorders>
            <w:gridSpan w:val="10"/>
            <w:vMerge w:val="continue"/>
          </w:tcPr>
          <w:p>
            <w:pPr>
              <w:spacing w:after="0"/>
              <w:rPr>
                <w:sz w:val="16"/>
                <w:szCs w:val="16"/>
                <w:color w:val="auto"/>
              </w:rPr>
            </w:pPr>
          </w:p>
        </w:tc>
        <w:tc>
          <w:tcPr>
            <w:tcW w:w="4200" w:type="dxa"/>
            <w:vAlign w:val="bottom"/>
            <w:gridSpan w:val="8"/>
            <w:vMerge w:val="continue"/>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7460" w:type="dxa"/>
            <w:vAlign w:val="bottom"/>
            <w:gridSpan w:val="18"/>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 xml:space="preserve">Item 1. Financial Statements </w:t>
              </w:r>
            </w:hyperlink>
            <w:r>
              <w:rPr>
                <w:rFonts w:ascii="Arial" w:cs="Arial" w:eastAsia="Arial" w:hAnsi="Arial"/>
                <w:sz w:val="18"/>
                <w:szCs w:val="18"/>
                <w:b w:val="1"/>
                <w:bCs w:val="1"/>
                <w:color w:val="0000FF"/>
              </w:rPr>
              <w:t>(Unaudited).</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0000FF"/>
            </w:tcBorders>
          </w:tcPr>
          <w:p>
            <w:pPr>
              <w:spacing w:after="0"/>
              <w:rPr>
                <w:sz w:val="18"/>
                <w:szCs w:val="18"/>
                <w:color w:val="auto"/>
              </w:rPr>
            </w:pPr>
          </w:p>
        </w:tc>
        <w:tc>
          <w:tcPr>
            <w:tcW w:w="3100" w:type="dxa"/>
            <w:vAlign w:val="bottom"/>
            <w:tcBorders>
              <w:top w:val="single" w:sz="8" w:color="0000FF"/>
            </w:tcBorders>
            <w:gridSpan w:val="8"/>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Condensed Consolidated Balance Sheets</w:t>
              </w:r>
            </w:hyperlink>
          </w:p>
        </w:tc>
        <w:tc>
          <w:tcPr>
            <w:tcW w:w="4240" w:type="dxa"/>
            <w:vAlign w:val="bottom"/>
            <w:gridSpan w:val="9"/>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3420" w:type="dxa"/>
            <w:vAlign w:val="bottom"/>
            <w:gridSpan w:val="10"/>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Income</w:t>
              </w:r>
            </w:hyperlink>
          </w:p>
        </w:tc>
        <w:tc>
          <w:tcPr>
            <w:tcW w:w="3920" w:type="dxa"/>
            <w:vAlign w:val="bottom"/>
            <w:gridSpan w:val="7"/>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Income</w:t>
              </w:r>
            </w:hyperlink>
          </w:p>
        </w:tc>
        <w:tc>
          <w:tcPr>
            <w:tcW w:w="37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380" w:type="dxa"/>
            <w:vAlign w:val="bottom"/>
            <w:gridSpan w:val="13"/>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Stockholders' Equity</w:t>
              </w:r>
            </w:hyperlink>
          </w:p>
        </w:tc>
        <w:tc>
          <w:tcPr>
            <w:tcW w:w="200" w:type="dxa"/>
            <w:vAlign w:val="bottom"/>
          </w:tcPr>
          <w:p>
            <w:pPr>
              <w:spacing w:after="0"/>
              <w:rPr>
                <w:sz w:val="18"/>
                <w:szCs w:val="18"/>
                <w:color w:val="auto"/>
              </w:rPr>
            </w:pPr>
          </w:p>
        </w:tc>
        <w:tc>
          <w:tcPr>
            <w:tcW w:w="2760" w:type="dxa"/>
            <w:vAlign w:val="bottom"/>
            <w:gridSpan w:val="3"/>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gridSpan w:val="13"/>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2960" w:type="dxa"/>
            <w:vAlign w:val="bottom"/>
            <w:gridSpan w:val="4"/>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340" w:type="dxa"/>
            <w:vAlign w:val="bottom"/>
            <w:gridSpan w:val="1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370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460" w:type="dxa"/>
            <w:vAlign w:val="bottom"/>
            <w:tcBorders>
              <w:bottom w:val="single" w:sz="8" w:color="0000FF"/>
            </w:tcBorders>
            <w:gridSpan w:val="18"/>
          </w:tcPr>
          <w:p>
            <w:pPr>
              <w:spacing w:after="0"/>
              <w:rPr>
                <w:rFonts w:ascii="Arial" w:cs="Arial" w:eastAsia="Arial" w:hAnsi="Arial"/>
                <w:sz w:val="18"/>
                <w:szCs w:val="18"/>
                <w:b w:val="1"/>
                <w:bCs w:val="1"/>
                <w:color w:val="0000FF"/>
                <w:w w:val="89"/>
              </w:rPr>
            </w:pPr>
            <w:hyperlink w:anchor="page20">
              <w:r>
                <w:rPr>
                  <w:rFonts w:ascii="Arial" w:cs="Arial" w:eastAsia="Arial" w:hAnsi="Arial"/>
                  <w:sz w:val="18"/>
                  <w:szCs w:val="18"/>
                  <w:b w:val="1"/>
                  <w:bCs w:val="1"/>
                  <w:color w:val="0000FF"/>
                  <w:w w:val="89"/>
                </w:rPr>
                <w:t>Item 2. Management's Discussion and Analysis of Financial Condition and Results of Operations.</w:t>
              </w:r>
            </w:hyperlink>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0" w:type="dxa"/>
            <w:vAlign w:val="bottom"/>
          </w:tcPr>
          <w:p>
            <w:pPr>
              <w:spacing w:after="0"/>
              <w:rPr>
                <w:sz w:val="1"/>
                <w:szCs w:val="1"/>
                <w:color w:val="auto"/>
              </w:rPr>
            </w:pPr>
          </w:p>
        </w:tc>
      </w:tr>
      <w:tr>
        <w:trPr>
          <w:trHeight w:val="209"/>
        </w:trPr>
        <w:tc>
          <w:tcPr>
            <w:tcW w:w="560" w:type="dxa"/>
            <w:vAlign w:val="bottom"/>
            <w:gridSpan w:val="2"/>
          </w:tcPr>
          <w:p>
            <w:pPr>
              <w:spacing w:after="0"/>
              <w:rPr>
                <w:rFonts w:ascii="Arial" w:cs="Arial" w:eastAsia="Arial" w:hAnsi="Arial"/>
                <w:sz w:val="18"/>
                <w:szCs w:val="18"/>
                <w:b w:val="1"/>
                <w:bCs w:val="1"/>
                <w:color w:val="0000FF"/>
                <w:w w:val="94"/>
              </w:rPr>
            </w:pPr>
            <w:hyperlink w:anchor="page31">
              <w:r>
                <w:rPr>
                  <w:rFonts w:ascii="Arial" w:cs="Arial" w:eastAsia="Arial" w:hAnsi="Arial"/>
                  <w:sz w:val="18"/>
                  <w:szCs w:val="18"/>
                  <w:b w:val="1"/>
                  <w:bCs w:val="1"/>
                  <w:color w:val="0000FF"/>
                  <w:w w:val="94"/>
                </w:rPr>
                <w:t>Item 3.</w:t>
              </w:r>
            </w:hyperlink>
          </w:p>
        </w:tc>
        <w:tc>
          <w:tcPr>
            <w:tcW w:w="6900" w:type="dxa"/>
            <w:vAlign w:val="bottom"/>
            <w:gridSpan w:val="16"/>
          </w:tcPr>
          <w:p>
            <w:pPr>
              <w:ind w:left="40"/>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Quantitative and Qualitative Disclosures About Market Risk.</w:t>
              </w:r>
            </w:hyperlink>
          </w:p>
        </w:tc>
        <w:tc>
          <w:tcPr>
            <w:tcW w:w="370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10"/>
        </w:trPr>
        <w:tc>
          <w:tcPr>
            <w:tcW w:w="560" w:type="dxa"/>
            <w:vAlign w:val="bottom"/>
            <w:tcBorders>
              <w:top w:val="single" w:sz="8" w:color="0000FF"/>
            </w:tcBorders>
            <w:gridSpan w:val="2"/>
          </w:tcPr>
          <w:p>
            <w:pPr>
              <w:spacing w:after="0"/>
              <w:rPr>
                <w:rFonts w:ascii="Arial" w:cs="Arial" w:eastAsia="Arial" w:hAnsi="Arial"/>
                <w:sz w:val="18"/>
                <w:szCs w:val="18"/>
                <w:b w:val="1"/>
                <w:bCs w:val="1"/>
                <w:color w:val="0000FF"/>
                <w:w w:val="94"/>
              </w:rPr>
            </w:pPr>
            <w:hyperlink w:anchor="page31">
              <w:r>
                <w:rPr>
                  <w:rFonts w:ascii="Arial" w:cs="Arial" w:eastAsia="Arial" w:hAnsi="Arial"/>
                  <w:sz w:val="18"/>
                  <w:szCs w:val="18"/>
                  <w:b w:val="1"/>
                  <w:bCs w:val="1"/>
                  <w:color w:val="0000FF"/>
                  <w:w w:val="94"/>
                </w:rPr>
                <w:t>Item 4.</w:t>
              </w:r>
            </w:hyperlink>
          </w:p>
        </w:tc>
        <w:tc>
          <w:tcPr>
            <w:tcW w:w="4740" w:type="dxa"/>
            <w:vAlign w:val="bottom"/>
            <w:tcBorders>
              <w:top w:val="single" w:sz="8" w:color="0000FF"/>
            </w:tcBorders>
            <w:gridSpan w:val="15"/>
          </w:tcPr>
          <w:p>
            <w:pPr>
              <w:ind w:left="40"/>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Controls and Procedures.</w:t>
              </w:r>
            </w:hyperlink>
          </w:p>
        </w:tc>
        <w:tc>
          <w:tcPr>
            <w:tcW w:w="2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9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 — OTHER INFORMATION</w:t>
              </w:r>
            </w:hyperlink>
          </w:p>
        </w:tc>
        <w:tc>
          <w:tcPr>
            <w:tcW w:w="4500" w:type="dxa"/>
            <w:vAlign w:val="bottom"/>
            <w:gridSpan w:val="11"/>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c>
          <w:tcPr>
            <w:tcW w:w="0" w:type="dxa"/>
            <w:vAlign w:val="bottom"/>
          </w:tcPr>
          <w:p>
            <w:pPr>
              <w:spacing w:after="0"/>
              <w:rPr>
                <w:sz w:val="1"/>
                <w:szCs w:val="1"/>
                <w:color w:val="auto"/>
              </w:rPr>
            </w:pPr>
          </w:p>
        </w:tc>
      </w:tr>
      <w:tr>
        <w:trPr>
          <w:trHeight w:val="479"/>
        </w:trPr>
        <w:tc>
          <w:tcPr>
            <w:tcW w:w="1740" w:type="dxa"/>
            <w:vAlign w:val="bottom"/>
            <w:tcBorders>
              <w:bottom w:val="single" w:sz="8" w:color="0000FF"/>
            </w:tcBorders>
            <w:gridSpan w:val="5"/>
          </w:tcPr>
          <w:p>
            <w:pPr>
              <w:spacing w:after="0"/>
              <w:rPr>
                <w:rFonts w:ascii="Arial" w:cs="Arial" w:eastAsia="Arial" w:hAnsi="Arial"/>
                <w:sz w:val="18"/>
                <w:szCs w:val="18"/>
                <w:b w:val="1"/>
                <w:bCs w:val="1"/>
                <w:color w:val="0000FF"/>
                <w:w w:val="91"/>
              </w:rPr>
            </w:pPr>
            <w:hyperlink w:anchor="page32">
              <w:r>
                <w:rPr>
                  <w:rFonts w:ascii="Arial" w:cs="Arial" w:eastAsia="Arial" w:hAnsi="Arial"/>
                  <w:sz w:val="18"/>
                  <w:szCs w:val="18"/>
                  <w:b w:val="1"/>
                  <w:bCs w:val="1"/>
                  <w:color w:val="0000FF"/>
                  <w:w w:val="91"/>
                </w:rPr>
                <w:t>Item 1A. Risk Factors.</w:t>
              </w:r>
            </w:hyperlink>
          </w:p>
        </w:tc>
        <w:tc>
          <w:tcPr>
            <w:tcW w:w="5720" w:type="dxa"/>
            <w:vAlign w:val="bottom"/>
            <w:gridSpan w:val="13"/>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c>
          <w:tcPr>
            <w:tcW w:w="0" w:type="dxa"/>
            <w:vAlign w:val="bottom"/>
          </w:tcPr>
          <w:p>
            <w:pPr>
              <w:spacing w:after="0"/>
              <w:rPr>
                <w:sz w:val="1"/>
                <w:szCs w:val="1"/>
                <w:color w:val="auto"/>
              </w:rPr>
            </w:pPr>
          </w:p>
        </w:tc>
      </w:tr>
      <w:tr>
        <w:trPr>
          <w:trHeight w:val="210"/>
        </w:trPr>
        <w:tc>
          <w:tcPr>
            <w:tcW w:w="560" w:type="dxa"/>
            <w:vAlign w:val="bottom"/>
            <w:gridSpan w:val="2"/>
          </w:tcPr>
          <w:p>
            <w:pPr>
              <w:spacing w:after="0"/>
              <w:rPr>
                <w:rFonts w:ascii="Arial" w:cs="Arial" w:eastAsia="Arial" w:hAnsi="Arial"/>
                <w:sz w:val="18"/>
                <w:szCs w:val="18"/>
                <w:b w:val="1"/>
                <w:bCs w:val="1"/>
                <w:color w:val="0000FF"/>
                <w:w w:val="94"/>
              </w:rPr>
            </w:pPr>
            <w:hyperlink w:anchor="page32">
              <w:r>
                <w:rPr>
                  <w:rFonts w:ascii="Arial" w:cs="Arial" w:eastAsia="Arial" w:hAnsi="Arial"/>
                  <w:sz w:val="18"/>
                  <w:szCs w:val="18"/>
                  <w:b w:val="1"/>
                  <w:bCs w:val="1"/>
                  <w:color w:val="0000FF"/>
                  <w:w w:val="94"/>
                </w:rPr>
                <w:t>Item 2.</w:t>
              </w:r>
            </w:hyperlink>
          </w:p>
        </w:tc>
        <w:tc>
          <w:tcPr>
            <w:tcW w:w="6900" w:type="dxa"/>
            <w:vAlign w:val="bottom"/>
            <w:gridSpan w:val="16"/>
          </w:tcPr>
          <w:p>
            <w:pPr>
              <w:ind w:left="40"/>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Unregistered Sales of Equity Securities and Use of Proceeds.</w:t>
              </w:r>
            </w:hyperlink>
          </w:p>
        </w:tc>
        <w:tc>
          <w:tcPr>
            <w:tcW w:w="370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9"/>
        </w:trPr>
        <w:tc>
          <w:tcPr>
            <w:tcW w:w="560" w:type="dxa"/>
            <w:vAlign w:val="bottom"/>
            <w:tcBorders>
              <w:top w:val="single" w:sz="8" w:color="0000FF"/>
              <w:bottom w:val="single" w:sz="8" w:color="0000FF"/>
            </w:tcBorders>
            <w:gridSpan w:val="2"/>
          </w:tcPr>
          <w:p>
            <w:pPr>
              <w:spacing w:after="0"/>
              <w:rPr>
                <w:rFonts w:ascii="Arial" w:cs="Arial" w:eastAsia="Arial" w:hAnsi="Arial"/>
                <w:sz w:val="18"/>
                <w:szCs w:val="18"/>
                <w:b w:val="1"/>
                <w:bCs w:val="1"/>
                <w:color w:val="0000FF"/>
                <w:w w:val="94"/>
              </w:rPr>
            </w:pPr>
            <w:hyperlink w:anchor="page33">
              <w:r>
                <w:rPr>
                  <w:rFonts w:ascii="Arial" w:cs="Arial" w:eastAsia="Arial" w:hAnsi="Arial"/>
                  <w:sz w:val="18"/>
                  <w:szCs w:val="18"/>
                  <w:b w:val="1"/>
                  <w:bCs w:val="1"/>
                  <w:color w:val="0000FF"/>
                  <w:w w:val="94"/>
                </w:rPr>
                <w:t>Item 6.</w:t>
              </w:r>
            </w:hyperlink>
          </w:p>
        </w:tc>
        <w:tc>
          <w:tcPr>
            <w:tcW w:w="720" w:type="dxa"/>
            <w:vAlign w:val="bottom"/>
            <w:tcBorders>
              <w:top w:val="single" w:sz="8" w:color="0000FF"/>
              <w:bottom w:val="single" w:sz="8" w:color="0000FF"/>
            </w:tcBorders>
            <w:gridSpan w:val="2"/>
          </w:tcPr>
          <w:p>
            <w:pPr>
              <w:ind w:left="40"/>
              <w:spacing w:after="0"/>
              <w:rPr>
                <w:rFonts w:ascii="Arial" w:cs="Arial" w:eastAsia="Arial" w:hAnsi="Arial"/>
                <w:sz w:val="18"/>
                <w:szCs w:val="18"/>
                <w:b w:val="1"/>
                <w:bCs w:val="1"/>
                <w:color w:val="0000FF"/>
                <w:w w:val="87"/>
              </w:rPr>
            </w:pPr>
            <w:hyperlink w:anchor="page33">
              <w:r>
                <w:rPr>
                  <w:rFonts w:ascii="Arial" w:cs="Arial" w:eastAsia="Arial" w:hAnsi="Arial"/>
                  <w:sz w:val="18"/>
                  <w:szCs w:val="18"/>
                  <w:b w:val="1"/>
                  <w:bCs w:val="1"/>
                  <w:color w:val="0000FF"/>
                  <w:w w:val="87"/>
                </w:rPr>
                <w:t>Exhibits.</w:t>
              </w:r>
            </w:hyperlink>
          </w:p>
        </w:tc>
        <w:tc>
          <w:tcPr>
            <w:tcW w:w="3920" w:type="dxa"/>
            <w:vAlign w:val="bottom"/>
            <w:tcBorders>
              <w:top w:val="single" w:sz="8" w:color="0000FF"/>
            </w:tcBorders>
            <w:gridSpan w:val="12"/>
          </w:tcPr>
          <w:p>
            <w:pPr>
              <w:spacing w:after="0"/>
              <w:rPr>
                <w:sz w:val="18"/>
                <w:szCs w:val="18"/>
                <w:color w:val="auto"/>
              </w:rPr>
            </w:pPr>
          </w:p>
        </w:tc>
        <w:tc>
          <w:tcPr>
            <w:tcW w:w="226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c>
          <w:tcPr>
            <w:tcW w:w="0" w:type="dxa"/>
            <w:vAlign w:val="bottom"/>
          </w:tcPr>
          <w:p>
            <w:pPr>
              <w:spacing w:after="0"/>
              <w:rPr>
                <w:sz w:val="1"/>
                <w:szCs w:val="1"/>
                <w:color w:val="auto"/>
              </w:rPr>
            </w:pPr>
          </w:p>
        </w:tc>
      </w:tr>
      <w:tr>
        <w:trPr>
          <w:trHeight w:val="480"/>
        </w:trPr>
        <w:tc>
          <w:tcPr>
            <w:tcW w:w="7460" w:type="dxa"/>
            <w:vAlign w:val="bottom"/>
            <w:gridSpan w:val="18"/>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SIGNATURES</w:t>
              </w:r>
            </w:hyperlink>
          </w:p>
        </w:tc>
        <w:tc>
          <w:tcPr>
            <w:tcW w:w="370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1, 2022</w:t>
            </w:r>
          </w:p>
        </w:tc>
        <w:tc>
          <w:tcPr>
            <w:tcW w:w="280" w:type="dxa"/>
            <w:vAlign w:val="bottom"/>
          </w:tcPr>
          <w:p>
            <w:pPr>
              <w:spacing w:after="0"/>
              <w:rPr>
                <w:sz w:val="16"/>
                <w:szCs w:val="16"/>
                <w:color w:val="auto"/>
              </w:rPr>
            </w:pPr>
          </w:p>
        </w:tc>
        <w:tc>
          <w:tcPr>
            <w:tcW w:w="1360" w:type="dxa"/>
            <w:vAlign w:val="bottom"/>
          </w:tcPr>
          <w:p>
            <w:pPr>
              <w:jc w:val="right"/>
              <w:ind w:right="331"/>
              <w:spacing w:after="0"/>
              <w:rPr>
                <w:sz w:val="20"/>
                <w:szCs w:val="20"/>
                <w:color w:val="auto"/>
              </w:rPr>
            </w:pPr>
            <w:r>
              <w:rPr>
                <w:rFonts w:ascii="Arial" w:cs="Arial" w:eastAsia="Arial" w:hAnsi="Arial"/>
                <w:sz w:val="14"/>
                <w:szCs w:val="14"/>
                <w:b w:val="1"/>
                <w:bCs w:val="1"/>
                <w:color w:val="auto"/>
              </w:rPr>
              <w:t>April 3, 2021</w:t>
            </w:r>
          </w:p>
        </w:tc>
        <w:tc>
          <w:tcPr>
            <w:tcW w:w="0" w:type="dxa"/>
            <w:vAlign w:val="bottom"/>
          </w:tcPr>
          <w:p>
            <w:pPr>
              <w:spacing w:after="0"/>
              <w:rPr>
                <w:sz w:val="1"/>
                <w:szCs w:val="1"/>
                <w:color w:val="auto"/>
              </w:rPr>
            </w:pP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1,397,880</w:t>
            </w:r>
          </w:p>
        </w:tc>
        <w:tc>
          <w:tcPr>
            <w:tcW w:w="0" w:type="dxa"/>
            <w:vAlign w:val="bottom"/>
          </w:tcPr>
          <w:p>
            <w:pPr>
              <w:spacing w:after="0"/>
              <w:rPr>
                <w:sz w:val="1"/>
                <w:szCs w:val="1"/>
                <w:color w:val="auto"/>
              </w:rPr>
            </w:pPr>
          </w:p>
        </w:tc>
      </w:tr>
      <w:tr>
        <w:trPr>
          <w:trHeight w:val="176"/>
        </w:trPr>
        <w:tc>
          <w:tcPr>
            <w:tcW w:w="7860" w:type="dxa"/>
            <w:vAlign w:val="bottom"/>
          </w:tcPr>
          <w:p>
            <w:pPr>
              <w:ind w:left="360"/>
              <w:spacing w:after="0" w:line="176" w:lineRule="exact"/>
              <w:rPr>
                <w:sz w:val="20"/>
                <w:szCs w:val="20"/>
                <w:color w:val="auto"/>
              </w:rPr>
            </w:pPr>
            <w:r>
              <w:rPr>
                <w:rFonts w:ascii="Arial" w:cs="Arial" w:eastAsia="Arial" w:hAnsi="Arial"/>
                <w:sz w:val="18"/>
                <w:szCs w:val="18"/>
                <w:color w:val="auto"/>
                <w:w w:val="97"/>
              </w:rPr>
              <w:t>Accounts receivable, net of allowance of $470 and $331 as of January 1, 2022 and April 3, 2021,</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632,347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457,431</w:t>
            </w:r>
          </w:p>
        </w:tc>
        <w:tc>
          <w:tcPr>
            <w:tcW w:w="0" w:type="dxa"/>
            <w:vAlign w:val="bottom"/>
          </w:tcPr>
          <w:p>
            <w:pPr>
              <w:spacing w:after="0"/>
              <w:rPr>
                <w:sz w:val="1"/>
                <w:szCs w:val="1"/>
                <w:color w:val="auto"/>
              </w:rPr>
            </w:pPr>
          </w:p>
        </w:tc>
      </w:tr>
      <w:tr>
        <w:trPr>
          <w:trHeight w:val="229"/>
        </w:trPr>
        <w:tc>
          <w:tcPr>
            <w:tcW w:w="786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507,787</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44,438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41,572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51,810</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2,445,851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2,483,804</w:t>
            </w: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line="176" w:lineRule="exact"/>
              <w:rPr>
                <w:sz w:val="20"/>
                <w:szCs w:val="20"/>
                <w:color w:val="auto"/>
              </w:rPr>
            </w:pPr>
            <w:r>
              <w:rPr>
                <w:rFonts w:ascii="Arial" w:cs="Arial" w:eastAsia="Arial" w:hAnsi="Arial"/>
                <w:sz w:val="18"/>
                <w:szCs w:val="18"/>
                <w:color w:val="auto"/>
                <w:w w:val="93"/>
              </w:rPr>
              <w:t>Property and equipment, net of accumulated depreciation of $1,697,976 and $1,561,613 as of January 1,</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1,266,805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1,266,031</w:t>
            </w:r>
          </w:p>
        </w:tc>
        <w:tc>
          <w:tcPr>
            <w:tcW w:w="0" w:type="dxa"/>
            <w:vAlign w:val="bottom"/>
          </w:tcPr>
          <w:p>
            <w:pPr>
              <w:spacing w:after="0"/>
              <w:rPr>
                <w:sz w:val="1"/>
                <w:szCs w:val="1"/>
                <w:color w:val="auto"/>
              </w:rPr>
            </w:pPr>
          </w:p>
        </w:tc>
      </w:tr>
      <w:tr>
        <w:trPr>
          <w:trHeight w:val="229"/>
        </w:trPr>
        <w:tc>
          <w:tcPr>
            <w:tcW w:w="7860" w:type="dxa"/>
            <w:vAlign w:val="bottom"/>
          </w:tcPr>
          <w:p>
            <w:pPr>
              <w:ind w:left="180"/>
              <w:spacing w:after="0"/>
              <w:rPr>
                <w:sz w:val="20"/>
                <w:szCs w:val="20"/>
                <w:color w:val="auto"/>
              </w:rPr>
            </w:pPr>
            <w:r>
              <w:rPr>
                <w:rFonts w:ascii="Arial" w:cs="Arial" w:eastAsia="Arial" w:hAnsi="Arial"/>
                <w:sz w:val="18"/>
                <w:szCs w:val="18"/>
                <w:color w:val="auto"/>
              </w:rPr>
              <w:t>2022 and April 3, 2021, respectively</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2,824,856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2,642,708</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718,095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611,155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182,402</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7,221,470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357,879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313,868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255,060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112,653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681,581</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2,046,951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1,742,550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167,914</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2,959,386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2,592,045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9)</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Preferred stock, $.0001 par value; 5,000 shares authorized; no shares issued and outstanding</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60" w:type="dxa"/>
            <w:vAlign w:val="bottom"/>
          </w:tcPr>
          <w:p>
            <w:pPr>
              <w:ind w:left="360"/>
              <w:spacing w:after="0" w:line="176" w:lineRule="exact"/>
              <w:rPr>
                <w:sz w:val="20"/>
                <w:szCs w:val="20"/>
                <w:color w:val="auto"/>
              </w:rPr>
            </w:pPr>
            <w:r>
              <w:rPr>
                <w:rFonts w:ascii="Arial" w:cs="Arial" w:eastAsia="Arial" w:hAnsi="Arial"/>
                <w:sz w:val="18"/>
                <w:szCs w:val="18"/>
                <w:color w:val="auto"/>
                <w:w w:val="94"/>
              </w:rPr>
              <w:t>Common stock and additional paid-in capital, $.0001 par value; 405,000 shares authorized; 108,668</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4,119,098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4,244,740</w:t>
            </w:r>
          </w:p>
        </w:tc>
        <w:tc>
          <w:tcPr>
            <w:tcW w:w="0" w:type="dxa"/>
            <w:vAlign w:val="bottom"/>
          </w:tcPr>
          <w:p>
            <w:pPr>
              <w:spacing w:after="0"/>
              <w:rPr>
                <w:sz w:val="1"/>
                <w:szCs w:val="1"/>
                <w:color w:val="auto"/>
              </w:rPr>
            </w:pPr>
          </w:p>
        </w:tc>
      </w:tr>
      <w:tr>
        <w:trPr>
          <w:trHeight w:val="230"/>
        </w:trPr>
        <w:tc>
          <w:tcPr>
            <w:tcW w:w="7860" w:type="dxa"/>
            <w:vAlign w:val="bottom"/>
          </w:tcPr>
          <w:p>
            <w:pPr>
              <w:ind w:left="520"/>
              <w:spacing w:after="0"/>
              <w:rPr>
                <w:sz w:val="20"/>
                <w:szCs w:val="20"/>
                <w:color w:val="auto"/>
              </w:rPr>
            </w:pPr>
            <w:r>
              <w:rPr>
                <w:rFonts w:ascii="Arial" w:cs="Arial" w:eastAsia="Arial" w:hAnsi="Arial"/>
                <w:sz w:val="18"/>
                <w:szCs w:val="18"/>
                <w:color w:val="auto"/>
                <w:w w:val="97"/>
              </w:rPr>
              <w:t>and 112,557 shares issued and outstanding at January 1, 2022 and April 3, 2021, respectively</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355,036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4,667,199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4,629,425</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7,626,585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7,221,470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140" w:type="dxa"/>
            <w:vAlign w:val="bottom"/>
            <w:gridSpan w:val="4"/>
          </w:tcPr>
          <w:p>
            <w:pPr>
              <w:jc w:val="right"/>
              <w:ind w:right="9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1, 2022</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January 2,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January 2, 2021</w:t>
            </w:r>
          </w:p>
        </w:tc>
        <w:tc>
          <w:tcPr>
            <w:tcW w:w="0" w:type="dxa"/>
            <w:vAlign w:val="bottom"/>
          </w:tcPr>
          <w:p>
            <w:pPr>
              <w:spacing w:after="0"/>
              <w:rPr>
                <w:sz w:val="1"/>
                <w:szCs w:val="1"/>
                <w:color w:val="auto"/>
              </w:rPr>
            </w:pPr>
          </w:p>
        </w:tc>
      </w:tr>
      <w:tr>
        <w:trPr>
          <w:trHeight w:val="224"/>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1,113,957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1,094,834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3,479,556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2,942,577</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565,864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1,763,727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1,587,486</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1,355,091</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423,110</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82,003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93,139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265,791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289,115</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760,357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741,532</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613,559</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(45,934)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(59,788)</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(33,177)</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520,594</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(85,720)</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216,263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821,078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434,874</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w w:val="97"/>
              </w:rPr>
              <w:t>Weighted average shares of common stock outstanding:</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114,292</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110,810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115,690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112,415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116,257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140" w:type="dxa"/>
            <w:vAlign w:val="bottom"/>
            <w:gridSpan w:val="4"/>
          </w:tcPr>
          <w:p>
            <w:pPr>
              <w:jc w:val="right"/>
              <w:ind w:right="9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1, 2022</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January 2, 2021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1, 2022</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January 2, 2021</w:t>
            </w:r>
          </w:p>
        </w:tc>
        <w:tc>
          <w:tcPr>
            <w:tcW w:w="0" w:type="dxa"/>
            <w:vAlign w:val="bottom"/>
          </w:tcPr>
          <w:p>
            <w:pPr>
              <w:spacing w:after="0"/>
              <w:rPr>
                <w:sz w:val="1"/>
                <w:szCs w:val="1"/>
                <w:color w:val="auto"/>
              </w:rPr>
            </w:pPr>
          </w:p>
        </w:tc>
      </w:tr>
      <w:tr>
        <w:trPr>
          <w:trHeight w:val="224"/>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201,035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434,874</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2"/>
              </w:rPr>
              <w:t>Foreign currency translation adjustment, including intra-</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6"/>
              </w:rPr>
              <w:t>entity foreign currency transactions that are of a long-</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20,837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45,125</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term investment nature</w:t>
            </w: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Reclassification adjustments, net of tax:</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Foreign currency (gain) loss realized upon liquidation of</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subsidiary</w:t>
            </w: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 of pension actuarial loss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45,201</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221,908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480,075</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Accumulated Other</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4"/>
                <w:szCs w:val="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 Earnings</w:t>
            </w:r>
          </w:p>
        </w:tc>
        <w:tc>
          <w:tcPr>
            <w:tcW w:w="320" w:type="dxa"/>
            <w:vAlign w:val="bottom"/>
          </w:tcPr>
          <w:p>
            <w:pPr>
              <w:spacing w:after="0"/>
              <w:rPr>
                <w:sz w:val="4"/>
                <w:szCs w:val="4"/>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6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44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October 2,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110,461</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4,158,170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546,153</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4,727,754</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216,263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216,263</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0" w:type="dxa"/>
            <w:vAlign w:val="bottom"/>
          </w:tcPr>
          <w:p>
            <w:pPr>
              <w:spacing w:after="0"/>
              <w:rPr>
                <w:sz w:val="1"/>
                <w:szCs w:val="1"/>
                <w:color w:val="auto"/>
              </w:rPr>
            </w:pPr>
          </w:p>
        </w:tc>
      </w:tr>
      <w:tr>
        <w:trPr>
          <w:trHeight w:val="176"/>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(1,942)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(73,092)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(228,928)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(302,020)</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19,044</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Balance, January 1, 2022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108,668</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4,119,098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14,613</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533,488</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4,667,199</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Balance, October 3, 2020</w:t>
            </w:r>
          </w:p>
        </w:tc>
        <w:tc>
          <w:tcPr>
            <w:tcW w:w="1320" w:type="dxa"/>
            <w:vAlign w:val="bottom"/>
          </w:tcPr>
          <w:p>
            <w:pPr>
              <w:jc w:val="right"/>
              <w:spacing w:after="0"/>
              <w:rPr>
                <w:sz w:val="20"/>
                <w:szCs w:val="20"/>
                <w:color w:val="auto"/>
              </w:rPr>
            </w:pPr>
            <w:r>
              <w:rPr>
                <w:rFonts w:ascii="Arial" w:cs="Arial" w:eastAsia="Arial" w:hAnsi="Arial"/>
                <w:sz w:val="18"/>
                <w:szCs w:val="18"/>
                <w:color w:val="auto"/>
              </w:rPr>
              <w:t>114,111</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4,267,987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26,616</w:t>
            </w:r>
          </w:p>
        </w:tc>
        <w:tc>
          <w:tcPr>
            <w:tcW w:w="16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112,563</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4,407,166</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201,035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201,035</w:t>
            </w:r>
          </w:p>
        </w:tc>
        <w:tc>
          <w:tcPr>
            <w:tcW w:w="0" w:type="dxa"/>
            <w:vAlign w:val="bottom"/>
          </w:tcPr>
          <w:p>
            <w:pPr>
              <w:spacing w:after="0"/>
              <w:rPr>
                <w:sz w:val="1"/>
                <w:szCs w:val="1"/>
                <w:color w:val="auto"/>
              </w:rPr>
            </w:pPr>
          </w:p>
        </w:tc>
      </w:tr>
      <w:tr>
        <w:trPr>
          <w:trHeight w:val="229"/>
        </w:trPr>
        <w:tc>
          <w:tcPr>
            <w:tcW w:w="376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20,873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20,873</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15,608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15,608</w:t>
            </w:r>
          </w:p>
        </w:tc>
        <w:tc>
          <w:tcPr>
            <w:tcW w:w="0" w:type="dxa"/>
            <w:vAlign w:val="bottom"/>
          </w:tcPr>
          <w:p>
            <w:pPr>
              <w:spacing w:after="0"/>
              <w:rPr>
                <w:sz w:val="1"/>
                <w:szCs w:val="1"/>
                <w:color w:val="auto"/>
              </w:rPr>
            </w:pPr>
          </w:p>
        </w:tc>
      </w:tr>
      <w:tr>
        <w:trPr>
          <w:trHeight w:val="229"/>
        </w:trPr>
        <w:tc>
          <w:tcPr>
            <w:tcW w:w="376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(120,269)</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(160,023)</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18,670</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2, 2021</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113,299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4,262,883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193,329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4,503,701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20" w:type="dxa"/>
            <w:vAlign w:val="bottom"/>
            <w:gridSpan w:val="3"/>
          </w:tcPr>
          <w:p>
            <w:pPr>
              <w:jc w:val="right"/>
              <w:ind w:right="831"/>
              <w:spacing w:after="0"/>
              <w:rPr>
                <w:sz w:val="20"/>
                <w:szCs w:val="20"/>
                <w:color w:val="auto"/>
              </w:rPr>
            </w:pPr>
            <w:r>
              <w:rPr>
                <w:rFonts w:ascii="Arial" w:cs="Arial" w:eastAsia="Arial" w:hAnsi="Arial"/>
                <w:sz w:val="14"/>
                <w:szCs w:val="14"/>
                <w:b w:val="1"/>
                <w:bCs w:val="1"/>
                <w:color w:val="auto"/>
              </w:rPr>
              <w:t>Common Stock</w:t>
            </w:r>
          </w:p>
        </w:tc>
        <w:tc>
          <w:tcPr>
            <w:tcW w:w="14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vMerge w:val="restart"/>
          </w:tcPr>
          <w:p>
            <w:pPr>
              <w:jc w:val="right"/>
              <w:ind w:right="73"/>
              <w:spacing w:after="0" w:line="122"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12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w w:val="92"/>
              </w:rPr>
              <w:t>Retained Earnings</w:t>
            </w:r>
          </w:p>
        </w:tc>
        <w:tc>
          <w:tcPr>
            <w:tcW w:w="160" w:type="dxa"/>
            <w:vAlign w:val="bottom"/>
          </w:tcPr>
          <w:p>
            <w:pPr>
              <w:spacing w:after="0"/>
              <w:rPr>
                <w:sz w:val="4"/>
                <w:szCs w:val="4"/>
                <w:color w:val="auto"/>
              </w:rPr>
            </w:pPr>
          </w:p>
        </w:tc>
        <w:tc>
          <w:tcPr>
            <w:tcW w:w="12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13"/>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April 3,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4,244,740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355,036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4,629,425</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821,078</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821,078</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(15,036)</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600" w:type="dxa"/>
            <w:vAlign w:val="bottom"/>
          </w:tcPr>
          <w:p>
            <w:pPr>
              <w:ind w:left="34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600" w:type="dxa"/>
            <w:vAlign w:val="bottom"/>
          </w:tcPr>
          <w:p>
            <w:pPr>
              <w:ind w:left="500"/>
              <w:spacing w:after="0" w:line="176" w:lineRule="exact"/>
              <w:rPr>
                <w:sz w:val="20"/>
                <w:szCs w:val="20"/>
                <w:color w:val="auto"/>
              </w:rPr>
            </w:pPr>
            <w:r>
              <w:rPr>
                <w:rFonts w:ascii="Arial" w:cs="Arial" w:eastAsia="Arial" w:hAnsi="Arial"/>
                <w:sz w:val="18"/>
                <w:szCs w:val="18"/>
                <w:color w:val="auto"/>
              </w:rPr>
              <w:t>restricted stock units, net of shares</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(49,979)</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(49,979)</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00" w:type="dxa"/>
            <w:vAlign w:val="bottom"/>
          </w:tcPr>
          <w:p>
            <w:pPr>
              <w:ind w:left="500"/>
              <w:spacing w:after="0"/>
              <w:rPr>
                <w:sz w:val="20"/>
                <w:szCs w:val="20"/>
                <w:color w:val="auto"/>
              </w:rPr>
            </w:pPr>
            <w:r>
              <w:rPr>
                <w:rFonts w:ascii="Arial" w:cs="Arial" w:eastAsia="Arial" w:hAnsi="Arial"/>
                <w:sz w:val="18"/>
                <w:szCs w:val="18"/>
                <w:color w:val="auto"/>
              </w:rPr>
              <w:t>withheld for employee taxes</w:t>
            </w:r>
          </w:p>
        </w:tc>
        <w:tc>
          <w:tcPr>
            <w:tcW w:w="1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9"/>
              </w:rPr>
              <w:t>Issuance of common stock in connection</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33,297</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33,297</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with employee stock purchase plan</w:t>
            </w:r>
          </w:p>
        </w:tc>
        <w:tc>
          <w:tcPr>
            <w:tcW w:w="12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00" w:type="dxa"/>
            <w:vAlign w:val="bottom"/>
          </w:tcPr>
          <w:p>
            <w:pPr>
              <w:ind w:left="340"/>
              <w:spacing w:after="0" w:line="176" w:lineRule="exact"/>
              <w:rPr>
                <w:sz w:val="20"/>
                <w:szCs w:val="20"/>
                <w:color w:val="auto"/>
              </w:rPr>
            </w:pPr>
            <w:r>
              <w:rPr>
                <w:rFonts w:ascii="Arial" w:cs="Arial" w:eastAsia="Arial" w:hAnsi="Arial"/>
                <w:sz w:val="18"/>
                <w:szCs w:val="18"/>
                <w:color w:val="auto"/>
              </w:rPr>
              <w:t>Repurchase of common stock, including</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(4,845)</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(182,767)</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(642,626)</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(825,393)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tcPr>
          <w:p>
            <w:pPr>
              <w:ind w:left="500"/>
              <w:spacing w:after="0"/>
              <w:rPr>
                <w:sz w:val="20"/>
                <w:szCs w:val="20"/>
                <w:color w:val="auto"/>
              </w:rPr>
            </w:pPr>
            <w:r>
              <w:rPr>
                <w:rFonts w:ascii="Arial" w:cs="Arial" w:eastAsia="Arial" w:hAnsi="Arial"/>
                <w:sz w:val="18"/>
                <w:szCs w:val="18"/>
                <w:color w:val="auto"/>
              </w:rPr>
              <w:t>transaction costs</w:t>
            </w:r>
          </w:p>
        </w:tc>
        <w:tc>
          <w:tcPr>
            <w:tcW w:w="1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73,807</w:t>
            </w:r>
          </w:p>
        </w:tc>
        <w:tc>
          <w:tcPr>
            <w:tcW w:w="16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73,807</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Balance, January 1, 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4,119,098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4,667,199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vMerge w:val="restart"/>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Balance, March 28, 2020</w:t>
            </w:r>
          </w:p>
        </w:tc>
        <w:tc>
          <w:tcPr>
            <w:tcW w:w="1240" w:type="dxa"/>
            <w:vAlign w:val="bottom"/>
          </w:tcPr>
          <w:p>
            <w:pPr>
              <w:jc w:val="right"/>
              <w:spacing w:after="0"/>
              <w:rPr>
                <w:sz w:val="20"/>
                <w:szCs w:val="20"/>
                <w:color w:val="auto"/>
              </w:rPr>
            </w:pPr>
            <w:r>
              <w:rPr>
                <w:rFonts w:ascii="Arial" w:cs="Arial" w:eastAsia="Arial" w:hAnsi="Arial"/>
                <w:sz w:val="18"/>
                <w:szCs w:val="18"/>
                <w:color w:val="auto"/>
              </w:rPr>
              <w:t>114,625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4,290,377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40" w:type="dxa"/>
            <w:vAlign w:val="bottom"/>
          </w:tcPr>
          <w:p>
            <w:pPr>
              <w:jc w:val="right"/>
              <w:spacing w:after="0"/>
              <w:rPr>
                <w:sz w:val="20"/>
                <w:szCs w:val="20"/>
                <w:color w:val="auto"/>
              </w:rPr>
            </w:pPr>
            <w:r>
              <w:rPr>
                <w:rFonts w:ascii="Arial" w:cs="Arial" w:eastAsia="Arial" w:hAnsi="Arial"/>
                <w:sz w:val="18"/>
                <w:szCs w:val="18"/>
                <w:color w:val="auto"/>
              </w:rPr>
              <w:t>4,292,665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434,874</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434,874</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45,201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45,201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0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restricted stock units, net of shares</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(31,999)</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(31,999)</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withheld for employee taxes</w:t>
            </w:r>
          </w:p>
        </w:tc>
        <w:tc>
          <w:tcPr>
            <w:tcW w:w="12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00" w:type="dxa"/>
            <w:vAlign w:val="bottom"/>
          </w:tcPr>
          <w:p>
            <w:pPr>
              <w:ind w:left="340"/>
              <w:spacing w:after="0" w:line="176" w:lineRule="exact"/>
              <w:rPr>
                <w:sz w:val="20"/>
                <w:szCs w:val="20"/>
                <w:color w:val="auto"/>
              </w:rPr>
            </w:pPr>
            <w:r>
              <w:rPr>
                <w:rFonts w:ascii="Arial" w:cs="Arial" w:eastAsia="Arial" w:hAnsi="Arial"/>
                <w:sz w:val="18"/>
                <w:szCs w:val="18"/>
                <w:color w:val="auto"/>
                <w:w w:val="99"/>
              </w:rPr>
              <w:t>Issuance of common stock in connection</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31,366</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31,366</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tcPr>
          <w:p>
            <w:pPr>
              <w:ind w:left="500"/>
              <w:spacing w:after="0"/>
              <w:rPr>
                <w:sz w:val="20"/>
                <w:szCs w:val="20"/>
                <w:color w:val="auto"/>
              </w:rPr>
            </w:pPr>
            <w:r>
              <w:rPr>
                <w:rFonts w:ascii="Arial" w:cs="Arial" w:eastAsia="Arial" w:hAnsi="Arial"/>
                <w:sz w:val="18"/>
                <w:szCs w:val="18"/>
                <w:color w:val="auto"/>
              </w:rPr>
              <w:t>with employee stock purchase plan</w:t>
            </w:r>
          </w:p>
        </w:tc>
        <w:tc>
          <w:tcPr>
            <w:tcW w:w="1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Cumulative-effect adoption of ASU 2016-13</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00" w:type="dxa"/>
            <w:vAlign w:val="bottom"/>
          </w:tcPr>
          <w:p>
            <w:pPr>
              <w:ind w:left="340"/>
              <w:spacing w:after="0" w:line="176" w:lineRule="exact"/>
              <w:rPr>
                <w:sz w:val="20"/>
                <w:szCs w:val="20"/>
                <w:color w:val="auto"/>
              </w:rPr>
            </w:pPr>
            <w:r>
              <w:rPr>
                <w:rFonts w:ascii="Arial" w:cs="Arial" w:eastAsia="Arial" w:hAnsi="Arial"/>
                <w:sz w:val="18"/>
                <w:szCs w:val="18"/>
                <w:color w:val="auto"/>
              </w:rPr>
              <w:t>Repurchase of common stock, including</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(2,632)</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(98,584)</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(241,487)</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(340,071)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tcPr>
          <w:p>
            <w:pPr>
              <w:ind w:left="500"/>
              <w:spacing w:after="0"/>
              <w:rPr>
                <w:sz w:val="20"/>
                <w:szCs w:val="20"/>
                <w:color w:val="auto"/>
              </w:rPr>
            </w:pPr>
            <w:r>
              <w:rPr>
                <w:rFonts w:ascii="Arial" w:cs="Arial" w:eastAsia="Arial" w:hAnsi="Arial"/>
                <w:sz w:val="18"/>
                <w:szCs w:val="18"/>
                <w:color w:val="auto"/>
              </w:rPr>
              <w:t>transaction costs</w:t>
            </w:r>
          </w:p>
        </w:tc>
        <w:tc>
          <w:tcPr>
            <w:tcW w:w="1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71,723</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Other</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2, 2021</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113,299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4,262,883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193,329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4,503,701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1, 2022</w:t>
            </w:r>
          </w:p>
        </w:tc>
        <w:tc>
          <w:tcPr>
            <w:tcW w:w="22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Arial" w:cs="Arial" w:eastAsia="Arial" w:hAnsi="Arial"/>
                <w:sz w:val="14"/>
                <w:szCs w:val="14"/>
                <w:b w:val="1"/>
                <w:bCs w:val="1"/>
                <w:color w:val="auto"/>
              </w:rPr>
              <w:t>January 2, 2021</w:t>
            </w:r>
          </w:p>
        </w:tc>
      </w:tr>
      <w:tr>
        <w:trPr>
          <w:trHeight w:val="211"/>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821,078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434,874</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159,038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152,337</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amortization</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217,781</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61,991</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26,311</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73,236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71,154</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(140,054)</w:t>
            </w: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(190,247)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38,851</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42,797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35,597</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and receivable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22,014</w:t>
            </w:r>
          </w:p>
        </w:tc>
      </w:tr>
      <w:tr>
        <w:trPr>
          <w:trHeight w:val="22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(19,883)</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898,924</w:t>
            </w:r>
          </w:p>
        </w:tc>
      </w:tr>
      <w:tr>
        <w:trPr>
          <w:trHeight w:val="20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(109,505)</w:t>
            </w: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Purchase of businesses, net of cash acquired</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(389,192)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(47,069)</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investing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(552,176)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(141,297)</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Payment of debt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(1,086,744)</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borrowings and debt issuances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1,206,750</w:t>
            </w: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Repurchase of common stock, including transaction costs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(825,393)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(340,071)</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the issuance of common stock</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(37,069)</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(12,413)</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(558,513)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(240,888)</w:t>
            </w:r>
          </w:p>
        </w:tc>
      </w:tr>
      <w:tr>
        <w:trPr>
          <w:trHeight w:val="196"/>
        </w:trPr>
        <w:tc>
          <w:tcPr>
            <w:tcW w:w="7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519,308</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1,398,309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715,612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1,234,920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988,527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1,234,415</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included in "Other current assets" and "Other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1,234,920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 included in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45,592</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ind w:right="5540"/>
        <w:spacing w:after="0" w:line="260" w:lineRule="auto"/>
        <w:rPr>
          <w:sz w:val="20"/>
          <w:szCs w:val="20"/>
          <w:color w:val="auto"/>
        </w:rPr>
      </w:pPr>
      <w:r>
        <w:rPr>
          <w:rFonts w:ascii="Arial" w:cs="Arial" w:eastAsia="Arial" w:hAnsi="Arial"/>
          <w:sz w:val="18"/>
          <w:szCs w:val="18"/>
          <w:b w:val="1"/>
          <w:bCs w:val="1"/>
          <w:i w:val="1"/>
          <w:iCs w:val="1"/>
          <w:color w:val="auto"/>
        </w:rPr>
        <w:t xml:space="preserve">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5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3, 2021.</w:t>
      </w:r>
    </w:p>
    <w:p>
      <w:pPr>
        <w:spacing w:after="0" w:line="20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Certain items in the fiscal 2021 financial statements have been reclassified to conform with the fiscal 2022 presentation.</w:t>
      </w:r>
    </w:p>
    <w:p>
      <w:pPr>
        <w:spacing w:after="0" w:line="21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Each fiscal year, the first quarter ends on the Saturday closest to June 30, the second quarter ends on the Saturday closest to September 30 and the third quarter ends on the Saturday closest to December 31. Fiscal 2022 is a 52-week year and fiscal 2021 was a 53-week year with the additional week included in the second fiscal quarter ended October 3,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2019, the Financial Accounting Standards Board issued Accounting Standards Update 2019-12, "</w:t>
      </w:r>
      <w:r>
        <w:rPr>
          <w:rFonts w:ascii="Arial" w:cs="Arial" w:eastAsia="Arial" w:hAnsi="Arial"/>
          <w:sz w:val="18"/>
          <w:szCs w:val="18"/>
          <w:i w:val="1"/>
          <w:iCs w:val="1"/>
          <w:color w:val="auto"/>
        </w:rPr>
        <w:t>Simplifying the Accounting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which eliminates certain exceptions within Accounting Standards Codification Topic 740,</w:t>
      </w:r>
      <w:r>
        <w:rPr>
          <w:rFonts w:ascii="Arial" w:cs="Arial" w:eastAsia="Arial" w:hAnsi="Arial"/>
          <w:sz w:val="18"/>
          <w:szCs w:val="18"/>
          <w:i w:val="1"/>
          <w:iCs w:val="1"/>
          <w:color w:val="auto"/>
        </w:rPr>
        <w:t xml:space="preserve"> "Income Taxes</w:t>
      </w:r>
      <w:r>
        <w:rPr>
          <w:rFonts w:ascii="Arial" w:cs="Arial" w:eastAsia="Arial" w:hAnsi="Arial"/>
          <w:sz w:val="18"/>
          <w:szCs w:val="18"/>
          <w:color w:val="auto"/>
        </w:rPr>
        <w:t>" and clarifies and simplifies other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current accounting guidance. The Company adopted this standard in the first quarter of fiscal 2022, and it did not have a material impact on the Company's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1, 2022</w:t>
            </w:r>
          </w:p>
        </w:tc>
        <w:tc>
          <w:tcPr>
            <w:tcW w:w="260" w:type="dxa"/>
            <w:vAlign w:val="bottom"/>
          </w:tcPr>
          <w:p>
            <w:pPr>
              <w:spacing w:after="0"/>
              <w:rPr>
                <w:sz w:val="16"/>
                <w:szCs w:val="16"/>
                <w:color w:val="auto"/>
              </w:rPr>
            </w:pPr>
          </w:p>
        </w:tc>
        <w:tc>
          <w:tcPr>
            <w:tcW w:w="1380" w:type="dxa"/>
            <w:vAlign w:val="bottom"/>
          </w:tcPr>
          <w:p>
            <w:pPr>
              <w:jc w:val="right"/>
              <w:ind w:right="334"/>
              <w:spacing w:after="0"/>
              <w:rPr>
                <w:sz w:val="20"/>
                <w:szCs w:val="20"/>
                <w:color w:val="auto"/>
              </w:rPr>
            </w:pPr>
            <w:r>
              <w:rPr>
                <w:rFonts w:ascii="Arial" w:cs="Arial" w:eastAsia="Arial" w:hAnsi="Arial"/>
                <w:sz w:val="14"/>
                <w:szCs w:val="14"/>
                <w:b w:val="1"/>
                <w:bCs w:val="1"/>
                <w:color w:val="auto"/>
              </w:rPr>
              <w:t>April 3,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208,837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134,959</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327,234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283,067</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89,761</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710,228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507,787</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Silicon Carbide, Inc.</w:t>
      </w:r>
    </w:p>
    <w:p>
      <w:pPr>
        <w:spacing w:after="0" w:line="25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On October 19, 2021, the Company acquired all the outstanding equity interests of United Silicon Carbide, Inc. ("United SiC"), a leading manufacturer of silicon carbide ("SiC") power semiconductors, for a total purchase price of $234.2 million. The acquisition expands the Company's offerings to include SiC power products for a range of applications such as electric vehicles, battery charging, IT infrastructure, renewables and circuit protection.</w:t>
      </w:r>
    </w:p>
    <w:p>
      <w:pPr>
        <w:spacing w:after="0" w:line="1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purchase price was comprised of cash consideration of $227.1 million and contingent consideration of up to $31.3 million which is payable to the sellers if certain revenue and gross margin targets are achieved over the period beginning on the acquisition date through December 31, 2022. The estimated fair value of the contingent consideration was $7.1 million at both the acquisition date and January 1, 2022 and is included in "Other long-term liabilities" in the Condensed Consolidated Balance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Sheet. In subsequent reporting periods, the contingent consideration liability will be remeasured at fair value with changes recognized in "Other operating expense." See Note 6 for further information related to the fair value measurement.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was preliminarily allocated based on the estimated fair values of the assets acquired and liabilities assumed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145,780</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94,467</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tangible assets </w:t>
            </w:r>
            <w:r>
              <w:rPr>
                <w:rFonts w:ascii="Arial" w:cs="Arial" w:eastAsia="Arial" w:hAnsi="Arial"/>
                <w:sz w:val="10"/>
                <w:szCs w:val="10"/>
                <w:color w:val="auto"/>
              </w:rPr>
              <w:t>(1)</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18,015</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 net</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(24,036)</w:t>
            </w:r>
          </w:p>
        </w:tc>
      </w:tr>
      <w:tr>
        <w:trPr>
          <w:trHeight w:val="248"/>
        </w:trPr>
        <w:tc>
          <w:tcPr>
            <w:tcW w:w="9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234,226</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Includes cash acquired of $5.5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more significant intangible assets acquired included developed technology of $126.1 million and customer relationships of $19.2 million.</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fair value of the developed technology acquired was determined based on an income approach using the "excess earnings method" which estimated the value of the intangible asset by discounting the future projected earnings of the asset to present value as of the valuation date. The acquired developed technology asset is being amortized on a straight-line basis over its estimated useful life of eleven years.</w:t>
      </w:r>
    </w:p>
    <w:p>
      <w:pPr>
        <w:spacing w:after="0" w:line="19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fair value of the customer relationships acquired was determined based on an income approach using the "with and without method" in which the value of the intangible asset is determined by the difference in discounted cash flows of the profitability of the Company "with" the asset and the profitability of the Company "without" the asset. These customer relationships are being amortized on a straight-line basis over their estimated useful life of three years.</w:t>
      </w:r>
    </w:p>
    <w:p>
      <w:pPr>
        <w:spacing w:after="0" w:line="1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will continue to evaluate certain assets, liabilities and tax estimates over the measurement period (up to one year from the acquisition date). The goodwill resulting from the acquisition of United SiC is attributed to synergies and other benefits that are expected to be generated from this transaction and is not deductible for income tax purposes.</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operating results of United SiC were not material and have been included in the Company's condensed consolidated financial statements as of the acquisition date. During the three and nine months ended January 1, 2022, the Company recorded acquisition and integration related costs associated with the acquisition of United SiC totaling $1.1 million and $3.9 million, respectively, in "Other operating expense" in the Condensed Consolidated Statements of Income.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NextInput, Inc.</w:t>
      </w:r>
    </w:p>
    <w:p>
      <w:pPr>
        <w:spacing w:after="0" w:line="25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On April 5, 2021, the Company acquired all the outstanding equity interests of NextInput, Inc. ("NextInput"), a leader in microelectromechanical system ("MEMS")-based sensing solutions, for a total cash purchase price of $173.4 million. The acquisition expands the Company's offerings of MEMS-based products for mobile applications and provides sensing solutions for a broad range of applications in other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was preliminarily allocated based on the estimated fair values of the assets acquired and liabilities assumed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94,292</w:t>
            </w:r>
          </w:p>
        </w:tc>
      </w:tr>
      <w:tr>
        <w:trPr>
          <w:trHeight w:val="229"/>
        </w:trPr>
        <w:tc>
          <w:tcPr>
            <w:tcW w:w="9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tangible assets </w:t>
            </w:r>
            <w:r>
              <w:rPr>
                <w:rFonts w:ascii="Arial" w:cs="Arial" w:eastAsia="Arial" w:hAnsi="Arial"/>
                <w:sz w:val="21"/>
                <w:szCs w:val="21"/>
                <w:color w:val="auto"/>
                <w:vertAlign w:val="superscript"/>
              </w:rPr>
              <w:t>(1)</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 net</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(10,132)</w:t>
            </w:r>
          </w:p>
        </w:tc>
      </w:tr>
      <w:tr>
        <w:trPr>
          <w:trHeight w:val="248"/>
        </w:trPr>
        <w:tc>
          <w:tcPr>
            <w:tcW w:w="9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173,369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Includes cash acquired of $5.8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more significant intangible assets acquired included developed technology of $73.0 million and customer relationships of $7.5 million.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developed technology acquired was determined based on an income approach using the "excess earnings method" described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acquired developed technology asset is being amortized on a straight-line basis over its estimated useful life of seven years.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customer relationships acquired was determined based on an income approach using the "with and without method" described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customer relationships are being amortized on a straight-line basis over their estimated useful life of one year.</w:t>
      </w:r>
    </w:p>
    <w:p>
      <w:pPr>
        <w:spacing w:after="0" w:line="23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will continue to evaluate certain assets, liabilities and tax estimates over the measurement period (up to one year from the acquisition date). The goodwill resulting from the acquisition of NextInput is attributed to synergies and other benefits that are expected to be generated from this transaction and is not deductible for income tax purposes.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operating results of NextInput were not material and have been included in the Company's condensed consolidated financial statements as of the acquisition date. During the three and nine months ended January 1, 2022, the Company recorded acquisition and integration related costs associated with the acquisition of NextInput totaling $0.5 million and $2.2 million, respectively, in "Other operating expense" in the Condensed Consolidated Statements of Income.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7Hugs Labs S.A.S.</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October 1, 2020, the Company acquired all the outstanding equity interests of 7Hugs Labs S.A.S. ("7Hugs"), a private developer of Ultra Wideband ("UWB") software and solutions, for a total cash purchase price of $48.7 million. The acquisition supports the development and adaption of the Company's UWB products and solutions.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nine months ended January 1, 2022, the Company recognized a decrease to goodwill of approximately $0.1 million upon finalizing the purchase price allocation. The measurement period ended one year from the acquisition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nine months ended January 1, 2022, are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Mobile Products</w:t>
            </w: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 and</w:t>
            </w:r>
          </w:p>
        </w:tc>
        <w:tc>
          <w:tcPr>
            <w:tcW w:w="380" w:type="dxa"/>
            <w:vAlign w:val="bottom"/>
          </w:tcPr>
          <w:p>
            <w:pPr>
              <w:spacing w:after="0"/>
              <w:rPr>
                <w:sz w:val="14"/>
                <w:szCs w:val="14"/>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Defense Products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April 3, 2021 </w:t>
            </w:r>
            <w:r>
              <w:rPr>
                <w:rFonts w:ascii="Arial" w:cs="Arial" w:eastAsia="Arial" w:hAnsi="Arial"/>
                <w:sz w:val="10"/>
                <w:szCs w:val="10"/>
                <w:color w:val="auto"/>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2,034,383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608,325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2,642,708</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 xml:space="preserve">Goodwill resulting from NextInput acquisition </w:t>
            </w:r>
            <w:r>
              <w:rPr>
                <w:rFonts w:ascii="Arial" w:cs="Arial" w:eastAsia="Arial" w:hAnsi="Arial"/>
                <w:sz w:val="18"/>
                <w:szCs w:val="18"/>
                <w:i w:val="1"/>
                <w:iCs w:val="1"/>
                <w:color w:val="auto"/>
              </w:rPr>
              <w:t>(Note 4)</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94,292</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Goodwill resulting from United SiC acquisition </w:t>
            </w:r>
            <w:r>
              <w:rPr>
                <w:rFonts w:ascii="Arial" w:cs="Arial" w:eastAsia="Arial" w:hAnsi="Arial"/>
                <w:sz w:val="18"/>
                <w:szCs w:val="18"/>
                <w:i w:val="1"/>
                <w:iCs w:val="1"/>
                <w:color w:val="auto"/>
              </w:rPr>
              <w:t>(Note 4)</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94,467</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7Hugs measurement period adjustments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changes in foreign currency exchange rates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 xml:space="preserve">Balance as of January 1, 2022 </w:t>
            </w:r>
            <w:r>
              <w:rPr>
                <w:rFonts w:ascii="Arial" w:cs="Arial" w:eastAsia="Arial" w:hAnsi="Arial"/>
                <w:sz w:val="10"/>
                <w:szCs w:val="10"/>
                <w:color w:val="auto"/>
              </w:rPr>
              <w:t>(1)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2,122,064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702,792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2,824,856</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80" w:right="180" w:hanging="72"/>
        <w:spacing w:after="0" w:line="280" w:lineRule="auto"/>
        <w:tabs>
          <w:tab w:leader="none" w:pos="162"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Company’s goodwill balance is presented net of accumulated impairment losses and write-offs totaling $621.6 million, which were recognized in fiscal years 2009, 2013 and 2014.</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 assets (in thousands):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January 1, 2022</w:t>
            </w: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April 3, 2021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537"/>
              <w:spacing w:after="0" w:line="135"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right"/>
              <w:ind w:right="537"/>
              <w:spacing w:after="0" w:line="135"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377"/>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right"/>
              <w:ind w:right="397"/>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1,033,980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391,598</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1,295,113</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750,044</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105,046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40,331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459,052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403,407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licenses</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Backlog</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In-process research and development</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9,695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4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0"/>
                <w:szCs w:val="10"/>
                <w:color w:val="auto"/>
              </w:rPr>
              <w:t>(1)</w:t>
            </w: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3440" w:type="dxa"/>
            <w:vAlign w:val="bottom"/>
            <w:vMerge w:val="continue"/>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1,153,365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435,270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1,768,918</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1,157,763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Amounts include the impact of foreign currency translation.</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intangible assets amortization expense was $38.5 million and $112.5 million for the three and nine months ended January 1, 2022, respectively, and $73.3 million and $217.8 million for the three and nine months ended January 2, 2021,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AND FAIR VALUE OF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invests in limited partnerships and accounts for these investments using the equity method. The carrying amounts of these investments as of January 1, 2022, and April 3, 2021, were $29.9 million and $29.8 million, respectively, and are classified as “Long-term investments” in the Condensed Consolidated Balance Sheets. During the three and nine months ended January 1, 2022, the Company recorded a loss of $2.4 million and income of $13.6 million, respectively, based on its share of the limited partnerships' earnings. During the three and nine months ended January 2, 2021, the Company recorded income of $1.8 million and $17.4 million, respectively, based on its share of the limited partnerships' earnings. These amounts are included in “Other income (expense), net” in the Condensed Consolidated Statements of Income. During the three months ended January 1, 2022, the Company received no cash distributions. During the nine months ended January 1, 2022, the Company received cash distributions of $13.5 million. During the three and nine months ended January 2, 2021, the Company received cash distributions of $5.9 million. The cash distributions were recognized as reductions to the carrying value of the investments and included in the cash flows from investing activities 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financial assets and liabilities measured on a recurring basis was determined using the following levels of inputs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4"/>
                <w:szCs w:val="14"/>
                <w:color w:val="auto"/>
              </w:rPr>
            </w:pPr>
          </w:p>
        </w:tc>
        <w:tc>
          <w:tcPr>
            <w:tcW w:w="138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1"/>
                <w:szCs w:val="11"/>
                <w:color w:val="auto"/>
              </w:rPr>
            </w:pPr>
          </w:p>
        </w:tc>
        <w:tc>
          <w:tcPr>
            <w:tcW w:w="138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2022</w:t>
            </w:r>
          </w:p>
        </w:tc>
        <w:tc>
          <w:tcPr>
            <w:tcW w:w="9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Marketable equity securities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9"/>
                <w:szCs w:val="9"/>
                <w:color w:val="auto"/>
              </w:rPr>
              <w:t>(1)</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9"/>
                <w:szCs w:val="9"/>
                <w:color w:val="auto"/>
              </w:rPr>
              <w:t>(2)</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April 3, 2021</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Marketable equity securities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9"/>
                <w:szCs w:val="9"/>
                <w:color w:val="auto"/>
              </w:rPr>
              <w:t>(1)</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9"/>
                <w:szCs w:val="9"/>
                <w:color w:val="auto"/>
              </w:rPr>
              <w:t>(3)</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140" w:firstLine="8"/>
        <w:spacing w:after="0"/>
        <w:tabs>
          <w:tab w:leader="none" w:pos="163"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w:t>
      </w:r>
    </w:p>
    <w:p>
      <w:pPr>
        <w:spacing w:after="0" w:line="1" w:lineRule="exact"/>
        <w:rPr>
          <w:rFonts w:ascii="Arial" w:cs="Arial" w:eastAsia="Arial" w:hAnsi="Arial"/>
          <w:sz w:val="19"/>
          <w:szCs w:val="19"/>
          <w:color w:val="auto"/>
          <w:vertAlign w:val="superscript"/>
        </w:rPr>
      </w:pPr>
    </w:p>
    <w:p>
      <w:pPr>
        <w:ind w:right="140" w:firstLine="8"/>
        <w:spacing w:after="0" w:line="232" w:lineRule="auto"/>
        <w:tabs>
          <w:tab w:leader="none" w:pos="163"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The Company recorded a contingent earn-out liability in conjunction with the acquisition of United SiC (see Note 4). The fair value of this liability is estimated using an option pricing model.</w:t>
      </w:r>
    </w:p>
    <w:p>
      <w:pPr>
        <w:ind w:firstLine="8"/>
        <w:spacing w:after="0" w:line="234" w:lineRule="auto"/>
        <w:tabs>
          <w:tab w:leader="none" w:pos="163"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The Company recorded a contingent earn-out liability in conjunction with the acquisition of Custom MMIC Design Services, Inc. As of April 3, 2021, the fair value of the contingent consideration liability was equal to the maximum amount payable which was paid during the first quarter of fiscal 2022.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1, 2022</w:t>
            </w:r>
          </w:p>
        </w:tc>
        <w:tc>
          <w:tcPr>
            <w:tcW w:w="260" w:type="dxa"/>
            <w:vAlign w:val="bottom"/>
          </w:tcPr>
          <w:p>
            <w:pPr>
              <w:spacing w:after="0"/>
              <w:rPr>
                <w:sz w:val="16"/>
                <w:szCs w:val="16"/>
                <w:color w:val="auto"/>
              </w:rPr>
            </w:pPr>
          </w:p>
        </w:tc>
        <w:tc>
          <w:tcPr>
            <w:tcW w:w="1380" w:type="dxa"/>
            <w:vAlign w:val="bottom"/>
          </w:tcPr>
          <w:p>
            <w:pPr>
              <w:jc w:val="right"/>
              <w:ind w:right="332"/>
              <w:spacing w:after="0"/>
              <w:rPr>
                <w:sz w:val="20"/>
                <w:szCs w:val="20"/>
                <w:color w:val="auto"/>
              </w:rPr>
            </w:pPr>
            <w:r>
              <w:rPr>
                <w:rFonts w:ascii="Arial" w:cs="Arial" w:eastAsia="Arial" w:hAnsi="Arial"/>
                <w:sz w:val="14"/>
                <w:szCs w:val="14"/>
                <w:b w:val="1"/>
                <w:bCs w:val="1"/>
                <w:color w:val="auto"/>
              </w:rPr>
              <w:t>April 3,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197,500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1.750% senior notes due 2024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notes due 2029</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3.375% senior notes due 2031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700,000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 and other</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Unamortized premium, discount and issuance costs,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2,046,951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1,742,550</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September 29, 2020, the Company and certain of its U.S. subsidiaries (the “Guarantors”) entered into a five-year unsecured senior credit facility pursuant to a credit agreement (the “2020 Credit Agreement”) with Bank of America, N.A., acting as administrative agent, and a syndicate of lenders. The 2020 Credit Agreement amended and restated the previous credit agreement dated as of December 5, 2017 (the “2017 Credit Agreement”). The 2020 Credit Agreement includes a senior term loan (the “2020 Term Loan”) of up to $200.0 million and a senior revolving line of credit (the “Revolving Facility”) of up to $300.0 million. During the three and nine months ended January 1, 2022, there were no borrowings under the Revolving Facility.</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the closing date of the 2020 Credit Agreement, the Company repaid the remaining principal balance of $97.5 million on the term loan under the 2017 Credit Agreement and concurrently drew $200.0 million under the 2020 Term Loan.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December 14, 2021, the Company repaid the remaining principal balance of $195.0 million on the 2020 Term Loan, plus accrued and unpaid interest. Interest paid during the three and nine months ended January 1, 2022, was $0.5 million and $1.7 million, respectively. In connection with the repayment, the Company recorded a loss on debt extinguishment of $0.7 million in "Other income (expense), net" in the Condensed Consolidated Statements of Income.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2024</w:t>
      </w:r>
    </w:p>
    <w:p>
      <w:pPr>
        <w:spacing w:after="0" w:line="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December 14, 2021, the Company issued $500.0 million aggregate principal amount of its 1.750% senior notes due 2024 (the “2024 Notes”). Interest is payable on the 2024 Notes on June 15 and December 15 of each year, commencing June 15, 2022. The 2024 Notes will mature on December 15, 2024, unless earlier redeemed in accordance with their terms. The 2024 Notes are senior unsecured obligations of the Company and are guaranteed, jointly and severally, by the Guarantors.</w:t>
      </w:r>
    </w:p>
    <w:p>
      <w:pPr>
        <w:spacing w:after="0" w:line="21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used a portion of the net proceeds of the offering of the 2024 Notes to repay all of the outstanding 2020 Term Loan, as described above, and will use the remainder of the net proceeds for general corporate purposes.</w:t>
      </w:r>
    </w:p>
    <w:p>
      <w:pPr>
        <w:spacing w:after="0" w:line="19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2024 Notes were issued pursuant to an indenture, dated as of December 14, 2021 (the “2021 Indenture”), by and among the Company, the Guarantors and Computershare Trust Company, N.A., as trustee. The 2021 Indenture contains customary events of default, including payment default, exchange default, failure to provide certain notices thereunder and certain provisions related to bankruptcy events. The 2021 Indenture also contains customary negative covenants.</w:t>
      </w:r>
    </w:p>
    <w:p>
      <w:pPr>
        <w:spacing w:after="0" w:line="201"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2024 Notes have not been registered under the Securities Act of 1933, as amended (the “Securities Act”), or any state securities laws, and, unless so registered, may not be offered or sold in the United States absent registration or an applicable exemption from the registration requirements of the Securities Act and applicable state securities laws.</w:t>
      </w:r>
    </w:p>
    <w:p>
      <w:pPr>
        <w:spacing w:after="0" w:line="21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connection with the offering of the 2024 Notes, the Company entered into a Registration Rights Agreement, dated as of December 14, 2021 (the “Registration Rights Agreement”), by and among the Company and the Guarantors, on the one hand, and BofA Securities, Inc., as representative of the initial purchasers of the 2024 Notes, on the other hand.</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Registration Rights Agreement, the Company and the Guarantors have agreed to use their commercially reasonable efforts to (i) file with the SEC a registration statement (the “Exchange Offer Registration Statement”) relating to the registered exchange offer (the “Exchange Offer”) to exchange the 2024 Notes for a new series of the Company’s exchange notes having terms substantially identical in all material respects to, and in the same aggregate principal amount as, the 2024 Notes; (ii) cause the Exchange Offer Registration Statement to be declared effective by the SEC; and (iii) cause the Exchange Offer to be consummated no later than the 720th day after December 14, 2021 (or if such 720th day is not a business day, the next succeeding business day).</w:t>
      </w:r>
    </w:p>
    <w:p>
      <w:pPr>
        <w:spacing w:after="0" w:line="21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Under certain circumstances, the Company and the Guarantors have agreed to use their commercially reasonable efforts to (i) file a shelf registration statement relating to the resale of the 2024 Notes as promptly as practicable, and (ii) cause the shelf registration statement to be declared effective by the SEC as promptly as practicable.</w:t>
      </w:r>
    </w:p>
    <w:p>
      <w:pPr>
        <w:spacing w:after="0" w:line="21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If the Company fails to meet any of these targets, the annual interest rate on the 2024 Notes will increase by 0.25% during the 90-day period following the default and will increase by an additional 0.25% for each subsequent 90-day period during which the default continues, up to a maximum additional interest rate of 1.00% per year. If the Company cures the default, the interest rate on the 2024 Notes will revert to the original level.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w:t>
      </w:r>
    </w:p>
    <w:p>
      <w:pPr>
        <w:spacing w:after="0" w:line="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together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“2019 Indenture”). The 2019 Indenture contains substantially the same customary events of default and negative covenants as the 2021 Indenture.</w:t>
      </w:r>
    </w:p>
    <w:p>
      <w:pPr>
        <w:spacing w:after="0" w:line="2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Interest is payable on the 2029 Notes on April 15 and October 15 of each year. Interest paid on the 2029 Notes during the three and nine months ended January 1, 2022 was $18.6 million and $37.2 million, respectively. Interest paid on the 2029 Notes during the three and nine months ended January 2, 2021 was $18.6 million and $31.6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2031</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1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2031 Notes were issued pursuant to an indenture, dated as of September 29, 2020, by and among the Company, the Guarantors and MUFG Union Bank, N.A., as trustee (the “2020 Indenture”). The 2020 Indenture contains the same customary events of default and negative covenants as the 2021 Indenture.</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Interest is payable on the 2031 Notes on April 1 and October 1 of each year. The Company paid no interest on the 2031 Notes during the three months ended January 1, 2022 and paid interest of $11.8 million on the 2031 Notes during the nine months ended January 1, 2022. The Company paid no interest on the 2031 Notes during the three and nine months ended January 2,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Company's debt is carried at amortized cost and is measured at fair value quarterly for disclosure purposes. The estimated fair value of the 2024 Notes, the 2029 Notes and the 2031 Notes as of January 1, 2022, was $500.5 million, $909.1 million and $713.3 million, respectively (compared to the outstanding principal amount of $500.0 million, $850.0 million and $700.0 million, respectively). The estimated fair value of the 2029 Notes and the 2031 Notes as of April 3, 2021, was $905.3 million and $689.5 million, respectively (compared to the outstanding principal amount of $850.0 million and $700.0 million, respectively). The Company considers its debt to be Level 2 in the fair value hierarchy. Fair values are estimated based on quoted market prices for identical or similar instruments. The 2024 Notes, the 2029 Notes and the 2031 Notes currently trade over-the-counter, and the fair values were estimated based upon the value of the last trade at the end of the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During the three and nine months ended January 1, 2022, the Company recognized total interest expense of $16.3 million and $48.7 million, respectively, primarily related to the 2029 Notes and the 2031 Notes, partially offset by interest capitalized to property and equipment of $0.9 million and $2.8 million, respectively. During the three and nine months ended January 2, 2021, the Company recognized total interest expense of $18.3 million and $62.9 million, respectively, primarily related to its 5.50% senior notes due 2026 (redeemed on October 16, 2020), the 2029 Notes and the 2031 Notes, which was partially offset by interest capitalized to property and equipment of $0.9 million and $3.1 million,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REPURCHASES</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May 5, 2021, the Company announced that its Board of Directors authorized a new share repurchase program to repurchase up to $2.0 billion of the Company's outstanding common stock, which included approximately $236.9 million authorized under the prior program terminated concurrent with the new authorization. Under this current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22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During the three and nine months ended January 1, 2022, the Company repurchased approximately 1.9 million and 4.8 million shares, respectively, of its common stock for approximately $302.0 million and $825.4 million, respectively (including transaction costs). As of January 1, 2022, approximately $1,188.6 million remains available for repurchases under the current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During the three and nine months ended January 2, 2021, the Company repurchased approximately 1.1 million and 2.6 million shares, respectively, of its common stock for approximately $160.0 million and $340.1 million, respectively (including transaction costs) under the prior repurchase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As of January 1, 2022, the Company's purchase obligations totaled approximately $2.2 billion, of which approximately $500.0 million is expected to be paid during the last three months of fiscal 2022 and the remaining $1.7 billion is expected to be paid ratably over fiscal years 2023 through 2026. Noncancelable purchase obligations represent payments due related to the purchase of materials and manufacturing services, a majority of which are not recorded as liabilities in the Condensed Consolidated Balance Sheet because the Company has not received the related goods or services as of January 1, 2022.</w:t>
      </w: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Amidst ongoing industry-wide supply constraints, the Company entered into a long-term capacity reservation agreement with a foundry supplier during the second quarter ended October 2, 2021. The Company agreed to pay certain fees and deposits which are recorded in "Prepaid expenses" and "Other non-current assets" in the Condensed Consolidated Balance Sheet as of January 1, 2022. Under the agreement the Company is required to purchase, and the foundry supplier is required to supply, a certain number of wafers (at predetermined sales prices) for calendar years 2022 through 2025. The Company currently estimates that it is obligated to purchase a total of approximately $1.6 billion of wafers (included in the total purchase obligations above) under the capacity reservation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geography, based on the location of the customers' headquarters (in thousands):</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16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4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January 2,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January 2, 2021</w:t>
            </w:r>
          </w:p>
        </w:tc>
      </w:tr>
      <w:tr>
        <w:trPr>
          <w:trHeight w:val="224"/>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1,449,667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1,295,398</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China</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273,582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305,887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1,227,782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1,084,120</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Asia</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243,715</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Taiwan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76,432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69,492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253,713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176,171</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143,173</w:t>
            </w:r>
          </w:p>
        </w:tc>
      </w:tr>
      <w:tr>
        <w:trPr>
          <w:trHeight w:val="223"/>
        </w:trPr>
        <w:tc>
          <w:tcPr>
            <w:tcW w:w="400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1,113,957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1,094,834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3,479,556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2,942,577</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(see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 INFORMATION</w:t>
      </w:r>
    </w:p>
    <w:p>
      <w:pPr>
        <w:spacing w:after="0" w:line="256"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The Company's operating and reportable segments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operating income.</w:t>
      </w:r>
    </w:p>
    <w:p>
      <w:pPr>
        <w:spacing w:after="0" w:line="19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MP is a global supplier of cellular, UWB, Wi-Fi and other solutions for a variety of applications, including smartphones, wearables, laptops, tablets and Internet of Things ("IoT").</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a wide range of applications including cellular and IT infrastructure, automotive, green energy, defense and IoT.</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"All other" category includes operating expenses such as stock-based compensation, amortization of intangible assets, acquisition and integration related costs, (loss) gain on assets, start-up costs, restructuring related charges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(expense), or taxes to operating segments.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details of the Company’s operating and reportable segments and a reconciliation of the “All other” category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8"/>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January 1, 2022</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January 2,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January 2, 2021</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MP</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848,428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826,021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2,680,263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2,048,719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IDP</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893,858</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1,113,957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1,094,834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3,479,556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2,942,577</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MP</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306,014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342,118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991,293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714,959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IDP</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219,491</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(320,891)</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613,559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(45,934)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(59,788)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(33,177)</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520,594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8"/>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4"/>
          </w:tcPr>
          <w:p>
            <w:pPr>
              <w:jc w:val="right"/>
              <w:ind w:right="9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January 1, 2022</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2, 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January 2, 2021</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“All other” category:</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(19,307)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(19,247)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(73,236)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(71,154)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(217,203)</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Acquisition and integration related costs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(25,183)</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(including (loss) gain on assets, start-up costs,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5"/>
              </w:rPr>
              <w:t>restructuring related charges and other miscellaneous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corporate overhead)</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 for “All other”</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(320,891)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Company’s income tax expense was $67.0 million and $112.5 million for the three and nine months ended January 1, 2022, respectively, and $22.5 million and $85.7 million for the three and nine months ended January 2, 2021, respectively. The Company’s effective tax rate was 23.6% and 12.1% for the three and nine months ended January 1, 2022, respectively, and 10.1% and 16.5% for the three and nine months ended January 2, 2021, respectively.</w:t>
      </w:r>
    </w:p>
    <w:p>
      <w:pPr>
        <w:spacing w:after="0" w:line="17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effective tax rate for the three and nine months ended January 1, 2022 differed from the statutory rate primarily due to tax rate differences in foreign jurisdictions, global intangible low tax income (“GILTI”), domestic tax credits and discrete tax items recorded during the period. A discrete charge of $42.5 million and $12.0 million was recorded during the three and nine months ended January 1, 2022, respectively. The discrete tax expense for the three and nine months ended January 1, 2022 primarily related to the revaluation of deferred tax assets due to the extension of the Company’s tax holiday in Singapore. The discrete tax expense for the nine months ended January 1, 2022 was partially offset by the recognition of previously unrecognized tax benefits due to the expiration of the statute of limitations, stock-based compensation deductions and net tax benefits associated with other non-recurring restructuring activities, including a discrete charge associated with the intercompany restructuring of the NextInput intellectual property.</w:t>
      </w:r>
    </w:p>
    <w:p>
      <w:pPr>
        <w:spacing w:after="0" w:line="19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operations in Singapore which are subject to a tax holiday agreement, previously set to expire December 31, 2021. During the three months ended January 1, 2022, the Company was granted an extension to its tax holiday agreement in Singapore. The current extension to the tax holiday in Singapore is effective through December 31, 2031. The tax holiday is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conditional upon the Company meeting certain employment and investment thresholds within the region which the Company expects to meet as part of its ongoing business operations. The extension of the tax holiday resulted in a decrease to the annual effective tax rate during the period, offset by a discrete charge due to the revaluation of the Company’s deferred tax assets.</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effective tax rate for the three and nine months ended January 2, 2021 differed from the statutory rate primarily due to tax rate differences in foreign jurisdictions, GILTI, domestic tax credits and discrete tax items recorded during the period. A discrete benefit of $3.8 million and a discrete charge of $31.4 million was recorded during the three and nine months ended January 2, 2021, respectively. The discrete tax expense for the nine months ended January 2, 2021 primarily related to the intercompany restructuring of the intellectual property from the acquisition of Cavendish Kinetics Limited in fiscal 2020, partially offset by discrete tax benefits recognized for stock-based compensation deductions and a retroactive incentive allowing previously non-deductible payments to be amortized.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140" w:type="dxa"/>
            <w:vAlign w:val="bottom"/>
            <w:gridSpan w:val="4"/>
          </w:tcPr>
          <w:p>
            <w:pPr>
              <w:jc w:val="right"/>
              <w:ind w:right="9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1, 2022</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January 2, 2021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1, 2022</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January 2, 2021</w:t>
            </w:r>
          </w:p>
        </w:tc>
        <w:tc>
          <w:tcPr>
            <w:tcW w:w="0" w:type="dxa"/>
            <w:vAlign w:val="bottom"/>
          </w:tcPr>
          <w:p>
            <w:pPr>
              <w:spacing w:after="0"/>
              <w:rPr>
                <w:sz w:val="1"/>
                <w:szCs w:val="1"/>
                <w:color w:val="auto"/>
              </w:rPr>
            </w:pPr>
          </w:p>
        </w:tc>
      </w:tr>
      <w:tr>
        <w:trPr>
          <w:trHeight w:val="211"/>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w w:val="95"/>
              </w:rPr>
              <w:t>Numerator for basic and diluted net income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201,035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821,078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434,874</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360"/>
              <w:spacing w:after="0" w:line="176" w:lineRule="exact"/>
              <w:rPr>
                <w:sz w:val="20"/>
                <w:szCs w:val="20"/>
                <w:color w:val="auto"/>
              </w:rPr>
            </w:pPr>
            <w:r>
              <w:rPr>
                <w:rFonts w:ascii="Arial" w:cs="Arial" w:eastAsia="Arial" w:hAnsi="Arial"/>
                <w:sz w:val="18"/>
                <w:szCs w:val="18"/>
                <w:color w:val="auto"/>
              </w:rPr>
              <w:t>Denominator for basic net income per share —</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109,687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113,811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110,966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114,292</w:t>
            </w:r>
          </w:p>
        </w:tc>
        <w:tc>
          <w:tcPr>
            <w:tcW w:w="0" w:type="dxa"/>
            <w:vAlign w:val="bottom"/>
          </w:tcPr>
          <w:p>
            <w:pPr>
              <w:spacing w:after="0"/>
              <w:rPr>
                <w:sz w:val="1"/>
                <w:szCs w:val="1"/>
                <w:color w:val="auto"/>
              </w:rPr>
            </w:pPr>
          </w:p>
        </w:tc>
      </w:tr>
      <w:tr>
        <w:trPr>
          <w:trHeight w:val="229"/>
        </w:trPr>
        <w:tc>
          <w:tcPr>
            <w:tcW w:w="4440" w:type="dxa"/>
            <w:vAlign w:val="bottom"/>
          </w:tcPr>
          <w:p>
            <w:pPr>
              <w:ind w:left="520"/>
              <w:spacing w:after="0"/>
              <w:rPr>
                <w:sz w:val="20"/>
                <w:szCs w:val="20"/>
                <w:color w:val="auto"/>
              </w:rPr>
            </w:pPr>
            <w:r>
              <w:rPr>
                <w:rFonts w:ascii="Arial" w:cs="Arial" w:eastAsia="Arial" w:hAnsi="Arial"/>
                <w:sz w:val="18"/>
                <w:szCs w:val="18"/>
                <w:color w:val="auto"/>
              </w:rPr>
              <w:t>weighted average shares</w:t>
            </w: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Stock-based awards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Denominator for diluted net income per share — adjusted</w:t>
            </w: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110,810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115,690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112,415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116,257</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weighted average shares and assumed conversions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An immaterial number of the Company's outstanding stock-based awards was excluded from the computation of diluted net income per share for the three and nine months ended January 1, 2022 and January 2, 2021, because the effect of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substantial dependence on developing new products and achieving design wins; our dependence on several large customers for a substantial portion of our revenue; the COVID-19 pandemic materially and adversely affecting our financial condition and results of operations;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due to timing of customer forecasts; our inability to effectively manage or maintain evolving relationships with platform providers; our ability to continue to innovate in a very competitive industry; underutilization of manufacturing facilities as a result of industry overcapacity; unfavorable changes in interest rates, pricing of certain precious metals, utility rates and foreign currency exchange rates; our acquisitions and other strategic investments failing to achieve financial or strategic objectives; our ability to attract, retain and motivate key employees; warranty claims, product recalls and product liability; changes in our effective tax rate; changes in the favorable tax status of certain of our subsidiaries; enactment of international or domestic tax legislation, or changes in regulatory guidance; risks associated with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and other similar disruptions compromising our information; theft, loss or misuse of personal data by or about our employees, customers or third parties; provisions in our governing documents and Delaware law may discourage takeovers and business combinations that our stockholders might consider to be in their best interests; and volatility in the price of our common stock. These and other risks and uncertainties, which are described in more detail in our most recent Annual Report on Form 10-K and in other reports and statements that we file with the SEC, could cause actual results and developments to be materially different from those expressed or implied by any of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660"/>
        <w:spacing w:after="0" w:line="31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7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Qorvo is a leader in the development and commercialization of technologies and products for wireless, wired connectivity and power management. We combine highly differentiated technologies, systems-level expertise and manufacturing scale to serve a diverse set of customers a broad portfolio of innovative solutions that enable a more connected world.</w:t>
      </w:r>
    </w:p>
    <w:p>
      <w:pPr>
        <w:spacing w:after="0" w:line="143"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We design, develop, manufacture and market our products to U.S. and international original equipment manufacturers and original design manufacturers in two operating segments, which are also our reportable segments: Mobile Products ("MP") and Infrastructure and Defense Products ("IDP").</w:t>
      </w:r>
    </w:p>
    <w:p>
      <w:pPr>
        <w:spacing w:after="0" w:line="1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MP is a global supplier of cellular, Ultra Wideband ("UWB"), Wi-Fi and other solutions for a variety of applications, including smartphones, wearables, laptops, tablets and Internet of Things ("IoT").</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a wide range of applications including cellular and IT infrastructure, automotive, green energy, defense and IoT.</w:t>
      </w:r>
    </w:p>
    <w:p>
      <w:pPr>
        <w:spacing w:after="0" w:line="19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and reportable segment primarily based on operating income. See Note 11 of the Notes to Condensed Consolidated Financial Statements in Part I, Item 1 of this report for additional information regarding our reportable operating segments.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semiconductor industry has continued to experience supply constraints in fiscal 2022. We have taken actions to address short and long-term supply requirements to support our markets. During the second quarter ended October 2, 2021, we entered into a long-term capacity agreement with a foundry supplier to reserve manufacturing supply capacity. Under the agreement we are required to purchase, and the foundry supplier is required to supply, a certain number of wafers for calendar years 2022 through 2025. See Note 9 of the Notes to Condensed Consolidated Financial Statements and Part II, Item 1A., "Risk Factors" for additional information regarding this agreement.</w:t>
      </w:r>
    </w:p>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COVID-19 pandemic has been a contributing factor of the semiconductor industry supply constraints and is likely to continue to cause volatility and uncertainty in customer demand, worldwide economies and financial markets for some period of time. To date, any negative impact of COVID-19 on the overall demand for our products, cash flow from operations, need for capital expenditures, and our liquidity position has been limited, although we are addressing capacity constraints in our supply chain as described above.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ind w:left="33"/>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auto"/>
        </w:rPr>
        <w:t>THIRD QUARTER FISCAL 2022 FINANCIAL HIGHLIGHTS</w:t>
      </w:r>
    </w:p>
    <w:p>
      <w:pPr>
        <w:spacing w:after="0" w:line="256" w:lineRule="exact"/>
        <w:rPr>
          <w:sz w:val="20"/>
          <w:szCs w:val="20"/>
          <w:color w:val="auto"/>
        </w:rPr>
      </w:pPr>
    </w:p>
    <w:p>
      <w:pPr>
        <w:ind w:left="333" w:right="120" w:hanging="333"/>
        <w:spacing w:after="0" w:line="308" w:lineRule="auto"/>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Revenue for the third quarter of fiscal 2022 increased 1.7% as compared to the third quarter of fiscal 2021, driven primarily by higher demand for our 5G mobile solutions and our power management products, partially offset by lower demand for our defense and aerospace products.</w:t>
      </w:r>
    </w:p>
    <w:p>
      <w:pPr>
        <w:spacing w:after="0" w:line="173" w:lineRule="exact"/>
        <w:rPr>
          <w:rFonts w:ascii="Arial" w:cs="Arial" w:eastAsia="Arial" w:hAnsi="Arial"/>
          <w:sz w:val="17"/>
          <w:szCs w:val="17"/>
          <w:color w:val="auto"/>
        </w:rPr>
      </w:pPr>
    </w:p>
    <w:p>
      <w:pPr>
        <w:ind w:left="333" w:hanging="333"/>
        <w:spacing w:after="0" w:line="263"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margin for the third quarter of fiscal 2022 was 49.2% as compared to 49.1% for the third quarter of fiscal 2021, primarily due to lower intangible amortization expense as well as lower unit costs on higher volume and productivity. The increase in gross margin was partially offset by unfavorable changes in product mix and average selling price erosion.</w:t>
      </w:r>
    </w:p>
    <w:p>
      <w:pPr>
        <w:spacing w:after="0" w:line="210" w:lineRule="exact"/>
        <w:rPr>
          <w:rFonts w:ascii="Arial" w:cs="Arial" w:eastAsia="Arial" w:hAnsi="Arial"/>
          <w:sz w:val="18"/>
          <w:szCs w:val="18"/>
          <w:color w:val="auto"/>
        </w:rPr>
      </w:pPr>
    </w:p>
    <w:p>
      <w:pPr>
        <w:ind w:left="333" w:right="60" w:hanging="333"/>
        <w:spacing w:after="0" w:line="259"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was $296.0 million for the third quarter of fiscal 2022 as compared to $299.2 million for the third quarter of fiscal 2021. This decrease was primarily due to higher operating expenses, partially offset by higher revenue and favorable gross margin. Operating expenses increased primarily due to higher personnel costs and product development spend, partially offset by lower intangible amortization expense and lower incentive-based compensation.</w:t>
      </w:r>
    </w:p>
    <w:p>
      <w:pPr>
        <w:spacing w:after="0" w:line="213" w:lineRule="exact"/>
        <w:rPr>
          <w:rFonts w:ascii="Arial" w:cs="Arial" w:eastAsia="Arial" w:hAnsi="Arial"/>
          <w:sz w:val="18"/>
          <w:szCs w:val="18"/>
          <w:color w:val="auto"/>
        </w:rPr>
      </w:pPr>
    </w:p>
    <w:p>
      <w:pPr>
        <w:ind w:left="313" w:hanging="313"/>
        <w:spacing w:after="0"/>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per diluted share was $1.95 for the third quarter of fiscal 2022 as compared to $1.74 for the third quarter of fiscal 2021.</w:t>
      </w:r>
    </w:p>
    <w:p>
      <w:pPr>
        <w:spacing w:after="0" w:line="252" w:lineRule="exact"/>
        <w:rPr>
          <w:rFonts w:ascii="Arial" w:cs="Arial" w:eastAsia="Arial" w:hAnsi="Arial"/>
          <w:sz w:val="18"/>
          <w:szCs w:val="18"/>
          <w:color w:val="auto"/>
        </w:rPr>
      </w:pPr>
    </w:p>
    <w:p>
      <w:pPr>
        <w:ind w:left="313" w:hanging="313"/>
        <w:spacing w:after="0"/>
        <w:tabs>
          <w:tab w:leader="none" w:pos="313" w:val="left"/>
        </w:tabs>
        <w:numPr>
          <w:ilvl w:val="0"/>
          <w:numId w:val="8"/>
        </w:numPr>
        <w:rPr>
          <w:rFonts w:ascii="Arial" w:cs="Arial" w:eastAsia="Arial" w:hAnsi="Arial"/>
          <w:sz w:val="17"/>
          <w:szCs w:val="17"/>
          <w:color w:val="auto"/>
        </w:rPr>
      </w:pPr>
      <w:r>
        <w:rPr>
          <w:rFonts w:ascii="Arial" w:cs="Arial" w:eastAsia="Arial" w:hAnsi="Arial"/>
          <w:sz w:val="17"/>
          <w:szCs w:val="17"/>
          <w:color w:val="auto"/>
        </w:rPr>
        <w:t>Capital expenditures were $50.5 million for the third quarter of fiscal 2022 as compared to $36.1 million for the third quarter of fiscal 2021.</w:t>
      </w:r>
    </w:p>
    <w:p>
      <w:pPr>
        <w:spacing w:after="0" w:line="263" w:lineRule="exact"/>
        <w:rPr>
          <w:rFonts w:ascii="Arial" w:cs="Arial" w:eastAsia="Arial" w:hAnsi="Arial"/>
          <w:sz w:val="17"/>
          <w:szCs w:val="17"/>
          <w:color w:val="auto"/>
        </w:rPr>
      </w:pPr>
    </w:p>
    <w:p>
      <w:pPr>
        <w:ind w:left="313" w:hanging="313"/>
        <w:spacing w:after="0"/>
        <w:tabs>
          <w:tab w:leader="none" w:pos="313"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third quarter of fiscal 2022, we repurchased approximately 1.9 million shares of our common stock for approximately $302.0 million.</w:t>
      </w:r>
    </w:p>
    <w:p>
      <w:pPr>
        <w:spacing w:after="0" w:line="263" w:lineRule="exact"/>
        <w:rPr>
          <w:rFonts w:ascii="Arial" w:cs="Arial" w:eastAsia="Arial" w:hAnsi="Arial"/>
          <w:sz w:val="17"/>
          <w:szCs w:val="17"/>
          <w:color w:val="auto"/>
        </w:rPr>
      </w:pPr>
    </w:p>
    <w:p>
      <w:pPr>
        <w:ind w:left="313" w:hanging="313"/>
        <w:spacing w:after="0"/>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completed the acquisition of United Silicon Carbide, Inc. ("United SiC") for a total purchase price of $234.2 million.</w:t>
      </w:r>
    </w:p>
    <w:p>
      <w:pPr>
        <w:spacing w:after="0" w:line="252" w:lineRule="exact"/>
        <w:rPr>
          <w:rFonts w:ascii="Arial" w:cs="Arial" w:eastAsia="Arial" w:hAnsi="Arial"/>
          <w:sz w:val="18"/>
          <w:szCs w:val="18"/>
          <w:color w:val="auto"/>
        </w:rPr>
      </w:pPr>
    </w:p>
    <w:p>
      <w:pPr>
        <w:ind w:left="313" w:hanging="313"/>
        <w:spacing w:after="0"/>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issued $500.0 million aggregate principal amount of 1.750% senior notes due 2024 (the "2024 Notes").</w:t>
      </w:r>
    </w:p>
    <w:p>
      <w:pPr>
        <w:spacing w:after="0" w:line="252" w:lineRule="exact"/>
        <w:rPr>
          <w:rFonts w:ascii="Arial" w:cs="Arial" w:eastAsia="Arial" w:hAnsi="Arial"/>
          <w:sz w:val="18"/>
          <w:szCs w:val="18"/>
          <w:color w:val="auto"/>
        </w:rPr>
      </w:pPr>
    </w:p>
    <w:p>
      <w:pPr>
        <w:ind w:left="333" w:right="740" w:hanging="333"/>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repaid $195.0 million on the 2020 Term Loan (as defined below), plus accrued and unpaid interest. In connection with the repayment, we recognized a loss on debt extinguishment of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3"/>
          </w:cols>
          <w:pgMar w:left="287" w:top="121" w:right="37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results of operations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2022</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2, 2021</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00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6"/>
                <w:szCs w:val="16"/>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4"/>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1,113,957</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1,094,834</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19,123</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565,864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557,082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8,782</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548,093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537,752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154,435</w:t>
            </w:r>
          </w:p>
        </w:tc>
        <w:tc>
          <w:tcPr>
            <w:tcW w:w="12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136,697</w:t>
            </w:r>
          </w:p>
        </w:tc>
        <w:tc>
          <w:tcPr>
            <w:tcW w:w="1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17,738</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14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296,010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299,203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2022</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 of Revenue</w:t>
            </w:r>
          </w:p>
        </w:tc>
        <w:tc>
          <w:tcPr>
            <w:tcW w:w="14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2, 2021</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 of Revenue</w:t>
            </w:r>
          </w:p>
        </w:tc>
        <w:tc>
          <w:tcPr>
            <w:tcW w:w="180" w:type="dxa"/>
            <w:vAlign w:val="bottom"/>
          </w:tcPr>
          <w:p>
            <w:pPr>
              <w:spacing w:after="0"/>
              <w:rPr>
                <w:sz w:val="11"/>
                <w:szCs w:val="11"/>
                <w:color w:val="auto"/>
              </w:rPr>
            </w:pPr>
          </w:p>
        </w:tc>
        <w:tc>
          <w:tcPr>
            <w:tcW w:w="100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3,479,556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2,942,577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536,979</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1,763,727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1,587,486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176,241</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1,715,829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1,355,091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360,738</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464,891</w:t>
            </w:r>
          </w:p>
        </w:tc>
        <w:tc>
          <w:tcPr>
            <w:tcW w:w="12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423,110</w:t>
            </w:r>
          </w:p>
        </w:tc>
        <w:tc>
          <w:tcPr>
            <w:tcW w:w="1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41,781</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265,791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289,115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(23,324)</w:t>
            </w:r>
          </w:p>
        </w:tc>
        <w:tc>
          <w:tcPr>
            <w:tcW w:w="14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29,307</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955,472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613,559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341,913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55.7 %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Revenue increased for the three months ended January 1, 2022, compared to the three months ended January 2, 2021, primarily due to higher demand for our 5G mobile solutions and our power management products, partially offset by lower demand for our defense and aerospace products</w:t>
      </w:r>
      <w:r>
        <w:rPr>
          <w:rFonts w:ascii="Arial" w:cs="Arial" w:eastAsia="Arial" w:hAnsi="Arial"/>
          <w:sz w:val="18"/>
          <w:szCs w:val="18"/>
          <w:color w:val="0E32E1"/>
        </w:rPr>
        <w:t>.</w:t>
      </w:r>
      <w:r>
        <w:rPr>
          <w:rFonts w:ascii="Arial" w:cs="Arial" w:eastAsia="Arial" w:hAnsi="Arial"/>
          <w:sz w:val="18"/>
          <w:szCs w:val="18"/>
          <w:color w:val="auto"/>
        </w:rPr>
        <w:t xml:space="preserve"> The higher demand for our mobile solutions was driven by 5G content increases with our largest customers, and the increased demand for our power management products was driven by the migration to smaller and more efficient power solutions. The lower demand for our defense and aerospace products was due to the timing of programs.</w:t>
      </w:r>
    </w:p>
    <w:p>
      <w:pPr>
        <w:spacing w:after="0" w:line="2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increased for the nine months ended January 1, 2022, compared to the nine months ended January 2, 2021, primarily due to higher demand for our 5G mobile solutions and our power management, automotive, broadband and Wi-Fi products, partially offset by lower demand for our base station and defense and aerospace products. The higher demand for our mobile solutions was driven by 5G content increases with our largest customers, and the increased demand for our power management products was driven by the migration to smaller and more efficient power solutions. The increased demand for our automotive, broadband and Wi-Fi products was driven by the proliferation of connected devices and the increasing requirements for higher efficiency, greater throughput and smaller size. The lower demand for our base station products was attributed to the slower 5G massive Multiple-Input/Multiple-Output ("mMIMO") deployment in China, and the lower demand for our defense and aerospace products was due to the timing of programs.</w:t>
      </w:r>
    </w:p>
    <w:p>
      <w:pPr>
        <w:spacing w:after="0" w:line="19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Gross margin increased for the three and nine months ended January 1, 2022, compared to the three and nine months ended January 2, 2021, primarily due to lower intangible amortization expense as well as lower unit costs on higher volume and productivity. The increase in gross margin was partially offset by unfavorable changes in product mix and average selling price erosion.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expenses increased for the three and nine months ended January 1, 2022, compared to the three and nine months ended January 2, 2021, primarily due to additional headcount and higher design and development costs associated with our UWB solutions, biotechnology testing solutions and 5G mobile solutions as well as the acquisition of United SiC. These increases were partially offset by lower intangible amortization expense and lower incentive-based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20" w:type="dxa"/>
            <w:vAlign w:val="bottom"/>
            <w:vMerge w:val="restart"/>
          </w:tcPr>
          <w:p>
            <w:pPr>
              <w:spacing w:after="0"/>
              <w:rPr>
                <w:sz w:val="20"/>
                <w:szCs w:val="20"/>
                <w:color w:val="auto"/>
              </w:rPr>
            </w:pPr>
            <w:r>
              <w:rPr>
                <w:rFonts w:ascii="Arial" w:cs="Arial" w:eastAsia="Arial" w:hAnsi="Arial"/>
                <w:sz w:val="14"/>
                <w:szCs w:val="14"/>
                <w:color w:val="auto"/>
              </w:rPr>
              <w:t>(In thousands, except percentages)</w:t>
            </w:r>
          </w:p>
        </w:tc>
        <w:tc>
          <w:tcPr>
            <w:tcW w:w="18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January 1, 2022</w:t>
            </w:r>
          </w:p>
        </w:tc>
        <w:tc>
          <w:tcPr>
            <w:tcW w:w="17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January 2, 2021</w:t>
            </w:r>
          </w:p>
        </w:tc>
        <w:tc>
          <w:tcPr>
            <w:tcW w:w="19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Increase (Decrease)</w:t>
            </w:r>
          </w:p>
        </w:tc>
        <w:tc>
          <w:tcPr>
            <w:tcW w:w="16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392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16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848,428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826,021</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22,407</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306,014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342,118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(36,104)</w:t>
            </w:r>
          </w:p>
        </w:tc>
        <w:tc>
          <w:tcPr>
            <w:tcW w:w="100" w:type="dxa"/>
            <w:vAlign w:val="bottom"/>
          </w:tcPr>
          <w:p>
            <w:pPr>
              <w:spacing w:after="0"/>
              <w:rPr>
                <w:sz w:val="19"/>
                <w:szCs w:val="19"/>
                <w:color w:val="auto"/>
              </w:rPr>
            </w:pPr>
          </w:p>
        </w:tc>
        <w:tc>
          <w:tcPr>
            <w:tcW w:w="1740" w:type="dxa"/>
            <w:vAlign w:val="bottom"/>
          </w:tcPr>
          <w:p>
            <w:pPr>
              <w:jc w:val="right"/>
              <w:ind w:right="96"/>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Pr>
          <w:p>
            <w:pPr>
              <w:spacing w:after="0"/>
              <w:rPr>
                <w:sz w:val="11"/>
                <w:szCs w:val="11"/>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January 1, 2022</w:t>
            </w:r>
          </w:p>
        </w:tc>
        <w:tc>
          <w:tcPr>
            <w:tcW w:w="260" w:type="dxa"/>
            <w:vAlign w:val="bottom"/>
          </w:tcPr>
          <w:p>
            <w:pPr>
              <w:spacing w:after="0"/>
              <w:rPr>
                <w:sz w:val="11"/>
                <w:szCs w:val="11"/>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January 2, 2021</w:t>
            </w:r>
          </w:p>
        </w:tc>
        <w:tc>
          <w:tcPr>
            <w:tcW w:w="50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w:t>
            </w:r>
          </w:p>
        </w:tc>
        <w:tc>
          <w:tcPr>
            <w:tcW w:w="1740" w:type="dxa"/>
            <w:vAlign w:val="bottom"/>
          </w:tcPr>
          <w:p>
            <w:pPr>
              <w:jc w:val="right"/>
              <w:ind w:right="456"/>
              <w:spacing w:after="0" w:line="135"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8"/>
        </w:trPr>
        <w:tc>
          <w:tcPr>
            <w:tcW w:w="3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740" w:type="dxa"/>
            <w:vAlign w:val="bottom"/>
          </w:tcPr>
          <w:p>
            <w:pPr>
              <w:jc w:val="right"/>
              <w:ind w:right="5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2,680,263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2,048,719</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631,544</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991,293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714,959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276,334</w:t>
            </w:r>
          </w:p>
        </w:tc>
        <w:tc>
          <w:tcPr>
            <w:tcW w:w="100" w:type="dxa"/>
            <w:vAlign w:val="bottom"/>
          </w:tcPr>
          <w:p>
            <w:pPr>
              <w:spacing w:after="0"/>
              <w:rPr>
                <w:sz w:val="19"/>
                <w:szCs w:val="19"/>
                <w:color w:val="auto"/>
              </w:rPr>
            </w:pPr>
          </w:p>
        </w:tc>
        <w:tc>
          <w:tcPr>
            <w:tcW w:w="1740" w:type="dxa"/>
            <w:vAlign w:val="bottom"/>
          </w:tcPr>
          <w:p>
            <w:pPr>
              <w:jc w:val="right"/>
              <w:ind w:right="136"/>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MP revenue increased for the three and nine months ended January 1, 2022, compared to the three and nine months ended January 2, 2021, primarily due to higher demand for our mobile solutions driven by 5G content increases with our largest customers.</w:t>
      </w:r>
    </w:p>
    <w:p>
      <w:pPr>
        <w:spacing w:after="0" w:line="19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MP operating income decreased for the three months ended January 1, 2022, compared to the three months ended January 2, 2021, primarily due to unfavorable changes in product mix, average selling price erosion and higher operating expenses, partially offset by the effects of increased revenue, including lower unit costs on higher volume and productivity. Operating expenses increased primarily due to additional headcount and higher design and development costs associated with our UWB solutions and 5G mobile solutions, partially offset by lower incentive-based compensation.</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MP operating income increased for the nine months ended January 1, 2022, compared to the nine months ended January 2, 2021, primarily due to the effects of increased revenue, including lower unit costs on higher volume and productivity. These increases were partially offset by average selling price erosion, unfavorable changes in product mix and higher operating expenses. Operating expenses increased primarily due to additional headcount and higher design and development costs associated with our UWB solutions and 5G mobile solutions, partially offset by lower incentive-based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640" w:type="dxa"/>
            <w:vAlign w:val="bottom"/>
            <w:vMerge w:val="restart"/>
          </w:tcPr>
          <w:p>
            <w:pPr>
              <w:spacing w:after="0"/>
              <w:rPr>
                <w:sz w:val="20"/>
                <w:szCs w:val="20"/>
                <w:color w:val="auto"/>
              </w:rPr>
            </w:pPr>
            <w:r>
              <w:rPr>
                <w:rFonts w:ascii="Arial" w:cs="Arial" w:eastAsia="Arial" w:hAnsi="Arial"/>
                <w:sz w:val="14"/>
                <w:szCs w:val="14"/>
                <w:color w:val="auto"/>
              </w:rPr>
              <w:t>(In thousands, except percentages)</w:t>
            </w:r>
          </w:p>
        </w:tc>
        <w:tc>
          <w:tcPr>
            <w:tcW w:w="16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January 1, 2022</w:t>
            </w:r>
          </w:p>
        </w:tc>
        <w:tc>
          <w:tcPr>
            <w:tcW w:w="16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January 2, 2021</w:t>
            </w:r>
          </w:p>
        </w:tc>
        <w:tc>
          <w:tcPr>
            <w:tcW w:w="18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Increase (Decrease)</w:t>
            </w:r>
          </w:p>
        </w:tc>
        <w:tc>
          <w:tcPr>
            <w:tcW w:w="14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464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148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265,529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268,813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65,994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59,241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19"/>
                <w:szCs w:val="19"/>
                <w:color w:val="auto"/>
              </w:rPr>
            </w:pPr>
          </w:p>
        </w:tc>
        <w:tc>
          <w:tcPr>
            <w:tcW w:w="1600" w:type="dxa"/>
            <w:vAlign w:val="bottom"/>
          </w:tcPr>
          <w:p>
            <w:pPr>
              <w:jc w:val="right"/>
              <w:ind w:right="136"/>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Nine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20" w:type="dxa"/>
            <w:vAlign w:val="bottom"/>
          </w:tcPr>
          <w:p>
            <w:pPr>
              <w:spacing w:after="0"/>
              <w:rPr>
                <w:sz w:val="11"/>
                <w:szCs w:val="11"/>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January 1, 2022</w:t>
            </w:r>
          </w:p>
        </w:tc>
        <w:tc>
          <w:tcPr>
            <w:tcW w:w="220" w:type="dxa"/>
            <w:vAlign w:val="bottom"/>
          </w:tcPr>
          <w:p>
            <w:pPr>
              <w:spacing w:after="0"/>
              <w:rPr>
                <w:sz w:val="11"/>
                <w:szCs w:val="11"/>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January 2, 2021</w:t>
            </w:r>
          </w:p>
        </w:tc>
        <w:tc>
          <w:tcPr>
            <w:tcW w:w="28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Decrease</w:t>
            </w:r>
          </w:p>
        </w:tc>
        <w:tc>
          <w:tcPr>
            <w:tcW w:w="1600" w:type="dxa"/>
            <w:vAlign w:val="bottom"/>
          </w:tcPr>
          <w:p>
            <w:pPr>
              <w:jc w:val="right"/>
              <w:ind w:right="376"/>
              <w:spacing w:after="0" w:line="135"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8"/>
        </w:trPr>
        <w:tc>
          <w:tcPr>
            <w:tcW w:w="4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799,293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893,858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(94,565)</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183,162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219,491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(36,329)</w:t>
            </w:r>
          </w:p>
        </w:tc>
        <w:tc>
          <w:tcPr>
            <w:tcW w:w="100" w:type="dxa"/>
            <w:vAlign w:val="bottom"/>
          </w:tcPr>
          <w:p>
            <w:pPr>
              <w:spacing w:after="0"/>
              <w:rPr>
                <w:sz w:val="19"/>
                <w:szCs w:val="19"/>
                <w:color w:val="auto"/>
              </w:rPr>
            </w:pPr>
          </w:p>
        </w:tc>
        <w:tc>
          <w:tcPr>
            <w:tcW w:w="1600" w:type="dxa"/>
            <w:vAlign w:val="bottom"/>
          </w:tcPr>
          <w:p>
            <w:pPr>
              <w:jc w:val="right"/>
              <w:ind w:right="96"/>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IDP revenue decreased for the three months ended January 1, 2022, compared to the three months ended January 2, 2021, primarily due to lower demand for our defense and aerospace products, partially offset by increased demand for our power management products. The lower demand for our defense and aerospace products was due to the timing of programs. The increased demand for our power management products was driven by the migration to smaller and more efficient power solutions.</w:t>
      </w:r>
    </w:p>
    <w:p>
      <w:pPr>
        <w:spacing w:after="0" w:line="21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IDP revenue decreased for the nine months ended January 1, 2022, compared to the nine months ended January 2, 2021, primarily due to lower demand for our base station and defense and aerospace products, partially offset by increased demand for our power management, automotive, broadband and Wi-Fi products. The lower demand for our base station products was attributed to the slower 5G mMIMO deployment in China, and the lower demand for our defense and aerospace products was due to the timing of programs. The increased demand for our power management products was driven by the migration to smaller and more efficient power solutions. The increased demand for our automotive, broadband and Wi-Fi products was driven by the proliferation of connected devices and the increasing requirements for higher efficiency, greater throughput and smaller size.</w:t>
      </w:r>
    </w:p>
    <w:p>
      <w:pPr>
        <w:spacing w:after="0" w:line="19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IDP operating income increased for the three months ended January 1, 2022, compared to the three months ended January 2, 2021, primarily due to favorable changes in gross margin, partially offset by decreased revenue. Gross margin was favorable primarily due to improved product mix, productivity and average selling price expansion.</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IDP operating income decreased for the nine months ended January 1, 2022, compared to the nine months ended January 2, 2021, primarily due to decreased revenue and higher operating expenses, partially offset by favorable changes in gross margin. Operating expenses increased primarily due to increased expenses associated with the design and development of our biotechnology testing solutions as well as the acquisition of United SiC, partially offset by lower incentive-based compensation. Gross margin was favorable primarily due to lower costs from improved factory utilization, average selling price expansion and improved product mix.</w:t>
      </w:r>
    </w:p>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11 of the Notes to Condensed Consolidated Financial Statements for a reconciliation of reportable segment operating income to the consolidated operating income for the three and nine months ended January 1, 2022 and January 2,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OTHER INCOME (EXPENSE) AND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140" w:type="dxa"/>
            <w:vAlign w:val="bottom"/>
            <w:gridSpan w:val="4"/>
          </w:tcPr>
          <w:p>
            <w:pPr>
              <w:ind w:left="860"/>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44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1, 2022</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January 2, 2021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1, 2022</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January 2, 2021</w:t>
            </w:r>
          </w:p>
        </w:tc>
      </w:tr>
      <w:tr>
        <w:trPr>
          <w:trHeight w:val="224"/>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(59,788)</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(58,234)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ind w:left="840"/>
              <w:spacing w:after="0"/>
              <w:rPr>
                <w:sz w:val="20"/>
                <w:szCs w:val="20"/>
                <w:color w:val="auto"/>
              </w:rPr>
            </w:pPr>
            <w:r>
              <w:rPr>
                <w:rFonts w:ascii="Arial" w:cs="Arial" w:eastAsia="Arial" w:hAnsi="Arial"/>
                <w:sz w:val="18"/>
                <w:szCs w:val="18"/>
                <w:color w:val="auto"/>
              </w:rPr>
              <w:t>24,077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(33,177)</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three and nine months ended January 1, 2022, we recorded interest expense primarily related to our 4.375% senior notes due 2029 (the "2029 Notes") and our 3.375% senior notes due 2031 (the "2031 Notes"). During the three and nine months ended January 2, 2021, we recorded interest expense primarily related to our 5.50% senior notes due July 15, 2026 (which were redeemed on October 16, 2020), our 2029 Notes and our 2031 Notes. See Note 7 of the Notes to Condensed Consolidated Financial Statements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 w:lineRule="exact"/>
        <w:rPr>
          <w:sz w:val="20"/>
          <w:szCs w:val="20"/>
          <w:color w:val="auto"/>
        </w:rPr>
      </w:pPr>
    </w:p>
    <w:p>
      <w:pPr>
        <w:ind w:right="380"/>
        <w:spacing w:after="0" w:line="323" w:lineRule="auto"/>
        <w:rPr>
          <w:sz w:val="20"/>
          <w:szCs w:val="20"/>
          <w:color w:val="auto"/>
        </w:rPr>
      </w:pPr>
      <w:r>
        <w:rPr>
          <w:rFonts w:ascii="Arial" w:cs="Arial" w:eastAsia="Arial" w:hAnsi="Arial"/>
          <w:sz w:val="16"/>
          <w:szCs w:val="16"/>
          <w:color w:val="auto"/>
        </w:rPr>
        <w:t>Other income (expense) is primarily related to our share of investments in limited partnerships' earnings, gains (losses) from our other investments and losses on debt extinguishments. See Notes 6 and 7 of the Notes to Condensed Consolidated Financial Statements for additional information.</w:t>
      </w:r>
    </w:p>
    <w:p>
      <w:pPr>
        <w:spacing w:after="0" w:line="16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three months ended January 1, 2022, we recognized a loss on debt extinguishment of $0.7 million in connection with the payment of the remaining principal balance on the 2020 Term Loan (as defined below). During the three months ended January 2, 2021, we recognized total losses on debt extinguishments of $62.0 million primarily related to the redemption on October 16, 2020 of our 5.50% senior notes due July 15, 2026.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three and nine months ended January 1, 2022, we recorded income tax expense of $67.0 million and $112.5 million, respectively, comprised primarily of tax expense related to domestic and international operations generating pre-tax book income and discrete charges recorded during the period, partially offset by tax benefits related to international operations generating pre-tax book losses and domestic tax credits. The discrete tax expense for the three and nine months ended January 1, 2022 primarily related to the revaluation of deferred tax assets due to the extension of the Company’s tax holiday in Singapore through December 31, 2031. The discrete tax expense for the nine months ended January 1, 2022 was partially offset by the recognition of previously unrecognized tax benefits due to the expiration of the statute of limitations, stock-based compensation deductions and net tax benefits associated with other non-recurring restructuring activities, including a discrete charge associated with the intercompany restructuring of the NextInput, Inc. ("NextInput") intellectual property.</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three and nine months ended January 2, 2021, we recorded income tax expense of $22.5 million and $85.7 million, respectively, comprised primarily of tax expense related to international operations generating pre-tax book income and discrete items recorded during the period. The discrete tax expense for the nine months ended January 2, 2021 primarily related to the intercompany restructuring of the intellectual property from the acquisition of Cavendish Kinetics Limited in fiscal 2020, partially offset by discrete tax benefits recognized for stock-based compensation deductions and a retroactive incentive allowing previously non-deductible payments to be amortized.</w:t>
      </w:r>
    </w:p>
    <w:p>
      <w:pPr>
        <w:spacing w:after="0" w:line="21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Cash generated by operations is our primary source of liquidity. As of January 1, 2022, we had working capital of approximately $1,772.4 million, including $988.5 million in cash and cash equivalents, compared to working capital of approximately $1,802.2 million, including $1,397.9 million in cash and cash equivalents as of April 3, 2021.</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$988.5 million of total cash and cash equivalents as of January 1, 2022, includes approximately $674.5 million held by our foreign subsidiaries, of which $543.7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nine months ended January 1, 2022, we repurchased approximately 4.8 million shares of our common stock for approximately $825.4 million, including transaction costs, under our prior and current share repurchase programs. As of January 1, 2022, approximately $1,188.6 million remains available for repurchases under the current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Net cash provided by operating activities was $703.4 million and $898.9 million for the nine months ended January 1, 2022 and January 2, 2021, respectively. This decrease in cash provided by operating activities was primarily due to increased inventory in anticipation of certain customers' product ramps. In addition, the decrease in cash provided by operating activities was impacted by the increase in prepaid expenses and other assets which was primarily due to prepayments of certain fees and deposits associated with a long-term capacity reservation agreement. See Note 9 of the Notes to Condensed Consolidated Financial Statements for additional information regarding this agreement. These decreases to cash flow provided by operating activities were partially offset by increased profitability as a result of demand and revenue growth.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Net cash used in investing activities was $552.2 million for the nine months ended January 1, 2022, compared to $141.3 million for the nine months ended January 2, 2021. This increase in cash used in investing activities was primarily due to the acquisitions of NextInput and United SiC. See Note 4 of the Notes to Condensed Consolidated Financial Statements for additional information regarding our business acquisitions.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cash used in financing activities was $558.5 million and $240.9 million for the nine months ended January 1, 2022 and January 2, 2021, respectively, primarily due to stock repurchases and debt obligation activity. See Notes 7 and 8 of the Notes to Condensed Consolidated Financial Statements for additional information regarding our long-term debt and stock repurchases,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29, 2020, we and certain of our U.S. subsidiaries (the “Guarantors”) entered into a five-year unsecured senior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pursuant to a credit agreement (the “2020 Credit Agreement”) with Bank of America, N.A., acting as administrative agent, and a syndicate of lenders. The 2020 Credit Agreement amended and restated our previous credit agreement dated as of December 5, 2017 (the “2017 Credit Agreement”). The 2020 Credit Agreement includes a senior term loan (the “2020 Term Loan”) of up to $200.0 million and a senior revolving line of credit (the “Revolving Facility”) of up to $300.0 million (collectively the “Credit Facility”).</w:t>
      </w:r>
    </w:p>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the closing date of the 2020 Credit Agreement, we repaid the remaining principal balance of $97.5 million on the previous term loan under the 2017 Credit Agreement and concurrently drew $200.0 million under the 2020 Term Loan.</w:t>
      </w:r>
    </w:p>
    <w:p>
      <w:pPr>
        <w:spacing w:after="0" w:line="19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Pursuant to the 2020 Credit Agreement, we may request one or more additional tranches of term loans or increases to the Revolving Facility, up to an aggregate of $500.0 million and subject to securing additional funding commitments from the existing or new lenders. The Revolving Facility includes a $25.0 million sublimit for the issuance of standby letters of credit and a $10.0 million sublimit for swing line loans. The Credit Facility is available to finance working capital, capital expenditures and other general corporate purposes. On December 14, 2021, we repaid the remaining principal balance of $195.0 million on the 2020 Term Loan, plus accrued and unpaid interest. In connection with the repayment, we recorded a loss on debt extinguishment of $0.7 million in "Other income (expense), net" in the Condensed Consolidated Statements of Income. During the nine months ended January 1, 2022, there were no borrowings under the Revolving Facility.</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2020 Credit Agreement contains various conditions, covenants and representations with which we must be in compliance in order to borrow funds and to avoid an event of default. As of January 1, 2022, we were in compliance with these covenants.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2024 Notes</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14, 2021, we issued $500.0 million aggregate principal amount of our 2024 Notes. Interest on the 2024 Notes is payable on June</w:t>
      </w:r>
      <w:r>
        <w:rPr>
          <w:rFonts w:ascii="Arial" w:cs="Arial" w:eastAsia="Arial" w:hAnsi="Arial"/>
          <w:sz w:val="18"/>
          <w:szCs w:val="18"/>
          <w:i w:val="1"/>
          <w:iCs w:val="1"/>
          <w:color w:val="auto"/>
        </w:rPr>
        <w:t xml:space="preserve"> </w:t>
      </w:r>
      <w:r>
        <w:rPr>
          <w:rFonts w:ascii="Arial" w:cs="Arial" w:eastAsia="Arial" w:hAnsi="Arial"/>
          <w:sz w:val="18"/>
          <w:szCs w:val="18"/>
          <w:color w:val="auto"/>
        </w:rPr>
        <w:t>15 and December 15 of each year at a rate of 1.750% per annum, commencing June 15, 2022. The 2024 Notes will mature on December 15, 2024, unless earlier redeemed in accordance with their terms. The 2024 Notes are senior unsecured obligations of the Company and are guaranteed, jointly and severally, by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u w:val="single" w:color="auto"/>
          <w:color w:val="auto"/>
        </w:rPr>
        <w:t>2029 Notes</w:t>
      </w:r>
      <w:r>
        <w:rPr>
          <w:rFonts w:ascii="Arial" w:cs="Arial" w:eastAsia="Arial" w:hAnsi="Arial"/>
          <w:sz w:val="17"/>
          <w:szCs w:val="17"/>
          <w:i w:val="1"/>
          <w:iCs w:val="1"/>
          <w:color w:val="auto"/>
        </w:rPr>
        <w:t xml:space="preserve"> </w:t>
      </w:r>
      <w:r>
        <w:rPr>
          <w:rFonts w:ascii="Arial" w:cs="Arial" w:eastAsia="Arial" w:hAnsi="Arial"/>
          <w:sz w:val="17"/>
          <w:szCs w:val="17"/>
          <w:color w:val="auto"/>
        </w:rPr>
        <w:t>On September 30, 2019, we issued $350.0 million aggregate principal amount of our senior notes due 2029 (the "Initial 2029 Notes"). On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 2019, and June 11, 2020, we issued an additional $200.0 million and $300.0 million, respectively, aggregate principal amount of such notes (together with the Initial 2029 Notes, the "2029 Notes"). Interest on the 2029 Notes is payable on April 15 and October 15 of each year at a rate of 4.375% per annum. The 2029 Notes will mature on October 15, 2029, unless earlier redeemed in accordance with their terms. The 2029 Notes are senior unsecured obligations of the Company and are guaranteed, jointly and severally, by the Guarantors.</w:t>
      </w:r>
    </w:p>
    <w:p>
      <w:pPr>
        <w:spacing w:after="0" w:line="203"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i w:val="1"/>
          <w:iCs w:val="1"/>
          <w:u w:val="single" w:color="auto"/>
          <w:color w:val="auto"/>
        </w:rPr>
        <w:t>2031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September 29, 2020, we issued $700.0 million aggregate principal amount of our 2031 Notes. Interest on the 2031 Notes is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our long-term debt, see Note 7 of the Notes to Condensed Consolidated Financial Statements.</w:t>
      </w:r>
    </w:p>
    <w:p>
      <w:pPr>
        <w:spacing w:after="0" w:line="239"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January 1, 2022, we had capital commitments of approximately $146.8 million primarily for increasing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expanding capability to support new products, equipment and facility upgrades and cost savings initiatives.</w:t>
      </w:r>
    </w:p>
    <w:p>
      <w:pPr>
        <w:spacing w:after="0" w:line="2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u w:val="single" w:color="auto"/>
          <w:color w:val="auto"/>
        </w:rPr>
        <w:t>Purchase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second quarter ended October 2, 2021, we entered into a long-term capacity agreement with a foundry supplier to reserve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supply capacity. See Note 9 of the Notes to Condensed Consolidated Financial Statements and Part II, Item 1A., "Risk Factors" for additional information regarding our purchase obligations.</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Future Sources of Funding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future capital requirements may differ materially from those currently projected and will depend on many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acceptance of and demand for our products, acquisition opportunities, technological advances and our relationships with suppliers and customers. Based on current and projected levels of cash flow from operations, coupled with our existing cash, cash equivalents and our Credit Facility, we believe that we have sufficient liquidity to meet both our short-term and long-term cash requirements. However, if there is a significant decrease in demand for our products, or in the event that growth is faster than we anticipate, operating cash flows may be insufficient to meet our needs. If our existing liquidity is not sufficient to meet our future requirements or if we perceive conditions to be favorable, we may seek additional debt or equity financing which could be dilutive to existing holders of our common stock. Furthermore, we cannot be certain that any additional debt or equity financing, if required, will be available on favorable terms, if at all.</w:t>
      </w:r>
    </w:p>
    <w:p>
      <w:pPr>
        <w:spacing w:after="0" w:line="21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We</w:t>
      </w:r>
      <w:r>
        <w:rPr>
          <w:rFonts w:ascii="Arial" w:cs="Arial" w:eastAsia="Arial" w:hAnsi="Arial"/>
          <w:sz w:val="18"/>
          <w:szCs w:val="18"/>
          <w:i w:val="1"/>
          <w:iCs w:val="1"/>
          <w:color w:val="auto"/>
        </w:rPr>
        <w:t xml:space="preserve"> </w:t>
      </w:r>
      <w:r>
        <w:rPr>
          <w:rFonts w:ascii="Arial" w:cs="Arial" w:eastAsia="Arial" w:hAnsi="Arial"/>
          <w:sz w:val="18"/>
          <w:szCs w:val="18"/>
          <w:color w:val="auto"/>
        </w:rPr>
        <w:t>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The aggregate range of reasonably possible losses in excess of accrued liabilities, if any, associated with these unresolved legal matters is not material.</w:t>
      </w:r>
    </w:p>
    <w:p>
      <w:pPr>
        <w:spacing w:after="0" w:line="22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PARENT AND GUARANTOR FINANCIAL INFORMATION</w:t>
      </w:r>
    </w:p>
    <w:p>
      <w:pPr>
        <w:spacing w:after="0" w:line="25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accordance with the indentures governing the 2024 Notes, the 2029 Notes and the 2031 Notes (together, the "Notes"), our obligations under the Notes are fully and unconditionally guaranteed on a joint and several unsecured basis by the Guarantors, which are listed on Exhibit 22 to this Quarterly Report on Form 10-Q.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2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presents summarized financial information for the Parent and the Guarantors on a combined basis as of and for the periods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Summarized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1, 2022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3, 2021</w:t>
            </w:r>
          </w:p>
        </w:tc>
        <w:tc>
          <w:tcPr>
            <w:tcW w:w="0" w:type="dxa"/>
            <w:vAlign w:val="bottom"/>
          </w:tcPr>
          <w:p>
            <w:pPr>
              <w:spacing w:after="0"/>
              <w:rPr>
                <w:sz w:val="1"/>
                <w:szCs w:val="1"/>
                <w:color w:val="auto"/>
              </w:rPr>
            </w:pPr>
          </w:p>
        </w:tc>
      </w:tr>
      <w:tr>
        <w:trPr>
          <w:trHeight w:val="22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from Non-Guarantors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316,520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633,722</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1,143,086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2,649,389</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2,450,960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216,041</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Non-Guarantors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604,975</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2,190,762</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1,855,343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2,795,737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2,250,666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Summarized Statement of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1"/>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January 1, 2022</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2"/>
              </w:rPr>
              <w:t>840,888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ind w:left="820"/>
              <w:spacing w:after="0"/>
              <w:rPr>
                <w:sz w:val="20"/>
                <w:szCs w:val="20"/>
                <w:color w:val="auto"/>
              </w:rPr>
            </w:pPr>
            <w:r>
              <w:rPr>
                <w:rFonts w:ascii="Arial" w:cs="Arial" w:eastAsia="Arial" w:hAnsi="Arial"/>
                <w:sz w:val="18"/>
                <w:szCs w:val="18"/>
                <w:color w:val="auto"/>
                <w:w w:val="92"/>
              </w:rPr>
              <w:t>200,037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2"/>
              </w:rPr>
              <w:t>(55,024)</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w w:val="92"/>
              </w:rPr>
              <w:t>(55,024)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There have been no material changes to our market risk exposures during the third quarter of fiscal 2022. For a discussion of our exposure to market risk, refer to Item 7A, “Quantitative and Qualitative Disclosures About Market Risk,” contained in Qorvo's Annual Report on Form 10-K for the fiscal year ended April 3,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January 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than the risk factor set forth below, there have been no material changes to the risk factors identified in Part I, Item 1A., "Risk Factors" in Qorvo's Annual Report on Form 10-K for the fiscal year ended April 3,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third parties.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purchase numerous component parts, substrates and silicon-based products from external suppliers. We also utilize third-party suppliers for numerous services, including die processing, wafer bumping, test and tape and reel. The use of external suppliers involves a number of risks, including the possibility of material disruptions in the supply of key components and the lack of control over delivery schedules, capacity constraints, manufacturing yields, product quality and cost increases. Furthermore, the COVID-19 pandemic has created heightened risk that external suppliers may be unable to meet their obligations to us. If we experience any significant difficulty in obtaining the materials or services used in the conduct of our business, these supply challenges may limit our ability to fully satisfy customer demand.</w:t>
      </w:r>
    </w:p>
    <w:p>
      <w:pPr>
        <w:spacing w:after="0" w:line="21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Amidst ongoing industry-wide supply constraints, we entered into a capacity reservation agreement with a foundry supplier during the second quarter ended October 2, 2021. Under the agreement we are required to purchase, and the supplier is required to supply, a certain number of wafers for calendar years 2022 through 2025. See Note 9 of the Notes to Condensed Consolidated Financial Statements for additional information. If our actual wafer requirements are less than the number of wafers required to meet the applicable wafer purchase requirements, we could have excess inventory or higher inventory unit costs, both of which may adversely impact our gross margin and our results of operations. Additionally, the agreement sets forth pricing for wafer purchases pursuant to the agreement through 2025. If market conditions change and wafer prices in the market decrease significantly below what is contemplated in the agreement, the agreement may put us at a competitive disadvantage relative to our competitors.</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Even with long-term supply agreements, we are still subject to risks that a supplier will be unable to meet its supply commitments, achieve anticipated manufacturing yields, produce wafers on a timely basis, or provide additional wafer capacity beyond its current contractual commitments sufficient to meet our supply needs. If so, we may experience delays in product launches or supply shortages for certain products, which could cause an unanticipated decline in our sales and damage our existing customer relationships and our ability to establish new customer relationships. In addition, if a supplier experiences financial difficulties or goes into bankruptcy, it could be difficult or impossible, or may require substantial time and expense, for us to recover any or all of our fees and deposits made as part of any long-term agreement.</w:t>
      </w:r>
    </w:p>
    <w:p>
      <w:pPr>
        <w:spacing w:after="0" w:line="20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Although our key suppliers commit to us to be compliant with applicable ISO 9001 and/or TS-16949 quality standards, we have experienced quality and reliability issues with suppliers in the past. Quality or reliability issues in our supply chain could negatively affect our products, our reputation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Total number of shares</w:t>
            </w:r>
          </w:p>
        </w:tc>
        <w:tc>
          <w:tcPr>
            <w:tcW w:w="3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156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w w:val="94"/>
              </w:rPr>
              <w:t>Average price paid</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purchased as part of publicly</w:t>
            </w: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Approximate dollar value of shares</w:t>
            </w:r>
          </w:p>
        </w:tc>
        <w:tc>
          <w:tcPr>
            <w:tcW w:w="0" w:type="dxa"/>
            <w:vAlign w:val="bottom"/>
          </w:tcPr>
          <w:p>
            <w:pPr>
              <w:spacing w:after="0"/>
              <w:rPr>
                <w:sz w:val="1"/>
                <w:szCs w:val="1"/>
                <w:color w:val="auto"/>
              </w:rPr>
            </w:pPr>
          </w:p>
        </w:tc>
      </w:tr>
      <w:tr>
        <w:trPr>
          <w:trHeight w:val="162"/>
        </w:trPr>
        <w:tc>
          <w:tcPr>
            <w:tcW w:w="33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Period</w:t>
            </w: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 xml:space="preserve">shares purchased </w:t>
            </w:r>
            <w:r>
              <w:rPr>
                <w:rFonts w:ascii="Arial" w:cs="Arial" w:eastAsia="Arial" w:hAnsi="Arial"/>
                <w:sz w:val="12"/>
                <w:szCs w:val="12"/>
                <w:b w:val="1"/>
                <w:bCs w:val="1"/>
                <w:color w:val="auto"/>
                <w:w w:val="88"/>
              </w:rPr>
              <w:t>(in</w:t>
            </w:r>
          </w:p>
        </w:tc>
        <w:tc>
          <w:tcPr>
            <w:tcW w:w="1560" w:type="dxa"/>
            <w:vAlign w:val="bottom"/>
            <w:gridSpan w:val="3"/>
            <w:vMerge w:val="continue"/>
          </w:tcPr>
          <w:p>
            <w:pPr>
              <w:spacing w:after="0"/>
              <w:rPr>
                <w:sz w:val="14"/>
                <w:szCs w:val="14"/>
                <w:color w:val="auto"/>
              </w:rPr>
            </w:pPr>
          </w:p>
        </w:tc>
        <w:tc>
          <w:tcPr>
            <w:tcW w:w="21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258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0"/>
              </w:rPr>
              <w:t>that may yet be purchased under the</w:t>
            </w:r>
          </w:p>
        </w:tc>
        <w:tc>
          <w:tcPr>
            <w:tcW w:w="0" w:type="dxa"/>
            <w:vAlign w:val="bottom"/>
          </w:tcPr>
          <w:p>
            <w:pPr>
              <w:spacing w:after="0"/>
              <w:rPr>
                <w:sz w:val="1"/>
                <w:szCs w:val="1"/>
                <w:color w:val="auto"/>
              </w:rPr>
            </w:pPr>
          </w:p>
        </w:tc>
      </w:tr>
      <w:tr>
        <w:trPr>
          <w:trHeight w:val="176"/>
        </w:trPr>
        <w:tc>
          <w:tcPr>
            <w:tcW w:w="3320" w:type="dxa"/>
            <w:vAlign w:val="bottom"/>
            <w:gridSpan w:val="2"/>
            <w:vMerge w:val="continue"/>
          </w:tcPr>
          <w:p>
            <w:pPr>
              <w:spacing w:after="0"/>
              <w:rPr>
                <w:sz w:val="15"/>
                <w:szCs w:val="15"/>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thousands)</w:t>
            </w:r>
          </w:p>
        </w:tc>
        <w:tc>
          <w:tcPr>
            <w:tcW w:w="260" w:type="dxa"/>
            <w:vAlign w:val="bottom"/>
          </w:tcPr>
          <w:p>
            <w:pPr>
              <w:spacing w:after="0"/>
              <w:rPr>
                <w:sz w:val="15"/>
                <w:szCs w:val="15"/>
                <w:color w:val="auto"/>
              </w:rPr>
            </w:pPr>
          </w:p>
        </w:tc>
        <w:tc>
          <w:tcPr>
            <w:tcW w:w="1300" w:type="dxa"/>
            <w:vAlign w:val="bottom"/>
            <w:gridSpan w:val="2"/>
          </w:tcPr>
          <w:p>
            <w:pPr>
              <w:ind w:left="140"/>
              <w:spacing w:after="0" w:line="175" w:lineRule="exact"/>
              <w:rPr>
                <w:sz w:val="20"/>
                <w:szCs w:val="20"/>
                <w:color w:val="auto"/>
              </w:rPr>
            </w:pPr>
            <w:r>
              <w:rPr>
                <w:rFonts w:ascii="Arial" w:cs="Arial" w:eastAsia="Arial" w:hAnsi="Arial"/>
                <w:sz w:val="16"/>
                <w:szCs w:val="16"/>
                <w:b w:val="1"/>
                <w:bCs w:val="1"/>
                <w:color w:val="auto"/>
              </w:rPr>
              <w:t>per share</w:t>
            </w:r>
          </w:p>
        </w:tc>
        <w:tc>
          <w:tcPr>
            <w:tcW w:w="218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91"/>
              </w:rPr>
              <w:t xml:space="preserve">programs </w:t>
            </w:r>
            <w:r>
              <w:rPr>
                <w:rFonts w:ascii="Arial" w:cs="Arial" w:eastAsia="Arial" w:hAnsi="Arial"/>
                <w:sz w:val="12"/>
                <w:szCs w:val="12"/>
                <w:b w:val="1"/>
                <w:bCs w:val="1"/>
                <w:color w:val="auto"/>
                <w:w w:val="91"/>
              </w:rPr>
              <w:t>(in thousands)</w:t>
            </w:r>
          </w:p>
        </w:tc>
        <w:tc>
          <w:tcPr>
            <w:tcW w:w="380" w:type="dxa"/>
            <w:vAlign w:val="bottom"/>
          </w:tcPr>
          <w:p>
            <w:pPr>
              <w:spacing w:after="0"/>
              <w:rPr>
                <w:sz w:val="15"/>
                <w:szCs w:val="15"/>
                <w:color w:val="auto"/>
              </w:rPr>
            </w:pPr>
          </w:p>
        </w:tc>
        <w:tc>
          <w:tcPr>
            <w:tcW w:w="2200" w:type="dxa"/>
            <w:vAlign w:val="bottom"/>
          </w:tcPr>
          <w:p>
            <w:pPr>
              <w:jc w:val="right"/>
              <w:ind w:right="572"/>
              <w:spacing w:after="0" w:line="175" w:lineRule="exact"/>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3, 2021 to October 30, 2021</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165.53</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 million</w:t>
            </w: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October 31, 2021 to November 27, 2021</w:t>
            </w:r>
          </w:p>
        </w:tc>
        <w:tc>
          <w:tcPr>
            <w:tcW w:w="144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157.55</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1,349.7 million</w:t>
            </w: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28, 2021 to January 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152.02</w:t>
            </w:r>
          </w:p>
        </w:tc>
        <w:tc>
          <w:tcPr>
            <w:tcW w:w="10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 million</w:t>
            </w:r>
          </w:p>
        </w:tc>
        <w:tc>
          <w:tcPr>
            <w:tcW w:w="0" w:type="dxa"/>
            <w:vAlign w:val="bottom"/>
          </w:tcPr>
          <w:p>
            <w:pPr>
              <w:spacing w:after="0"/>
              <w:rPr>
                <w:sz w:val="1"/>
                <w:szCs w:val="1"/>
                <w:color w:val="auto"/>
              </w:rPr>
            </w:pPr>
          </w:p>
        </w:tc>
      </w:tr>
      <w:tr>
        <w:trPr>
          <w:trHeight w:val="223"/>
        </w:trPr>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 million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May 5, 2021, we announced that our Board of Directors authorized a new share repurchase program to repurchase up to $2.0 billion of our outstanding common stock, which included approximately $236.9 million authorized under the prior program terminated concurrent with the new authorization. Under this current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600" w:right="140" w:hanging="314"/>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 </w:t>
      </w:r>
      <w:hyperlink r:id="rId47">
        <w:r>
          <w:rPr>
            <w:rFonts w:ascii="Arial" w:cs="Arial" w:eastAsia="Arial" w:hAnsi="Arial"/>
            <w:sz w:val="17"/>
            <w:szCs w:val="17"/>
            <w:u w:val="single" w:color="auto"/>
            <w:color w:val="0000FF"/>
          </w:rPr>
          <w:t>Indenture, dated as of December 14, 2021, among Qorvo, Inc., the Guarantors party thereto and Computershare Trust Company, N.A., as Trustee</w:t>
        </w:r>
      </w:hyperlink>
      <w:r>
        <w:rPr>
          <w:rFonts w:ascii="Arial" w:cs="Arial" w:eastAsia="Arial" w:hAnsi="Arial"/>
          <w:sz w:val="17"/>
          <w:szCs w:val="17"/>
          <w:color w:val="auto"/>
        </w:rPr>
        <w:t xml:space="preserve"> </w:t>
      </w:r>
      <w:hyperlink r:id="rId47">
        <w:r>
          <w:rPr>
            <w:rFonts w:ascii="Arial" w:cs="Arial" w:eastAsia="Arial" w:hAnsi="Arial"/>
            <w:sz w:val="17"/>
            <w:szCs w:val="17"/>
            <w:u w:val="single" w:color="auto"/>
            <w:color w:val="0000FF"/>
          </w:rPr>
          <w:t>(incorporated by reference to Exhibit 4.1 to the Current Report on Form 8-K filed with the SEC on December 14, 2021)</w:t>
        </w:r>
      </w:hyperlink>
    </w:p>
    <w:p>
      <w:pPr>
        <w:spacing w:after="0" w:line="241" w:lineRule="exact"/>
        <w:rPr>
          <w:sz w:val="20"/>
          <w:szCs w:val="20"/>
          <w:color w:val="auto"/>
        </w:rPr>
      </w:pPr>
    </w:p>
    <w:p>
      <w:pPr>
        <w:ind w:left="600" w:right="80" w:hanging="314"/>
        <w:spacing w:after="0" w:line="25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48">
        <w:r>
          <w:rPr>
            <w:rFonts w:ascii="Arial" w:cs="Arial" w:eastAsia="Arial" w:hAnsi="Arial"/>
            <w:sz w:val="18"/>
            <w:szCs w:val="18"/>
            <w:u w:val="single" w:color="auto"/>
            <w:color w:val="0000FF"/>
          </w:rPr>
          <w:t>Registration Rights Agreement, dated as of December 14, 2021, by and among Qorvo, Inc., the Guarantors named therein and BofA Securities,</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FF"/>
          </w:rPr>
          <w:t>Inc., as representative of the several Initial Purchasers named therein (incorporated by reference to Exhibit 4.2 to the Current Report on Form 8-K</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filed with the SEC on December 14, 2021)</w:t>
        </w:r>
      </w:hyperlink>
    </w:p>
    <w:p>
      <w:pPr>
        <w:spacing w:after="0" w:line="215" w:lineRule="exact"/>
        <w:rPr>
          <w:rFonts w:ascii="Arial" w:cs="Arial" w:eastAsia="Arial" w:hAnsi="Arial"/>
          <w:sz w:val="18"/>
          <w:szCs w:val="18"/>
          <w:color w:val="auto"/>
        </w:rPr>
      </w:pPr>
    </w:p>
    <w:p>
      <w:pPr>
        <w:ind w:left="600" w:hanging="277"/>
        <w:spacing w:after="0"/>
        <w:tabs>
          <w:tab w:leader="none" w:pos="600" w:val="left"/>
        </w:tabs>
        <w:numPr>
          <w:ilvl w:val="0"/>
          <w:numId w:val="9"/>
        </w:numPr>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List of Subsidiary Guarantors</w:t>
        </w:r>
      </w:hyperlink>
    </w:p>
    <w:p>
      <w:pPr>
        <w:spacing w:after="0" w:line="239" w:lineRule="exact"/>
        <w:rPr>
          <w:rFonts w:ascii="Arial" w:cs="Arial" w:eastAsia="Arial" w:hAnsi="Arial"/>
          <w:sz w:val="18"/>
          <w:szCs w:val="18"/>
          <w:color w:val="auto"/>
        </w:rPr>
      </w:pPr>
    </w:p>
    <w:p>
      <w:pPr>
        <w:ind w:left="600" w:right="14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31.1 </w:t>
      </w:r>
      <w:hyperlink w:anchor="page37">
        <w:r>
          <w:rPr>
            <w:rFonts w:ascii="Arial" w:cs="Arial" w:eastAsia="Arial" w:hAnsi="Arial"/>
            <w:sz w:val="18"/>
            <w:szCs w:val="18"/>
            <w:u w:val="single" w:color="auto"/>
            <w:color w:val="0000FF"/>
          </w:rPr>
          <w:t>Certification of Periodic Report by Robert A. Bruggeworth, as Chief Executive Officer, pursuant to Rule 13a-14(a) or 15d-14(a) of the Exchange</w:t>
        </w:r>
      </w:hyperlink>
      <w:r>
        <w:rPr>
          <w:rFonts w:ascii="Arial" w:cs="Arial" w:eastAsia="Arial" w:hAnsi="Arial"/>
          <w:sz w:val="18"/>
          <w:szCs w:val="18"/>
          <w:color w:val="auto"/>
        </w:rPr>
        <w:t xml:space="preserve"> </w:t>
      </w:r>
      <w:hyperlink w:anchor="page37">
        <w:r>
          <w:rPr>
            <w:rFonts w:ascii="Arial" w:cs="Arial" w:eastAsia="Arial" w:hAnsi="Arial"/>
            <w:sz w:val="18"/>
            <w:szCs w:val="18"/>
            <w:u w:val="single" w:color="auto"/>
            <w:color w:val="0000FF"/>
          </w:rPr>
          <w:t>Act, as adopted pursuant to Section 302 of the Sarbanes-Oxley Act of 2002</w:t>
        </w:r>
      </w:hyperlink>
    </w:p>
    <w:p>
      <w:pPr>
        <w:spacing w:after="0" w:line="216" w:lineRule="exact"/>
        <w:rPr>
          <w:sz w:val="20"/>
          <w:szCs w:val="20"/>
          <w:color w:val="auto"/>
        </w:rPr>
      </w:pPr>
    </w:p>
    <w:p>
      <w:pPr>
        <w:ind w:left="600" w:right="18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31.2 </w:t>
      </w:r>
      <w:hyperlink w:anchor="page38">
        <w:r>
          <w:rPr>
            <w:rFonts w:ascii="Arial" w:cs="Arial" w:eastAsia="Arial" w:hAnsi="Arial"/>
            <w:sz w:val="18"/>
            <w:szCs w:val="18"/>
            <w:u w:val="single" w:color="auto"/>
            <w:color w:val="0000FF"/>
          </w:rPr>
          <w:t>Certification of Periodic Report by Mark J. Murphy, as Chief Financial Officer, pursuant to Rule 13a-14(a) or 15d-14(a) of the Exchange Act, as</w:t>
        </w:r>
      </w:hyperlink>
      <w:r>
        <w:rPr>
          <w:rFonts w:ascii="Arial" w:cs="Arial" w:eastAsia="Arial" w:hAnsi="Arial"/>
          <w:sz w:val="18"/>
          <w:szCs w:val="18"/>
          <w:color w:val="auto"/>
        </w:rPr>
        <w:t xml:space="preserve"> </w:t>
      </w:r>
      <w:hyperlink w:anchor="page38">
        <w:r>
          <w:rPr>
            <w:rFonts w:ascii="Arial" w:cs="Arial" w:eastAsia="Arial" w:hAnsi="Arial"/>
            <w:sz w:val="18"/>
            <w:szCs w:val="18"/>
            <w:u w:val="single" w:color="auto"/>
            <w:color w:val="0000FF"/>
          </w:rPr>
          <w:t>adopted pursuant to Section 302 of the Sarbanes-Oxley Act of 2002</w:t>
        </w:r>
      </w:hyperlink>
    </w:p>
    <w:p>
      <w:pPr>
        <w:spacing w:after="0" w:line="216" w:lineRule="exact"/>
        <w:rPr>
          <w:sz w:val="20"/>
          <w:szCs w:val="20"/>
          <w:color w:val="auto"/>
        </w:rPr>
      </w:pPr>
    </w:p>
    <w:p>
      <w:pPr>
        <w:ind w:left="600" w:right="16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32.1 </w:t>
      </w:r>
      <w:hyperlink w:anchor="page39">
        <w:r>
          <w:rPr>
            <w:rFonts w:ascii="Arial" w:cs="Arial" w:eastAsia="Arial" w:hAnsi="Arial"/>
            <w:sz w:val="18"/>
            <w:szCs w:val="18"/>
            <w:u w:val="single" w:color="auto"/>
            <w:color w:val="0000FF"/>
          </w:rPr>
          <w:t>Certification of Periodic Report by Robert A. Bruggeworth, as Chief Executive Officer, pursuant to 18 U.S.C. Section 1350, as adopted pursuant</w:t>
        </w:r>
      </w:hyperlink>
      <w:r>
        <w:rPr>
          <w:rFonts w:ascii="Arial" w:cs="Arial" w:eastAsia="Arial" w:hAnsi="Arial"/>
          <w:sz w:val="18"/>
          <w:szCs w:val="18"/>
          <w:color w:val="auto"/>
        </w:rPr>
        <w:t xml:space="preserve"> </w:t>
      </w:r>
      <w:hyperlink w:anchor="page39">
        <w:r>
          <w:rPr>
            <w:rFonts w:ascii="Arial" w:cs="Arial" w:eastAsia="Arial" w:hAnsi="Arial"/>
            <w:sz w:val="18"/>
            <w:szCs w:val="18"/>
            <w:u w:val="single" w:color="auto"/>
            <w:color w:val="0000FF"/>
          </w:rPr>
          <w:t>to Section 906 of the Sarbanes-Oxley Act of 2002</w:t>
        </w:r>
      </w:hyperlink>
    </w:p>
    <w:p>
      <w:pPr>
        <w:spacing w:after="0" w:line="216" w:lineRule="exact"/>
        <w:rPr>
          <w:sz w:val="20"/>
          <w:szCs w:val="20"/>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 xml:space="preserve">32.2 </w:t>
      </w:r>
      <w:hyperlink w:anchor="page40">
        <w:r>
          <w:rPr>
            <w:rFonts w:ascii="Arial" w:cs="Arial" w:eastAsia="Arial" w:hAnsi="Arial"/>
            <w:sz w:val="16"/>
            <w:szCs w:val="16"/>
            <w:u w:val="single" w:color="auto"/>
            <w:color w:val="0000FF"/>
          </w:rPr>
          <w:t>Certification of Periodic Report by Mark J. Murphy, as Chief Financial Officer, pursuant to 18 U.S.C. Section 1350, as adopted pursuant to Section</w:t>
        </w:r>
      </w:hyperlink>
    </w:p>
    <w:p>
      <w:pPr>
        <w:spacing w:after="0" w:line="8" w:lineRule="exact"/>
        <w:rPr>
          <w:sz w:val="20"/>
          <w:szCs w:val="20"/>
          <w:color w:val="auto"/>
        </w:rPr>
      </w:pPr>
    </w:p>
    <w:p>
      <w:pPr>
        <w:ind w:left="6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906 of the Sarbanes-Oxley Act of 2002</w:t>
        </w:r>
      </w:hyperlink>
    </w:p>
    <w:p>
      <w:pPr>
        <w:spacing w:after="0" w:line="223" w:lineRule="exact"/>
        <w:rPr>
          <w:sz w:val="20"/>
          <w:szCs w:val="20"/>
          <w:color w:val="auto"/>
        </w:rPr>
      </w:pPr>
    </w:p>
    <w:p>
      <w:pPr>
        <w:ind w:left="600" w:right="200" w:hanging="367"/>
        <w:spacing w:after="0" w:line="249"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materials from our Quarterly Report on Form 10-Q for the quarter ended January 1, 2022, formatted in iXBRL (Inline eXtensible Business Reporting Language): (i) the Condensed Consolidated Balance Sheets; (ii) the Condensed Consolidated Statements of Income; (iii) the Condensed Consolidated Statements of Comprehensive Income; (iv) the Condensed Consolidated Statements of Stockholders' Equity; (v) the Condensed Consolidated Statements of Cash Flows; and (vi) the Notes to Condensed Consolidated Financial Statements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104 The cover page from our Quarterly Report on Form 10-Q for the quarter ended January 1, 2022, formatted in iXBRL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Qorvo, Inc.</w:t>
            </w:r>
          </w:p>
        </w:tc>
      </w:tr>
      <w:tr>
        <w:trPr>
          <w:trHeight w:val="418"/>
        </w:trPr>
        <w:tc>
          <w:tcPr>
            <w:tcW w:w="5460" w:type="dxa"/>
            <w:vAlign w:val="bottom"/>
          </w:tcPr>
          <w:p>
            <w:pPr>
              <w:spacing w:after="0"/>
              <w:rPr>
                <w:sz w:val="20"/>
                <w:szCs w:val="20"/>
                <w:color w:val="auto"/>
              </w:rPr>
            </w:pPr>
            <w:r>
              <w:rPr>
                <w:rFonts w:ascii="Arial" w:cs="Arial" w:eastAsia="Arial" w:hAnsi="Arial"/>
                <w:sz w:val="18"/>
                <w:szCs w:val="18"/>
                <w:color w:val="auto"/>
              </w:rPr>
              <w:t>Date:  February 3, 2022</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Murphy</w:t>
            </w:r>
          </w:p>
        </w:tc>
      </w:tr>
      <w:tr>
        <w:trPr>
          <w:trHeight w:val="222"/>
        </w:trPr>
        <w:tc>
          <w:tcPr>
            <w:tcW w:w="54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Mark J. Murphy</w:t>
            </w:r>
          </w:p>
        </w:tc>
      </w:tr>
      <w:tr>
        <w:trPr>
          <w:trHeight w:val="230"/>
        </w:trPr>
        <w:tc>
          <w:tcPr>
            <w:tcW w:w="546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20"/>
          </w:cols>
          <w:pgMar w:left="320" w:top="121" w:right="8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22</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List of Subsidiary Guarantors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1.750% Senior Notes due 2024, the 4.375% Senior Notes due 2029 and the 3.375% Senior Notes due 2031 are guaranteed, jointly and severally, on an unsecured basis, by the following 100% owned subsidiaries of Qorvo, Inc., a Delaware corporation, as of January 1, 2022:</w:t>
      </w:r>
    </w:p>
    <w:p>
      <w:pPr>
        <w:spacing w:after="0" w:line="219" w:lineRule="exact"/>
        <w:rPr>
          <w:sz w:val="20"/>
          <w:szCs w:val="20"/>
          <w:color w:val="auto"/>
        </w:rPr>
      </w:pPr>
    </w:p>
    <w:tbl>
      <w:tblPr>
        <w:tblLayout w:type="fixed"/>
        <w:tblInd w:w="1550" w:type="dxa"/>
        <w:tblCellMar>
          <w:top w:w="0" w:type="dxa"/>
          <w:left w:w="0" w:type="dxa"/>
          <w:bottom w:w="0" w:type="dxa"/>
          <w:right w:w="0" w:type="dxa"/>
        </w:tblCellMar>
      </w:tblPr>
      <w:tr>
        <w:trPr>
          <w:trHeight w:val="238"/>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Arial" w:cs="Arial" w:eastAsia="Arial" w:hAnsi="Arial"/>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Jurisdiction of</w:t>
            </w:r>
          </w:p>
        </w:tc>
      </w:tr>
      <w:tr>
        <w:trPr>
          <w:trHeight w:val="266"/>
        </w:trPr>
        <w:tc>
          <w:tcPr>
            <w:tcW w:w="42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North Carolina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California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Texas</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Oregon</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160"/>
          </w:cols>
          <w:pgMar w:left="320" w:top="1417"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60" w:firstLine="8"/>
        <w:spacing w:after="0" w:line="342" w:lineRule="auto"/>
        <w:tabs>
          <w:tab w:leader="none" w:pos="6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0" w:firstLine="8"/>
        <w:spacing w:after="0" w:line="27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0" w:firstLine="8"/>
        <w:spacing w:after="0" w:line="263"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20" w:hanging="4"/>
        <w:spacing w:after="0" w:line="263" w:lineRule="auto"/>
        <w:tabs>
          <w:tab w:leader="none" w:pos="12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hanging="4"/>
        <w:spacing w:after="0" w:line="263"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180" w:hanging="4"/>
        <w:spacing w:after="0" w:line="342" w:lineRule="auto"/>
        <w:tabs>
          <w:tab w:leader="none" w:pos="129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60" w:hanging="4"/>
        <w:spacing w:after="0" w:line="263"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20" w:firstLine="8"/>
        <w:spacing w:after="0" w:line="308" w:lineRule="auto"/>
        <w:tabs>
          <w:tab w:leader="none" w:pos="64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00" w:hanging="4"/>
        <w:spacing w:after="0" w:line="308" w:lineRule="auto"/>
        <w:tabs>
          <w:tab w:leader="none" w:pos="1299"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100" w:hanging="4"/>
        <w:spacing w:after="0" w:line="277"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February 3, 2022</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3056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Robert A. Bruggeworth</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891"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5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220" w:firstLine="8"/>
        <w:spacing w:after="0" w:line="342" w:lineRule="auto"/>
        <w:tabs>
          <w:tab w:leader="none" w:pos="3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380" w:firstLine="8"/>
        <w:spacing w:after="0" w:line="277"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40" w:firstLine="8"/>
        <w:spacing w:after="0" w:line="263" w:lineRule="auto"/>
        <w:tabs>
          <w:tab w:leader="none" w:pos="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520" w:hanging="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hanging="4"/>
        <w:spacing w:after="0" w:line="263" w:lineRule="auto"/>
        <w:tabs>
          <w:tab w:leader="none" w:pos="9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120" w:firstLine="8"/>
        <w:spacing w:after="0" w:line="308" w:lineRule="auto"/>
        <w:tabs>
          <w:tab w:leader="none" w:pos="31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760" w:hanging="4"/>
        <w:spacing w:after="0" w:line="308" w:lineRule="auto"/>
        <w:tabs>
          <w:tab w:leader="none" w:pos="97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440" w:hanging="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February 3, 2022</w:t>
      </w:r>
    </w:p>
    <w:p>
      <w:pPr>
        <w:spacing w:after="0" w:line="200" w:lineRule="exact"/>
        <w:rPr>
          <w:sz w:val="20"/>
          <w:szCs w:val="20"/>
          <w:color w:val="auto"/>
        </w:rPr>
      </w:pPr>
    </w:p>
    <w:p>
      <w:pPr>
        <w:spacing w:after="0" w:line="2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7171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Mark J. Murphy</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891" w:right="379" w:bottom="1440" w:gutter="0" w:footer="0" w:header="0"/>
        </w:sectPr>
      </w:pPr>
    </w:p>
    <w:bookmarkStart w:id="38" w:name="page39"/>
    <w:bookmarkEnd w:id="38"/>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575310</wp:posOffset>
            </wp:positionV>
            <wp:extent cx="7136130" cy="4367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6130" cy="4367530"/>
                    </a:xfrm>
                    <a:prstGeom prst="rect">
                      <a:avLst/>
                    </a:prstGeom>
                    <a:noFill/>
                  </pic:spPr>
                </pic:pic>
              </a:graphicData>
            </a:graphic>
          </wp:anchor>
        </w:drawing>
      </w:r>
    </w:p>
    <w:p>
      <w:pPr>
        <w:ind w:left="3"/>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86" w:lineRule="exact"/>
        <w:rPr>
          <w:sz w:val="20"/>
          <w:szCs w:val="20"/>
          <w:color w:val="auto"/>
        </w:rPr>
      </w:pPr>
    </w:p>
    <w:p>
      <w:pPr>
        <w:ind w:left="3"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ind w:left="3"/>
        <w:spacing w:after="0"/>
        <w:rPr>
          <w:sz w:val="20"/>
          <w:szCs w:val="20"/>
          <w:color w:val="auto"/>
        </w:rPr>
      </w:pPr>
      <w:r>
        <w:rPr>
          <w:rFonts w:ascii="Arial" w:cs="Arial" w:eastAsia="Arial" w:hAnsi="Arial"/>
          <w:sz w:val="18"/>
          <w:szCs w:val="18"/>
          <w:color w:val="auto"/>
        </w:rPr>
        <w:t>I, Robert A. Bruggeworth, President and Chief Executive Officer of Qorvo, Inc. (the “Company”), certify pursuant to</w:t>
      </w:r>
    </w:p>
    <w:p>
      <w:pPr>
        <w:spacing w:after="0" w:line="39" w:lineRule="exact"/>
        <w:rPr>
          <w:sz w:val="20"/>
          <w:szCs w:val="20"/>
          <w:color w:val="auto"/>
        </w:rPr>
      </w:pPr>
    </w:p>
    <w:p>
      <w:pPr>
        <w:ind w:left="3"/>
        <w:spacing w:after="0"/>
        <w:rPr>
          <w:sz w:val="20"/>
          <w:szCs w:val="20"/>
          <w:color w:val="auto"/>
        </w:rPr>
      </w:pPr>
      <w:r>
        <w:rPr>
          <w:rFonts w:ascii="Arial" w:cs="Arial" w:eastAsia="Arial" w:hAnsi="Arial"/>
          <w:sz w:val="20"/>
          <w:szCs w:val="20"/>
          <w:color w:val="auto"/>
        </w:rPr>
        <w:t>Section 906 of the Sarbanes-Oxley Act of 2002, 18 U.S.C. Section 1350, that, to my knowledge:</w:t>
      </w:r>
    </w:p>
    <w:p>
      <w:pPr>
        <w:spacing w:after="0" w:line="227" w:lineRule="exact"/>
        <w:rPr>
          <w:sz w:val="20"/>
          <w:szCs w:val="20"/>
          <w:color w:val="auto"/>
        </w:rPr>
      </w:pPr>
    </w:p>
    <w:p>
      <w:pPr>
        <w:ind w:left="643" w:right="160" w:hanging="643"/>
        <w:spacing w:after="0" w:line="250" w:lineRule="auto"/>
        <w:tabs>
          <w:tab w:leader="none" w:pos="423"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January 1, 2022 (the “Report”) fully complies with the requirements of Section 13(a) or 15(d) of the Securities Exchange Act of 1934, as amended; and</w:t>
      </w:r>
    </w:p>
    <w:p>
      <w:pPr>
        <w:spacing w:after="0" w:line="212" w:lineRule="exact"/>
        <w:rPr>
          <w:rFonts w:ascii="Arial" w:cs="Arial" w:eastAsia="Arial" w:hAnsi="Arial"/>
          <w:sz w:val="20"/>
          <w:szCs w:val="20"/>
          <w:color w:val="auto"/>
        </w:rPr>
      </w:pPr>
    </w:p>
    <w:p>
      <w:pPr>
        <w:ind w:left="643" w:hanging="643"/>
        <w:spacing w:after="0" w:line="260" w:lineRule="auto"/>
        <w:tabs>
          <w:tab w:leader="none" w:pos="423"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643"/>
        <w:spacing w:after="0"/>
        <w:rPr>
          <w:sz w:val="20"/>
          <w:szCs w:val="20"/>
          <w:color w:val="auto"/>
        </w:rPr>
      </w:pPr>
      <w:r>
        <w:rPr>
          <w:rFonts w:ascii="Arial" w:cs="Arial" w:eastAsia="Arial" w:hAnsi="Arial"/>
          <w:sz w:val="20"/>
          <w:szCs w:val="20"/>
          <w:color w:val="auto"/>
        </w:rPr>
        <w:t>/s/ ROBERT A. BRUGGEWORTH</w:t>
      </w:r>
    </w:p>
    <w:p>
      <w:pPr>
        <w:spacing w:after="0" w:line="27" w:lineRule="exact"/>
        <w:rPr>
          <w:sz w:val="20"/>
          <w:szCs w:val="20"/>
          <w:color w:val="auto"/>
        </w:rPr>
      </w:pPr>
    </w:p>
    <w:p>
      <w:pPr>
        <w:ind w:left="843"/>
        <w:spacing w:after="0"/>
        <w:rPr>
          <w:sz w:val="20"/>
          <w:szCs w:val="20"/>
          <w:color w:val="auto"/>
        </w:rPr>
      </w:pPr>
      <w:r>
        <w:rPr>
          <w:rFonts w:ascii="Arial" w:cs="Arial" w:eastAsia="Arial" w:hAnsi="Arial"/>
          <w:sz w:val="20"/>
          <w:szCs w:val="20"/>
          <w:color w:val="auto"/>
        </w:rPr>
        <w:t>Robert A. Bruggeworth</w:t>
      </w:r>
    </w:p>
    <w:p>
      <w:pPr>
        <w:spacing w:after="0" w:line="20" w:lineRule="exact"/>
        <w:rPr>
          <w:sz w:val="20"/>
          <w:szCs w:val="20"/>
          <w:color w:val="auto"/>
        </w:rPr>
      </w:pPr>
    </w:p>
    <w:p>
      <w:pPr>
        <w:ind w:left="843"/>
        <w:spacing w:after="0"/>
        <w:rPr>
          <w:sz w:val="20"/>
          <w:szCs w:val="20"/>
          <w:color w:val="auto"/>
        </w:rPr>
      </w:pPr>
      <w:r>
        <w:rPr>
          <w:rFonts w:ascii="Arial" w:cs="Arial" w:eastAsia="Arial" w:hAnsi="Arial"/>
          <w:sz w:val="20"/>
          <w:szCs w:val="20"/>
          <w:color w:val="auto"/>
        </w:rPr>
        <w:t>President and Chief Executive Officer</w:t>
      </w:r>
    </w:p>
    <w:p>
      <w:pPr>
        <w:spacing w:after="0" w:line="114" w:lineRule="exact"/>
        <w:rPr>
          <w:sz w:val="20"/>
          <w:szCs w:val="20"/>
          <w:color w:val="auto"/>
        </w:rPr>
      </w:pPr>
    </w:p>
    <w:p>
      <w:pPr>
        <w:ind w:left="863"/>
        <w:spacing w:after="0"/>
        <w:rPr>
          <w:sz w:val="20"/>
          <w:szCs w:val="20"/>
          <w:color w:val="auto"/>
        </w:rPr>
      </w:pPr>
      <w:r>
        <w:rPr>
          <w:rFonts w:ascii="Arial" w:cs="Arial" w:eastAsia="Arial" w:hAnsi="Arial"/>
          <w:sz w:val="20"/>
          <w:szCs w:val="20"/>
          <w:color w:val="auto"/>
        </w:rPr>
        <w:t>February 3, 2022</w:t>
      </w:r>
    </w:p>
    <w:p>
      <w:pPr>
        <w:sectPr>
          <w:pgSz w:w="11900" w:h="16838" w:orient="portrait"/>
          <w:cols w:equalWidth="0" w:num="1">
            <w:col w:w="9403"/>
          </w:cols>
          <w:pgMar w:left="1237" w:top="1440" w:right="125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86" w:lineRule="exact"/>
        <w:rPr>
          <w:sz w:val="20"/>
          <w:szCs w:val="20"/>
          <w:color w:val="auto"/>
        </w:rPr>
      </w:pPr>
    </w:p>
    <w:p>
      <w:pPr>
        <w:ind w:right="94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204" w:lineRule="exact"/>
        <w:rPr>
          <w:sz w:val="20"/>
          <w:szCs w:val="20"/>
          <w:color w:val="auto"/>
        </w:rPr>
      </w:pPr>
    </w:p>
    <w:p>
      <w:pPr>
        <w:ind w:left="660" w:hanging="652"/>
        <w:spacing w:after="0" w:line="260" w:lineRule="auto"/>
        <w:tabs>
          <w:tab w:leader="none" w:pos="441"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January 1, 2022 (the “Report”) fully complies with the requirements of Section 13(a) or 15(d) of the Securities Exchange Act of 1934, as amended; and</w:t>
      </w:r>
    </w:p>
    <w:p>
      <w:pPr>
        <w:spacing w:after="0" w:line="203" w:lineRule="exact"/>
        <w:rPr>
          <w:rFonts w:ascii="Arial" w:cs="Arial" w:eastAsia="Arial" w:hAnsi="Arial"/>
          <w:sz w:val="20"/>
          <w:szCs w:val="20"/>
          <w:color w:val="auto"/>
        </w:rPr>
      </w:pPr>
    </w:p>
    <w:p>
      <w:pPr>
        <w:ind w:left="660" w:right="140" w:hanging="652"/>
        <w:spacing w:after="0" w:line="260" w:lineRule="auto"/>
        <w:tabs>
          <w:tab w:leader="none" w:pos="441"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10160</wp:posOffset>
            </wp:positionV>
            <wp:extent cx="29317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Mark J. Murphy</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Chief Financial Officer</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February 3, 2022</w:t>
      </w:r>
    </w:p>
    <w:sectPr>
      <w:pgSz w:w="11900" w:h="16838" w:orient="portrait"/>
      <w:cols w:equalWidth="0" w:num="1">
        <w:col w:w="11140"/>
      </w:cols>
      <w:pgMar w:left="320" w:top="88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22"/>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7" Type="http://schemas.openxmlformats.org/officeDocument/2006/relationships/hyperlink" Target="https://www.sec.gov/Archives/edgar/data/1604778/000119312521356784/d267681dex41.htm" TargetMode="External"/><Relationship Id="rId48" Type="http://schemas.openxmlformats.org/officeDocument/2006/relationships/hyperlink" Target="https://www.sec.gov/Archives/edgar/data/1604778/000119312521356784/d26768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2022-02-03T16:03:44Z</dcterms:created>
  <dcterms:modified xsi:type="dcterms:W3CDTF">2022-02-03T16:03:44Z</dcterms:modified>
</cp:coreProperties>
</file>