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10-K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For the fiscal year ended April 1, 2023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ans-serif" w:hAnsi="Times New Roman;sans-serif"/>
          <w:b/>
          <w:color w:val="000000"/>
          <w:sz w:val="20"/>
        </w:rPr>
        <w:t>For the transition period from _____to _____</w:t>
      </w:r>
    </w:p>
    <w:p>
      <w:pPr>
        <w:pStyle w:val="TextBody"/>
        <w:bidi w:val="0"/>
        <w:spacing w:lineRule="auto" w:line="288" w:before="0" w:after="60"/>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2"/>
        </w:rPr>
        <w:t>001-36801</w:t>
      </w:r>
      <w:r>
        <w:rPr>
          <w:color w:val="000000"/>
        </w:rPr>
        <w:t xml:space="preserve"> </w:t>
      </w:r>
    </w:p>
    <w:p>
      <w:pPr>
        <w:pStyle w:val="TextBody"/>
        <w:bidi w:val="0"/>
        <w:spacing w:before="0" w:after="60"/>
        <w:jc w:val="center"/>
        <w:rPr/>
      </w:pPr>
      <w:r>
        <w:rPr/>
        <w:drawing>
          <wp:inline distT="0" distB="0" distL="0" distR="0">
            <wp:extent cx="21431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286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Qorvo, Inc.</w:t>
      </w:r>
    </w:p>
    <w:p>
      <w:pPr>
        <w:pStyle w:val="TextBody"/>
        <w:bidi w:val="0"/>
        <w:spacing w:lineRule="auto" w:line="288" w:before="0" w:after="0"/>
        <w:jc w:val="center"/>
        <w:rPr/>
      </w:pPr>
      <w:r>
        <w:rPr>
          <w:rFonts w:ascii="Times New Roman;sans-serif" w:hAnsi="Times New Roman;sans-serif"/>
          <w:b w:val="false"/>
          <w:color w:val="000000"/>
          <w:sz w:val="20"/>
        </w:rPr>
        <w:t>(Exact name of registrant as specified in its charter)</w:t>
      </w:r>
      <w:r>
        <w:rPr>
          <w:color w:val="000000"/>
        </w:rPr>
        <w:t> </w:t>
      </w:r>
    </w:p>
    <w:tbl>
      <w:tblPr>
        <w:tblW w:w="7361" w:type="dxa"/>
        <w:jc w:val="center"/>
        <w:tblInd w:w="0" w:type="dxa"/>
        <w:tblLayout w:type="fixed"/>
        <w:tblCellMar>
          <w:top w:w="28" w:type="dxa"/>
          <w:left w:w="28" w:type="dxa"/>
          <w:bottom w:w="28" w:type="dxa"/>
          <w:right w:w="28" w:type="dxa"/>
        </w:tblCellMar>
      </w:tblPr>
      <w:tblGrid>
        <w:gridCol w:w="794"/>
        <w:gridCol w:w="697"/>
        <w:gridCol w:w="697"/>
        <w:gridCol w:w="697"/>
        <w:gridCol w:w="697"/>
        <w:gridCol w:w="737"/>
        <w:gridCol w:w="109"/>
        <w:gridCol w:w="109"/>
        <w:gridCol w:w="109"/>
        <w:gridCol w:w="793"/>
        <w:gridCol w:w="793"/>
        <w:gridCol w:w="1129"/>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46-5288992</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7628 Thorndike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Greensboro,</w:t>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27409-9421</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(336) 664-1233 </w:t>
      </w:r>
    </w:p>
    <w:p>
      <w:pPr>
        <w:pStyle w:val="TextBody"/>
        <w:bidi w:val="0"/>
        <w:spacing w:lineRule="auto" w:line="264"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bl>
      <w:tblPr>
        <w:tblW w:w="10205" w:type="dxa"/>
        <w:jc w:val="center"/>
        <w:tblInd w:w="0" w:type="dxa"/>
        <w:tblLayout w:type="fixed"/>
        <w:tblCellMar>
          <w:top w:w="28" w:type="dxa"/>
          <w:left w:w="28" w:type="dxa"/>
          <w:bottom w:w="28" w:type="dxa"/>
          <w:right w:w="28" w:type="dxa"/>
        </w:tblCellMar>
      </w:tblPr>
      <w:tblGrid>
        <w:gridCol w:w="1056"/>
        <w:gridCol w:w="919"/>
        <w:gridCol w:w="917"/>
        <w:gridCol w:w="312"/>
        <w:gridCol w:w="312"/>
        <w:gridCol w:w="312"/>
        <w:gridCol w:w="559"/>
        <w:gridCol w:w="559"/>
        <w:gridCol w:w="556"/>
        <w:gridCol w:w="312"/>
        <w:gridCol w:w="312"/>
        <w:gridCol w:w="312"/>
        <w:gridCol w:w="1102"/>
        <w:gridCol w:w="1102"/>
        <w:gridCol w:w="1563"/>
      </w:tblGrid>
      <w:tr>
        <w:trPr/>
        <w:tc>
          <w:tcPr>
            <w:tcW w:w="105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QRVO</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2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tc>
      </w:tr>
      <w:tr>
        <w:trPr/>
        <w:tc>
          <w:tcPr>
            <w:tcW w:w="2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 emerging growth company. See the definitions of "large accelerated filer," "accelerated filer," "smaller reporting company," and "emerging growth company" in Rule 12b-2 of the Exchange Act.</w:t>
      </w:r>
    </w:p>
    <w:p>
      <w:pPr>
        <w:pStyle w:val="TextBody"/>
        <w:bidi w:val="0"/>
        <w:spacing w:before="180" w:after="283"/>
        <w:jc w:val="left"/>
        <w:rPr/>
      </w:pPr>
      <w:r>
        <w:rPr/>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registrant's common stock held by non-affiliates of the registrant was approximately $8,073,738,818 as of October 1, 2022.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May 12, 2023, there were 98,736,229 shares of the registrant’s common stock outstanding.</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registrant has incorporated by reference into Part III of this report certain portions of its proxy statement for its 2023 annual meeting of stockholders, which is expected to be filed within 120 days after the end of the registrant’s fiscal year ended April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66"/>
        <w:gridCol w:w="406"/>
        <w:gridCol w:w="389"/>
        <w:gridCol w:w="2822"/>
        <w:gridCol w:w="2786"/>
        <w:gridCol w:w="2792"/>
        <w:gridCol w:w="158"/>
        <w:gridCol w:w="158"/>
        <w:gridCol w:w="228"/>
      </w:tblGrid>
      <w:tr>
        <w:trPr/>
        <w:tc>
          <w:tcPr>
            <w:tcW w:w="4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QORVO,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APRIL 1, 2023</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3">
              <w:r>
                <w:rPr>
                  <w:rStyle w:val="InternetLink"/>
                  <w:rFonts w:ascii="Times New Roman;sans-serif" w:hAnsi="Times New Roman;sans-serif"/>
                  <w:b w:val="false"/>
                  <w:color w:val="0000FF"/>
                  <w:sz w:val="20"/>
                  <w:u w:val="single"/>
                </w:rPr>
                <w:t>Forward-Looking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3">
              <w:r>
                <w:rPr>
                  <w:rStyle w:val="InternetLink"/>
                  <w:rFonts w:ascii="Times New Roman;sans-serif" w:hAnsi="Times New Roman;sans-serif"/>
                  <w:b w:val="false"/>
                  <w:color w:val="0000FF"/>
                  <w:sz w:val="20"/>
                  <w:u w:val="single"/>
                </w:rPr>
                <w:t>4</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4a4a4eedb9149f1a6051c00883ee679_10">
              <w:r>
                <w:rPr>
                  <w:rStyle w:val="InternetLink"/>
                  <w:rFonts w:ascii="Times New Roman;sans-serif" w:hAnsi="Times New Roman;sans-serif"/>
                  <w:b/>
                  <w:color w:val="0000FF"/>
                  <w:sz w:val="20"/>
                  <w:u w:val="single"/>
                </w:rPr>
                <w:t>PART I</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6">
              <w:r>
                <w:rPr>
                  <w:rStyle w:val="InternetLink"/>
                  <w:rFonts w:ascii="Times New Roman;sans-serif" w:hAnsi="Times New Roman;sans-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6">
              <w:r>
                <w:rPr>
                  <w:rStyle w:val="InternetLink"/>
                  <w:rFonts w:ascii="Times New Roman;sans-serif" w:hAnsi="Times New Roman;sans-serif"/>
                  <w:b w:val="false"/>
                  <w:color w:val="0000FF"/>
                  <w:sz w:val="20"/>
                  <w:u w:val="single"/>
                </w:rPr>
                <w:t>4</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9">
              <w:r>
                <w:rPr>
                  <w:rStyle w:val="InternetLink"/>
                  <w:rFonts w:ascii="Times New Roman;sans-serif" w:hAnsi="Times New Roman;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9">
              <w:r>
                <w:rPr>
                  <w:rStyle w:val="InternetLink"/>
                  <w:rFonts w:ascii="Times New Roman;sans-serif" w:hAnsi="Times New Roman;sans-serif"/>
                  <w:b w:val="false"/>
                  <w:color w:val="0000FF"/>
                  <w:sz w:val="20"/>
                  <w:u w:val="single"/>
                </w:rPr>
                <w:t>13</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22">
              <w:r>
                <w:rPr>
                  <w:rStyle w:val="InternetLink"/>
                  <w:rFonts w:ascii="Times New Roman;sans-serif" w:hAnsi="Times New Roman;sans-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22">
              <w:r>
                <w:rPr>
                  <w:rStyle w:val="InternetLink"/>
                  <w:rFonts w:ascii="Times New Roman;sans-serif" w:hAnsi="Times New Roman;sans-serif"/>
                  <w:b w:val="false"/>
                  <w:color w:val="0000FF"/>
                  <w:sz w:val="20"/>
                  <w:u w:val="single"/>
                </w:rPr>
                <w:t>31</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25">
              <w:r>
                <w:rPr>
                  <w:rStyle w:val="InternetLink"/>
                  <w:rFonts w:ascii="Times New Roman;sans-serif" w:hAnsi="Times New Roman;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25">
              <w:r>
                <w:rPr>
                  <w:rStyle w:val="InternetLink"/>
                  <w:rFonts w:ascii="Times New Roman;sans-serif" w:hAnsi="Times New Roman;sans-serif"/>
                  <w:b w:val="false"/>
                  <w:color w:val="0000FF"/>
                  <w:sz w:val="20"/>
                  <w:u w:val="single"/>
                </w:rPr>
                <w:t>32</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28">
              <w:r>
                <w:rPr>
                  <w:rStyle w:val="InternetLink"/>
                  <w:rFonts w:ascii="Times New Roman;sans-serif" w:hAnsi="Times New Roman;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28">
              <w:r>
                <w:rPr>
                  <w:rStyle w:val="InternetLink"/>
                  <w:rFonts w:ascii="Times New Roman;sans-serif" w:hAnsi="Times New Roman;sans-serif"/>
                  <w:b w:val="false"/>
                  <w:color w:val="0000FF"/>
                  <w:sz w:val="20"/>
                  <w:u w:val="single"/>
                </w:rPr>
                <w:t>32</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31">
              <w:r>
                <w:rPr>
                  <w:rStyle w:val="InternetLink"/>
                  <w:rFonts w:ascii="Times New Roman;sans-serif" w:hAnsi="Times New Roman;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31">
              <w:r>
                <w:rPr>
                  <w:rStyle w:val="InternetLink"/>
                  <w:rFonts w:ascii="Times New Roman;sans-serif" w:hAnsi="Times New Roman;sans-serif"/>
                  <w:b w:val="false"/>
                  <w:color w:val="0000FF"/>
                  <w:sz w:val="20"/>
                  <w:u w:val="single"/>
                </w:rPr>
                <w:t>32</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4a4a4eedb9149f1a6051c00883ee679_34">
              <w:r>
                <w:rPr>
                  <w:rStyle w:val="InternetLink"/>
                  <w:rFonts w:ascii="Times New Roman;sans-serif" w:hAnsi="Times New Roman;sans-serif"/>
                  <w:b/>
                  <w:color w:val="0000FF"/>
                  <w:sz w:val="20"/>
                  <w:u w:val="single"/>
                </w:rPr>
                <w:t>PART II</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4a4a4eedb9149f1a6051c00883ee679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37">
              <w:r>
                <w:rPr>
                  <w:rStyle w:val="InternetLink"/>
                  <w:rFonts w:ascii="Times New Roman;sans-serif" w:hAnsi="Times New Roman;sans-serif"/>
                  <w:b w:val="false"/>
                  <w:color w:val="0000FF"/>
                  <w:sz w:val="20"/>
                  <w:u w:val="single"/>
                </w:rPr>
                <w:t>32</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40">
              <w:r>
                <w:rPr>
                  <w:rStyle w:val="InternetLink"/>
                  <w:rFonts w:ascii="Times New Roman;sans-serif" w:hAnsi="Times New Roman;sans-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40">
              <w:r>
                <w:rPr>
                  <w:rStyle w:val="InternetLink"/>
                  <w:rFonts w:ascii="Times New Roman;sans-serif" w:hAnsi="Times New Roman;sans-serif"/>
                  <w:b w:val="false"/>
                  <w:color w:val="0000FF"/>
                  <w:sz w:val="20"/>
                  <w:u w:val="single"/>
                </w:rPr>
                <w:t>34</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43">
              <w:r>
                <w:rPr>
                  <w:rStyle w:val="InternetLink"/>
                  <w:rFonts w:ascii="Times New Roman;sans-serif" w:hAnsi="Times New Roman;sans-serif"/>
                  <w:b w:val="false"/>
                  <w:color w:val="0000FF"/>
                  <w:sz w:val="20"/>
                  <w:u w:val="single"/>
                </w:rPr>
                <w:t>34</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64">
              <w:r>
                <w:rPr>
                  <w:rStyle w:val="InternetLink"/>
                  <w:rFonts w:ascii="Times New Roman;sans-serif" w:hAnsi="Times New Roman;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64">
              <w:r>
                <w:rPr>
                  <w:rStyle w:val="InternetLink"/>
                  <w:rFonts w:ascii="Times New Roman;sans-serif" w:hAnsi="Times New Roman;sans-serif"/>
                  <w:b w:val="false"/>
                  <w:color w:val="0000FF"/>
                  <w:sz w:val="20"/>
                  <w:u w:val="single"/>
                </w:rPr>
                <w:t>46</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67">
              <w:r>
                <w:rPr>
                  <w:rStyle w:val="InternetLink"/>
                  <w:rFonts w:ascii="Times New Roman;sans-serif" w:hAnsi="Times New Roman;sans-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67">
              <w:r>
                <w:rPr>
                  <w:rStyle w:val="InternetLink"/>
                  <w:rFonts w:ascii="Times New Roman;sans-serif" w:hAnsi="Times New Roman;sans-serif"/>
                  <w:b w:val="false"/>
                  <w:color w:val="0000FF"/>
                  <w:sz w:val="20"/>
                  <w:u w:val="single"/>
                </w:rPr>
                <w:t>48</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4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48">
              <w:r>
                <w:rPr>
                  <w:rStyle w:val="InternetLink"/>
                  <w:rFonts w:ascii="Times New Roman;sans-serif" w:hAnsi="Times New Roman;sans-serif"/>
                  <w:b w:val="false"/>
                  <w:color w:val="0000FF"/>
                  <w:sz w:val="20"/>
                  <w:u w:val="single"/>
                </w:rPr>
                <w:t>88</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51">
              <w:r>
                <w:rPr>
                  <w:rStyle w:val="InternetLink"/>
                  <w:rFonts w:ascii="Times New Roman;sans-serif" w:hAnsi="Times New Roman;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51">
              <w:r>
                <w:rPr>
                  <w:rStyle w:val="InternetLink"/>
                  <w:rFonts w:ascii="Times New Roman;sans-serif" w:hAnsi="Times New Roman;sans-serif"/>
                  <w:b w:val="false"/>
                  <w:color w:val="0000FF"/>
                  <w:sz w:val="20"/>
                  <w:u w:val="single"/>
                </w:rPr>
                <w:t>88</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54">
              <w:r>
                <w:rPr>
                  <w:rStyle w:val="InternetLink"/>
                  <w:rFonts w:ascii="Times New Roman;sans-serif" w:hAnsi="Times New Roman;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54">
              <w:r>
                <w:rPr>
                  <w:rStyle w:val="InternetLink"/>
                  <w:rFonts w:ascii="Times New Roman;sans-serif" w:hAnsi="Times New Roman;sans-serif"/>
                  <w:b w:val="false"/>
                  <w:color w:val="0000FF"/>
                  <w:sz w:val="20"/>
                  <w:u w:val="single"/>
                </w:rPr>
                <w:t>89</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57">
              <w:r>
                <w:rPr>
                  <w:rStyle w:val="InternetLink"/>
                  <w:rFonts w:ascii="Times New Roman;sans-serif" w:hAnsi="Times New Roman;sans-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54">
              <w:r>
                <w:rPr>
                  <w:rStyle w:val="InternetLink"/>
                  <w:rFonts w:ascii="Times New Roman;sans-serif" w:hAnsi="Times New Roman;sans-serif"/>
                  <w:b w:val="false"/>
                  <w:color w:val="0000FF"/>
                  <w:sz w:val="20"/>
                  <w:u w:val="single"/>
                </w:rPr>
                <w:t>89</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4a4a4eedb9149f1a6051c00883ee679_160">
              <w:r>
                <w:rPr>
                  <w:rStyle w:val="InternetLink"/>
                  <w:rFonts w:ascii="Times New Roman;sans-serif" w:hAnsi="Times New Roman;sans-serif"/>
                  <w:b/>
                  <w:color w:val="0000FF"/>
                  <w:sz w:val="20"/>
                  <w:u w:val="single"/>
                </w:rPr>
                <w:t>PART III</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63">
              <w:r>
                <w:rPr>
                  <w:rStyle w:val="InternetLink"/>
                  <w:rFonts w:ascii="Times New Roman;sans-serif" w:hAnsi="Times New Roman;sans-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63">
              <w:r>
                <w:rPr>
                  <w:rStyle w:val="InternetLink"/>
                  <w:rFonts w:ascii="Times New Roman;sans-serif" w:hAnsi="Times New Roman;sans-serif"/>
                  <w:b w:val="false"/>
                  <w:color w:val="0000FF"/>
                  <w:sz w:val="20"/>
                  <w:u w:val="single"/>
                </w:rPr>
                <w:t>90</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66">
              <w:r>
                <w:rPr>
                  <w:rStyle w:val="InternetLink"/>
                  <w:rFonts w:ascii="Times New Roman;sans-serif" w:hAnsi="Times New Roman;sans-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66">
              <w:r>
                <w:rPr>
                  <w:rStyle w:val="InternetLink"/>
                  <w:rFonts w:ascii="Times New Roman;sans-serif" w:hAnsi="Times New Roman;sans-serif"/>
                  <w:b w:val="false"/>
                  <w:color w:val="0000FF"/>
                  <w:sz w:val="20"/>
                  <w:u w:val="single"/>
                </w:rPr>
                <w:t>90</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4a4a4eedb9149f1a6051c00883ee679_16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69">
              <w:r>
                <w:rPr>
                  <w:rStyle w:val="InternetLink"/>
                  <w:rFonts w:ascii="Times New Roman;sans-serif" w:hAnsi="Times New Roman;sans-serif"/>
                  <w:b w:val="false"/>
                  <w:color w:val="0000FF"/>
                  <w:sz w:val="20"/>
                  <w:u w:val="single"/>
                </w:rPr>
                <w:t>90</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7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72">
              <w:r>
                <w:rPr>
                  <w:rStyle w:val="InternetLink"/>
                  <w:rFonts w:ascii="Times New Roman;sans-serif" w:hAnsi="Times New Roman;sans-serif"/>
                  <w:b w:val="false"/>
                  <w:color w:val="0000FF"/>
                  <w:sz w:val="20"/>
                  <w:u w:val="single"/>
                </w:rPr>
                <w:t>90</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75">
              <w:r>
                <w:rPr>
                  <w:rStyle w:val="InternetLink"/>
                  <w:rFonts w:ascii="Times New Roman;sans-serif" w:hAnsi="Times New Roman;sans-serif"/>
                  <w:b w:val="false"/>
                  <w:color w:val="0000FF"/>
                  <w:sz w:val="20"/>
                  <w:u w:val="single"/>
                </w:rPr>
                <w:t>Principal Accounting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75">
              <w:r>
                <w:rPr>
                  <w:rStyle w:val="InternetLink"/>
                  <w:rFonts w:ascii="Times New Roman;sans-serif" w:hAnsi="Times New Roman;sans-serif"/>
                  <w:b w:val="false"/>
                  <w:color w:val="0000FF"/>
                  <w:sz w:val="20"/>
                  <w:u w:val="single"/>
                </w:rPr>
                <w:t>90</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FF"/>
                <w:sz w:val="20"/>
                <w:u w:val="single"/>
              </w:rPr>
            </w:pPr>
            <w:r>
              <w:rPr>
                <w:rFonts w:ascii="Times New Roman;sans-serif" w:hAnsi="Times New Roman;sans-serif"/>
                <w:b/>
                <w:color w:val="0000FF"/>
                <w:sz w:val="20"/>
                <w:u w:val="single"/>
              </w:rPr>
              <w:t>PART IV</w:t>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78">
              <w:r>
                <w:rPr>
                  <w:rStyle w:val="InternetLink"/>
                  <w:rFonts w:ascii="Times New Roman;sans-serif" w:hAnsi="Times New Roman;sans-serif"/>
                  <w:b w:val="false"/>
                  <w:color w:val="000080"/>
                  <w:sz w:val="20"/>
                  <w:u w:val="single"/>
                </w:rPr>
                <w:t>Exhibit</w:t>
              </w:r>
            </w:hyperlink>
            <w:hyperlink w:anchor="i24a4a4eedb9149f1a6051c00883ee679_178">
              <w:r>
                <w:rPr>
                  <w:rStyle w:val="InternetLink"/>
                  <w:rFonts w:ascii="Times New Roman;sans-serif" w:hAnsi="Times New Roman;sans-serif"/>
                  <w:b w:val="false"/>
                  <w:color w:val="000080"/>
                  <w:sz w:val="20"/>
                  <w:u w:val="single"/>
                </w:rPr>
                <w:t xml:space="preserve"> and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78">
              <w:r>
                <w:rPr>
                  <w:rStyle w:val="InternetLink"/>
                  <w:rFonts w:ascii="Times New Roman;sans-serif" w:hAnsi="Times New Roman;sans-serif"/>
                  <w:b w:val="false"/>
                  <w:color w:val="0000FF"/>
                  <w:sz w:val="20"/>
                  <w:u w:val="single"/>
                </w:rPr>
                <w:t>91</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a4a4eedb9149f1a6051c00883ee679_184">
              <w:r>
                <w:rPr>
                  <w:rStyle w:val="InternetLink"/>
                  <w:rFonts w:ascii="Times New Roman;sans-serif" w:hAnsi="Times New Roman;sans-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84">
              <w:r>
                <w:rPr>
                  <w:rStyle w:val="InternetLink"/>
                  <w:rFonts w:ascii="Times New Roman;sans-serif" w:hAnsi="Times New Roman;sans-serif"/>
                  <w:b w:val="false"/>
                  <w:color w:val="0000FF"/>
                  <w:sz w:val="20"/>
                  <w:u w:val="single"/>
                </w:rPr>
                <w:t>91</w:t>
              </w:r>
            </w:hyperlink>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4a4eedb9149f1a6051c00883ee679_187">
              <w:r>
                <w:rPr>
                  <w:rStyle w:val="InternetLink"/>
                  <w:rFonts w:ascii="Times New Roman;sans-serif" w:hAnsi="Times New Roman;sans-serif"/>
                  <w:b w:val="false"/>
                  <w:color w:val="0000FF"/>
                  <w:sz w:val="20"/>
                  <w:u w:val="single"/>
                </w:rPr>
                <w:t>Exhibit Index.</w:t>
              </w:r>
            </w:hyperlink>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87">
              <w:r>
                <w:rPr>
                  <w:rStyle w:val="InternetLink"/>
                  <w:rFonts w:ascii="Times New Roman;sans-serif" w:hAnsi="Times New Roman;sans-serif"/>
                  <w:b w:val="false"/>
                  <w:color w:val="0000FF"/>
                  <w:sz w:val="20"/>
                  <w:u w:val="single"/>
                </w:rPr>
                <w:t>92</w:t>
              </w:r>
            </w:hyperlink>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4a4eedb9149f1a6051c00883ee679_190">
              <w:r>
                <w:rPr>
                  <w:rStyle w:val="InternetLink"/>
                  <w:rFonts w:ascii="Times New Roman;sans-serif" w:hAnsi="Times New Roman;sans-serif"/>
                  <w:b w:val="false"/>
                  <w:color w:val="0000FF"/>
                  <w:sz w:val="20"/>
                  <w:u w:val="single"/>
                </w:rPr>
                <w:t>Signatures.</w:t>
              </w:r>
            </w:hyperlink>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90">
              <w:r>
                <w:rPr>
                  <w:rStyle w:val="InternetLink"/>
                  <w:rFonts w:ascii="Times New Roman;sans-serif" w:hAnsi="Times New Roman;sans-serif"/>
                  <w:b w:val="false"/>
                  <w:color w:val="0000FF"/>
                  <w:sz w:val="20"/>
                  <w:u w:val="single"/>
                </w:rPr>
                <w:t>95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this Annual Report on Form 10-K, the words "Qorvo," "we," "our," "ours," "us" and "the Company" refer only to Qorvo, Inc. and our subsidiaries and not any other person or entity. The following discussion should be read in conjunction with the consolidated financial statements and notes thereto included elsewhere in this Annual Report on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the federal securities laws, particularly in Item 1: "Business," Item 1A: "Risk Factors" and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Additionally, statements concerning future matters such as our future business, prospects, results of operations, financial condition or research and development or technology investments; new or enhanced products, services or technologies; emerging industries or business models; design wins or product launches; industry, market or technology trends, dynamics or transitions, such as technology upgrade cycles; our future demand or supply conditions or macroeconomic factors; strategic investments, acquisitions or divestitures, and the anticipated timing or benefits thereof; continued impacts of the COVID-19 pandemic; legal or regulatory matters; U.S./China trade and national security tensions; the war in Ukraine; vertical integration by our customers; competition; and other statements regarding matters that are not historical are also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forward-looking statements in this Annual Report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Material factors that could cause actual results to differ materially from our expectations are summarized and disclosed under "Risk Factors" in Part I, Item 1A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revise or update any forward-looking statements in order to reflect any event or circumstance that may arise after the date of this Annual Report. Readers are cautioned to review carefully and consider the various disclosures made in this Annual Report, which attempt to advise interested parties of the risks and factors that may affect our business, financial condition, results of operations and prospects.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Company Overview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Qorvo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is a global leader in the development and commercialization of technologies and products for wireless, wired and power markets.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2023, we updated our organizational structure from two operating segments (Mobile Products and Infrastructure and Defense Products) to three operating segments (High Performance Analog ("HPA"), Connectivity and Sensors Group ("CSG") and Advanced Cellular Group ("ACG")). This change was made to more closely align technologies and applications with customers and end markets. All prior-period segment data has been adjusted to reflect these three operating segments. As part of the new organizational structure, we also centralized the sales teams formerly within our two prior segments into a single global sales force. We believe our global sales force enables us to more quickly capitalize on opportunities across customers and markets to accelerate long-term diversified growth.</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HPA is a leading global supplier of radio frequency ("RF") and power solutions for automotive, defense and aerospace, cellular infrastructure, broadband and other markets. CSG is a leading global supplier of connectivity and sensor solutions, with broad expertise spanning ultra-wideband ("UWB"), Matter</w:t>
      </w:r>
      <w:r>
        <w:rPr>
          <w:rFonts w:ascii="Times New Roman;sans-serif" w:hAnsi="Times New Roman;sans-serif"/>
          <w:b w:val="false"/>
          <w:color w:val="000000"/>
          <w:sz w:val="13"/>
        </w:rPr>
        <w:t>®</w:t>
      </w:r>
      <w:r>
        <w:rPr>
          <w:rFonts w:ascii="Times New Roman;sans-serif" w:hAnsi="Times New Roman;sans-serif"/>
          <w:b w:val="false"/>
          <w:color w:val="000000"/>
          <w:sz w:val="20"/>
        </w:rPr>
        <w:t>, Bluetooth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Low Energy,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5"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Zigbee</w:t>
      </w:r>
      <w:r>
        <w:rPr>
          <w:rFonts w:ascii="Times New Roman;sans-serif" w:hAnsi="Times New Roman;sans-serif"/>
          <w:b w:val="false"/>
          <w:color w:val="000000"/>
          <w:sz w:val="13"/>
        </w:rPr>
        <w:t>®</w:t>
      </w:r>
      <w:r>
        <w:rPr>
          <w:rFonts w:ascii="Times New Roman;sans-serif" w:hAnsi="Times New Roman;sans-serif"/>
          <w:b w:val="false"/>
          <w:color w:val="000000"/>
          <w:sz w:val="20"/>
        </w:rPr>
        <w:t>, Thread</w:t>
      </w:r>
      <w:r>
        <w:rPr>
          <w:rFonts w:ascii="Times New Roman;sans-serif" w:hAnsi="Times New Roman;sans-serif"/>
          <w:b w:val="false"/>
          <w:color w:val="000000"/>
          <w:sz w:val="13"/>
        </w:rPr>
        <w:t>®</w:t>
      </w:r>
      <w:r>
        <w:rPr>
          <w:rFonts w:ascii="Times New Roman;sans-serif" w:hAnsi="Times New Roman;sans-serif"/>
          <w:b w:val="false"/>
          <w:color w:val="000000"/>
          <w:sz w:val="20"/>
        </w:rPr>
        <w:t>, Wi-Fi</w:t>
      </w:r>
      <w:r>
        <w:rPr>
          <w:rFonts w:ascii="Times New Roman;sans-serif" w:hAnsi="Times New Roman;sans-serif"/>
          <w:b w:val="false"/>
          <w:color w:val="000000"/>
          <w:sz w:val="13"/>
        </w:rPr>
        <w:t>®</w:t>
      </w:r>
      <w:r>
        <w:rPr>
          <w:rFonts w:ascii="Times New Roman;sans-serif" w:hAnsi="Times New Roman;sans-serif"/>
          <w:b w:val="false"/>
          <w:color w:val="000000"/>
          <w:sz w:val="20"/>
        </w:rPr>
        <w:t>, cellular Internet of Things ("IoT"), microelectromechanical system ("MEMS")-based sensors and bulk acoustic wave ("BAW")-based sensors. ACG is a leading global supplier of cellular RF solutions for smartphones, wearables, laptops, tablets and other devices.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design expertise and manufacturing capabilities span multiple process technologies. Our primary wafer fabrication facilities are in North Carolina, Oregon and Texas. Our primary assembly and test facilities are in China, Costa Rica, Germany and Texas. We have design, sales and other manufacturing facilities throughout Asia, Europe and North America. We also source products and materials through external suppliers.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organic growth, our strategy includes the potential acquisition of businesses, assets and technologies that complement our existing capabilities and enable us to drive growth in new or existing markets.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Industry Trends, Markets and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connectivity trends and the proliferation of smarter, data-driven, connected devices are increasing data traffic and raising requirements for the efficiency and throughput of wireless and wired networks. At the same time, environmental initiatives and technology advancements related to sustainability are driving investments across a range of consumer, enterprise, and industrial applications requiring increasing power efficiency. This supports multiyear technology upgrade cycles and increases the demand for our technologies and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diversified across markets, including mobile devices, cellular infrastructure, power management and conversion, IoT, connected home, defense and aerospace, and automotive. Our products solve our customers’ most complex RF and power-related challenges while enhancing performance, improving efficiency, increasing functionality, reducing complexity, shrinking form factors and addressing other critical challenges.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Mobile Devices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Qorvo’s largest market is mobile devices, which is a global market characterized by large volumes. It includes smartphones, wearables, laptops, tablets and other devices. Our products for mobile devices include highly integrated RF solutions featuring filters, switches, amplifiers, multiplexers and other components leveraging multiple process technologies in a miniaturized form factor. Our portfolio also includes power management integrated circuits ("ICs"), UWB system-on-a-chip ("SoC") and system-in-package ("SiP") solutions, MEMS-based sensors, antenna tuners, antennaplexers, as well as discrete multiplexers, duplexers, filters, and switches.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Advances in mobile devices are transforming how end users around the world access content, interact with communities and transact commerce. The migration to 5G enables higher data throughput, lower signal latency and massive machine-type communication. 5G devices operate over a wide range of frequencies and face challenges related to efficiency, linearity, signal coexistence, signal integrity and form factor. 5G architectures are more complex and include Multiple-Input/Multiple-Output ("MIMO"), higher frequencies with wider bandwidths, and new paths featuring carrier aggregation.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mobile device original equipment manufacturers ("OEMs") are leveraging UWB's precision-location accuracy to enhance functionality with applications that can offer secure remote access, indoor navigation and other functionality. They are also seeking to adopt force-sensing touch sensor technology to enhance human-machine interfaces, create new consumer experiences and advance industrial design.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challenges and the increases in functionality and complexity are driving requirements for high performance and highly integrated RF solutions.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Cellular Infrastructure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Operators of cellular base stations are migrating to 5G to increase capacity, expand coverage and lower the cost per bit of data delivered. This is enabling new data-driven intelligent applications that combine global connectivity with advanced capabilities, including artificial intelligence and machine learning. New use cases include industrial automation, robotics, remote medical care, autonomous vehicles and augmented reality/virtual reality ("AR/VR").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Qorvo supports the world’s leading cellular base station OEMs with a broad portfolio of infrastructure solutions to address requirements for increased data capacity and throughput and improved efficiency. Our cellular base station products include switches, low noise amplifier ("LNA") modules, variable gain amplifiers, integrated power amplifier ("PA") Doherty modules, discrete LNAs and high power amplifiers and power amplifier modules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combining high power amplifiers with small signal content. These products leverage deep expertise across technologies including gallium nitride ("GaN") and gallium arsenide ("GaAs").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5G networks operate over a wide range of frequencies, and deployments can vary with spectrum allocation, regional demographics, geopolitical considerations and other factors. In the U.S., the allocation of C-band frequency has supported the deployment of base stations operating in the sub-7 GHz frequency range. Many of these base stations are configured with massive MIMO active antenna arrays, which increases the number of RF transmit and receive channels. Base stations operating over millimeter wave frequencies are also being deployed to address capacity requirements in high-density environments and support applications such as fixed wireless access.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Management and Conversion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Power efficiency is a core requirement in all electronics, and power management and power conversion are critical to enhancing efficiency. Industry trends in electric vehicles ("EVs")/hybrid-EVs, renewable energy systems, battery-operated portable devices, EV chargers, on-board chargers, data storage, circuit protection and similar applications, are sharpening the focus on power efficiency and increasing the demand for our power management and power conversion solutions.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Qorvo’s silicon carbide ("SiC") power devices provide state-of-the-art efficiency in a range of power conversion applications. Our SiC portfolio includes Schottky diodes and transistors ranging in voltage from 650V to 1700V. Power levels vary from 650 watts to hundreds of kilowatts, and markets include automotive, industrial, IT infrastructure and renewable energy.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Qorvo’s power management solutions include programmable power management ICs and power application controllers (PACs</w:t>
      </w:r>
      <w:r>
        <w:rPr>
          <w:rFonts w:ascii="Times New Roman;sans-serif" w:hAnsi="Times New Roman;sans-serif"/>
          <w:b w:val="false"/>
          <w:color w:val="000000"/>
          <w:sz w:val="13"/>
        </w:rPr>
        <w:t>®</w:t>
      </w:r>
      <w:r>
        <w:rPr>
          <w:rFonts w:ascii="Times New Roman;sans-serif" w:hAnsi="Times New Roman;sans-serif"/>
          <w:b w:val="false"/>
          <w:color w:val="000000"/>
          <w:sz w:val="20"/>
        </w:rPr>
        <w:t>). Our programmable power management ICs provide customers digital and analog power control. They reduce solution size, lower cost, improve system reliability and shorten our customers’ product development time. Our power management products manage voltages from 1.8V to 600V and power up to 4,000 watts.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IoT and Connected Home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proliferation of data-driven connected devices that sense, process and communicate is increasing demand for wireless connectivity solutions that increase throughput and capacity, reduce latency, enhance security, and maximize efficiency. Use cases in consumer, commercial and industrial IoT applications include connected cars, cloud gaming, AR/VR, telemedicine and factory automation.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Connected home devices allow remote access and control of applications including entertainment, comfort, health monitoring, and property monitoring and security. These devices can be controlled through a computer, tablet or smartphone, or through a direct peer-to-peer device such as a voice-enabled remote control, tablet or home control assistant.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Wi-Fi, new standards and architectures, such as 802.11ax (Wi-Fi 6), Wi-Fi 6E and Wi-Fi 7, are enhancing performance, increasing range and capacity, and enabling new use cases. The upcoming Wi-Fi 7 standard will double the channel bandwidth and number of spatial streams compared to Wi-Fi 6E and use multi-link operation to combine portions of the 5 GHz and 6 GHz bands into a single link. This will enable faster speeds over longer distances. As standards and architectures evolve, requirements increase for more functional and more highly integrated RF front end solutions. Qorvo’s Wi-Fi portfolio includes PAs, switches, LNAs and BAW filters, as well as solutions including front end modules ("FEMs") and iFEMs featuring integrated filters.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lower power applications, smart device OEMs increasingly prefer multi-protocol integrated SoCs that enable multiple radios to connect concurrently. The coexistence of multiple low power wireless protocols, such as Bluetooth Low Energy, Zigbee, and Thread, in single-placement SoCs reduces form factor, extends battery life and advances the proliferation of IoT devices. Matter is an open and universal smart home overlay developed to simplify multi-protocol interoperability and accelerate adoption of IoT devices and platforms. Lastly, UWB is enabling new use cases that require precision location accuracy and security, including secure home access, secure car access, indoor navigation and other applications. Qorvo's low power portfolio includes multi-protocol (Bluetooth Low Energy, Zigbee and Thread) SoC solutions, single standard UWB SoCs, and UWB SiP solutions that consist of SoC hardware, firmware and application software.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val="false"/>
          <w:i/>
          <w:color w:val="000000"/>
          <w:sz w:val="20"/>
        </w:rPr>
        <w:t>Defense and Aerospace</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defense and aerospace, Qorvo focuses primarily on high-power phased array radar, electronic military applications and communications systems. Within these markets, the adoption of phased array radar, the introduction of new frequency bands and the shift to higher frequencies are expanding the opportunity for our products and technologies. We are a leading supplier of RF products and compound semiconductor foundry services to defense primes and other global defense and aerospace customers. We also engage directly with defense customers to develop next-generation semiconductor and packaging technologies.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PAs support phased array radars and communication systems. Our solid-state, high-power products provide highly reliable, efficient broadband solutions for complex applications across a broad frequency spectrum. Our premium filters optimize frequency spectrum to expand network capacity and extend coverage. We also offer industry-leading standard products and integrated multi-chip modules such as LNAs, mixers, phase shifters, switches, multiplexers and attenuators.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Automotive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automotive markets, new use cases including vehicle-to-everything ("V2X") communications, advanced connectivity services, and secure car access, are supporting the migration to more connected, more intelligent vehicles. These new use cases are driving increased content across multiple connectivity and sensing technologies, including cellular, V2X, Wi-Fi, satellite radio, MEMS-based force-sensing, and UWB. Our force-sensing touch sensors enable an enhanced human-machine interface experience in automotive smart interior applications. Our UWB solutions leverage ultra-low latency and precision location accuracy to enable digital key access and digital key sharing while reducing the risk of "man-in-the-middle," or "relay" attacks possible with legacy technologies.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Similarly, electrification trends and the adoption of EVs/hybrid-EVs are increasing the need for more efficient power delivery solutions and increasing requirements for semiconductor content in automotive markets. This supports increasing adoption of compound semiconductor technologies such as SiC.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connectivity and sensor products for automotive applications include BAW filters, LNAs, switches, PAs, front-end solutions, force-sensing touch sensors, and UWB solutions. Our automotive power products include traction inverters, on-board chargers, and DC/DC converters. Our products meet or exceed automotive AEC-Q100 quality and reliability standards, and our customers include market leading automotive Tier-1 suppliers.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invest in research and development ("R&amp;D") to develop advanced technologies and products to best serve our markets. Our R&amp;D activities support large competitive design win opportunities for major programs at key customers, which require best-in-class performance, size, cost and functional density. We also invest in R&amp;D to develop new products for broader market applications. Our R&amp;D efforts focus on continuous improvement and innovation in fundamental areas including materials, software, semiconductor process technologies, simulation and modeling, systems architecture, circuit design, device packaging, module integration and test capabilities.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multiple generations of GaAs, GaN, BAW and surface acoustic wave ("SAW") process technologies that we manufacture. We invest in these technologies to improve device performance, reduce die size and reduce manufacturing costs. We also source technologies in cooperation with key suppliers, including silicon on insulator ("SOI") for switches and tuners, silicon germanium ("SiGe") for amplifiers, complementary metal oxide semiconductor ("CMOS") for power management devices and SoC solutions, MEMS technology for switches and force-sensing and SiC for high-voltage power conversion devices. We combine these technologies with proprietary design methods, intellectual property ("IP") and other expertise to improve performance, increase integration and reduce the size and cost of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develop and qualify advanced packaging technologies to reduce component size, improve performance and reduce package costs. We also invest in large scale module assembly and test capabilities to bring these technologies to market in very high volumes.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Raw Materials and Manufacturing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numerous raw materials and parts, such as silicon, passive components and substrates, for our manufacturing processes. In our GaN and GaAs manufacturing operations, we use several raw materials, including GaN on SiC wafers and GaAs wafers. In our acoustic filter manufacturing operations, raw materials include silicon, lithium niobate and lithium tantalate.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procure our materials, parts and supplies from a large number of sources through established purchase contracts with suppliers or on a purchase order basis. We enter into supply agreements, for certain items, to address short-term and long-term supply requirements during periods of semiconductor industry supply constraints.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strategy includes a balance of internal and external capacity. Our manufacturing sites are geographically distributed, as are our suppliers. We routinely qualify additional manufacturing sites and sources of supply to reduce the risk of supply interruptions or price increases, and we closely monitor our suppliers’ key performance indicators. We seek to ensure that materials and manufacturing services are available from multiple sources and geographic locations.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products are multi-chip modules utilizing multiple semiconductor and acoustic material processing technologies. These products have varying degrees of complexity and contain semiconductors and other components that are manufactured internally or sourced from outside supply chain partners.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fabrication facilities for the production of BAW, GaAs, GaN, SAW and Temperature Compensated SAW wafers in North Carolina, Oregon and Texas. We also use multiple silicon-based process technologies, including SiC, SOI, SiGe and bulk CMOS, which are principally sourced from leading silicon foundries located throughout the world. We have a global supply chain and ship millions of units per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our own flip chip, wire bond and wafer-level packaging technologies. We primarily use internal assembly facilities in China, Costa Rica, Germany and the U.S., and we also use external suppliers located in Asia for these and other packaging technologies.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yields can vary significantly between products, based on a number of factors, including product complexity, performance requirements and the maturity of our manufacturing processes. To maximize wafer yields and quality, we test products multiple times, maintain continuous reliability monitoring and conduct numerous quality control inspections throughout the production flow.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internal manufacturing facilities require a high level of fixed costs, consisting primarily of occupancy costs, maintenance, repair, equipment depreciation, and labor costs related to manufacturing and process engineering.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Semiconductor fabrication requires highly controlled and clean environments. Die on a wafer can be found to be nonfunctional or wafers can be rejected due to a number of reasons, including minute impurities, variances in the fabrication process or defects in the masks used to transfer circuit patterns onto the wafers.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facilities worldwide are certified to the International Organization for Standardization ("ISO") 9001 quality standard, and select locations are certified to additional automotive (IATF 16949), aerospace (AS 9100) and environmental (ISO 14001) standards. These stringent standards are audited and certified by third-party auditors in addition to our continuous internal self-audits. The ISO 9001 standard is based on a number of quality management principles including a strong customer focus, the motivation of top management, the process approach and continual improvement. IATF 16949 is the highest international quality standard for the global automotive industry and incorporates specific additional requirements for the automotive industry. AS 9100 is the standardized quality management system for the aerospace industry. ISO 14001 is an internationally agreed upon standard for an Environmental Management System ("EMS"). We require that all of our key vendors and suppliers be compliant with applicable standards.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and market our products and solutions for leading U.S. and international OEMs and original design manufacturers ("ODMs"). We also collaborate with leading reference design partners and provide foundry services to defense primes and other defense and aerospace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products to our largest end customer, Apple Inc. ("Apple"), through sales to multiple contract manufacturers, which in the aggregate accounted for 37% and 33% of total revenue in fiscal years 2023 and 2022, respectively. Samsung Electronics Co., Ltd. ("Samsung") accounted for 12% and 11% of total revenue in fiscal years 2023 and 2022, respectively. These customers primarily purchase RF solutions for a variety of mobile devices.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worldwide both directly to customers and through a network of U.S. and foreign sales representative firms and distributors. We select our sales representative firms and distributors based on technical skills and sales experience, the presence of complementary product lines and the customer base served. We provide ongoing educational training about our products to our internal and external sales representatives and distributors.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contains extensive product information and includes an online store where customers can learn about our products, download product catalogs, order product samples and request evaluation boards.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chipset suppliers and provide them strong technical support to enhance their customer experience and help anticipate future product needs.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are the result of standard purchase orders or specific agreements with customers. Our revenue fluctuates based on consumer demand for devices as well as the timing of customer device launches. Other factors such as macroeconomic effects and the timing of the next generation of technologies can also impact the fluctuations in demand.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competitive industry generally characterized by rapid advances in technology and new product introductions. Our customers’ product life cycles can be short,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and technical support and our ability to design customized products that address each customer’s particular requirements. The selection process for our products is highly competitive, and our customers provide no guarantees that our products will be included in the next generation of products introduced.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HPA competes primarily with Analog Devices, Inc.; Infineon Technologies AG; MACOM Technology Solutions Holdings, Inc.; NXP Semiconductors N.V.; ON Semiconductor Corporation; STMicroelectronics N.V.; Sumitomo Electric Device Innovations; Texas Instruments, Inc.; and Wolfspeed, Inc. CSG competes primarily with Broadcom Inc.; Nordic Semiconductor; NXP Semiconductors N.V.; Qualcomm Technologies, Inc.; Silicon Laboratories Inc.; and Skyworks Solutions, Inc. ACG competes primarily with Broadcom Inc.; Murata Manufacturing Co., Ltd.; Qualcomm Technologies, Inc.; and Skyworks Solutions,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current and potential competitors have strong market positions and customer relationships, established patents and other IP, and substantial technological capabilities. In some cases, our competitors are also our customers or suppliers. Additionally, many of our competitors have significant financial, technical,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marketing resources, which may allow them to more quickly implement new technologies and develop new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IP, including patents, copyrights, trademarks and trade secrets, is important to our business, and we actively seek opportunities to leverage our IP portfolio to promote our business interests. We also actively monitor and protect our global IP rights to deter unauthorized use of our IP and other assets. These efforts can be difficult because of the absence of consistent international standards and laws. In addition, the laws of some foreign countries do not protect IP rights to the same extent as U.S. laws. We respect the IP rights of others and have implemented policies and procedures to mitigate the risk of infringing or misappropriating third-party IP.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Patent applications are filed within the U.S. and in other strategic countries where we have a market presence. On occasion, some applications do not mature into patents for various reasons, including rejections based on prior art. We have approximately 2,250 patents that have expiration dates between 2023 and 2041. We also continue to acquire patents through acquisitions or direct prosecution efforts and engage in licensing transactions to secure the right to use third-parties’ patents. In view of our rapid innovation and product development and the comparative pace of governments’ patenting processes, there is no guarantee that patented technology for our products and services will not be obsolete before the related patents expire or are granted. However, we believe the duration and scope of our most relevant patents are sufficient to support our business, which as a whole is not significantly dependent on any particular patent or other IP right. As we expand our products and offerings, we also seek to expand our patent prosecution efforts to cover such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 technology. Such information is closely monitored and made available only to those employees whose responsibilities require access to the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employees are our greatest assets, and we must continue to attract, develop, retain and motivate our employees to remain competitive and execute our business strategy. We strive to meet these objectives by offering competitive pay and benefits in a diverse, inclusive and safe workplace and by providing opportunities for our employees to grow and develop their careers.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we employed over 8,500 full and part-time employees in 23 countries. By region, approximately 55% of our total employees were in the Americas, 38% in Asia and 7% in Europe. Approximately 61% of our global population was in engineering or technician roles.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Competitive Pay and Benefits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use a combination of compensation and other programs (which vary by region and salary grade) to attract, motivate and retain our employees, including semiannual performance bonuses, stock awards, an employee stock purchase plan, retirement programs, health savings and flexible spending accounts, paid time off, family leave, family care resources, flexible work schedules, employee assistance programs, tuition assistance, health and wellness benefits and programs, and on-site fitness centers. We benchmark our compensation and benefits packages annually to ensure we remain competitive with our peers and continue to attract and retain talent throughout our organization.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Recruitment, Retention and Development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recruiting, hiring, retaining, promoting and engaging a diverse workforce to best serve our global customers. We have established relationships with professional associations and industry groups to proactively attract talent, and we partner with universities with diverse student populations for our internship program. We believe that our internship program and university partnerships contribute to developing the next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generation of talent, including engineers in our industry, and provides a pipeline of recent college graduates into our talent pool.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support a high performance culture through ongoing performance development mentoring aligned with our annual review process. We offer learning and development solutions to develop strategically aligned competencies. Our e-learning libraries, learning pathways and educational assistance provide our employees with robust development opportunities to help them achieve their career goals, build management skills and lead their organizations.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believe our competitive compensation and benefits programs, along with career growth, development and internal mobility opportunities promote longer employee tenure and reduce turnover. </w:t>
      </w:r>
      <w:r>
        <w:rPr>
          <w:rFonts w:ascii="Times New Roman;sans-serif" w:hAnsi="Times New Roman;sans-serif"/>
          <w:b w:val="false"/>
          <w:color w:val="000000"/>
          <w:sz w:val="20"/>
          <w:shd w:fill="FFFFFF" w:val="clear"/>
        </w:rPr>
        <w:t xml:space="preserve">We regularly monitor employee turnover, as given the nature of our business, our success depends upon retaining highly trained personnel with the technical skills necessary to execute on our business objectives. </w:t>
      </w:r>
      <w:r>
        <w:rPr>
          <w:rFonts w:ascii="Times New Roman;sans-serif" w:hAnsi="Times New Roman;sans-serif"/>
          <w:b w:val="false"/>
          <w:color w:val="000000"/>
          <w:sz w:val="20"/>
        </w:rPr>
        <w:t>Our global attrition rate has consistently been below the technology industry average.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Qorvo, we value diversity, equity and inclusion and respect the unique talents, experiences, cultures and ideas of our global team members. Diversity and inclusion principles are threaded across the entire company, and employees are equipped with the knowledge and capabilities to welcome and embrace diversity and advocate for inclusion. Through employee-driven groups called Qorvo Employee Networks, our employees have an opportunity to connect through shared interests and goals and spur growth through professional and personal development. Our efforts to foster a diverse and inclusive workplace include partnering with organizations in our surrounding communities that advocate for gender, race and ethnicity, socioeconomic, disability and LGBTQ+ equality. To further drive accountability, certain diversity, equity and inclusion objectives are linked to executive and senior leader compensation. These and other efforts help promote an inclusive workplace of talented employees and drive employee engagement.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Safety, Health and Wellness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 member of the Responsible Business Alliance ("RBA"), an industry coalition dedicated to driving sustainable value for workers in global supply chains, among other things. As a member of the RBA,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employee policies and procedures. In addition, Qorvo is committed to complying with applicable laws and regulations of the countries in which we operate and supporting ethical labor practices that do not infringe on human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prioritize safe working conditions for our employees as well as our on-site contractors and visitors. We are committed to an injury-free workplace and provide dedicated workplace training and leadership support to reduce or eliminate health and safety risks. In fiscal 2023, we achieved our safety goal for the fifth consecutive year. Our site-specific health and safety teams are critical in fostering a positive safety culture. Team members utilize our online near miss and hazard reporting system, a system critical to prevent worker injury.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is fundamentally connected to the well-being of our employees. We provide our employees with work arrangements that support flexibility, while maintaining our strong culture of innovation, collaboration and camaraderie. We provide our employees and their families access to a variety of health and wellness programs that support their physical and mental health. These programs provide tools and resources that emphasize preventive care, encourage healthy behaviors, such as health coaches and wellness incentives, and are designed to help cultivate a productive work environment, while also focusing on the well-being of our employees.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Government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extensive and changing domestic and international federal, state and local governmental laws, regulations and ordinances related to the discharge of pollutants into the environment; the treatment, transport, and disposal of hazardous waste; recycling and product packaging; worker health and safety; and other activities affecting the environment, our workforce, and the management of our manufacturing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continuously improve the environmental aspects of our manufacturing processes and are dedicated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providing a safe and healthy work environment for our employees;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complying with regulatory and other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using natural resources, energy, and materials efficiently;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substituting sustainable resources in place of non-renewable resources;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reusing or recycling materials wherever technically possible and economically reasonable;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minimizing waste and disposing of waste safely and responsibly;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sourcing raw material responsibly;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implementing specific measures to prevent and minimize hazards to humans and the environment including pollution prevention.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operations and facilities comply in all material respects with applicable environmental laws and worker health and safety laws, and our efforts help to ensure that our products are compliant with the requirements of the markets into which the products will be sold and with our customers’ requirements.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 We are an ISO 14001:2015 certified manufacturer with a comprehensive EMS in place to help ensure control of the environmental aspects of the manufacturing process. Our EMS mandates compliance and establishes appropriate checks and balances to minimize the potential for non-compliance with environmental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import/export controls, tariffs and other trade-related regulations and restrictions in countries in which we have operations or otherwise do business. These controls, tariffs, regulations, and restrictions (including those related to, or affected by, United States-China relations, as discussed below in Item 1A, "Risk Factors") may have a material impact on our business, including our ability to sell products and to manufacture or source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regulations are subject to change, and accordingly we are unable to assess the possible effect of compliance with future requirements or whether our compliance with such regulations will materially impact our business,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Qorvo’s cybersecurity program is built around the ISO and National Institute for Standards and Technology frameworks. Cybersecurity risks are routinely identified in the Qorvo Enterprise Risk Management Program and cybersecurity assessment and planning. Senior management and the Audit Committee of the Board of Directors receive regular briefings on cybersecurity matters. Qorvo’s cybersecurity program includes, but is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annual cybersecurity budget planning across all IT disciplines;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enterprise security policies and procedures that guide our cybersecurity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combination of broad cybersecurity training for all employees and targeted training for specific sensitive roles and functions;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prioritization of system and process criticality and sensitivity to apply enhanced security protections to the most business-critical areas of the company and the most sensitive information;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 and continual monitoring of Qorvo’s security posture and security-related events;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 and continual monitoring of the security posture of critical third parties (e.g., suppliers and service providers);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exercise of Qorvo’s preparedness for incidents through incident response exercises and root cause analysis of actual and near-miss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collaboration with Qorvo leadership to identify and address emerging cybersecurity risk and compliance considerations based on changing business priorities, business acquisitions, regulatory compliance requirements, and contractual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regular cybersecurity information-sharing with peer organizations, industry groups, and federal agencies;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integration of in-house cybersecurity services with third-party security service providers;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regular internal and external cybersecurity audits and assessments, at the direction of the Audit Committee of the Board of Directors.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Access to Public Information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make available, free of charge through our website (https://www.qorvo.com), our annual and quarterly reports on Forms 10-K and 10-Q (including exhibits and related filings in iXBRL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United States Securities and Exchange Commission ("SEC"). The SEC maintains a website at https://www.sec.gov that contains reports, proxy and information statements, and other information regarding issuers that file electronically with the SEC. The public may also request a copy of our forms filed with the SEC, without charge upon written request, directed to: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 Relations Department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Qorvo, Inc., 7628 Thorndike Road, Greensboro, NC 27409-9421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on or accessible through our website is not incorporated by reference or considered to be a part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risks described below in addition to the other information contained in this report before making an investment decision with respect to any of our securities. Our business, financial condition or results of operations could be materially and adversely impacted by any of these risks. The risks and uncertainties described below are not the only ones we face. Additional risks not currently known to us, or other factors not perceived by us to present material risks to our business at this time, may impair our business operations,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risks that could adversely affect our business, financial condition or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operating results fluctuate and are substantially dependent on developing new products and achieving design wins as our customers' requirements can change rapidly and product life cycles can be short.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depend on several large customers for a substantial portion of our revenue and the loss of one or more of these customers could have a material adverse effect on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risks of a loss of revenue if contracts with the United States government or defense and aerospace contractors are canceled or delayed or if defense spending is reduced.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be subject to continued volatility and uncertainty in customer demand, worldwide economies and financial markets resulting from the COVID-19 pandemic.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depend heavily on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risks related to sales through distributors.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risks associated with the operation of our manufacturing facilities, and if we experience poor manufacturing yields, our operating results may suffer.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inventory risks and costs because we purchase materials and build our products based on forecasts provided by customers before receiving purchase orders for the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sell certain of our products based on reference designs of chipset suppliers, and our inability to effectively manage or maintain our evolving relationships with these companies may have an adverse effect on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Overcapacity could cause us to underutilize our manufacturing facilities and have a material adverse effect on our financial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subject to risks from international sales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acquisitions and other strategic investments could fail to achieve our financial or strategic objectives, disrupt our ongoing business, and adversely impact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 order to compete, we must attract, retain, and motivate key employees, and our failure to do so could harm our business and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rely on our IP portfolio and may not be able to successfully protect against the use of our IP by third parties, and we may be subject to claims of infringement of third-party IP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breaches and other disruptions could compromise our proprietary information, expose us to liability or disrupt our ability to operate critical business functions, which would cause our business and reputation to suffer.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 more complete discussion of the material risks facing our business, see below.</w:t>
      </w:r>
    </w:p>
    <w:p>
      <w:pPr>
        <w:pStyle w:val="TextBody"/>
        <w:bidi w:val="0"/>
        <w:spacing w:before="0" w:after="0"/>
        <w:ind w:left="0" w:right="0" w:firstLine="1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operating results fluctuate on a quarterly and annual basis.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revenue, earnings, margins and other operating results have fluctuated significantly in the past and may fluctuate significantly in the future</w:t>
      </w:r>
      <w:r>
        <w:rPr>
          <w:rFonts w:ascii="Times New Roman;sans-serif" w:hAnsi="Times New Roman;sans-serif"/>
          <w:b w:val="false"/>
          <w:color w:val="000000"/>
          <w:sz w:val="20"/>
          <w:shd w:fill="FFFFFF" w:val="clear"/>
        </w:rPr>
        <w:t xml:space="preserve">. Historically, worldwide semiconductor industry sales have tracked the impacts of financial crises, subsequent recoveries and persistent economic uncertainty. Recent global economic slowdowns could continue and potentially result in certain economies dipping into economic recessions, including the United States. If demand for our products fluctuates as a result of economic conditions or for other reasons, our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and profitability could be impacted. Our future operating results will depend on many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business and macroeconomic changes, including trade restrictions and recession or slowing growth in the semiconductor industry and the overall global economy;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political and/or civil unrest, acts of war or other military actions, including any resulting sanctions or other restrictive 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inflationary pressures, which vary across jurisdictions in which we do business, resulting in increased costs or reduced demand for our products due to increased prices of those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consumer confidence caused by many factors, including changes in interest rates, credit markets, unemployment levels, energy or other commodity prices as well as changes in existing and expected rates of inflation;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demand for our customers’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forecast our customers’ demand for our products accurately;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third-party foundries and other third-party suppliers to manufacture, assemble and test our products and otherwise deliver on their commitments to us in a timely and cost-effective manner;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customers’ and distributors’ ability to manage the inventory that they hold and to forecast accurately their demand for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delays in the widespread deployment and commercialization of new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achieve cost savings and improve yields and margins on our new and existing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successfully integrate into our business, and realize the expected benefits of, our acquisitions and strategic investments;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align production capacity to customer demand, which may lead to underutilization of our capacity in periods of lower demand or the lack of capacity in periods of excess demand.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have been and our future operating results could be adversely affected by one or more of the factors set forth above or other similar factors. If our future operating results or forecasts are below the expectations of stock market analysts or our investors, our stock price may decline.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results are substantially dependent on developing new products and achieving design wins as our customers' requirements can change rapidly and product life cycles can be short.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largest markets are characterized by the frequent introduction of new products in response to evolving product requirements, driven by end user demand for more functionality, improved performance, lower costs and new form factors. Our largest customers typically refresh some or all of their product portfolios by releasing new models each year. In some cases, product designs we pursue represent either opportunities to substantially increase our revenue by winning a new design or a risk of a substantial decrease in revenue by losing a product on which we are the incumbent.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Our successful product development depends on a number of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predict market requirements and define and design new products that address those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design products that meet our customers’ cost, size and performance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introduce new products that are competitive and can be manufactured at lower costs or that command higher prices based on superior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acceptance of our new product designs;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qualified product design engineers;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timely completion of product designs and ramp up of new products according to our customers’ needs with acceptable manufacturing yields;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acceptance of our customers’ products and the duration of the life cycle of such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performance. If we are unsuccessful in achieving design wins, our revenue and operating results will be adversely affected. Even when a design win is achieved, our success is not assured. Design wins may require significant expenditures by us and typically precede a higher volume revenue by six to nine months or more. Many customers seek a second source for all major components in their devices, which can significantly reduce the revenue obtained from a design win. In many cases, the average selling prices of our products decline over the products’ lives, and we must achieve yield improvements, cost reductions and other productivity enhancements in order to maintain profitability. The actual value of a design win to us will ultimately depend on the commercial success of our customers’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depend on several large customers for a substantial portion of our revenue and the loss of one or more of these customers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revenue is currently from several large customers. Our future operating results will be affected by both the success of our largest customers and on our success in diversifying our products and customer base. Collectively, our two largest end customers accounted for an aggregate of approximately 49%, 44% and 39% of our revenue for fiscal years 2023, 2022 and 2021, respectively. If demand for their products increases, our results are favorably impacted, while if demand for their products decreases, they may reduce their purchases of, or stop purchasing our products and our operating results would suffer. Even if we achieve a design win, our customers can delay or cancel the release of a new handset for any reason. Most of our customers can cease incorporating our products into their devices with little notice to us and with little or no penalty. The loss of a large customer and failure to add new customers to replace lost revenue would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risks of a loss of revenue if contracts with the United States government or defense and aerospace contractors are canceled or delayed or if defense spending is reduced.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receive a portion of our revenue from the United States government and from prime contractors on United States government-sponsored programs, principally for defense and aerospace applications. These programs are subject to delays or cancellation. Further, spending on defense and aerospace programs can vary significantly depending on funding from the United States government. We believe our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effects of the COVID-19 pandemic continue to adversely affect our business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has been a contributing factor of the semiconductor industry supply constraints and may continue to cause volatility and uncertainty in customer demand, worldwide economies and financial markets.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have experienced, and may continue to experience, disruptions to our supply chain and increased costs in connection with our sources of materials, components, logistics services and other services caused in part by the pandemic.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caused government authorities to implement numerous public health measures, including quarantines, business closures, travel bans and lockdowns to contain the virus. We have experienced and may continue to experience disruptions to our business as these measures have, and may continue to have, an effect on our customer demand and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to which COVID-19 and its variants impact our results will depend on future developments, which are highly uncertain and cannot be predicted, and may amplify other risks discussed in these risk factors and throughout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depend heavily on third parties.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product quality and cost increases. Furthermore, the COVID-19 pandemic and related supply chain disruptions and labor market constraints have created heightened risk that external suppliers may be unable to meet their obligations to us. If we experience any significant difficulty in obtaining the materials or services used in the conduct of our business, these supply challenges may limit our ability to fully satisfy customer demand.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the semiconductor industry continues to experience supply constraints for certain items, we entered into certain supply agreements to address short-term and long-term supply requirements. However, even with supply agreements, we are still subject to risks that a supplier will be unable to meet its supply commitments, achieve anticipated manufacturing yields, produce wafers on a timely basis, or provide additional wafer capacity beyond its current contractual commitments sufficient to meet our supply needs. If so, we may experience delays in product launches or supply shortages for certain products, which could cause an unanticipated decline in our sales and damage our existing customer relationships and our ability to establish new customer relationships. In addition, if a supplier experiences financial difficulties or goes into bankruptcy, it could be difficult or impossible, or may require substantial time and expense, for us to recover any or all of our fees and deposits made as part of any supply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key suppliers commit to us to be compliant with applicable ISO 9001 and/or TS-16949 quality standards, we have experienced quality and reliability issues with suppliers in the past. Quality or reliability issues in our supply chain could negatively affect our products, our reputation and our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We face risks related to sales through distributors.</w:t>
      </w:r>
      <w:r>
        <w:rPr>
          <w:color w:val="0860A8"/>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sell a significant portion of our products through third-party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incentivize the distributors to focus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risks associated with the operation of our manufacturing facilities.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wafer fabrication facilities in North Carolina, Oregon and Texas. We currently use several international and domestic assembly suppliers, as well as internal assembly facilities in China, Costa Rica, Germany and the U.S., to assemble and test our products. We currently have our own test and tape and reel facilities located in China, Costa Rica and the U.S., and we also utilize contract suppliers and partners in Asia to test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factors related to our facilities will affect our business and financial results,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adjust production capacity in a timely fashion in response to changes in demand for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significant fixed costs of operating the facilities;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factory utilization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qualify our facilities for new products and new technologies in a timely manner;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raw materials, the impact of the volatility of commodity pricing and tariffs imposed on raw materials, including substrates, gold, platinum and high purity source materials such as gallium, aluminum, arsenic, indium, silicon, phosphorous and palladium;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manufacturing cycle times;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manufacturing yields;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political, regulatory and economic risks associated with our international manufacturing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violations by our employees or third-party agents of international or U.S. laws relevant to foreign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hire, train and manage qualified production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compliance with applicable environmental and other laws and regulations;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avoid prolonged periods of down-time in our facilities for any reason.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disruptions could harm our business, lead to a decline in revenue and increase our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worldwide operations and business could be, and in some cases have been, disrupted by natural disasters, industrial accidents, cybersecurity incidents, telecommunications failures, power or water shortages, extreme weather conditions, public health issues (including the COVID-19 pandemic), terrorist attacks, political and/or civil unrest, acts of war or other military actions, political or regulatory issues and other man-made disasters or catastrophic events. Global climate change could result in certain natural disasters occurring more frequently or with greater intensity, such as drought, wildfires, storms and flooding.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in order to fully resume operations and could also have a material adverse effect on our operations and financial results to the extent that losses are uninsured or exceed insurance recoveries, and to the extent that such disruptions adversely impact our relationships with our customers. Furthermore, even if our own operations are unaffected or recover quickly, if our customers or suppliers cannot timely resume their own operations due to a business disruption, natural disaster or catastrophic event, customers may reduce or cancel their orders and suppliers may delay manufacturing and delivery of our products, which may adversely affect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experience poor manufacturing yields, our operating results may suffer.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have unique designs and are fabricated using multiple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 Furthermore, as our customers test our products once assembled into their products, we may be exposed to additional quality issues and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usable products that result from our production process can fluctuate as a result of many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design errors;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defects in photomasks (which are used to print circuits on a wafer);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minute impurities and variations in materials used;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contamination of the manufacturing environment;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equipment failure or variations in the manufacturing processes;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losses from broken wafers or other human error;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defects in substrates and packaging.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constantly seek to improve our manufacturing yields. Typically, for a given level of sales, when our yields improve our gross margins improve, and when our yields decrease, our unit costs are higher, our margins are lower, and our operating results are adversely affected. Costs of product defects and deviations from required specifications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writing off inventory;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scrapping products that cannot be reworked;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accepting returns of products that have been shipped;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providing product replacements at no charge;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reimbursement of direct and indirect costs incurred by our customers in recalling or reworking their products due to defects in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travel and personnel costs to investigate potential product quality issues and to identify or confirm the failure mechanism or root cause of product defects;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defending against 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costs could be significant and could reduce our gross margins. Our reputation with customers also could be damaged as a result of product defects and quality issues, and product demand could be reduced, which could harm our business and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inventory risks and costs because we purchase materials and build our products based on forecasts provided by customers before receiving purchase orders for the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ensure availability of our products for some of our largest end customers, we purchase materials and start manufacturing certain products in advance of receiving purchase orders based on forecasts provided by these customers. These forecasts, however,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or may be lower than expected, purchasing materials and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Amidst ongoing industry-wide supply constraints, we entered into a long-term capacity reservation agreement with a foundry supplier during fiscal 2022. Under this agreement, we were required to purchase, and the foundry supplier was required to supply, a certain number of wafers for calendar years 2022 through 2025. In connection with this agreement, we paid a refundable deposit, and if the purchase commitments per the agreement were not met, under certain circumstances the supplier could deduct the amount of the purchase shortfall from the prepaid refundable deposit at the end of each calendar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we experienced unexpectedly weakened demand for 5G handsets in China and EMEA due to unprecedented disruption resulting, in part, from measures taken in China to control the COVID-19 pandemic and the war in Ukraine. Although we renegotiated the terms of the agreement with the foundry supplier, which included extending the duration of the agreement through calendar year 2026, we were unable to meet the minimum purchase commitments under the amended agreement. As a result, we (1) recorded impairments to the prepaid refundable deposit, (2) recognized additional inventory reserves, and (3) adjusted our anticipated future commitment liability. To the extent that management’s assumptions pertaining to anticipated future demand are incorrect or there are further declines in customer forecasts, additional charges may be recorded in future periods, which would have a negative impact on our gross margin and other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sell certain of our products based on reference designs of chipset suppliers, and our inability to effectively manage or maintain our evolving relationships with these companies may have an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Chipset suppliers are typically large companies that provide system reference designs for OEMs and ODMs that include the chipset supplier's baseband and other complementary products. A chipset supplier may own or control IP that gives it a strong market position for its baseband products for certain air interface standards, which provides it with significant influence and control over sales of RF products for these standards. Chipset suppliers historically looked to us and our competitors to provide RF products to their customers as part of the overall system design, and we competed with other RF companies to have our products included in the chipset supplier's system reference design. This market dynamic has evolved as chipset suppliers have worked to develop more fully integrated solutions that include their own RF technologies and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Chipset suppliers may be in a different business from ours or we may be their customer or direct competitor. Accordingly, we must balance our interest in obtaining new business with competitive and other factors. Because chipset suppliers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relationships with chipset suppliers are complex and evolving, and the inability to effectively manage or maintain these relationships could have an adverse effect on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operate in a very competitive industry and must continue to innovate.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several companies primarily engaged in the business of designing, manufacturing and selling RF solutions, as well as suppliers of discrete ICs and modules. In addition to our direct competitors, some of our largest end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existing and potential competitors have entrenched market positions, historical affiliations with OEMs, considerable internal manufacturing capacity, established IP rights and substantial technological capabilities. The semiconductor industry has experienced increased industry consolidation over the last several years, a trend we expect to continue. Many of our existing and potential competitors may have greater financial, technical, manufacturing or marketing resources than we do. Further, our competitors may secure substantially more government incentives and grants, such as funding available to U.S. semiconductor manufacturers under the Creating Helpful Incentives to Produce Semiconductors and Science Act. We cannot be sure that we will be able to compete successfully with our competitors.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Overcapacity could cause us to underutilize our manufacturing facilities and have a material adverse effect on our financial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is difficult to predict future demand for our products and to estimate future requirements for production capacity in order to avoid periods of overcapacity. Fluctuations in the growth rate of industry capacity relative to the growth rate in demand for our products also can lead to overcapacity and contribute to cyclicality in the semiconductor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Capacity expansion projects have long lead times and require capital commitments based on forecasted product trends and demand well in advance of production orders from customers. In recent years, we have made significant capital investments to expand our premium filter capacity to address forecasted future demand patterns. In certain cases, these capacity additions exceeded the near-term demand requirements, leading to overcapacity situations and underutilization of our manufacturing facilities.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many of our manufacturing costs are fixed, these costs cannot be reduced in proportion to the reduced revenue experienced during periods of underutilization. Current macroeconomic conditions have created weakness in demand, which may continue.</w:t>
      </w:r>
      <w:r>
        <w:rPr>
          <w:color w:val="000000"/>
        </w:rPr>
        <w:t xml:space="preserve"> </w:t>
      </w:r>
      <w:r>
        <w:rPr>
          <w:rFonts w:ascii="Times New Roman;sans-serif" w:hAnsi="Times New Roman;sans-serif"/>
          <w:b w:val="false"/>
          <w:color w:val="000000"/>
          <w:sz w:val="20"/>
        </w:rPr>
        <w:t>These conditions create elevated inventory levels at our customers, which in turn causes underutilization of our manufacturing facilities and higher inventory costs which adversely affects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 For example, to address manufacturing overcapacity, we idled a BAW manufacturing facility in Texas in fiscal 2021, and subsequently classified the facility as held for sale in fiscal 2023. These actions resulted in impairment charges, and other restructuring related charges and expenses.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Unfavorable changes in interest rates, pricing of certain precious metals, utility rates and foreign currency exchange rates may adversely affect our financial condition, liquidity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our hedging strategies will be effective in minimizing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acquisitions and other strategic investments could fail to achieve our financial or strategic objectives, disrupt our ongoing business, and adversely impact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business strategy, we expect to continue to review potential acquisitions and strategic investments that could complement our current product offerings, augment our market coverage or enhance our technical capabilities, or that may otherwise offer growth or margin improvement opportunities. In the event of future acquisitions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and strategic investments also entail numerous other risks that could adversely affect our business, results of operations and financial condition,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complete a transaction in a timely manner, if at all, due to our inability to obtain required government or other approvals, IP disputes or other litigation, difficulty in obtaining financing on terms acceptable to us, or other unforeseen factors;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controls, processes, and procedures of an acquired business may not adequately ensure compliance with laws and regulations, and we may fail to identify compliance issues or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unanticipated costs, capital expenditures or working capital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acquisition-related charges and amortization of acquired technology and other intangibles;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loss of key employees from a company we acquire or in which we invest;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diversion of management’s attention from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 of our ongoing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dis-synergies or other harm to existing business relationships with suppliers and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losses or impairment of investments from unsuccessful research and development by companies in which we invest;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successfully integrate acquired businesses, operations, products, technologies and personnel;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unrealized expected synergies.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Moreover, our resources are limited and our decision to pursue a transaction has opportunity costs; accordingly, if we pursue a particular transaction, we may need to forgo the prospect of entering into other transactions that could help us achieve our financial or strategic objectives. Any of these risks could have a material adverse effect on our business, results of operations, financial condition, or cash flows, particularly in the case of a large acquisition.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 order to compete, we must attract, retain, and motivate key employees, and our failure to do so could harm our business and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compete effectively, we must hire and retain qualified employees, continue to develop leaders for key business units and functions, expand our presence in international locations, adapt to cultural norms of foreign locations, and train and motivate our employee base. Labor is further subject to external factors that are beyond our control, including our industry's highly competitive market for skilled workers and leaders, cost inflation, and workforce participation rates. Our future operating results and success depend on keeping key technical personnel and management and expanding our sales and marketing, R&amp;D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software engineering, integrated circuit and filter design, and technical marketing and support, is limited. In addition, existing or new immigration laws, policies or regulations in the U.S. may limit the pool of available talent. Difficulties obtaining visas and other restrictions on international travel could make it more onerous to effectively manage our international operations, operate as a global company or service our international customer base. Changes in the interpretation and application of employment-related laws to our workforce practices may also result in increased operating costs and less flexibility in how we meet our changing workforce needs. Further, any transition from flexible work arrangements to more stringent on-site work requirements may result in higher employee attrition and make it more difficult for us to compete in the job market. We cannot be sure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 be able to attract and retain skilled personnel in the future, which could harm our business and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warranty claims, product recalls and product liability.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we may elect to self-insure with respect to certain matters and our reserves may be inadequate to cover the uninsured portion of such claims.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liability insurance is subject to significant deductibles, and such insurance may be unavailable or inadequate to protect against all claims. If one of our customers recalls a product containing one of our devices, we may incur significant costs and expenses, including replacement costs, direct and indirect product recall-related costs, diversion of technical and other resources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end customers, are potentially unlimited. Any such liabilities may greatly exceed any revenue we receive from sale of the relevant products. Costs, payments or damages incurred or paid by us in connection with warranty and product liability claims and product recalls could materially and adversely affect our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our effective tax rate may adversely impact our results of operations and cash flow.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China, Germany, Singapore, the U.S. and numerous other foreign jurisdictions. Our effective tax rate is subject to fluctuations and impacted by a number of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overall profitability and the amount of profit determined to be earned and taxed in jurisdictions with differing statutory tax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resolution of issues arising from tax audits with various tax authorities, including those described in Note 13 of the Notes to Consolidated Financial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valuation of either our gross deferred tax assets or gross deferred tax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adjustments to income taxes upon finalization of various tax returns;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expenses not deductible for tax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available tax credits;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tax laws, domestic and foreign, or the interpretation of such tax laws, and changes in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significant increase in our future effective tax rates could reduce net income and cash flow for future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enactment of international or domestic tax legislation, or changes in regulatory guidance, may adversely impact our results of operations and cash flow.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tax reform, base-erosion efforts, and increased tax transparency continue to be high priorities in many tax jurisdictions in which we have business operations. In 2017, the U.S. enacted comprehensive tax legislation, commonly referred to as the Tax Cuts and Jobs Act (the "Tax Act"), which included a number of changes to U.S. tax laws that impacted us, including the one-time transition tax on certain unrepatriated earnings of foreign subsidiaries (the "Transitional Repatriation Tax") and the Global Intangible Low-Taxed Income ("GILTI") provisions. In August 2022, the U.S. enacted the Inflation Reduction Act ("IRA"), establishing a new book minimum tax of 15% on consolidated adjusted GAAP pre-tax earnings for corporations with average income in excess of $1 billion. In addition, other countries in which we operate are beginning to implement legislation and other guidance to align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their international tax rules with the Organization for Economic Co-operation and Development’s Base Erosion and Profit Shifting recommendations and action plan, which aim to standardize and modernize global corporate tax policy, including changes to cross-border tax, transfer pricing documentation rules, nexus-based tax incentive practices, allocating greater taxing rights to countries where customers are located, and establishing a minimum tax of 15% on global income. Legislative changes, interpretations and guidance, and changes in prior tax rulings and decisions by tax authorities regarding treatments and positions of corporate income taxes resulting from these initiatives, could increase tax uncertainty, increase our effective tax rate, and result in taxes we previously paid being subject to change, which may adversely impact our financial position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the favorable tax status of our subsidiaries in Costa Rica and Singapore would have an adverse impact on our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subsidiaries in Costa Rica and Singapore have been granted tax holidays that minimize our tax expense and that are expected to be effective through December 2027 and December 2031, respectively. In their efforts to deal with budget deficits, governments around the world are focusing on increasing tax revenue through increased audits and, potentially, increased tax rates for corporations. As part of this effort, governments continue to review their policies on granting tax holidays. Future changes in our tax holiday status could have a negative effect on our net income in future years. The overall benefit derived from our tax holidays could also be adversely impacted by the future implementation of minimum tax regimes in countries in which we operate.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environmental, health and safety regulations, including those related to climate 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broad array of U.S. and foreign environmental, health and safety laws and regulations. These laws and regulations include those related to the use, transportation, storage, handling, emission, discharge and recycling or disposal of hazardous materials used in our manufacturing, assembly and testing processes. Such laws and regulations, as well as the associated frameworks for reporting, vary greatly by jurisdiction in which we do business and are continually evolving. Our failure to comply with any of these existing or future laws or regulations could result 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penalties and fines;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legal liabilities, including financial responsibility for remedial measures if our properties are contaminated;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expenses to secure required permits and governmental approvals;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reputational damage;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suspension or curtailment of our manufacturing, assembly and test processes;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costs to acquire pollution abatement or remediation equipment or to modify our equipment, facilities or manufacturing processes to bring them into compliance with applicable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Existing and future environmental laws and regulations could also impact our product designs and limit or restrict the materials or components that are included in our products. In addition, many of our largest end customers require us to comply with corporate social responsibility policies, which often include employment, health, safety, environmental and other requirements that exceed applicable legal requirements. Further, an increasing number of investors are also expecting companies to disclose environmental, social and governance ("ESG") policies, practices and metrics, on topics such as climate change, carbon emissions, water usage, waste management, and human capital. Compliance with these policies increases our operating expenses, and non-compliance can adversely affect customer and investor relationships and harm our business and the price of our common stock.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Regulations in the U.S. currently require that we determine whether certain materials used in our products, referred to as conflict minerals, originated in the Democratic Republic of the Congo or adjoining countries, or were from recycled or scrap sources. We may face challenges with government regulators and our customers and suppliers if we are unable to sufficiently make any required determination that the metals used in our products are conflict free.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climate change laws and regulations could require us to change our manufacturing processes or procure substitute raw materials that may cost more or be more difficult to procure. In addition, new restrictions on emissions of carbon dioxide or other greenhouse gases could result in increased costs for us and our suppliers. Finally, there is increasing legislation globally which will require us to align programs to the expectations of investors, customers or other stakeholders and disclose an increasing amount of information and data to illustrate our position and progress. If we do not adapt our strategy or execution quickly enough to meet the evolving expectations of our investors, customers, and regulators, or if our ESG data input, processing and reporting are incomplete or inaccurate, our business, financial condition, results of operations, brand and reputation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International Sales and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risks from international sales and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globally with sales offices and R&amp;D activities as well as manufacturing, assembly and test facilities in multiple countries, and some of our business activities are concentrated in Asia. As a result, we are subject to regulatory, geopolitical and other risks associated with doing business outside the U.S.,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global and local economic, social and political conditions and uncertainty;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currency controls and currency exchange rate fluctuations;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inflation, as well as changes in existing and expected rates of inflation, which vary across the jurisdictions in which we do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formal or informal imposition of export, import or doing-business regulations, including trade sanctions, tariffs and other related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labor market conditions and workers’ rights affecting our manufacturing operations or those of our customers or suppliers;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in capital and securities and commodities trading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occurrences of geopolitical crises such as terrorist activity, armed conflict, civil or military unrest or political instability such as the war in Ukraine, which may disrupt manufacturing, assembly, logistics, security and communications and result in reduced demand for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laws and regulations that differ among jurisdictions, including those covering taxes, IP ownership and infringement, imports and exports, anti-corruption and anti-bribery, antitrust and competition, cybersecurity, data privacy, and environment, health, and safety;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markets for 5G infrastructure not developing in the manner or in the time periods we anticipate, including as a result of unfavorable developments with evolving laws and regulations worldwide;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pandemics and similar major health concerns, including COVID-19 and related mitigation actions, which could adversely affect our business and our customer order patterns.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to customers located outside the U.S. accounted for approximately 49% of our revenue in fiscal 2023, of which approximately 21% was attributable to sales to customers located in China. We expect that revenue from international sales to China and other markets will continue to be a significant part of our total revenue. Any weakness in the Chinese economy, heightened tensions between the U.S. and China, China and Taiwan, or other countries, could result in a decrease in demand for consumer products that contain our products, which could materially and adversely affect our business. The imposition by the U.S. of tariffs on goods imported from China, countermeasures imposed by China in response, U.S. export restrictions on sales of products to China and other government actions that restrict or otherwise adversely affect our ability to sell our products to customers in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have a material adverse impact on our business, including our ability to sell products and to manufacture or source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Europe and Central America.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Renminbi and Singapore Dollar. If the U.S. dollar weakens compared to these and other currencies, our operating expenses for foreign operations will be higher when remeasured back into U.S. dollars.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Economic regulation in China could adversely impact our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 significant portion of our assembly and testing capacity in China. For many years, the Chinese economy has experienced periods of rapid growth and wide fluctuations in the rate of inflation. In response to these factors, the Chinese government has, from time to time, adopted measures to regulate growth and to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foster the emergence of China-based competitors, decrease the demand for our products in China and reduce the supply of critical materials for our products, which could have a material adverse effect on our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government trade policies, including the imposition of tariffs and export restrictions, have limited and could continue to limit our ability to sell or provide our products and other items to certain customers and suppliers, which may materially adversely affect our sales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or foreign governments have taken and may continue to take administrative, legislative or regulatory action that could materially interfere with our ability to export, reexport, import and transfer products and other items to certain countries, particularly China. For example, the imposition of tariffs has resulted in higher duties owed on certain products that are imported from China to the United States.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have experienced and may continue to experience restrictions on our ability to export, reexport, and transfer our products and other items to certain foreign customers and suppliers where exports, reexports, or transfers of products require export licenses or are prohibited by government action. The U.S. government has in the past imposed export restrictions that effectively banned American companies from exporting, reexporting, and transferring products to certain of our customers, and imposed significant restrictions on the ability to obtain export licenses for our products. Such restrictions could have a continuing negative impact on our future revenue and results of operations. In addition, our customers or suppliers affected by U.S. government sanctions or threats of sanctions may respond by developing their own solutions to replace our products or by adopting our foreign competitors' solutions and products. Importantly, governments like China have the ability to impose countermeasures in reaction to increasing U.S. government sanctions and restrictions imposed on their companies which may impact our operations and future revenue as the compliance landscape becomes more challenging.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what further actions may ultimately be taken with respect to tariffs, export restrictions or other trade measures between the U.S. and China or other countries, what products or entities may be subject to such actions, or what actions may be taken by other countries in response. The loss of foreign customers or suppliers or the imposition of restrictions on our ability to sell or transfer products to such customers or suppliers as a result of tariffs, export restrictions or other U.S. regulatory actions could materially adversely affect our sales, business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generate sufficient cash to service all of our debt or to fund capital expenditures and may be forced to take other actions to satisfy our debt obligations and financing requirements, which may not be successful or on terms favorable to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or to refinance our debt obligations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our debt. If our cash flows and capital resources are insufficient to fund our debt service obligations, we may face liquidity issues and be forced to reduce or delay investments and capital expenditures, or to sell assets, seek additional capital or restructure or refinance our debt. These alternative measures may not be successful and may not permit us to meet our scheduled debt service and other obligations. Additionally, our credit agreement and the indentures governing our senior notes limit the use of the proceeds from any disposition; as a result, we may not be allowed under these documents to use proceeds from such dispositions to satisfy our debt service obligations. Further, we may need to refinance all or a portion of our debt at or before maturity, and we cannot be sure that we will be able to refinance any of our debt on commercially reasonable terms or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agreements and instruments governing our debt impose restrictions that may limit our operating and financial flexibility.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governing our revolving facility and term loan and the indentures governing our senior notes contain a number of significant restrictions and covenants that limit our ability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incur additional debt;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 dividends, make other distributions or repurchase or redeem our capital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prepay, redeem or repurchase certain debt;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 loans and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sell, transfer or otherwise dispose of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incur or permit to exist certain liens;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enter into certain types of transactions with affiliates;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enter into agreements restricting our subsidiaries’ ability to pay dividends;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consolidate, amalgamate, merge or sell all or substantially all of our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covenants could have the effect of limiting our flexibility in planning for or reacting to changes in our business and the markets in which we compete. In addition, our credit agreement requires us to comply with certain financial maintenance covenants. Operating results below current levels or other adverse factors, including a significant increase in interest rates, could result in our being unable to comply with the financial covenants contained in our revolving facility. If we violate covenants under our credit agreement and are unable to obtain a waiver from our lenders, our debt under our revolving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or terms that are acceptable to us. If our debt is in default for any reason, our business, financial condition and results of operations could be materially and adversely affected. In addition, complying with these covenants may also cause us to take actions that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favorable to holders of the notes and may make it more difficult for us to successfully execute our business strategy and compete against companies that are not subject to such restrictions.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 Information Technology and Data Privacy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our intellectual property portfolio and may not be able to successfully protect against the use of our intellectual property by third parties.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patents, trademarks, trade secret laws, confidentiality procedures and licensing arrangements to protect our IP rights. We cannot be certain that patents will be issued from any of 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laws of some countries in which our products are developed, manufactured or sold may not protect our products or IP rights to the same extent as U.S. laws. This increases the possibility of misappropriation or infringement of our technology and products. Although we intend to vigorously defend our IP rights, we may not be able to prevent misappropriation of our technology. Additionally, our competitors may be able to independently develop non-infringing technologies that are substantially equivalent or superior to ours.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need to engage in legal actions to enforce or defend our IP rights. Generally, IP litigation is both expensive and unpredictable. Our involvement in IP litigation could divert the attention of our management and technical personnel and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of infringement of third-party intellectual property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may be adversely affected if third parties were to assert claims that our products infringed their patent, copyright or other IP rights. Such assertions could lead to expensive and unpredictable litigation, diverting the attention of management and technical personnel. An unsuccessful result in any such litigation could have adverse effects on our business, which may include injunctions, exclusion orders and royalty payments to third parties. In addition, if one of our customers or another supplier to one of our customers were found to be infringing on third-party IP rights, such a finding could adversely affect the demand for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Security breaches and other disruptions could compromise our proprietary information, expose us to liability or disrupt our ability to operate critical business functions, which would cause our business and reputation to suffer.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dissemination of our proprietary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internal and external data security threats. Current, departing or former employees or third parties could attempt to improperly use or access our computer systems and networks to copy, obtain or misappropriate our proprietary information or otherwise interrupt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significant system or network disruptions from numerous causes, including computer viruses and other cyber-attacks, facility access issues, new system implementations and energy blackouts. Geopolitical tensions or conflicts, such as the ongoing war between Russia and Ukraine and the tensions between China and Taiwan, may create a heightened risk of cybersecurity incidents.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breaches, computer malware, phishing, spoofing, and other cyber-attacks have become more prevalent and sophisticated in recent years. While we defend against these threats on a daily basis, we do not believe that such attacks to date have caused us any material damage. Because the techniques used by computer hackers and others to access or sabotage networks constantly evolve and generally are not recognized until launched against a target, we may be unable to anticipate, counter or ameliorate all of these techniques or identify all security vulnerabilities.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result, our and our customers’ proprietary information may be misappropriated, and the impact of any future incident cannot be predicted.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IT systems. We cannot, however, assure that such system improvements will be sufficient to prevent or limit the damage from any future cyber-attack or network disruptions.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we rely on products and services provided by third-party suppliers, which may include open-source code, to operate certain critical business systems, including without limitation, cloud-based infrastructure, encryption and authentication technology, employee email, and other functions, which exposes us to supply chain attacks or other business disruptions. We cannot guarantee that third parties and infrastructure in our supply chain or our partners’ supply chains have not been compromised or that they do not contain exploitable defects or bugs that could result in a breach of or disruption to our IT systems, including our products and services, or the third-party IT systems that support our services. Our ability to identify all security vulnerabilities and monitor these third-parties’ information security practices is limited, and these third parties may not have adequate information security measures in place. In addition, if one of our third-party suppliers suffers a security breach, our response may be limited or more difficult because we may not have direct access to their systems, logs and other information related to the security breach.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systems are damaged, fail to function properly or otherwise become unavailable, we may incur substantial costs to repair or replace them and may experience loss or corruption of critical data and interruptions or delays in our ability to perform critical functions, which could affect adversely our business and results of operations. Furthermore, the costs related to cyber-attacks or other security threats or computer systems disruptions typically would not be fully insured or indemnified by others. Occurrence of any of the events described above could also result in loss of competitive advantages derived from our R&amp;D efforts or our IP. Moreover, these events may result in the early obsolescence of our products, product development delays, or diversion of the attention of management and key IT and other resources, or otherwise adversely affect our internal operations and reputation.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theft, loss, or misuse of personal data by or about our employees, customers or other third parties, which could increase our expenses, damage our reputation, or result in legal or regulatory proceedings.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have access to sensitive, confidential or personal data or information regarding our employees and others that is subject to privacy and security laws and regulations, as well as our own policies and standards.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China has also implemented laws and regulations requiring companies' IT security environment to meet certain standards and may require unique certifications. In addition, the interpretation and application of consumer and data protection laws in the U.S., Europe and elsewhere are often uncertain and fluid, and may be interpreted and applied in a manner that is inconsistent with our data practices. Complying with these changing laws has caused, and could continue to cause, us to incur substantial costs which could have an adverse effect on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Owning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certificate of incorporation and bylaws and the General Corporation Law of the State of Delaware may discourage takeovers and business combinations that our stockholders might consider to be in their best interests.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granting to the board of directors sole power to set the number of directors and fill any vacancy on the board of directors, whether such vacancy occurs as a result of an increase in the number of directors or otherwise;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the board of directors to designate and issue one or more series of preferred stock without stockholder approval, the terms of which may be determined at the sole discretion of the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inability of stockholders to call special meetings of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establishment of advance notice requirements for stockholder proposals and nominations for election to the board of directors at stockholder meetings;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inability of stockholders to act by written consent.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has recently been and may in the future be volatile.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market and economic and political conditions, including market conditions in the semiconductor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expected variations in quarterly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pandemics and similar major health concerns, including the COVID-19 pandemic;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differences between actual operating results and those expected by investors and analysts;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recommendations by securities analysts, social media or press;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operations and stock performance of competitors and major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accounting charges, including charges relating to the impairment of goodwill and restructuring;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acquisitions, strategic alliances, capital commitments, or new products announced by us or by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differences, whether actual or perceived, between our corporate social responsibility and ESG practices and disclosure and investor expectations;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of our common stock, including sales by our directors and officers or significant investors;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repurchases of our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recruitment or departure of key personnel;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 of key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that the price of our common stock will not fluctuate or decline significantly in the future. In addition, the stock market in general can experience considerable price and volume fluctuations that are unrelated to our performance.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and CSG headquarters (leased) and our ACG headquarters (owned) are in Greensboro, North Carolina. Our HPA headquarters (owned) is in Richardson, Texas.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primary production facilities as of April 1, 2023:</w:t>
      </w:r>
    </w:p>
    <w:tbl>
      <w:tblPr>
        <w:tblW w:w="7433"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449"/>
        <w:gridCol w:w="449"/>
        <w:gridCol w:w="451"/>
        <w:gridCol w:w="109"/>
        <w:gridCol w:w="109"/>
        <w:gridCol w:w="109"/>
        <w:gridCol w:w="901"/>
        <w:gridCol w:w="901"/>
        <w:gridCol w:w="1273"/>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Owned/Leased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Primary Function</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Greensboro,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 fabrication</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Hillsboro, Oregon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 fabrication</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Richardson,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Wafer fabrication, assembly and test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Beijing, China</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Module assembly and test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Dezhou,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Module assembly and test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Heredia, Costa 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Module and filter assembly and test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Nuremberg, 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test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We hold land-use rights for the land associated with this property.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2021, we idled a BAW manufacturing facility (owned) in Farmers Branch, Texas, which was subsequently classified as held for sale in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properties have been well-maintained, are in sound operating condition and contain all equipment and facilities necessary to operate at present levels. While we believe all our facilities are suitable and adequate for our present purposes, we continually evaluate our business and facilities and may decide to expand, add or dispose of facilities in the future. The majority of our production facilities are shared by our operating segments.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the information under the heading "Legal Matters" in Note 11 of the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traded on the Nasdaq Global Select Market under the symbol "QRVO." As of May 12, 2023, there were 644 holders of record of our common stock, which does not include beneficial owners of stock held in street name (i.e., through a brokerage firm, bank, broker-dealer, trust or other similar organization).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dividends on our common stock. We currently intend to retain any future earnings to invest in the growth and operation of our business and do not intend to pay any dividends for the foreseeable future. Any future determination related to our dividend policy will be made at the discretion of our Board of Directors.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and table compare the cumulative total shareholder return of our common stock, the S&amp;P 500 Index and the S&amp;P 500 Semiconductors Index for the five years ended April 1, 2023. The graph and table assume an initial investment of $100 was made on March 31, 2018 in each of our common stock and the indexes, reflecting compounded daily returns as well as reinvestment of all dividends. The indexes are reweighted daily using the market capitalization on the previous trading day. The comparisons in the graph and table are based on historical data and are not indicative of, or intended to forecast, the possible future performance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before="0" w:after="0"/>
        <w:jc w:val="center"/>
        <w:rPr/>
      </w:pPr>
      <w:r>
        <w:rPr/>
        <w:drawing>
          <wp:inline distT="0" distB="0" distL="0" distR="0">
            <wp:extent cx="5943600" cy="4029075"/>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3"/>
                    <a:stretch>
                      <a:fillRect/>
                    </a:stretch>
                  </pic:blipFill>
                  <pic:spPr bwMode="auto">
                    <a:xfrm>
                      <a:off x="0" y="0"/>
                      <a:ext cx="5943600" cy="4029075"/>
                    </a:xfrm>
                    <a:prstGeom prst="rect">
                      <a:avLst/>
                    </a:prstGeom>
                  </pic:spPr>
                </pic:pic>
              </a:graphicData>
            </a:graphic>
          </wp:inline>
        </w:drawing>
      </w:r>
    </w:p>
    <w:tbl>
      <w:tblPr>
        <w:tblW w:w="6630" w:type="dxa"/>
        <w:jc w:val="center"/>
        <w:tblInd w:w="0" w:type="dxa"/>
        <w:tblLayout w:type="fixed"/>
        <w:tblCellMar>
          <w:top w:w="28" w:type="dxa"/>
          <w:left w:w="28" w:type="dxa"/>
          <w:bottom w:w="28" w:type="dxa"/>
          <w:right w:w="28" w:type="dxa"/>
        </w:tblCellMar>
      </w:tblPr>
      <w:tblGrid>
        <w:gridCol w:w="705"/>
        <w:gridCol w:w="619"/>
        <w:gridCol w:w="626"/>
        <w:gridCol w:w="284"/>
        <w:gridCol w:w="284"/>
        <w:gridCol w:w="286"/>
        <w:gridCol w:w="284"/>
        <w:gridCol w:w="284"/>
        <w:gridCol w:w="286"/>
        <w:gridCol w:w="284"/>
        <w:gridCol w:w="284"/>
        <w:gridCol w:w="286"/>
        <w:gridCol w:w="229"/>
        <w:gridCol w:w="229"/>
        <w:gridCol w:w="233"/>
        <w:gridCol w:w="229"/>
        <w:gridCol w:w="229"/>
        <w:gridCol w:w="233"/>
        <w:gridCol w:w="215"/>
        <w:gridCol w:w="215"/>
        <w:gridCol w:w="30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2018</w:t>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2019</w:t>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w:t>
              <w:br/>
              <w:t>2020</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w:t>
              <w:br/>
              <w:t>2021</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w:t>
              <w:br/>
              <w:t>2022</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Qorvo, Inc.</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$101.82</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$114.54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$273.81</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$172.48</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$144.17</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S&amp;P 500</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$109.50</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$101.86</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$159.25</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$184.17</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$169.94</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S&amp;P 500 Semiconductors </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$104.83</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$111.84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$197.39</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$251.68</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$244.15</w:t>
            </w:r>
          </w:p>
        </w:tc>
      </w:tr>
    </w:tbl>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graph and the table above shall not be deemed "filed" with the SEC for the purpose of Section 18 of the Exchange Act or otherwise subject to the liabilities of that section, nor shall they be deemed incorporated by reference in any filings made by us with the SEC, regardless of any general incorporation language in such filing.</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479"/>
        <w:gridCol w:w="358"/>
        <w:gridCol w:w="362"/>
        <w:gridCol w:w="109"/>
        <w:gridCol w:w="109"/>
        <w:gridCol w:w="109"/>
        <w:gridCol w:w="499"/>
        <w:gridCol w:w="499"/>
        <w:gridCol w:w="500"/>
        <w:gridCol w:w="109"/>
        <w:gridCol w:w="109"/>
        <w:gridCol w:w="109"/>
        <w:gridCol w:w="255"/>
        <w:gridCol w:w="841"/>
        <w:gridCol w:w="141"/>
        <w:gridCol w:w="109"/>
        <w:gridCol w:w="109"/>
        <w:gridCol w:w="109"/>
        <w:gridCol w:w="780"/>
        <w:gridCol w:w="780"/>
        <w:gridCol w:w="782"/>
        <w:gridCol w:w="109"/>
        <w:gridCol w:w="109"/>
        <w:gridCol w:w="109"/>
        <w:gridCol w:w="491"/>
        <w:gridCol w:w="1736"/>
        <w:gridCol w:w="394"/>
      </w:tblGrid>
      <w:tr>
        <w:trPr/>
        <w:tc>
          <w:tcPr>
            <w:tcW w:w="4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number of shares purchased </w:t>
            </w:r>
            <w:r>
              <w:rPr>
                <w:rFonts w:ascii="Times New Roman;sans-serif" w:hAnsi="Times New Roman;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number of shares purchased as part of publicly announced plans or programs </w:t>
            </w:r>
            <w:r>
              <w:rPr>
                <w:rFonts w:ascii="Times New Roman;sans-serif" w:hAnsi="Times New Roman;sans-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Approximate dollar value of shares that may yet be purchased under the plans or programs </w:t>
            </w:r>
            <w:r>
              <w:rPr>
                <w:rFonts w:ascii="Times New Roman;sans-serif" w:hAnsi="Times New Roman;sans-serif"/>
                <w:b/>
                <w:color w:val="000000"/>
                <w:sz w:val="14"/>
              </w:rPr>
              <w:t>(in millions)</w:t>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1, 2023 to January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1,840.5 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29, 2023 to February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26, 2023 to April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1,705.0 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5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100.89 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7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1,705.0 </w:t>
            </w:r>
          </w:p>
        </w:tc>
        <w:tc>
          <w:tcPr>
            <w:tcW w:w="3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2022, we announced that our Board of Directors authorized a new share repurchase program to repurchase up to $2.0 billion of our outstanding common stock, which included the remaining authorized dollar amount under a prior program terminated concurrent with the new authorization. Under the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and may be modified, suspended, or terminated at any time without prior notice. Refer to Note 16 of the Notes to Consolidated Financial Statements for further discussion of our share repurchase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2023, our share repurchases in excess of issuances are subject to a 1% excise tax enacted by the IRA. The excise tax is recognized as part of the cost basis of shares acquired in the Consolidated Statement of Stockholders' Equity and is excluded from amounts presented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and is qualified in its entirety by reference to, our audited consolidated financial statements, including the notes thereto, set forth in Part II, Item 8 of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Qorvo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global leader in the development and commercialization of technologies and products for wireless, wired and power markets.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We design, develop, manufacture and market our products to U.S. and international OEMs and ODMs in three reportable operating segments: HPA, CSG and ACG. HPA is a leading global supplier of RF and power solutions for automotive, defense and aerospace, cellular infrastructure, broadband and other markets. CSG is a leading global supplier of connectivity and sensor solutions, with broad expertise spanning UWB, Matter</w:t>
      </w:r>
      <w:r>
        <w:rPr>
          <w:rFonts w:ascii="Times New Roman;sans-serif" w:hAnsi="Times New Roman;sans-serif"/>
          <w:b w:val="false"/>
          <w:color w:val="000000"/>
          <w:sz w:val="13"/>
        </w:rPr>
        <w:t>®</w:t>
      </w:r>
      <w:r>
        <w:rPr>
          <w:rFonts w:ascii="Times New Roman;sans-serif" w:hAnsi="Times New Roman;sans-serif"/>
          <w:b w:val="false"/>
          <w:color w:val="000000"/>
          <w:sz w:val="20"/>
          <w:shd w:fill="FFFFFF" w:val="clear"/>
        </w:rPr>
        <w:t>, Bluetooth</w:t>
      </w:r>
      <w:r>
        <w:rPr>
          <w:rFonts w:ascii="Times New Roman;sans-serif" w:hAnsi="Times New Roman;sans-serif"/>
          <w:b w:val="false"/>
          <w:color w:val="000000"/>
          <w:sz w:val="13"/>
        </w:rPr>
        <w:t>®</w:t>
      </w:r>
      <w:r>
        <w:rPr>
          <w:color w:val="000000"/>
          <w:shd w:fill="FFFFFF" w:val="clear"/>
        </w:rPr>
        <w:t xml:space="preserve"> </w:t>
      </w:r>
      <w:r>
        <w:rPr>
          <w:rFonts w:ascii="Times New Roman;sans-serif" w:hAnsi="Times New Roman;sans-serif"/>
          <w:b w:val="false"/>
          <w:color w:val="000000"/>
          <w:sz w:val="20"/>
          <w:shd w:fill="FFFFFF" w:val="clear"/>
        </w:rPr>
        <w:t>Low Energy, Zigbee</w:t>
      </w:r>
      <w:r>
        <w:rPr>
          <w:rFonts w:ascii="Times New Roman;sans-serif" w:hAnsi="Times New Roman;sans-serif"/>
          <w:b w:val="false"/>
          <w:color w:val="000000"/>
          <w:sz w:val="13"/>
        </w:rPr>
        <w:t>®</w:t>
      </w:r>
      <w:r>
        <w:rPr>
          <w:rFonts w:ascii="Times New Roman;sans-serif" w:hAnsi="Times New Roman;sans-serif"/>
          <w:b w:val="false"/>
          <w:color w:val="000000"/>
          <w:sz w:val="20"/>
          <w:shd w:fill="FFFFFF" w:val="clear"/>
        </w:rPr>
        <w:t>, Thread</w:t>
      </w:r>
      <w:r>
        <w:rPr>
          <w:rFonts w:ascii="Times New Roman;sans-serif" w:hAnsi="Times New Roman;sans-serif"/>
          <w:b w:val="false"/>
          <w:color w:val="000000"/>
          <w:sz w:val="13"/>
        </w:rPr>
        <w:t>®</w:t>
      </w:r>
      <w:r>
        <w:rPr>
          <w:rFonts w:ascii="Times New Roman;sans-serif" w:hAnsi="Times New Roman;sans-serif"/>
          <w:b w:val="false"/>
          <w:color w:val="000000"/>
          <w:sz w:val="20"/>
          <w:shd w:fill="FFFFFF" w:val="clear"/>
        </w:rPr>
        <w:t>, Wi-Fi</w:t>
      </w:r>
      <w:r>
        <w:rPr>
          <w:rFonts w:ascii="Times New Roman;sans-serif" w:hAnsi="Times New Roman;sans-serif"/>
          <w:b w:val="false"/>
          <w:color w:val="000000"/>
          <w:sz w:val="13"/>
        </w:rPr>
        <w:t>®</w:t>
      </w:r>
      <w:r>
        <w:rPr>
          <w:rFonts w:ascii="Times New Roman;sans-serif" w:hAnsi="Times New Roman;sans-serif"/>
          <w:b w:val="false"/>
          <w:color w:val="000000"/>
          <w:sz w:val="20"/>
          <w:shd w:fill="FFFFFF" w:val="clear"/>
        </w:rPr>
        <w:t>, cellular IoT, and MEMS-/BAW-based sensors. ACG is a leading global supplier of cellular RF solutions for smartphones, wearables, laptops, tablets and other devices.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COVID-19 pandemic has continued to impact the semiconductor industry supply chain, causing uncertainty in customer demand, worldwide economies and financial markets. During fiscal 2023, we experienced unexpectedly weakened demand for 5G handsets in China and EMEA due to unprecedented disruption resulting, in part, from measures taken in China to control the COVID-19 pandemic and the war in Ukraine. As a result, we did not meet the minimum purchase commitments under a long-term capacity reservation agreement with a foundry supplier. In fiscal 2023, the purchase shortfall resulted in an impairment to the prepaid refundable deposit of </w:t>
      </w:r>
      <w:r>
        <w:rPr>
          <w:rFonts w:ascii="Times New Roman;sans-serif" w:hAnsi="Times New Roman;sans-serif"/>
          <w:b w:val="false"/>
          <w:color w:val="000000"/>
          <w:sz w:val="20"/>
        </w:rPr>
        <w:t>$130.0 million</w:t>
      </w:r>
      <w:r>
        <w:rPr>
          <w:rFonts w:ascii="Times New Roman;sans-serif" w:hAnsi="Times New Roman;sans-serif"/>
          <w:b w:val="false"/>
          <w:color w:val="000000"/>
          <w:sz w:val="20"/>
          <w:shd w:fill="FFFFFF" w:val="clear"/>
        </w:rPr>
        <w:t xml:space="preserve">, and we recorded additional reserves of approximately </w:t>
      </w:r>
      <w:r>
        <w:rPr>
          <w:rFonts w:ascii="Times New Roman;sans-serif" w:hAnsi="Times New Roman;sans-serif"/>
          <w:b w:val="false"/>
          <w:color w:val="000000"/>
          <w:sz w:val="20"/>
        </w:rPr>
        <w:t>$20.0 million</w:t>
      </w:r>
      <w:r>
        <w:rPr>
          <w:color w:val="000000"/>
          <w:shd w:fill="FFFFFF" w:val="clear"/>
        </w:rPr>
        <w:t xml:space="preserve"> </w:t>
      </w:r>
      <w:r>
        <w:rPr>
          <w:rFonts w:ascii="Times New Roman;sans-serif" w:hAnsi="Times New Roman;sans-serif"/>
          <w:b w:val="false"/>
          <w:color w:val="000000"/>
          <w:sz w:val="20"/>
          <w:shd w:fill="FFFFFF" w:val="clear"/>
        </w:rPr>
        <w:t xml:space="preserve">for inventory in excess of demand forecasts. Additionally, we assessed the future minimum purchase commitments over the remaining term of the agreement and recorded an estimated shortfall liability of </w:t>
      </w:r>
      <w:r>
        <w:rPr>
          <w:rFonts w:ascii="Times New Roman;sans-serif" w:hAnsi="Times New Roman;sans-serif"/>
          <w:b w:val="false"/>
          <w:color w:val="000000"/>
          <w:sz w:val="20"/>
        </w:rPr>
        <w:t>$31.0 million.</w:t>
      </w:r>
      <w:r>
        <w:rPr>
          <w:color w:val="000000"/>
          <w:shd w:fill="FFFFFF" w:val="clear"/>
        </w:rPr>
        <w:t xml:space="preserve"> </w:t>
      </w:r>
      <w:r>
        <w:rPr>
          <w:rFonts w:ascii="Times New Roman;sans-serif" w:hAnsi="Times New Roman;sans-serif"/>
          <w:b w:val="false"/>
          <w:color w:val="000000"/>
          <w:sz w:val="20"/>
          <w:shd w:fill="FFFFFF" w:val="clear"/>
        </w:rPr>
        <w:t xml:space="preserve">These transactions resulted in a total increase to cost of goods sold of </w:t>
      </w:r>
      <w:r>
        <w:rPr>
          <w:rFonts w:ascii="Times New Roman;sans-serif" w:hAnsi="Times New Roman;sans-serif"/>
          <w:b w:val="false"/>
          <w:color w:val="000000"/>
          <w:sz w:val="20"/>
        </w:rPr>
        <w:t>$181.0 million</w:t>
      </w:r>
      <w:r>
        <w:rPr>
          <w:color w:val="000000"/>
          <w:shd w:fill="FFFFFF" w:val="clear"/>
        </w:rPr>
        <w:t xml:space="preserve"> </w:t>
      </w:r>
      <w:r>
        <w:rPr>
          <w:rFonts w:ascii="Times New Roman;sans-serif" w:hAnsi="Times New Roman;sans-serif"/>
          <w:b w:val="false"/>
          <w:color w:val="000000"/>
          <w:sz w:val="20"/>
          <w:shd w:fill="FFFFFF" w:val="clear"/>
        </w:rPr>
        <w:t xml:space="preserve">in fiscal 2023.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part of our ongoing efforts to focus on growth drivers and key markets and to streamline operations, in the fourth quarter of fiscal 2023, we began to seek strategic alternatives related to our non-core biotechnology business. Given the future funding requirements necessary to further develop its diagnostic testing solutions and achieve our desired results, we decided not to invest further in this business. Therefore, we determined that there was a more-likely-than-not expectation of selling or disposing of all, or a portion, of this reporting unit. An evaluation of the asset group within this reporting unit was performed which resulted in total restructuring charges </w:t>
      </w:r>
      <w:r>
        <w:rPr>
          <w:rFonts w:ascii="Times New Roman;sans-serif" w:hAnsi="Times New Roman;sans-serif"/>
          <w:b w:val="false"/>
          <w:color w:val="000000"/>
          <w:sz w:val="20"/>
          <w:shd w:fill="FFFFFF" w:val="clear"/>
        </w:rPr>
        <w:t>of approximately $94.0 million. These charges included impairment of equipment and inventory of approximately $74.8 million, other charges of approximately $6.8 million, and a goodwill impairment charge of approximately $12.4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Fiscal 2023 Financial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Revenue decreased 23.2% in fiscal 2023 to $3,569.4 million, compared to $4,645.7 million in fiscal 2022, primarily due to ongoing global macroeconomic challenges (including measures taken in China to control the COVID-19 pandemic, the war in Ukraine and the negative impact of higher inflation) which resulted in lower demand for 5G handsets and other products, such as Wi-Fi components, power management and base station. Demand was also negatively impacted by ongoing efforts to consume channel inventories.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Gross margin for fiscal 2023 was 36.3%, compared to 49.2% in fiscal 2022, primarily due to charges associated with a long-term capacity reservation agreement and factory underutilization resulting from lower production levels.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income was $183.2 million in fiscal 2023, compared to $1,226.1 million in fiscal 2022. This decrease was primarily due to lower revenue and lower gross margin, as well as higher operating expenses. Operating expenses increased primarily due to restructuring charges and headcount-related expenses (including stock-based compensation), partially offset by lower incentive-based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income per diluted share was $1.00 for fiscal 2023, compared to net income per diluted share of $9.26 for fiscal 2022.</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Cash flows from operations was $843.2 million for fiscal 2023, compared to $1,049.2 million for fiscal 2022. This year-over-year decrease was primarily due to decreased profitability and changes in working capital.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Capital expenditures were $159.0 million in fiscal 2023, compared to $213.5 million in fiscal 2022.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repurchased approximately 8.7 million shares of our common stock for approximately $862.2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Consolidated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summary of our results of operations for fiscal years 2023 and 2022 along with a year-over-year comparison. Refer to Part II, Item 7, "Management's Discussion and Analysis of Financial Condition and Results of Operations" of our Annual Report on Form 10-K for the fiscal year ended April 2, 2022, filed with the SEC on May 20, 2022, which is incorporated by reference herein, for a summary of our results of operations for the fiscal year ended April 3, 2021 along with a year-over-year comparison between fiscal years 2022 and 2021.</w:t>
      </w:r>
    </w:p>
    <w:tbl>
      <w:tblPr>
        <w:tblW w:w="10205" w:type="dxa"/>
        <w:jc w:val="center"/>
        <w:tblInd w:w="0" w:type="dxa"/>
        <w:tblLayout w:type="fixed"/>
        <w:tblCellMar>
          <w:top w:w="28" w:type="dxa"/>
          <w:left w:w="28" w:type="dxa"/>
          <w:bottom w:w="28" w:type="dxa"/>
          <w:right w:w="28" w:type="dxa"/>
        </w:tblCellMar>
      </w:tblPr>
      <w:tblGrid>
        <w:gridCol w:w="731"/>
        <w:gridCol w:w="356"/>
        <w:gridCol w:w="358"/>
        <w:gridCol w:w="211"/>
        <w:gridCol w:w="976"/>
        <w:gridCol w:w="109"/>
        <w:gridCol w:w="109"/>
        <w:gridCol w:w="109"/>
        <w:gridCol w:w="109"/>
        <w:gridCol w:w="308"/>
        <w:gridCol w:w="308"/>
        <w:gridCol w:w="422"/>
        <w:gridCol w:w="109"/>
        <w:gridCol w:w="109"/>
        <w:gridCol w:w="109"/>
        <w:gridCol w:w="211"/>
        <w:gridCol w:w="976"/>
        <w:gridCol w:w="109"/>
        <w:gridCol w:w="109"/>
        <w:gridCol w:w="109"/>
        <w:gridCol w:w="109"/>
        <w:gridCol w:w="308"/>
        <w:gridCol w:w="308"/>
        <w:gridCol w:w="422"/>
        <w:gridCol w:w="109"/>
        <w:gridCol w:w="109"/>
        <w:gridCol w:w="109"/>
        <w:gridCol w:w="211"/>
        <w:gridCol w:w="996"/>
        <w:gridCol w:w="109"/>
        <w:gridCol w:w="109"/>
        <w:gridCol w:w="109"/>
        <w:gridCol w:w="109"/>
        <w:gridCol w:w="318"/>
        <w:gridCol w:w="218"/>
        <w:gridCol w:w="605"/>
      </w:tblGrid>
      <w:tr>
        <w:trPr/>
        <w:tc>
          <w:tcPr>
            <w:tcW w:w="7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1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primarily due to ongoing global macroeconomic challenges (including measures taken in China to control the COVID-19 pandemic, the war in Ukraine and the negative impact of higher inflation) which resulted in lower demand for 5G handsets and other products, such as Wi-Fi components, power management and base station. Demand was also negatively impacted by ongoing efforts to consume channel inventories. The decreased revenue was partially offset by higher demand for our defense products and incremental revenue from SiC-based power products resulting from the acquisition of United Silicon Carbide, Inc. ("United SiC").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products to our largest end customer (Apple) through sales to multiple contract manufacturers, which in the aggregate accounted for approximately 37% and 33% of total revenue in fiscal years 2023 and 2022, respectively. Samsung accounted for approximately 12% and 11% of total revenue in fiscal years 2023 and 2022, respectively. These customers primarily purchase RF solutions for a variety of mobile devices.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shipments amounted to $1,751.4 million in fiscal 2023 (approximately 49% of revenue) compared to $2,717.3 million in fiscal 2022 (approximately 58% of revenue). Shipments to Asia totaled $1,549.0 million in fiscal 2023 (approximately 43% of revenue) compared to $2,465.7 million in fiscal 2022 (approximately 53% of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decreased primarily due to charges associated with a long-term capacity reservation agreement, factory underutilization resulting from lower production levels, inventory charges related to demand fluctuations and supplier quality issues. These decreases to gross margin were partially offset by favorable changes in product mix.</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Operating Expenses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Research and Development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R&amp;D spending increased primarily due to headcount-related expenses, including stock-based compensation, as a result of our increased investment in developing new technologies and products. These increases were partially offset by lower incentive-based compensation.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Selling, General and Administrative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increased primarily due to headcount-related expenses, including stock-based compensation. These increases were partially offset by lower incentive-based compensation.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Operating Expense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 increased primarily due to restructuring related charges associated with our non-core biotechnology business. Refer to Note 12 of the Notes to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Operating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High Performance Analog </w:t>
      </w:r>
    </w:p>
    <w:tbl>
      <w:tblPr>
        <w:tblW w:w="9554" w:type="dxa"/>
        <w:jc w:val="center"/>
        <w:tblInd w:w="0" w:type="dxa"/>
        <w:tblLayout w:type="fixed"/>
        <w:tblCellMar>
          <w:top w:w="28" w:type="dxa"/>
          <w:left w:w="28" w:type="dxa"/>
          <w:bottom w:w="28" w:type="dxa"/>
          <w:right w:w="28" w:type="dxa"/>
        </w:tblCellMar>
      </w:tblPr>
      <w:tblGrid>
        <w:gridCol w:w="1097"/>
        <w:gridCol w:w="963"/>
        <w:gridCol w:w="969"/>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318"/>
        <w:gridCol w:w="318"/>
        <w:gridCol w:w="924"/>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HPA revenue increased primarily due to higher demand for our defense products and incremental revenue from our SiC-based power products resulting from the acquisition of United SiC. These increases were partially offset by a decrease in demand for power management products supporting solid-state drives and power tools and base station products, driven by ongoing efforts to consume channel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HPA operating income decreased primarily due to effects from factory underutilization. Operating expenses increased primarily as a result of the addition of United SiC expenses, partially offset by lower incentive-based compensation.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Connectivity and Sensors Group </w:t>
      </w:r>
    </w:p>
    <w:tbl>
      <w:tblPr>
        <w:tblW w:w="10205" w:type="dxa"/>
        <w:jc w:val="center"/>
        <w:tblInd w:w="0" w:type="dxa"/>
        <w:tblLayout w:type="fixed"/>
        <w:tblCellMar>
          <w:top w:w="28" w:type="dxa"/>
          <w:left w:w="28" w:type="dxa"/>
          <w:bottom w:w="28" w:type="dxa"/>
          <w:right w:w="28" w:type="dxa"/>
        </w:tblCellMar>
      </w:tblPr>
      <w:tblGrid>
        <w:gridCol w:w="1251"/>
        <w:gridCol w:w="1098"/>
        <w:gridCol w:w="1105"/>
        <w:gridCol w:w="109"/>
        <w:gridCol w:w="109"/>
        <w:gridCol w:w="109"/>
        <w:gridCol w:w="211"/>
        <w:gridCol w:w="826"/>
        <w:gridCol w:w="271"/>
        <w:gridCol w:w="109"/>
        <w:gridCol w:w="109"/>
        <w:gridCol w:w="109"/>
        <w:gridCol w:w="211"/>
        <w:gridCol w:w="826"/>
        <w:gridCol w:w="271"/>
        <w:gridCol w:w="109"/>
        <w:gridCol w:w="109"/>
        <w:gridCol w:w="109"/>
        <w:gridCol w:w="211"/>
        <w:gridCol w:w="899"/>
        <w:gridCol w:w="109"/>
        <w:gridCol w:w="109"/>
        <w:gridCol w:w="109"/>
        <w:gridCol w:w="109"/>
        <w:gridCol w:w="344"/>
        <w:gridCol w:w="344"/>
        <w:gridCol w:w="920"/>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3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CSG revenue decreased primarily due to a decrease in end market demand for Wi-Fi components, in addition to ongoing efforts to consume channel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CSG operating income decreased primarily due to lower revenue, factory underutilization and higher inventory charges. Operating expenses increased primarily due to headcount-related expenses as a result of our increased investment in developing new technologies and products.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Advanced Cellular Group</w:t>
      </w:r>
    </w:p>
    <w:tbl>
      <w:tblPr>
        <w:tblW w:w="10034"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11"/>
        <w:gridCol w:w="976"/>
        <w:gridCol w:w="271"/>
        <w:gridCol w:w="109"/>
        <w:gridCol w:w="109"/>
        <w:gridCol w:w="109"/>
        <w:gridCol w:w="211"/>
        <w:gridCol w:w="976"/>
        <w:gridCol w:w="271"/>
        <w:gridCol w:w="109"/>
        <w:gridCol w:w="109"/>
        <w:gridCol w:w="109"/>
        <w:gridCol w:w="211"/>
        <w:gridCol w:w="901"/>
        <w:gridCol w:w="109"/>
        <w:gridCol w:w="109"/>
        <w:gridCol w:w="109"/>
        <w:gridCol w:w="109"/>
        <w:gridCol w:w="318"/>
        <w:gridCol w:w="318"/>
        <w:gridCol w:w="924"/>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2,367,848 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3,234,438 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ACG revenue decreased primarily due to ongoing </w:t>
      </w:r>
      <w:r>
        <w:rPr>
          <w:rFonts w:ascii="Times New Roman;sans-serif" w:hAnsi="Times New Roman;sans-serif"/>
          <w:b w:val="false"/>
          <w:color w:val="000000"/>
          <w:sz w:val="20"/>
          <w:shd w:fill="FFFFFF" w:val="clear"/>
        </w:rPr>
        <w:t xml:space="preserve">global macroeconomic challenges (including measures taken in China to control the COVID-19 pandemic, the war in Ukraine and the negative impact of higher inflation) which resulted in lower demand for 5G handsets. Demand for ACG products was also negatively impacted by ongoing efforts to consume channel inventories.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ACG operating income decreased primarily due to lower revenue, factory underutilization resulting from lower production levels, as well as inventory charges related to demand fluctuations and supplier quality issues. Operating expenses increased primarily due to headcount-related expenses as a result of increased investment in developing new technologies and products. These decreases to operating income were partially offset by favorable changes in product mix.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17 of the Notes to Consolidated Financial Statements for a reconciliation of segment operating income to the consolidated operating income for fiscal years 2023, 2022 and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OTHER INCOME AND INCOME TAXES</w:t>
      </w:r>
    </w:p>
    <w:tbl>
      <w:tblPr>
        <w:tblW w:w="5091" w:type="dxa"/>
        <w:jc w:val="center"/>
        <w:tblInd w:w="0" w:type="dxa"/>
        <w:tblLayout w:type="fixed"/>
        <w:tblCellMar>
          <w:top w:w="28" w:type="dxa"/>
          <w:left w:w="28" w:type="dxa"/>
          <w:bottom w:w="28" w:type="dxa"/>
          <w:right w:w="28" w:type="dxa"/>
        </w:tblCellMar>
      </w:tblPr>
      <w:tblGrid>
        <w:gridCol w:w="626"/>
        <w:gridCol w:w="548"/>
        <w:gridCol w:w="550"/>
        <w:gridCol w:w="109"/>
        <w:gridCol w:w="109"/>
        <w:gridCol w:w="109"/>
        <w:gridCol w:w="211"/>
        <w:gridCol w:w="796"/>
        <w:gridCol w:w="109"/>
        <w:gridCol w:w="109"/>
        <w:gridCol w:w="109"/>
        <w:gridCol w:w="109"/>
        <w:gridCol w:w="211"/>
        <w:gridCol w:w="796"/>
        <w:gridCol w:w="109"/>
        <w:gridCol w:w="109"/>
        <w:gridCol w:w="109"/>
        <w:gridCol w:w="109"/>
        <w:gridCol w:w="154"/>
      </w:tblGrid>
      <w:tr>
        <w:trPr/>
        <w:tc>
          <w:tcPr>
            <w:tcW w:w="6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we recorded interest expense primarily related to the 4.375% senior notes due 2029 (the "2029 Notes"), the 3.375% senior notes due 2031 (the "2031 Notes"), and the 1.750% senior notes due 2024 (the "2024 Notes"). During fiscal 2022, we recorded interest expense primarily related to the 2029 Notes and the 2031 Notes. Interest expense in the preceding table for fiscal years 2023 and 2022 is net of capitalized interest of $3.9 million and $3.7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i/>
          <w:color w:val="000000"/>
          <w:sz w:val="20"/>
        </w:rPr>
        <w:t>Other income, net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we recorded interest income of $21.1 million, losses of $4.2 million based on our share of the earnings from our limited partnership investments, and impairments and losses of $7.8 million from other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2022, we recorded income of $12.0 million based on our share of the earnings from our limited partnership investments, net gains of $2.7 million from other investments, and interest income of $2.7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for fiscal 2023 was $21.5 million, which was primarily comprised of tax expense related to international operations generating pre-tax book income and the impact of the Tax Act's GILTI provisions (including the effects of the capitalization and amortization of research and development expenses which were previously expensed for U.S. tax purposes), offset by a tax benefit related to domestic and international operations generating pre-tax book losses and domestic tax credits. This resulted in an annual effective tax rate of 17.2% for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for fiscal 2022 was $147.7 million, which was primarily comprised of tax expense related to domestic and international operations generating pre-tax book income (exclusive of nondeductible expenses associated with acquisition related adjustments), the impact of the Tax Act's GILTI provisions, and an increase in gross unrecognized tax benefits, offset by a tax benefit related to international operations generating pre-tax book losses and domestic tax credits. This resulted in an annual effective tax rate of 12.5% for fiscal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deferred tax assets exist. Management reevaluates the ability to realize the benefit of these deferred tax assets on a quarterly basis. As of the end of fiscal years 2023 and 2022, the valuation allowance against domestic and foreign deferred tax assets was $35.9 million and $36.3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13 of the Notes to Consolidated Financial Statements for additional information regarding 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STOCK-BASED COMPENSATION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Under Accounting Standards Codification ("ASC") 718, "</w:t>
      </w:r>
      <w:r>
        <w:rPr>
          <w:rFonts w:ascii="Times New Roman;sans-serif" w:hAnsi="Times New Roman;sans-serif"/>
          <w:b w:val="false"/>
          <w:i/>
          <w:color w:val="000000"/>
          <w:sz w:val="20"/>
        </w:rPr>
        <w:t>Compensation – Stock Compensation,</w:t>
      </w:r>
      <w:r>
        <w:rPr>
          <w:rFonts w:ascii="Times New Roman;sans-serif" w:hAnsi="Times New Roman;sans-serif"/>
          <w:b w:val="false"/>
          <w:color w:val="000000"/>
          <w:sz w:val="20"/>
        </w:rPr>
        <w:t>"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total remaining unearned compensation cost related to unvested restricted stock units was $137.6 million, which will be amortized over the weighted-average remaining service period of approximately 1.3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15 of the Notes to Consolidated Financial Statements for additional information regarding stock-based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generated by operations is our primary source of liquidity. As of April 1, 2023, we had working capital of approximately $1,474.0 million, including $808.8 million in cash and cash equivalents, compared to working capital of approximately $1,774.7 million, including $972.6 million in cash and cash equivalents, as of April 2,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$808.8 million of total cash and cash equivalents as of April 1, 2023, includes $554.7 million held by our foreign subsidiaries, of which $365.6 million is held by Qorvo International Pte. Ltd. in Singapore.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of our foreign subsidiaries are needed in the U.S., we may be required to pay state income and/or foreign local withholding taxes to repatriate these earnings.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2020, we and certain of our U.S. subsidiaries (the "Guarantors") entered into a five-year unsecured senior credit 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that was fully repaid in fiscal 2022. The Revolving Facility is available to finance working capital, capital expenditures and other general corporate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Credit Agreement, we may request one or more additional tranches of term loans or increases to the Revolving Facility, up to an aggregate of $500.0 million and subject to, among other things, securing additional funding commitments from the existing or new lenders.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2023 and 2022, there were no borrowings under the Revolving Facility.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Credit Agreement contains various conditions, covenants and representations with which we must be in compliance in order to borrow funds and to avoid an event of default. As of </w:t>
      </w:r>
      <w:r>
        <w:rPr>
          <w:rFonts w:ascii="Times New Roman;sans-serif" w:hAnsi="Times New Roman;sans-serif"/>
          <w:b w:val="false"/>
          <w:color w:val="000000"/>
          <w:sz w:val="20"/>
        </w:rPr>
        <w:t>April 1, 2023</w:t>
      </w:r>
      <w:r>
        <w:rPr>
          <w:rFonts w:ascii="Times New Roman;sans-serif" w:hAnsi="Times New Roman;sans-serif"/>
          <w:b w:val="false"/>
          <w:color w:val="000000"/>
          <w:sz w:val="20"/>
          <w:shd w:fill="FFFFFF" w:val="clear"/>
        </w:rPr>
        <w:t>, we were in compliance with these covenants. R</w:t>
      </w:r>
      <w:r>
        <w:rPr>
          <w:rFonts w:ascii="Times New Roman;sans-serif" w:hAnsi="Times New Roman;sans-serif"/>
          <w:b w:val="false"/>
          <w:color w:val="000000"/>
          <w:sz w:val="20"/>
        </w:rPr>
        <w:t>efer to Note 9 of the Notes to Consolidated Financial Statements for further information about the Credit Agreement, including applicable interest rates.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Stock Repurchases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 2022, we announced that our Board of Directors authorized a new share repurchase program to repurchase up to $2.0 billion of our outstanding common stock, which included the remaining authorized dollar amount under a prior program terminated concurrent with the new authorization. Under the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2023, 2022 and 2021, we repurchased approximately 8.7 million shares, 7.3 million shares and 3.6 million shares of our common stock for approximately $862.2 million, $1,152.3 million and $515.1 million, respectively (including transaction costs and excise tax, as applicable) under the prior and current share repurchase programs. As of April 1, 2023, approximately $1,705.0 million remains available for repurchases under the current share repurchase program. Refer to Note 16 of the Notes to Consolidated Financial Statements for further discussion of our share repurchase program.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Cash Flows from Operating Activities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activities in fiscal 2023 generated cash of $843.2 million, compared to $1,049.2 million in fiscal 2022. This decrease in cash provided by operating activities was primarily due to decreased profitability, partially offset by changes in working capital. In fiscal 2022, cash provided by operating activities was impacted by an increase in prepaid expenses primarily due to prepayments of certain fees and deposits associated with a long-term capacity reservation agreement.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fiscal 2023 was $153.4 million, compared to $596.0 million in fiscal 2022. We did not acquire any businesses in fiscal 2023, while in fiscal 2022 we completed the acquisitions of NextInput, Inc. and United SiC which resulted in net cash outflows of $389.1 million. In addition, our cash outflows for capital expenditures decreased in fiscal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in fiscal 2023 was $853.4 million, compared to $875.5 million in fiscal 2022. We did not record any significant debt activity in fiscal 2023, while in fiscal 2022 we received proceeds of $499.1 million from the issuance of the 2024 Notes and repaid a term loan balance of $197.5 million. In addition, less cash was used for stock repurchases in fiscal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our Revolving Facility and term loans, we believe that we have sufficient liquidity to meet both our short-term and long-term cash requirements. However, if there is a significant decrease in demand for our products, or if our revenue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significant contractual obligations and commitments (in thousands) as of April 1, 2023, and the effect such obligations are expected to have on our liquidity and cash flows in future periods.</w:t>
      </w:r>
    </w:p>
    <w:tbl>
      <w:tblPr>
        <w:tblW w:w="10205" w:type="dxa"/>
        <w:jc w:val="center"/>
        <w:tblInd w:w="0" w:type="dxa"/>
        <w:tblLayout w:type="fixed"/>
        <w:tblCellMar>
          <w:top w:w="28" w:type="dxa"/>
          <w:left w:w="28" w:type="dxa"/>
          <w:bottom w:w="28" w:type="dxa"/>
          <w:right w:w="28" w:type="dxa"/>
        </w:tblCellMar>
      </w:tblPr>
      <w:tblGrid>
        <w:gridCol w:w="878"/>
        <w:gridCol w:w="771"/>
        <w:gridCol w:w="776"/>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49"/>
        <w:gridCol w:w="1154"/>
        <w:gridCol w:w="185"/>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Fiscal Period</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Capital commitments </w:t>
            </w:r>
            <w:r>
              <w:rPr>
                <w:rFonts w:ascii="Times New Roman;sans-serif" w:hAnsi="Times New Roman;sans-serif"/>
                <w:b w:val="false"/>
                <w:color w:val="000000"/>
                <w:sz w:val="10"/>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 obligations </w:t>
            </w:r>
            <w:r>
              <w:rPr>
                <w:rFonts w:ascii="Times New Roman;sans-serif" w:hAnsi="Times New Roman;sans-serif"/>
                <w:b w:val="false"/>
                <w:color w:val="000000"/>
                <w:sz w:val="10"/>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obligations </w:t>
            </w:r>
            <w:r>
              <w:rPr>
                <w:rFonts w:ascii="Times New Roman;sans-serif" w:hAnsi="Times New Roman;sans-serif"/>
                <w:b w:val="false"/>
                <w:color w:val="000000"/>
                <w:sz w:val="10"/>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1,695,250 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1,717,655 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Capital commitments represent obligations for the purchase of property and equipment, a majority of which are not recorded as liabilities on our Consolidated Balance Sheet because we had not received the related goods or services as of April 1, 2023.</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Purchase obligations represent payments due related to the purchase of materials and manufacturing services, a majority of which are not recorded as liabilities on our Consolidated Balance Sheet because we had not received the related goods or services as of April 1, 2023. Refer to Note 11 of the Notes to Consolidated Financial Statements for further information.</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 Long-term debt obligations represent future cash payments of principal and interest over the life of the 2024 Notes, the 2029 Notes and the 2031 Notes, including anticipated interest payments not recorded as liabilities on our Consolidated Balance Sheet as of April 1, 2023. Debt obligations are classified based on their stated maturity date, and any future redemptions would impact our cash payments. Refer to Note 9 of the Notes to Consolidated Financial Statements for further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Other Contractual Obligations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in addition to the amounts shown in the contractual obligations table above, we have $21.0 million of unrecognized income tax benefits and accrued interest and penalties which have been recorded as a liability. We are uncertain as to if, or when, such amounts may be settled. We also have an obligation related to the Transitional Repatriation Tax that we elected to pay over eight years which has been recorded as a liability. The remaining obligation of $4.8 million is to be paid over the next three years.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10 of the Notes to Consolidated Financial Statements, we have two pension plans in Germany with a combined benefit obligation of approximately $9.4 million as of April 1, 2023. Pension benefit payments are not included in the schedule above due to the uncertainty regarding the amount and timing of any future cash outflows. Pension benefit payments were approximately $0.3 million in fiscal 2023 and are expected to be approximately $0.4 million in fiscal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We also offer a non-qualified deferred compensation plan to eligible participants to defer and invest a specified percentage of their cash compensation. We record an obligation under the plan for the distributions to be made to participants upon certain triggering events. Although participants are required to make distribution elections at the time of enrollment, the amount and timing of any future cash outflows is uncertain until such triggering events occur. The total deferred compensation obligation as of April 1, 2023</w:t>
      </w:r>
      <w:r>
        <w:rPr>
          <w:color w:val="000000"/>
          <w:shd w:fill="FFFFFF" w:val="clear"/>
        </w:rPr>
        <w:t xml:space="preserve"> </w:t>
      </w:r>
      <w:r>
        <w:rPr>
          <w:rFonts w:ascii="Times New Roman;sans-serif" w:hAnsi="Times New Roman;sans-serif"/>
          <w:b w:val="false"/>
          <w:color w:val="000000"/>
          <w:sz w:val="20"/>
        </w:rPr>
        <w:t>was $40.7 million, of which $1.6 million is estimated to be paid in fiscal 2024. Refer to Note 10 of the Notes to Consolidated Financial Statements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PARENT AND GUARANTOR 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Annual Report on Form 10-K.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pStyle w:val="TextBody"/>
        <w:bidi w:val="0"/>
        <w:spacing w:before="0" w:after="0"/>
        <w:jc w:val="left"/>
        <w:rPr/>
      </w:pPr>
      <w:r>
        <w:rPr/>
      </w:r>
    </w:p>
    <w:tbl>
      <w:tblPr>
        <w:tblW w:w="5169" w:type="dxa"/>
        <w:jc w:val="center"/>
        <w:tblInd w:w="0" w:type="dxa"/>
        <w:tblLayout w:type="fixed"/>
        <w:tblCellMar>
          <w:top w:w="28" w:type="dxa"/>
          <w:left w:w="28" w:type="dxa"/>
          <w:bottom w:w="28" w:type="dxa"/>
          <w:right w:w="28" w:type="dxa"/>
        </w:tblCellMar>
      </w:tblPr>
      <w:tblGrid>
        <w:gridCol w:w="907"/>
        <w:gridCol w:w="797"/>
        <w:gridCol w:w="801"/>
        <w:gridCol w:w="211"/>
        <w:gridCol w:w="826"/>
        <w:gridCol w:w="109"/>
        <w:gridCol w:w="109"/>
        <w:gridCol w:w="109"/>
        <w:gridCol w:w="109"/>
        <w:gridCol w:w="211"/>
        <w:gridCol w:w="82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Summarized Balance Sheets</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assets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liabilities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Includes net amounts due from Non-Guarantor subsidiaries of $379.5 million and $286.8 million as of April 1, 2023 and April 2, 2022, respectively.</w:t>
      </w:r>
    </w:p>
    <w:p>
      <w:pPr>
        <w:pStyle w:val="TextBody"/>
        <w:bidi w:val="0"/>
        <w:spacing w:lineRule="auto" w:line="288" w:before="100" w:after="240"/>
        <w:jc w:val="left"/>
        <w:rPr>
          <w:rFonts w:ascii="Times New Roman;sans-serif" w:hAnsi="Times New Roman;sans-serif"/>
          <w:b w:val="false"/>
          <w:color w:val="000000"/>
          <w:sz w:val="18"/>
        </w:rPr>
      </w:pPr>
      <w:r>
        <w:rPr>
          <w:rFonts w:ascii="Times New Roman;sans-serif" w:hAnsi="Times New Roman;sans-serif"/>
          <w:b w:val="false"/>
          <w:color w:val="000000"/>
          <w:sz w:val="18"/>
        </w:rPr>
        <w:t>(2) Includes net amounts due to Non-Guarantor subsidiaries of $509.1 million and $433.5 million as of April 1, 2023 and April 2, 2022, respectively.</w:t>
      </w:r>
    </w:p>
    <w:tbl>
      <w:tblPr>
        <w:tblW w:w="4487" w:type="dxa"/>
        <w:jc w:val="center"/>
        <w:tblInd w:w="0" w:type="dxa"/>
        <w:tblLayout w:type="fixed"/>
        <w:tblCellMar>
          <w:top w:w="28" w:type="dxa"/>
          <w:left w:w="28" w:type="dxa"/>
          <w:bottom w:w="28" w:type="dxa"/>
          <w:right w:w="28" w:type="dxa"/>
        </w:tblCellMar>
      </w:tblPr>
      <w:tblGrid>
        <w:gridCol w:w="1076"/>
        <w:gridCol w:w="944"/>
        <w:gridCol w:w="949"/>
        <w:gridCol w:w="109"/>
        <w:gridCol w:w="109"/>
        <w:gridCol w:w="109"/>
        <w:gridCol w:w="211"/>
        <w:gridCol w:w="82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Summarized Statement of Income</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requires management to use judgment and estimates. The level of uncertainty in estimates and assumptions increases with the length of time until the underlying transactions are completed. Actual results could materially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typically do not require us to make estimates or judgments that are difficult or subjective. Refer to Note 1 of the Notes to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Inventory Reserves. </w:t>
      </w:r>
      <w:r>
        <w:rPr>
          <w:rFonts w:ascii="Times New Roman;sans-serif" w:hAnsi="Times New Roman;sans-serif"/>
          <w:b w:val="false"/>
          <w:color w:val="000000"/>
          <w:sz w:val="20"/>
        </w:rPr>
        <w:t>The valuation of inventory requires us to estimate obsolete or excess inventory. The determination of obsolete or excess inventory requires us to estimate the future demand for our products 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valuations and estimates require significant judgment. If actual results are not consistent with our estimates or assumptions, we may be exposed to an impairment charge that could materially adversely impact our consolidated financial position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inventory reserves have fluctuated as new technologies have been introduced and customers’ demand has shifted.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Refer to Note </w:t>
      </w:r>
      <w:r>
        <w:rPr>
          <w:rFonts w:ascii="Times New Roman;sans-serif" w:hAnsi="Times New Roman;sans-serif"/>
          <w:b w:val="false"/>
          <w:color w:val="000000"/>
          <w:sz w:val="20"/>
          <w:shd w:fill="FFFFFF" w:val="clear"/>
        </w:rPr>
        <w:t>3</w:t>
      </w:r>
      <w:r>
        <w:rPr>
          <w:color w:val="000000"/>
        </w:rPr>
        <w:t xml:space="preserve"> </w:t>
      </w:r>
      <w:r>
        <w:rPr>
          <w:rFonts w:ascii="Times New Roman;sans-serif" w:hAnsi="Times New Roman;sans-serif"/>
          <w:b w:val="false"/>
          <w:color w:val="000000"/>
          <w:sz w:val="20"/>
        </w:rPr>
        <w:t>of the Notes to Consolidated Financial Statements for additional information regarding our inventories.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Property and Equipment. </w:t>
      </w:r>
      <w:r>
        <w:rPr>
          <w:rFonts w:ascii="Times New Roman;sans-serif" w:hAnsi="Times New Roman;sans-serif"/>
          <w:b w:val="false"/>
          <w:color w:val="000000"/>
          <w:sz w:val="20"/>
        </w:rPr>
        <w:t>Periodically, we evaluate the period over which we expect to recover the economic value of our property and equipment, considering factors such as changes in machinery and equipment technology, our ability to re-use equipment across generations of process technology and historical usage trends. When we determine that the useful lives of assets are shorter or longer than we had originally estimated, we adjust the rate of depreciation to reflect the revised useful lives of the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property and equipment for impairment when events or changes in circumstances indicate that the carrying value of the assets or the asset group may not be recoverable. Factors that we consider in deciding when to perform an impairment review include an adverse change in our use of the assets or an expectation that the assets will be sold or otherwise disposed. We assess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evaluating property and equipment for impairment is highly subjective and requires significant judgment as we are required to make assumptions about items such as future demand for our products and industry trends. If actual results are not consistent with our estimates or assumptions, we may be exposed to an impairment charge that could materially adversely impact our consolidated financial position and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Refer to Note </w:t>
      </w:r>
      <w:r>
        <w:rPr>
          <w:rFonts w:ascii="Times New Roman;sans-serif" w:hAnsi="Times New Roman;sans-serif"/>
          <w:b w:val="false"/>
          <w:color w:val="000000"/>
          <w:sz w:val="20"/>
          <w:shd w:fill="FFFFFF" w:val="clear"/>
        </w:rPr>
        <w:t>4</w:t>
      </w:r>
      <w:r>
        <w:rPr>
          <w:color w:val="000000"/>
        </w:rPr>
        <w:t xml:space="preserve"> </w:t>
      </w:r>
      <w:r>
        <w:rPr>
          <w:rFonts w:ascii="Times New Roman;sans-serif" w:hAnsi="Times New Roman;sans-serif"/>
          <w:b w:val="false"/>
          <w:color w:val="000000"/>
          <w:sz w:val="20"/>
        </w:rPr>
        <w:t>of the Notes to Consolidated Financial Statements for additional information regarding our property and equipment.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Business Acquisitions. </w:t>
      </w:r>
      <w:r>
        <w:rPr>
          <w:rFonts w:ascii="Times New Roman;sans-serif" w:hAnsi="Times New Roman;sans-serif"/>
          <w:b w:val="false"/>
          <w:color w:val="000000"/>
          <w:sz w:val="20"/>
        </w:rPr>
        <w:t xml:space="preserve">We allocate the fair value of the purchase price to the assets acquired and liabilities assumed based on their estimated fair value. The excess of the purchase price over the fair values of the identifiable assets and liabilities is recorded to goodwill. Goodwill is assigned to the reporting unit that is expected to benefit from the synergies of the business combination.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significant assumptions, estimates and judgments are used in determining the fair value of acquired assets and liabilities, particularly with respect to the intangible assets acquired. The valuation of intangible assets requires the use of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After the measurement period, any purchase price adjustments are recorded to the income statement.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5 of the Notes to Consolidated Financial Statements for additional information regarding our business acquisitions.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Goodwill Impairment Testing.</w:t>
      </w:r>
      <w:r>
        <w:rPr>
          <w:color w:val="000000"/>
        </w:rPr>
        <w:t xml:space="preserve"> </w:t>
      </w:r>
      <w:r>
        <w:rPr>
          <w:rFonts w:ascii="Times New Roman;sans-serif" w:hAnsi="Times New Roman;sans-serif"/>
          <w:b w:val="false"/>
          <w:color w:val="000000"/>
          <w:sz w:val="20"/>
        </w:rPr>
        <w:t>Goodwill is not amortized, but rather is reviewed for impairment at the reporting unit level on the first day of our fourth quarter of each fiscal year, or when there is evidence that events or changes in circumstances indicate the carrying amount of the goodwill may not be recovered. Under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we have the option to first assess qualitatively whether it is more likely than not the fair value of a reporting unit is less than its carrying amount, including goodwill. If qualitative assessments conclude it is more likely than not the fair value of any reporting unit is less than its carrying value, quantitative assessments are performed on the applicable reporting units. Inherent in the fair value determinations are significant judgments and estimates, including assumptions about our future revenue, profitability and cash flows, our operational plans and our interpretation of current economic indicators and market valuations.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2023, we updated our organizational structure to more closely align similar technologies and applications with customers and end markets (the "Reorganization"). Refer to Note 17 of the Notes to Consolidated Financial Statements for additional information regarding our new organizational structure. Prior to the Reorganization ("Pre-Reorganization"), we operated under two segments with a total of five reporting units and subsequent to the Reorganization ("Post-Reorganization") we are operating under three segments with a total of eight reporting units. In accordance with ASC 350, we performed quantitative impairment assessments on each reporting unit immediately before and after the change in organizational structure.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quantitative assessments considered the income approach and the market approach to estimate each reporting unit’s fair value. Under the income approach, the fair value of each reporting unit is based on the present value of estimated future cash flows. Cash flow projections are based on our estimates of revenue growth rates and operating margins, taking into consideration industry and market conditions. The discount rate used to determine the present value of future cash flows is based on the weighted-average cost of capital adjusted for the relevant risk associated with business-specific characteristics and the uncertainty related to the business's ability to execute on the projected cash flows. The market approach estimates fair value based on market multiples of revenue and earnings derived from comparable publicly traded companies with similar operating and investment characteristics. The resulting fair value, based on the income and market approaches, is then compared to the carrying value to determine if impairment is necessary.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Pre-Reorganization quantitative assessment performed on July 2, 2022, management concluded there was no goodwill impairment. Based on the Post-Reorganization quantitative analysis performed on July 3, 2022 (the "Quantitative Analysis"), it was determined the fair value of five of our eight reporting units significantly exceeded their carrying values. Therefore, for our annual goodwill impairment assessment that was performed as of January 1, 2023, we opted to perform a qualitative impairment assessment for the goodwill related to these five reporting units. We concluded based on the relevant facts and circumstances, including the Quantitative Analysis performed, it was more likely than not that the fair value of each of these reporting units exceeded their related carrying value and no further impairment testing was required. In addition, based on the Quantitative Analysis, it was determined the fair value of three of our eight reporting units did not significantly exceed their carrying values. Therefore, we performed additional quantitative analyses on two of these reporting units as part of our qualitative analysis and concluded that based on the relevant facts and circumstances, it was more likely than not that the fair value of each of these reporting units exceeded their related carrying value and no further impairment testing was required.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ongoing efforts to focus on growth drivers and key markets and to streamline operations, in the fourth quarter of fiscal 2023, we began to seek strategic alternatives for the third reporting unit (our non-core biotechnology business). Given the future funding requirements necessary to further develop its diagnostic testing solutions and achieve our desired results, we decided not to invest further in this business. Therefore, we determined that there was a more-likely-than-not expectation of selling or disposing of all, or a portion, of this reporting unit. Based on these facts and circumstances, we determined that the carrying value exceeded the fair value of this reporting unit which resulted in a goodwill impairment charge of approximately $12.4 million (representing the entire goodwill assigned to this reporting unit), which is recorded in "Other operating expense" in the Consolidated Statement of Income for the fiscal year ended April 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2022 (based on the Pre-Reorganization structure), we completed our annual qualitative assessments and concluded that based on the relevant events and circumstances, it was more likely than not that four of our five reporting units’ fair values exceeded their related carrying values. However, for one of our reporting units a quantitative assessment was performed which resulted in a goodwill impairment charge of approximately $48.0 million, which is recorded in "Other operating expense" in the Consolidated Statement of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6 of the Notes to Consolidated Financial Statements for additional information regarding our goodwill and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Identified Intangible Assets. </w:t>
      </w:r>
      <w:r>
        <w:rPr>
          <w:rFonts w:ascii="Times New Roman;sans-serif" w:hAnsi="Times New Roman;sans-serif"/>
          <w:b w:val="false"/>
          <w:color w:val="000000"/>
          <w:sz w:val="20"/>
        </w:rPr>
        <w:t>We amortize definite-lived intangible assets (including developed technology, customer relationships, technology licenses, backlog and trade names) over their estimated useful lives. Upon completion of development, in-process research and development ("IPRD") assets are transferred to developed technology and are amortized over their useful lives. The asset balances relating to abandoned projects are impaired and expensed to research and development ("R&amp;D").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definite-lived intangible assets for impairment to determine whether facts and circumstances indicate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 When measuring impairment, we make significant assumptions and apply judgment in estimating future cash flows and asset fair values, including annual revenue growth rates and a terminal year growth rate that reflects the inherent risk in future cash flows. If actual results are not consistent with our estimates or assumptions, we may be exposed to an impairment charge that could materially adversely impact our consolidated financial position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definite-lived intangible asset impairment charges were recorded in fiscal years 2023 or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6 of the Notes to Consolidated Financial Statements for additional information regarding our identified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Purchase Obligations.</w:t>
      </w:r>
      <w:r>
        <w:rPr>
          <w:color w:val="000000"/>
        </w:rPr>
        <w:t xml:space="preserve"> </w:t>
      </w:r>
      <w:r>
        <w:rPr>
          <w:rFonts w:ascii="Times New Roman;sans-serif" w:hAnsi="Times New Roman;sans-serif"/>
          <w:b w:val="false"/>
          <w:color w:val="000000"/>
          <w:sz w:val="20"/>
        </w:rPr>
        <w:t xml:space="preserve">We evaluate material purchase obligations each reporting period to assess whether our contractual commitments exceed our current and long-term forecast. These evaluations include consideration of customer forecasts, legal obligations, macroeconomic and geopolitical factors as well as market and industry trends.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2022, we entered into a long-term capacity reservation agreement with a foundry supplier (which was later amended in fiscal 2023) that requires us to purchase, and the foundry supplier to supply, a certain number of wafers through calendar year 2026. In connection with this agreement, we paid an upfront refundable deposit, and if the purchase commitments per the agreement were not met, under certain circumstances the supplier could deduct the amount of purchase shortfall amounts from the prepaid refundable deposit at the end of each calendar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experienced unexpectedly weakened demand in fiscal 2023 and did not meet the minimum purchase commitments under the amended long-term capacity reservation agreement, which resulted in impairments to the prepaid refundable deposit, additional inventory reserves for inventory in excess of demand forecasts, and a liability for the estimated purchase commitment shortfall over the remaining term of the agreement.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our assumptions pertaining to anticipated future demand are incorrect or there are further declines in customer forecasts, additional charges may be recorded in future periods, which would have a negative impact on our gross margin and other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11 of the Notes to Consolidated Financial Statements for additional information regarding our purchase obligations.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Revenue Recognition.</w:t>
      </w:r>
      <w:r>
        <w:rPr>
          <w:color w:val="000000"/>
        </w:rPr>
        <w:t xml:space="preserve"> </w:t>
      </w:r>
      <w:r>
        <w:rPr>
          <w:rFonts w:ascii="Times New Roman;sans-serif" w:hAnsi="Times New Roman;sans-serif"/>
          <w:b w:val="false"/>
          <w:color w:val="000000"/>
          <w:sz w:val="20"/>
        </w:rPr>
        <w:t xml:space="preserve">Revenue is recognized when control of the promised goods or services is transferred to our customers, in an amount that reflects the consideration we expect to be entitled in exchange for those goods or services. A majority of our revenue is recognized at a point in time, either on shipment or delivery of the product, depending on individual customer terms and conditions.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recognition accounting methodology contains uncertainties because it requires us to make significant estimates and assumptions, and to apply judgment. For example, for arrangements that have multiple performance obligations, we must exercise judgment and use estimates in order to (1) determine whether performance obligations are distinct and should be accounted for separately; (2) determine the stand-alone selling price of each performance obligation; (3) allocate the transaction price among the various performance obligations on a relative standalone selling price basis; and (4) determine whether revenue for each performance obligation should be recognized at a point in time or over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were to change any of these judgments or estimates, it could cause a material increase or decrease in the amount of revenue or deferred revenue that we report in a particular period.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 of the Notes to Consolidated Financial Statements for a complete discussion of our revenue recognition policies.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In determining income for financial statement purposes, we must make certain estimates and judgments in the calculation of tax expense, the resultant tax liabilities and the recoverability of deferred tax assets that arise from temporary differences between the tax and financial statement recognition of revenue and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financial process, we assess on a tax jurisdictional basis the likelihood that our deferred tax assets can be recovered. If recovery is not more likely than not (a likelihood of less than 50 percent), the provision for taxes must be increased by recording a reserve in the form of a valuation allowance for the deferred tax assets that are estimated not to ultimately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Refer to Note 13 of the Notes to Consolidated Financial Statements for additional information regarding changes in the valuation allowance and net deferred tax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financial process, we also assess the likelihood that our tax reporting positions will ultimately be sustained. To the extent it is determined it is more likely than not (a likelihood of more than 50 percent) that some portion, or all, of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determinations are made.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13 of the Notes to Consolidated Financial Statements for additional information regarding our uncertain tax positions and the amount of unrecognized tax benefits.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Financial Risk Management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financial risk management activities is to reduce the negative financial impact resulting from changes in interest rates, foreign currency exchange rates, equity prices and commodity prices (the "Underlying Exposures"). We manage these Underlying Exposures through operational means as well as through the use of various financial instruments when deemed appropriate. The method and extent to which we are able to reduce the financial impact related to the Underlying Exposures may vary over time. Similarly, there can be no assurance that our financial risk management activities will be successful in mitigating the financial impact resulting from movements in the Underlying Exposures.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Interest Rate Risk</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be exposed to interest rate risk via the terms of our Revolving Facility and term loans. If the Revolving Facility were to be drawn or a term loan were to be requested, it would bear interest at a variable rate. Refer to Note 9 of the Notes to Consolidated Financial Statements for further information. As of April 1, 2023, we did not have any outstanding borrowings under the Revolving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Exchange Rate Risk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Central America and Europe,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Renminbi, and Singapore Dollar. If the U.S. dollar weakens compared to these and other currencies, our operating expenses for foreign operations will be higher when remeasured back into U.S. dollars. We seek to manage our foreign currency exchange risk in part through operational means.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fiscal 2023, we incurred a foreign currency loss of $0.6 million as compared to a loss of $1.5 million in fiscal 2022, which is recorded in "Other income (expense),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 holdings, including foreign receivables, cash and payables at April 1, 2023,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decreased by approximately $2.5 million in fiscal 2023. If the U.S. dollar increased in value 10% in relation to the re-measured foreign currency instruments, our net income would have increased by approximately $2.0 million in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Equity Price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marketable equity investments in publicly traded companies are subject to equity market price risk. Accordingly, a fluctuation in the price of each equity security could have an adverse impact on the fair value of our investments.  As of April 1, 2023, our marketable equity investments were immaterial. Refer to Note 7 of the Notes to Consolidated Financial Statements for further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attempt to mitigate the risk of increases in commodities-related costs, there can be no assurance that we will be able to successfully safeguard against potential short-term and long-term commodity price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tbl>
      <w:tblPr>
        <w:tblW w:w="9630" w:type="dxa"/>
        <w:jc w:val="left"/>
        <w:tblInd w:w="0" w:type="dxa"/>
        <w:tblLayout w:type="fixed"/>
        <w:tblCellMar>
          <w:top w:w="28" w:type="dxa"/>
          <w:left w:w="28" w:type="dxa"/>
          <w:bottom w:w="28" w:type="dxa"/>
          <w:right w:w="28" w:type="dxa"/>
        </w:tblCellMar>
      </w:tblPr>
      <w:tblGrid>
        <w:gridCol w:w="1793"/>
        <w:gridCol w:w="1571"/>
        <w:gridCol w:w="1571"/>
        <w:gridCol w:w="495"/>
        <w:gridCol w:w="495"/>
        <w:gridCol w:w="495"/>
        <w:gridCol w:w="495"/>
        <w:gridCol w:w="495"/>
        <w:gridCol w:w="495"/>
        <w:gridCol w:w="495"/>
        <w:gridCol w:w="495"/>
        <w:gridCol w:w="735"/>
      </w:tblGrid>
      <w:tr>
        <w:trPr/>
        <w:tc>
          <w:tcPr>
            <w:tcW w:w="179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63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c>
      </w:tr>
      <w:tr>
        <w:trPr/>
        <w:tc>
          <w:tcPr>
            <w:tcW w:w="963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4a4eedb9149f1a6051c00883ee679_70">
              <w:r>
                <w:rPr>
                  <w:rStyle w:val="InternetLink"/>
                  <w:rFonts w:ascii="Times New Roman;sans-serif" w:hAnsi="Times New Roman;sans-serif"/>
                  <w:b w:val="false"/>
                  <w:color w:val="0000FF"/>
                  <w:sz w:val="20"/>
                  <w:u w:val="single"/>
                </w:rPr>
                <w:t>Consolidated Balance Sheets</w:t>
              </w:r>
            </w:hyperlink>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right"/>
              <w:rPr/>
            </w:pPr>
            <w:hyperlink w:anchor="i24a4a4eedb9149f1a6051c00883ee679_70">
              <w:r>
                <w:rPr>
                  <w:rStyle w:val="InternetLink"/>
                  <w:rFonts w:ascii="Times New Roman;sans-serif" w:hAnsi="Times New Roman;sans-serif"/>
                  <w:b w:val="false"/>
                  <w:color w:val="0000FF"/>
                  <w:sz w:val="20"/>
                  <w:u w:val="single"/>
                </w:rPr>
                <w:t>49</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4a4eedb9149f1a6051c00883ee679_76">
              <w:r>
                <w:rPr>
                  <w:rStyle w:val="InternetLink"/>
                  <w:rFonts w:ascii="Times New Roman;sans-serif" w:hAnsi="Times New Roman;sans-serif"/>
                  <w:b w:val="false"/>
                  <w:color w:val="000080"/>
                  <w:sz w:val="20"/>
                  <w:u w:val="single"/>
                </w:rPr>
                <w:t>Consolidated Statements of I</w:t>
              </w:r>
            </w:hyperlink>
            <w:r>
              <w:rPr>
                <w:rFonts w:ascii="Times New Roman;sans-serif" w:hAnsi="Times New Roman;sans-serif"/>
                <w:b w:val="false"/>
                <w:color w:val="0000FF"/>
                <w:sz w:val="20"/>
                <w:u w:val="single"/>
              </w:rPr>
              <w:t>ncome</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76">
              <w:r>
                <w:rPr>
                  <w:rStyle w:val="InternetLink"/>
                  <w:rFonts w:ascii="Times New Roman;sans-serif" w:hAnsi="Times New Roman;sans-serif"/>
                  <w:b w:val="false"/>
                  <w:color w:val="0000FF"/>
                  <w:sz w:val="20"/>
                  <w:u w:val="single"/>
                </w:rPr>
                <w:t>50</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4a4eedb9149f1a6051c00883ee679_79">
              <w:r>
                <w:rPr>
                  <w:rStyle w:val="InternetLink"/>
                  <w:rFonts w:ascii="Times New Roman;sans-serif" w:hAnsi="Times New Roman;sans-serif"/>
                  <w:b w:val="false"/>
                  <w:color w:val="0000FF"/>
                  <w:sz w:val="20"/>
                  <w:u w:val="single"/>
                </w:rPr>
                <w:t>Consolidated Statements of Comprehensive Income</w:t>
              </w:r>
            </w:hyperlink>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79">
              <w:r>
                <w:rPr>
                  <w:rStyle w:val="InternetLink"/>
                  <w:rFonts w:ascii="Times New Roman;sans-serif" w:hAnsi="Times New Roman;sans-serif"/>
                  <w:b w:val="false"/>
                  <w:color w:val="0000FF"/>
                  <w:sz w:val="20"/>
                  <w:u w:val="single"/>
                </w:rPr>
                <w:t>51</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4a4eedb9149f1a6051c00883ee679_82">
              <w:r>
                <w:rPr>
                  <w:rStyle w:val="InternetLink"/>
                  <w:rFonts w:ascii="Times New Roman;sans-serif" w:hAnsi="Times New Roman;sans-serif"/>
                  <w:b w:val="false"/>
                  <w:color w:val="000080"/>
                  <w:sz w:val="20"/>
                  <w:u w:val="single"/>
                </w:rPr>
                <w:t>Consolidated Statements of S</w:t>
              </w:r>
            </w:hyperlink>
            <w:r>
              <w:rPr>
                <w:rFonts w:ascii="Times New Roman;sans-serif" w:hAnsi="Times New Roman;sans-serif"/>
                <w:b w:val="false"/>
                <w:color w:val="0000FF"/>
                <w:sz w:val="20"/>
                <w:u w:val="single"/>
              </w:rPr>
              <w:t>tockholders' Equity</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82">
              <w:r>
                <w:rPr>
                  <w:rStyle w:val="InternetLink"/>
                  <w:rFonts w:ascii="Times New Roman;sans-serif" w:hAnsi="Times New Roman;sans-serif"/>
                  <w:b w:val="false"/>
                  <w:color w:val="0000FF"/>
                  <w:sz w:val="20"/>
                  <w:u w:val="single"/>
                </w:rPr>
                <w:t>52</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4a4eedb9149f1a6051c00883ee679_85">
              <w:r>
                <w:rPr>
                  <w:rStyle w:val="InternetLink"/>
                  <w:rFonts w:ascii="Times New Roman;sans-serif" w:hAnsi="Times New Roman;sans-serif"/>
                  <w:b w:val="false"/>
                  <w:color w:val="0000FF"/>
                  <w:sz w:val="20"/>
                  <w:u w:val="single"/>
                </w:rPr>
                <w:t>Consolidated Statements of Cash Flows</w:t>
              </w:r>
            </w:hyperlink>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85">
              <w:r>
                <w:rPr>
                  <w:rStyle w:val="InternetLink"/>
                  <w:rFonts w:ascii="Times New Roman;sans-serif" w:hAnsi="Times New Roman;sans-serif"/>
                  <w:b w:val="false"/>
                  <w:color w:val="0000FF"/>
                  <w:sz w:val="20"/>
                  <w:u w:val="single"/>
                </w:rPr>
                <w:t>53</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4a4eedb9149f1a6051c00883ee679_88">
              <w:r>
                <w:rPr>
                  <w:rStyle w:val="InternetLink"/>
                  <w:rFonts w:ascii="Times New Roman;sans-serif" w:hAnsi="Times New Roman;sans-serif"/>
                  <w:b w:val="false"/>
                  <w:color w:val="0000FF"/>
                  <w:sz w:val="20"/>
                  <w:u w:val="single"/>
                </w:rPr>
                <w:t>Notes to Consolidated Financial Statements</w:t>
              </w:r>
            </w:hyperlink>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88">
              <w:r>
                <w:rPr>
                  <w:rStyle w:val="InternetLink"/>
                  <w:rFonts w:ascii="Times New Roman;sans-serif" w:hAnsi="Times New Roman;sans-serif"/>
                  <w:b w:val="false"/>
                  <w:color w:val="0000FF"/>
                  <w:sz w:val="20"/>
                  <w:u w:val="single"/>
                </w:rPr>
                <w:t>54</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a4a4eedb9149f1a6051c00883ee679_142">
              <w:r>
                <w:rPr>
                  <w:rStyle w:val="InternetLink"/>
                  <w:rFonts w:ascii="Times New Roman;sans-serif" w:hAnsi="Times New Roman;sans-serif"/>
                  <w:b w:val="false"/>
                  <w:color w:val="0000FF"/>
                  <w:sz w:val="20"/>
                  <w:u w:val="single"/>
                </w:rPr>
                <w:t>Reports of Independent Registered Public Accounting Firm</w:t>
              </w:r>
            </w:hyperlink>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PCAOB ID: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a4a4eedb9149f1a6051c00883ee679_142">
              <w:r>
                <w:rPr>
                  <w:rStyle w:val="InternetLink"/>
                  <w:rFonts w:ascii="Times New Roman;sans-serif" w:hAnsi="Times New Roman;sans-serif"/>
                  <w:b w:val="false"/>
                  <w:color w:val="0000FF"/>
                  <w:sz w:val="20"/>
                  <w:u w:val="single"/>
                </w:rPr>
                <w:t>85</w:t>
              </w:r>
            </w:hyperlink>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Qorvo, Inc. and Subsidiaries </w:t>
        <w:br/>
        <w:t xml:space="preserve">Consolidated Balance Sheets </w:t>
        <w:br/>
        <w:t>(In thousands,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54"/>
        <w:gridCol w:w="2157"/>
        <w:gridCol w:w="2128"/>
        <w:gridCol w:w="211"/>
        <w:gridCol w:w="976"/>
        <w:gridCol w:w="109"/>
        <w:gridCol w:w="109"/>
        <w:gridCol w:w="109"/>
        <w:gridCol w:w="109"/>
        <w:gridCol w:w="211"/>
        <w:gridCol w:w="976"/>
        <w:gridCol w:w="156"/>
      </w:tblGrid>
      <w:tr>
        <w:trPr/>
        <w:tc>
          <w:tcPr>
            <w:tcW w:w="2954"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$369 and $402 as of April 1, 2023 and April 2,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Other receivables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2,449,865 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2,775,634 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investments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7,509,072 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liabilities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2,955,854 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Commitments and contingent liabilities </w:t>
            </w:r>
            <w:r>
              <w:rPr>
                <w:rFonts w:ascii="Times New Roman;sans-serif" w:hAnsi="Times New Roman;sans-serif"/>
                <w:b w:val="false"/>
                <w:i/>
                <w:color w:val="000000"/>
                <w:sz w:val="20"/>
              </w:rPr>
              <w:t>(Note 11)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5,000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 $.0001 par value; 405,000 shares authorized; 98,649 and 106,303 shares issued and outstanding at April 1, 2023 and April 2,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4,553,218 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7,509,072 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br/>
        <w:t>Consolidated Statements of Income</w:t>
        <w:br/>
        <w:t>(In thousands, except per share data)</w:t>
      </w:r>
    </w:p>
    <w:p>
      <w:pPr>
        <w:pStyle w:val="TextBody"/>
        <w:bidi w:val="0"/>
        <w:spacing w:before="0" w:after="0"/>
        <w:jc w:val="left"/>
        <w:rPr/>
      </w:pPr>
      <w:r>
        <w:rPr/>
      </w:r>
    </w:p>
    <w:tbl>
      <w:tblPr>
        <w:tblW w:w="9251" w:type="dxa"/>
        <w:jc w:val="left"/>
        <w:tblInd w:w="0" w:type="dxa"/>
        <w:tblLayout w:type="fixed"/>
        <w:tblCellMar>
          <w:top w:w="28" w:type="dxa"/>
          <w:left w:w="28" w:type="dxa"/>
          <w:bottom w:w="28" w:type="dxa"/>
          <w:right w:w="28" w:type="dxa"/>
        </w:tblCellMar>
      </w:tblPr>
      <w:tblGrid>
        <w:gridCol w:w="1686"/>
        <w:gridCol w:w="1486"/>
        <w:gridCol w:w="1492"/>
        <w:gridCol w:w="211"/>
        <w:gridCol w:w="976"/>
        <w:gridCol w:w="109"/>
        <w:gridCol w:w="109"/>
        <w:gridCol w:w="109"/>
        <w:gridCol w:w="109"/>
        <w:gridCol w:w="211"/>
        <w:gridCol w:w="976"/>
        <w:gridCol w:w="109"/>
        <w:gridCol w:w="109"/>
        <w:gridCol w:w="109"/>
        <w:gridCol w:w="109"/>
        <w:gridCol w:w="211"/>
        <w:gridCol w:w="976"/>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Selling, general and administrative</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Other operating expense</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income per share</w:t>
            </w:r>
            <w:r>
              <w:rPr>
                <w:rFonts w:ascii="Times New Roman;sans-serif" w:hAnsi="Times New Roman;sans-serif"/>
                <w:b w:val="false"/>
                <w:i/>
                <w:color w:val="000000"/>
                <w:sz w:val="20"/>
              </w:rPr>
              <w: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111,546 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116,016 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Qorvo, Inc. and Subsidiaries </w:t>
        <w:b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67"/>
        <w:gridCol w:w="1866"/>
        <w:gridCol w:w="1884"/>
        <w:gridCol w:w="211"/>
        <w:gridCol w:w="826"/>
        <w:gridCol w:w="109"/>
        <w:gridCol w:w="109"/>
        <w:gridCol w:w="109"/>
        <w:gridCol w:w="109"/>
        <w:gridCol w:w="211"/>
        <w:gridCol w:w="976"/>
        <w:gridCol w:w="109"/>
        <w:gridCol w:w="109"/>
        <w:gridCol w:w="109"/>
        <w:gridCol w:w="109"/>
        <w:gridCol w:w="211"/>
        <w:gridCol w:w="826"/>
        <w:gridCol w:w="155"/>
      </w:tblGrid>
      <w:tr>
        <w:trPr/>
        <w:tc>
          <w:tcPr>
            <w:tcW w:w="2167"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5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pension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including intra-entity foreign currency transactions that are of a long-term investment nature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net of tax:</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 loss realized upon liquidation of subsidiary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pension actuarial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760,972 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18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94"/>
        <w:gridCol w:w="622"/>
        <w:gridCol w:w="588"/>
        <w:gridCol w:w="413"/>
        <w:gridCol w:w="413"/>
        <w:gridCol w:w="196"/>
        <w:gridCol w:w="109"/>
        <w:gridCol w:w="109"/>
        <w:gridCol w:w="109"/>
        <w:gridCol w:w="211"/>
        <w:gridCol w:w="976"/>
        <w:gridCol w:w="109"/>
        <w:gridCol w:w="109"/>
        <w:gridCol w:w="109"/>
        <w:gridCol w:w="109"/>
        <w:gridCol w:w="313"/>
        <w:gridCol w:w="1072"/>
        <w:gridCol w:w="162"/>
        <w:gridCol w:w="109"/>
        <w:gridCol w:w="109"/>
        <w:gridCol w:w="109"/>
        <w:gridCol w:w="218"/>
        <w:gridCol w:w="853"/>
        <w:gridCol w:w="112"/>
        <w:gridCol w:w="109"/>
        <w:gridCol w:w="109"/>
        <w:gridCol w:w="109"/>
        <w:gridCol w:w="211"/>
        <w:gridCol w:w="976"/>
        <w:gridCol w:w="158"/>
      </w:tblGrid>
      <w:tr>
        <w:trPr/>
        <w:tc>
          <w:tcPr>
            <w:tcW w:w="129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28, 2020</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4,292,665 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vesting of restricted stock units, net of shares withheld for employee taxes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employee stock purchase plan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Cumulative-effect adoption of ASU 2016-13</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3, 2021</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4,629,425 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vesting of restricted stock units, net of shares withheld for employee taxes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employee stock purchase plan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(1,152,287)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2,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4,553,218 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vesting of restricted stock units, net of shares withheld for employee taxes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employee stock purchase plan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 and excise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April 1, 2023</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3,902,794 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36"/>
        <w:gridCol w:w="1809"/>
        <w:gridCol w:w="1821"/>
        <w:gridCol w:w="211"/>
        <w:gridCol w:w="826"/>
        <w:gridCol w:w="109"/>
        <w:gridCol w:w="109"/>
        <w:gridCol w:w="109"/>
        <w:gridCol w:w="109"/>
        <w:gridCol w:w="211"/>
        <w:gridCol w:w="976"/>
        <w:gridCol w:w="109"/>
        <w:gridCol w:w="109"/>
        <w:gridCol w:w="109"/>
        <w:gridCol w:w="109"/>
        <w:gridCol w:w="211"/>
        <w:gridCol w:w="976"/>
        <w:gridCol w:w="156"/>
      </w:tblGrid>
      <w:tr>
        <w:trPr/>
        <w:tc>
          <w:tcPr>
            <w:tcW w:w="213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5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amortization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and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businesses, net of cash acquired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(218,658)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payment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borrowings and debt issuances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including transaction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the issuance of common stock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paid on behalf of employees for restricted stock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 and "Other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1,398,309 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year for interest, net of amounts capitalized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year for 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included in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Qorvo,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April 1, 2023</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THE COMPANY AND ITS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Qorvo, Inc. ("the Company") is a global leader in the development and commercialization of technologies and products for wireless, wired and power markets. Qorvo, Inc. was formed as the result of a business combination (the "Business Combination") of RF Micro Devices, Inc. and TriQuint Semiconductor, Inc. ("TriQuint"), which closed on January 1, 2015.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design expertise and manufacturing capabilities span multiple process technologies. The Company's primary wafer fabrication facilities are in North Carolina, Oregon and Texas, and its primary assembly and test facilities are in China, Costa Rica, Germany and Texas. The Company also sources products and materials through external suppliers. The Company operates design, sales and other manufacturing facilities throughout Asia, Europe and North America.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fiscal 2023, the Company updated its organizational structure to more closely align technologies and applications with customers and end markets. Prior to this organizational change, the Company operated under two segments (Mobile Products ("MP") and Infrastructure and Defense Products ("IDP")), and subsequent to this organizational change, the Company is operating under three segments (High Performance Analog ("HPA"), Connectivity and Sensors Group ("CSG") and Advanced Cellular Group ("ACG")). Refer to Note 17 for additional information regarding the new organizational structure.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wholly owned subsidiaries. All significant intercompany accounts and transactions have been eliminated in consolidation. Certain prior period amounts (including prior period segment results) have been reclassified to conform to the fiscal 2023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Accounting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a 52- or 53-week fiscal year ending on the Saturday closest to March 31 of each year. The most recent three fiscal years ended on April 1, 2023, April 2, 2022 and April 3, 2021. Fiscal years 2023 and 2022 were 52-week years, and fiscal 2021 was a 53-week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in conformity with U.S. generally accepted accounting principles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 related contingencies, valuation of long-lived and intangible assets, other contingencies and litigation, among others. The Company generally bases its estimates on historical experience, expected future conditions and third-party evaluations. The inputs into certain of these estimates and assumptions include the consideration of the impact of the COVID-19 pandemic and other macroeconomic factors. Actual results could differ materially from these estimates, and such differences could affect the operations reported in future periods.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demand deposit accounts, money market funds, and other temporary, highly liquid investments with original maturities of three months or less when 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equity securities consist of common stock in publicly traded companies and are carried at fair value with both the realized and unrealized gains and losses reported in "Other income (expense), net."  Fair values of publicly traded equity securities are determined using quoted prices in active markets. The marketable equity securities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Qorvo, Inc. and Subsidiaries </w:t>
        <w:br/>
        <w:t>Notes to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 short-term based on their highly liquid nature and are recorded in "Other current assets" in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limited partnerships which are accounted for using the equity method. These equity method investments are classified as "Long-term investments" in the Consolidated Balance Sheets. The Company records its share of the financial results of the limited partnerships in "Other income (expense), net" in the Company's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invests in privately held companies for which the fair value of the investment is not readily determinable. These equity investments without a readily determinable fair value are measured at cost less impairment, adjusted for any changes in observable prices, and are classified as "Long-term investments" in the Consolidated Balance Sheets. The Company assesses these investments for impairment on a quarterly basis and considers both qualitative and quantitative factors that may have a significant impact on the investee's fair value. Qualitative factors considered include the investee's financial condition and business outlook, market for technology and other relevant events and factors affecting the investee. Investments are impaired when their fair value is less than their carrying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financial assets and liabilities on a recurring basis. Fair value is the price that would be received to sell an asset or paid to transfer a liability in an orderly transaction between market participants at the measurement date. The Company categorizes its financial instruments carried at fair value into a three-level fair value hierarchy, based on the priority of inputs to the respective valuation technique. The three-level hierarchy for fair value measurement is described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 includes instruments for which inputs are quoted prices in active markets for identical assets or liabilities that the Company has the ability to access.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 includes instruments for which the inputs are other than quoted prices that are observable for the asset or liability, either directly or indirectly, and fair value can be determined through the use of models or other valuation methodologies that do not require significant judgment since the inputs are corroborated by readily observable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 includes instruments for which the valuations are based on inputs that are unobservable and significant to the overall fair value measurement. These inputs are supported by little or no market activity and reflect the use of significant management judgment.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holds assets whose fair value is measured and recorded on a nonrecurring basis. These assets include equity method investments, equity investments without a readily determinable fair value and certain non-financial assets, such as intangible assets and property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cash equivalents and restricted cash, accounts receivable, accounts payable and other accrued liabilities approximate fair values because of the relatively short-term maturities of these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Inventories are stated at the lower of cost or net realizable value (cost is based on standard cost, which approximates actual average cost). Cost includes labor, materials and manufacturing overhead related to the purchase and production of inventories. In accordance with Accounting Standards Codification ("ASC") 330, </w:t>
      </w:r>
      <w:r>
        <w:rPr>
          <w:rFonts w:ascii="Times New Roman;sans-serif" w:hAnsi="Times New Roman;sans-serif"/>
          <w:b w:val="false"/>
          <w:i/>
          <w:color w:val="000000"/>
          <w:sz w:val="20"/>
        </w:rPr>
        <w:t xml:space="preserve">"Inventory" </w:t>
      </w:r>
      <w:r>
        <w:rPr>
          <w:rFonts w:ascii="Times New Roman;sans-serif" w:hAnsi="Times New Roman;sans-serif"/>
          <w:b w:val="false"/>
          <w:color w:val="000000"/>
          <w:sz w:val="20"/>
        </w:rPr>
        <w:t>("ASC 330"), abnormal manufacturing costs are charged to "Cost of goods sold" in the period incurred rather than as a portion of inventory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is subject to the risk of technological and design changes. The Company evaluates inventory levels quarterly against demand forecasts on a material or product family basis to evaluate its overall inventory risk. Reserves are adjusted to reflect inventory values in excess of demand forecasts and management's analysis and assessment of overall inventory risk. In the event the Company sells inventory that had been covered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Qorvo, Inc. and Subsidiaries </w:t>
        <w:br/>
        <w:t>Notes to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a specific inventory reserve, the sale is recorded at the actual selling price and the related cost of goods sold is recorded at the full inventory cost, net of the reserve.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Product Warranty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sells products with a limited warranty against defects in materials and workmanship and non-conformance to applicable specifications. The majority of the Company’s product warranty claims are settled through the return of the defective product and the shipment of replacement product. Accruals are estimated based upon both historical experience as well as specifically identified claims. If there is a significant increase in the rate of customer claims compared with the Company's historical experience or if the Company's estimates of probable losses relating to specifically identified warranty exposures require revision, the Company may record a charge against future cost of sales. Product warranty accruals and related expenses were immaterial for the periods presented.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Depreciation of property and equipment is computed using the straight-line method over the estimated useful lives of the assets, ranging from one to 39 years. The Company capitalizes interest on borrowings related to eligible capital expenditures. Capitalized interest is added to the cost of qualified assets and depreciated together with that asset cost. The Company’s assets acquired under finance leases and leasehold improvements are amortized over the lesser of the asset life or lease term (which is reasonably assured) and included in depreciation. The Company records capital-related government grants earned as a reduction to property and equipment and depreciates such grants over the estimated useful lives of the associated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Right-of-use assets and lease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 The Company elected the practical expedient not to separate lease and non-lease components for substantially all of its classes of leases and to account for the combined lease and non-lease components as a single lease component.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Qorvo, Inc. and Subsidiaries </w:t>
        <w:br/>
        <w:t>Notes to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 the Company made an accounting policy election to exclude leases with an initial term of 12 months or less from the balance sheet.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allocates the fair value of the purchase price to the assets acquired and liabilities assumed based on their estimated fair value. The excess of the purchase price over the fair values of the identifiable assets and liabilities is recorded to goodwill. Goodwill is assigned to the Company's reporting unit that is expected to benefit from the synergies of the business combination.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assumptions, estimates and judgments are used in determining the fair value of acquired assets and liabilities, particularly with respect to the intangible assets acquired. The valuation of intangible assets requires the Company to use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uses its best estimates and assumptions to accurately value assets acquired and liabilities assumed at the acquisition date as well as contingent consideration, where applicable, the Company’s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After the measurement period, any purchase price adjustments are recognized in the Consolidated Statement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Impairment Testing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accordance with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("ASC 350"), goodwill is not amortized, but rather is reviewed for impairment at the reporting unit level on the first day of the Company's fourth quarter of each fiscal year, or when there is evidence that events or changes in circumstances indicate that the carrying amount of the goodwill may not be recovered.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350, the Company has the option to first assess qualitatively whether it is more likely than not that the fair value of a reporting unit is less than its carrying amount, including goodwill. In performing qualitative assessments, the Company considers (i) its overall historical and projected future operating results, (ii) if there was a significant decline in its stock price for a sustained period, (iii) if there was a significant change in its market capitalization relative to its net book value, and (iv) if there was a prolonged or more significant slowdown in the worldwide economy of the semiconductor industry, as well as other relevant events and factors affecting the reporting unit.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qualitative assessments conclude that it is more likely than not that the fair value of any reporting unit is less than its carrying value, quantitative assessments are performed on the applicable reporting units. The quantitative assessments consider both the income and market approaches to estimate the fair value of a reporting unit. The income approach is based on the discounted cash flow method that uses estimates of the reporting unit's forecasted future financial performance including revenue, operating expenses, taxes and capital expenditures. These estimates are developed as part of the Company's long-term planning process based on assumed market segment growth rates and its assumed market segment share, estimated costs based on historical data and various internal estimates. Projected cash flows are then discounted to a present value employing a discount rate that properly accounts for the estimated market weighted-average cost of capital, as well as any risk unique to the cash flows.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Qorvo, Inc. and Subsidiaries </w:t>
        <w:br/>
        <w:t>Notes to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approach is based on financial multiples (i.e., multiples of revenue or earnings before income taxes, depreciation and amortization) of comparable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6 for additional information regarding goodwill and intangible asset impairment testing.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Identified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amortizes definite-lived intangible assets (including developed technology, customer relationships, technology licenses, backlog and trade names) over their estimated useful lives. IPRD assets represent the fair value of incomplete R&amp;D projects that had not reached technological feasibility as of the date of the acquisition and are initially not subject to amortization. Upon completion of development, IPRD assets are transferred to developed technology and are amortized over their useful lives. The asset balances relating to abandoned projects are impaired and expensed to R&amp;D.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evaluates definite-lived intangible assets for impairment in accordance with ASC 360-10-35, "</w:t>
      </w:r>
      <w:r>
        <w:rPr>
          <w:rFonts w:ascii="Times New Roman;sans-serif" w:hAnsi="Times New Roman;sans-serif"/>
          <w:b w:val="false"/>
          <w:i/>
          <w:color w:val="000000"/>
          <w:sz w:val="20"/>
        </w:rPr>
        <w:t>Impairment or Disposal of Long-Lived Assets</w:t>
      </w:r>
      <w:r>
        <w:rPr>
          <w:rFonts w:ascii="Times New Roman;sans-serif" w:hAnsi="Times New Roman;sans-serif"/>
          <w:b w:val="false"/>
          <w:color w:val="000000"/>
          <w:sz w:val="20"/>
        </w:rPr>
        <w:t>" to determine whether facts and circumstances (including external factors such as industry and economic trends and internal factors such as changes in the Company’s business strategy and forecasts) indicate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less than 4% of overall revenue. The Company applies a five-step approach as defined in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and represents less than 7% of net revenue.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The Company reduces revenue and records reserves for product returns and allowances, rebate programs and scrap allowance based on historical experience or specific identification depending on the contractual terms of the arrangement.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Qorvo, Inc. and Subsidiaries </w:t>
        <w:br/>
        <w:t>Notes to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There have been no material impairment losses on accounts receivable for fiscal years 2023, 2022 or 2021. Contract assets and contract liabilities recorded on the Consolidated Balance Sheets were immaterial as of April 1, 2023 and April 2,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invoices customers upon shipment and recognizes revenue in accordance with delivery terms. As of April 1, 2023, the Company had $167.8 million in remaining unsatisfied performance obligations with an original duration greater than one year, of which the majority is expected to be recognized as income over the next 12 months.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includes shipping charges billed to customers in "Revenue" and includes the related shipping costs in "Cost of goods sold" in the Consolidated Statements of Income. Taxes assessed by government authorities on revenue-producing transactions, including tariffs, value-added and excise taxes, are excluded from revenue in the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incurs commission expense that is incremental to obtaining contracts with customers. Sales commissions (which are recorded in the "Selling, general and administrative" expense line item in the Consolidated Statements of Income) are expensed when incurred because such commissions are not owed until the performance obligation is satisfied, which coincides with the end of the contract term, and therefore, no remaining period exists over which to amortize the commissions.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charges all R&amp;D costs to expense as incurred.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Income Taxes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more-likely-than-not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is the Company’s current intent and policy to repatriate certain previously taxed earnings of foreign subsidiaries from outside the U.S. Accordingly, the Company recognizes a deferred tax liability for income taxes on certain unremitted foreign earnings of foreign subsidiaries. For earnings which remain permanently reinvested, it is not practical to estimate the additional tax that would be incurred, if any, if the permanently reinvested earnings were repatriated.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Under ASC 718, "</w:t>
      </w:r>
      <w:r>
        <w:rPr>
          <w:rFonts w:ascii="Times New Roman;sans-serif" w:hAnsi="Times New Roman;sans-serif"/>
          <w:b w:val="false"/>
          <w:i/>
          <w:color w:val="000000"/>
          <w:sz w:val="20"/>
        </w:rPr>
        <w:t>Compensation – Stock Compensation,</w:t>
      </w:r>
      <w:r>
        <w:rPr>
          <w:rFonts w:ascii="Times New Roman;sans-serif" w:hAnsi="Times New Roman;sans-serif"/>
          <w:b w:val="false"/>
          <w:color w:val="000000"/>
          <w:sz w:val="20"/>
        </w:rPr>
        <w:t>"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total remaining unearned compensation cost related to unvested restricted stock units was $137.6 million, which will be amortized over the weighted-average remaining service period of approximately 1.3 years.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Qorvo, Inc. and Subsidiaries </w:t>
        <w:br/>
        <w:t>Notes to Consolidated Financial Statements (continued)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Translation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financial statements of foreign subsidiaries have been translated into U.S. dollars in accordance with ASC 830, "</w:t>
      </w:r>
      <w:r>
        <w:rPr>
          <w:rFonts w:ascii="Times New Roman;sans-serif" w:hAnsi="Times New Roman;sans-serif"/>
          <w:b w:val="false"/>
          <w:i/>
          <w:color w:val="000000"/>
          <w:sz w:val="20"/>
        </w:rPr>
        <w:t>Foreign Currency Matters.</w:t>
      </w:r>
      <w:r>
        <w:rPr>
          <w:rFonts w:ascii="Times New Roman;sans-serif" w:hAnsi="Times New Roman;sans-serif"/>
          <w:b w:val="false"/>
          <w:color w:val="000000"/>
          <w:sz w:val="20"/>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 and expenses are translated using the weighted-average exchange rates throughout the year. Translation adjustments are shown separately as a component of "Accumulated other comprehensive (loss) income" within "Stockholders’ equity" in the Consolidated Balance Sheets.  Foreign currency transaction gains or losses (transactions denominated in a currency other than the functional currency) are reported in "Other income (expense), net" in the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Supplemental 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"Accrued liabilities" balance as of April 1, 2023 and April 2, 2022, includes accrued compensation and benefits of $92.9 million and $113.6 million, respectively, and accrued rebates of $42.8 million and $33.1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"Other current liabilities" balance as of April 1, 2023 includes income taxes payable of $63.6 million and contingent consideration related to the acquisition of United Silicon Carbide, Inc. ("United SiC") of $31.3 million. The "Other current liabilities" balances as of April 2, 2022 includes income taxes payable of $87.8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and Other Developments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November 2021, the Financial Accounting Standards Board issued Accounting Standards Update ("ASU") 2021-10, </w:t>
      </w:r>
      <w:r>
        <w:rPr>
          <w:rFonts w:ascii="Times New Roman;sans-serif" w:hAnsi="Times New Roman;sans-serif"/>
          <w:b w:val="false"/>
          <w:i/>
          <w:color w:val="000000"/>
          <w:sz w:val="20"/>
        </w:rPr>
        <w:t>"Government Assistance (Topic 832) - Disclosures by Business Entities about Government Assistance</w:t>
      </w:r>
      <w:r>
        <w:rPr>
          <w:rFonts w:ascii="Times New Roman;sans-serif" w:hAnsi="Times New Roman;sans-serif"/>
          <w:b w:val="false"/>
          <w:color w:val="000000"/>
          <w:sz w:val="20"/>
        </w:rPr>
        <w:t xml:space="preserve">" to increase transparency about certain government assistance or grants received by a business entity. This new guidance requires the disclosure of (1) the types of assistance, (2) an entity's accounting for the assistance, and (3) the effect of the assistance on an entity's financial statements. The Company adopted ASU 2021-10 on April 3,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receives cash grants and tax abatements from U.S. federal and state governments and non-U.S. governments which, in most cases, attach conditions for a specific duration period and generally relate to hiring employees, the construction or acquisition of assets or to developing specific technologies. If conditions are not satisfied, or the duration period for the agreement is infringed, the incentives are subject to reduction, termination, or recapture.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accounting policy is to recognize a benefit to the income statement over the duration of the program when the conditions, including the required spending attached to the incentive are achieved and the Company is expected to complete any further requirements. A grant that compensates for operational expenses is recognized as a reduction from the nature of the expense the grant is designated to offset. A grant related to property, plant and equipment investments is recognized as a reduction to the cost-basis of the underlying assets with an ongoing reduction to depreciation expense based on the useful lives of the related assets. During fiscal 2023, the Company received a nominal amount related to these programs.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Creating Helpful Incentives to Produce Semiconductors and Science Act (the "CHIPS Act") was signed into law. The CHIPS Act provides for a 25% refundable tax credit on certain investments in domestic semiconductor manufacturing. The credit is provided for qualifying property, which is placed in service after December 31, 2022. The CHIPS Act also provides for certain other financial incentives to further investments in domestic semiconductor manufacturing. The Company is evaluating the provisions of the new law and its potential impact to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Inflation Reduction Act (the "IRA") was signed into law. The IRA establishes a new book minimum tax of 15% on consolidated adjusted GAAP pre-tax earnings for corporations with average income in excess of $1 billion and is effective for tax years beginning after December 31, 2022. In addition, the IRA also introduced a nondeductible 1% excise tax on a publicly traded corporation for the net value of certain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Qorvo, Inc. and Subsidiaries </w:t>
        <w:br/>
        <w:t>Notes to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repurchases during the tax year (effective for repurchases after December 31, 2022). In the fourth quarter of fiscal 2023, the Company's calculated excise tax was immaterial and was recognized as part of the cost basis of shares acquired in the Consolidated Statement of Stockholders' Equity.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CONCENTRATIONS OF CREDIT RISK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Company's trade receivables are evaluated on a collective (pool) basis and aggregated on the basis of similar risk characteristics, adjusting for broad-based economic indicators as well as customer specific factors. The Company has adopted credit policies and standards intended to accommodate industry growth and inherent risk and it believes that credit risks are moderated by the financial stability of its major customers, conservative payment terms and the Company’s strict credit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products to its largest end customer, Apple Inc., through sales to multiple contract manufacturers, which in the aggregate accounted for approximately 37%, 33% and 30% of total revenue in fiscal years 2023, 2022 and 2021, respectively. Samsung Electronics Co., Ltd., accounted for approximately 12%, 11% and 7% of total revenue in fiscal years 2023, 2022 and 2021, respectively. These customers primarily purchase radio frequency ("RF") solutions for a variety of mobile devices from the Company's ACG segment.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three largest accounts receivable balances comprised approximately 54% and 57% of aggregate gross accounts receivable as of April 1, 2023 and April 2,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shd w:fill="FFFFFF" w:val="clear"/>
        </w:rPr>
        <w:t>3.</w:t>
      </w:r>
      <w:r>
        <w:rPr>
          <w:color w:val="000000"/>
        </w:rPr>
        <w:t>    </w:t>
      </w:r>
      <w:r>
        <w:rPr>
          <w:rFonts w:ascii="Times New Roman;sans-serif" w:hAnsi="Times New Roman;sans-serif"/>
          <w:b/>
          <w:color w:val="000000"/>
          <w:sz w:val="20"/>
        </w:rPr>
        <w:t>INVENTORIES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inventories, net of reserves, are as follows (in thousands): </w:t>
      </w:r>
    </w:p>
    <w:tbl>
      <w:tblPr>
        <w:tblW w:w="4178"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755,748 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shd w:fill="FFFFFF" w:val="clear"/>
        </w:rPr>
        <w:t>4.</w:t>
      </w:r>
      <w:r>
        <w:rPr>
          <w:color w:val="000000"/>
        </w:rPr>
        <w:t>    </w:t>
      </w:r>
      <w:r>
        <w:rPr>
          <w:rFonts w:ascii="Times New Roman;sans-serif" w:hAnsi="Times New Roman;sans-serif"/>
          <w:b/>
          <w:color w:val="000000"/>
          <w:sz w:val="20"/>
        </w:rPr>
        <w:t>PROPERTY AND EQUIPMENT</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property and equipment are as follows (in thousands):</w:t>
      </w:r>
    </w:p>
    <w:tbl>
      <w:tblPr>
        <w:tblW w:w="6189" w:type="dxa"/>
        <w:jc w:val="left"/>
        <w:tblInd w:w="0" w:type="dxa"/>
        <w:tblLayout w:type="fixed"/>
        <w:tblCellMar>
          <w:top w:w="28" w:type="dxa"/>
          <w:left w:w="28" w:type="dxa"/>
          <w:bottom w:w="28" w:type="dxa"/>
          <w:right w:w="28" w:type="dxa"/>
        </w:tblCellMar>
      </w:tblPr>
      <w:tblGrid>
        <w:gridCol w:w="1168"/>
        <w:gridCol w:w="1023"/>
        <w:gridCol w:w="1034"/>
        <w:gridCol w:w="211"/>
        <w:gridCol w:w="976"/>
        <w:gridCol w:w="109"/>
        <w:gridCol w:w="109"/>
        <w:gridCol w:w="109"/>
        <w:gridCol w:w="109"/>
        <w:gridCol w:w="211"/>
        <w:gridCol w:w="97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5.    BUSINESS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2022, the Company completed the acquisitions of United SiC and NextInput, Inc. ("NextInput"). During fiscal 2021, the Company completed the acquisition of 7Hugs Labs S.A.S. ("7Hugs"). The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resulting from these acquisitions is attributed to synergies and other benefits that are generated from these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these companies, which were not material either individually or in the aggregate, have been included in the Company's consolidated financial statements as of the acquisition dates. As a result, pro forma results of operations for these acquisitions have not been presented.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United Silicon Carbide,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19, 2021, the Company acquired all the outstanding equity interests of United SiC, a leading manufacturer of silicon carbide ("SiC") power semiconductors, for a total purchase price of $236.7 million. The acquisition expanded the Company's offerings to include SiC power products for a range of applications such as electric vehicles, battery charging, IT infrastructure, renewables and circuit protection.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comprised cash consideration of $227.2 million and contingent consideration of up to $31.3 million which is to be paid to the sellers during the first quarter of fiscal 2024 (in accordance with the terms of the acquisition agreement) due to the achievement of certain revenue and gross margin targets over the period beginning on the acquisition date through December 31, 2022. The estimated fair value of the contingent consideration liability was $9.5 million as of the acquisition date. At April 2, 2022, the contingent consideration liability was remeasured to a fair value of $17.6 million and is included in "Other long-term liabilities" in the Consolidated Balance Sheet. The maximum contingent consideration of $31.3 million has been earned and is included in "Other current liabilities" in the Consolidated Balance Sheet as of April 1, 2023, with the increase in fair value recognized in "Other operating expense" in the Consolidated Statement of Income. Refer to Note 7 for further information related to the fair value measurement.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During </w:t>
      </w:r>
      <w:r>
        <w:rPr>
          <w:rFonts w:ascii="Times New Roman;sans-serif" w:hAnsi="Times New Roman;sans-serif"/>
          <w:b w:val="false"/>
          <w:color w:val="000000"/>
          <w:sz w:val="20"/>
        </w:rPr>
        <w:t>fiscal years 2023 and 2022, the Company recorded acquisition and integration related costs associated with the acquisition of United SiC totaling $14.6 million and $12.2 million, respectively, in "Other operating expense" in the Consolidated Statements of Income. During fiscal 2022, the Company also recorded $3.6 million of acquisition and integration related costs in "Cost of goods sold" in the Consolidated Statement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NextInput,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5, 2021, the Company acquired all the outstanding equity interests of NextInput, a leader in microelectromechanical system ("MEMS")-based sensing solutions, for a total cash purchase price of $173.3 million. The acquisition expanded the Company's offerings of MEMS-based products for mobile applications, providing sensing solutions for a broad range of applications in other markets.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During </w:t>
      </w:r>
      <w:r>
        <w:rPr>
          <w:rFonts w:ascii="Times New Roman;sans-serif" w:hAnsi="Times New Roman;sans-serif"/>
          <w:b w:val="false"/>
          <w:color w:val="000000"/>
          <w:sz w:val="20"/>
        </w:rPr>
        <w:t>fiscal years 2023, 2022 and 2021, the Company recorded acquisition and integration related costs associated with the acquisition of NextInput totaling $2.1 million, $2.7 million and $1.8 million, respectively, in "Other operating expense" in the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fiscal 2022 annual qualitative goodwill impairment assessment, it was determined that the market adoption of the acquired NextInput technology into mobile handsets was expected to be delayed compared to the previous assumptions. As a result, the Company completed a quantitative assessment of its reporting unit, which resulted in a goodwill impairment charge of $48.0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7Hugs Labs S.A.S.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fiscal 2021, the Company acquired all the outstanding equity interests of 7Hugs, a private developer of ultra</w:t>
      </w:r>
      <w:r>
        <w:rPr>
          <w:rFonts w:ascii="Times New Roman;sans-serif" w:hAnsi="Times New Roman;sans-serif"/>
          <w:b/>
          <w:color w:val="000000"/>
          <w:sz w:val="20"/>
        </w:rPr>
        <w:t>-</w:t>
      </w:r>
      <w:r>
        <w:rPr>
          <w:rFonts w:ascii="Times New Roman;sans-serif" w:hAnsi="Times New Roman;sans-serif"/>
          <w:b w:val="false"/>
          <w:color w:val="000000"/>
          <w:sz w:val="20"/>
        </w:rPr>
        <w:t>wideband ("UWB") software and solutions, for a total cash purchase price of $48.7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2023, 2022 and 2021, the Company recorded acquisition and integration related costs associated with the acquisition of 7Hugs totaling $0.1 million, $0.2 million and $2.4 million, respectively, in "Other operating expense" in the Consolidated Statements of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additional acquisition and integration related costs in fiscal years 2023, 2022 and 2021 of $4.1 million, $7.0 million and $23.1 million, respectively, resulting from businesses acquired in fiscal 2020. These costs, which primarily relate to ongoing compensation arrangements, are included in "Other operating expense" in the Consolidated Statements of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GOODWILL AND INTANGIBLE ASSETS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fiscal 2023 are as follows (in thousands):</w:t>
      </w:r>
    </w:p>
    <w:tbl>
      <w:tblPr>
        <w:tblW w:w="10205" w:type="dxa"/>
        <w:jc w:val="center"/>
        <w:tblInd w:w="0" w:type="dxa"/>
        <w:tblLayout w:type="fixed"/>
        <w:tblCellMar>
          <w:top w:w="28" w:type="dxa"/>
          <w:left w:w="28" w:type="dxa"/>
          <w:bottom w:w="28" w:type="dxa"/>
          <w:right w:w="28" w:type="dxa"/>
        </w:tblCellMar>
      </w:tblPr>
      <w:tblGrid>
        <w:gridCol w:w="1559"/>
        <w:gridCol w:w="1362"/>
        <w:gridCol w:w="137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5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Balance as of April 2, 2022</w:t>
            </w:r>
            <w:r>
              <w:rPr>
                <w:color w:val="000000"/>
              </w:rPr>
              <w:t xml:space="preserve"> </w:t>
            </w:r>
            <w:r>
              <w:rPr>
                <w:rFonts w:ascii="Times New Roman;sans-serif" w:hAnsi="Times New Roman;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2,775,634 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NextInput measurement period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SiC measurement period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changes in foreign currency exchange rates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Balance as of April 1, 2023</w:t>
            </w:r>
            <w:r>
              <w:rPr>
                <w:rFonts w:ascii="Times New Roman;sans-serif" w:hAnsi="Times New Roman;sans-serif"/>
                <w:b w:val="false"/>
                <w:color w:val="000000"/>
                <w:sz w:val="12"/>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2,760,813 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The Company’s goodwill balance is presented net of accumulated impairment losses and write-offs totaling $682.0 million and $669.6 million as of April 1, 2023 and April 2, 2022, respectively, which were recognized in fiscal years 2009, 2013, 2014 2022 and 2023. </w:t>
      </w:r>
    </w:p>
    <w:p>
      <w:pPr>
        <w:pStyle w:val="TextBody"/>
        <w:bidi w:val="0"/>
        <w:spacing w:before="0" w:after="0"/>
        <w:ind w:left="0" w:right="0" w:hanging="9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2023, the Company updated its organizational structure to more closely align technologies and applications with customers and end markets. Prior to the Reorganization ("Pre-Reorganization"), the Company operated under two segments with a total of five reporting units and subsequent to the Reorganization ("Post-Reorganization"), it is operating under three segments with a total of eight reporting units. In accordance with ASC 350, quantitative impairment assessments on each reporting unit were performed immediately before and after the change in organizational structure.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Pre-Reorganization quantitative assessment performed on July 2, 2022, management concluded there was no goodwill impairment. Based on the Post-Reorganization quantitative analysis performed on July 3, 2022 (the "Quantitative Analysis"), it was determined the fair value of five of the eight reporting units significantly exceeded their carrying values. Therefore, for the annual goodwill impairment assessment that was performed as of January 1, 2023, the Company opted to perform a qualitative impairment assessment for the goodwill related to these five reporting units. The Company concluded based on the relevant facts and circumstances, including the Quantitative Analysis performed, it was more likely than not that the fair value of each of these reporting units exceeded their related carrying value and no further impairment testing was required. In addition, based on the Quantitative Analysis, it was determined the fair value of three of the eight reporting units did not significantly exceed their carrying values. Therefore, the Company performed additional quantitative analyses on two of these reporting units and concluded that based on the relevant facts and circumstances, it was more likely than not that the fair value of each of these reporting units exceeded their related carrying value and no further impairment testing was required.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ongoing efforts to focus on growth drivers and key markets and to streamline operations, in the fourth quarter of fiscal 2023, the Company began to seek strategic alternatives for the third reporting unit (the Company's non-core biotechnology business). Given the future funding requirements necessary to further develop its diagnostic testing solutions and achieve the desired results, the Company decided not to invest further in this business. Therefore, the Company determined that there was a more-likely-than-not expectation of selling or disposing of all, or a portion, of this reporting unit, and impairment testing was triggered. An evaluation of the asset group within this reporting unit was performed which resulted in an impairment of equipment and inventory (refer to Note 12 for additional information). Based on these facts and circumstances, the Company determined the carrying value exceeded the fair value of this reporting unit which resulted in a goodwill impairment charge of $12.4 million (representing the entire goodwill assigned to this reporting unit).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2022, the Company recorded a goodwill impairment charge of $48.0 million related to its NextInput business. This charge in recorded in "Other operating expense" in the fiscal 2022 Consolidated Statement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information regarding the gross carrying amounts and accumulated amortization of intangible assets (in thousands):</w:t>
      </w:r>
    </w:p>
    <w:tbl>
      <w:tblPr>
        <w:tblW w:w="7800" w:type="dxa"/>
        <w:jc w:val="left"/>
        <w:tblInd w:w="0" w:type="dxa"/>
        <w:tblLayout w:type="fixed"/>
        <w:tblCellMar>
          <w:top w:w="28" w:type="dxa"/>
          <w:left w:w="28" w:type="dxa"/>
          <w:bottom w:w="28" w:type="dxa"/>
          <w:right w:w="28" w:type="dxa"/>
        </w:tblCellMar>
      </w:tblPr>
      <w:tblGrid>
        <w:gridCol w:w="740"/>
        <w:gridCol w:w="648"/>
        <w:gridCol w:w="65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74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technology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licenses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names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IPRD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N/A </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Amounts include the impact of foreign currency translation.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No definite-lived intangible asset impairment charges were recorded for fiscal years 2023 or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amortization expense was $132.4 million, $150.5 million and $252.9 million in fiscal years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estimated amortization expense for intangible assets for the periods indicated (in thousands):</w:t>
      </w:r>
    </w:p>
    <w:tbl>
      <w:tblPr>
        <w:tblW w:w="2181" w:type="dxa"/>
        <w:jc w:val="left"/>
        <w:tblInd w:w="0" w:type="dxa"/>
        <w:tblLayout w:type="fixed"/>
        <w:tblCellMar>
          <w:top w:w="28" w:type="dxa"/>
          <w:left w:w="28" w:type="dxa"/>
          <w:bottom w:w="28" w:type="dxa"/>
          <w:right w:w="28" w:type="dxa"/>
        </w:tblCellMar>
      </w:tblPr>
      <w:tblGrid>
        <w:gridCol w:w="359"/>
        <w:gridCol w:w="315"/>
        <w:gridCol w:w="316"/>
        <w:gridCol w:w="211"/>
        <w:gridCol w:w="82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Fiscal Year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Amortization</w:t>
              <w:br/>
              <w:t>Expense</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INVESTMENTS AND FAIR VALUE OF FINANCIAL INSTRUMENTS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limited partnerships and accounts for these investments using the equity method. The carrying amounts of these investments as of April 1, 2023 and April 2, 2022 were $20.4 million and $27.1 million, respectively, and are classified as "Long-term investments" in the Consolidated Balance Sheets. During fiscal years 2023, 2022 and 2021, the Company recorded a loss of $4.2 million and income of $12.0 million and $21.5 million, respectively, based on its share of the limited partnerships' earnings in "Other income (expense), net" in the Consolidated Statements of Income. The Company received cash distributions totaling $2.5 million, $14.8 million and $5.9 million during fiscal years 2023, 2022 and 2021, respectively. The cash distributions were recognized as reductions to the carrying value of the investments and included in the cash flows from investing activities in the Consolidated Statements of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financial assets and liabilities measured on a recurring basis (in thousands):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1"/>
        <w:gridCol w:w="387"/>
        <w:gridCol w:w="387"/>
        <w:gridCol w:w="387"/>
        <w:gridCol w:w="387"/>
        <w:gridCol w:w="387"/>
        <w:gridCol w:w="387"/>
        <w:gridCol w:w="387"/>
        <w:gridCol w:w="390"/>
        <w:gridCol w:w="211"/>
        <w:gridCol w:w="616"/>
        <w:gridCol w:w="109"/>
        <w:gridCol w:w="109"/>
        <w:gridCol w:w="109"/>
        <w:gridCol w:w="109"/>
        <w:gridCol w:w="345"/>
        <w:gridCol w:w="1007"/>
        <w:gridCol w:w="179"/>
        <w:gridCol w:w="109"/>
        <w:gridCol w:w="109"/>
        <w:gridCol w:w="109"/>
        <w:gridCol w:w="390"/>
        <w:gridCol w:w="751"/>
        <w:gridCol w:w="203"/>
        <w:gridCol w:w="109"/>
        <w:gridCol w:w="109"/>
        <w:gridCol w:w="109"/>
        <w:gridCol w:w="318"/>
        <w:gridCol w:w="612"/>
        <w:gridCol w:w="166"/>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Active 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1, 2023</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Invested funds in deferred compensation plan </w:t>
            </w:r>
            <w:r>
              <w:rPr>
                <w:rFonts w:ascii="Times New Roman;sans-serif" w:hAnsi="Times New Roman;sans-serif"/>
                <w:b w:val="false"/>
                <w:color w:val="000000"/>
                <w:sz w:val="10"/>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Contingent earn-out liability </w:t>
            </w:r>
            <w:r>
              <w:rPr>
                <w:rFonts w:ascii="Times New Roman;sans-serif" w:hAnsi="Times New Roman;sans-serif"/>
                <w:b w:val="false"/>
                <w:color w:val="000000"/>
                <w:sz w:val="10"/>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2, 2022</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Invested funds in deferred compensation plan </w:t>
            </w:r>
            <w:r>
              <w:rPr>
                <w:rFonts w:ascii="Times New Roman;sans-serif" w:hAnsi="Times New Roman;sans-serif"/>
                <w:b w:val="false"/>
                <w:color w:val="000000"/>
                <w:sz w:val="10"/>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Contingent earn-out liability </w:t>
            </w:r>
            <w:r>
              <w:rPr>
                <w:rFonts w:ascii="Times New Roman;sans-serif" w:hAnsi="Times New Roman;sans-serif"/>
                <w:b w:val="false"/>
                <w:color w:val="000000"/>
                <w:sz w:val="10"/>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Invested funds under the Company's non-qualified deferred compensation plan are held in a rabbi trust and consist of mutual funds. The fair value of the mutual funds is calculated using the net asset value per share as determined by quoted active market prices of the underlying investments. Refer to Note 10 for further information on the Company's non-qualified deferred compensation plan.</w:t>
      </w:r>
    </w:p>
    <w:p>
      <w:pPr>
        <w:pStyle w:val="TextBody"/>
        <w:bidi w:val="0"/>
        <w:spacing w:lineRule="auto" w:line="288" w:before="100" w:after="283"/>
        <w:jc w:val="left"/>
        <w:rPr/>
      </w:pPr>
      <w:r>
        <w:rPr>
          <w:rFonts w:ascii="Times New Roman;sans-serif" w:hAnsi="Times New Roman;sans-serif"/>
          <w:b w:val="false"/>
          <w:color w:val="000000"/>
          <w:sz w:val="18"/>
        </w:rPr>
        <w:t xml:space="preserve">(2) The fair value of the contingent consideration liability which related to the acquisition of United SiC (refer to Note </w:t>
      </w:r>
      <w:r>
        <w:rPr>
          <w:rFonts w:ascii="Times New Roman;sans-serif" w:hAnsi="Times New Roman;sans-serif"/>
          <w:b w:val="false"/>
          <w:color w:val="000000"/>
          <w:sz w:val="20"/>
        </w:rPr>
        <w:t>5</w:t>
      </w:r>
      <w:r>
        <w:rPr>
          <w:rFonts w:ascii="Times New Roman;sans-serif" w:hAnsi="Times New Roman;sans-serif"/>
          <w:b w:val="false"/>
          <w:color w:val="000000"/>
          <w:sz w:val="18"/>
        </w:rPr>
        <w:t>) was equal to the maximum amount payable at April 1, 2023 and was estimated using an option pricing model at April 2,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are classified as follows (in thousands):</w:t>
      </w:r>
    </w:p>
    <w:tbl>
      <w:tblPr>
        <w:tblW w:w="4736" w:type="dxa"/>
        <w:jc w:val="left"/>
        <w:tblInd w:w="0" w:type="dxa"/>
        <w:tblLayout w:type="fixed"/>
        <w:tblCellMar>
          <w:top w:w="28" w:type="dxa"/>
          <w:left w:w="28" w:type="dxa"/>
          <w:bottom w:w="28" w:type="dxa"/>
          <w:right w:w="28" w:type="dxa"/>
        </w:tblCellMar>
      </w:tblPr>
      <w:tblGrid>
        <w:gridCol w:w="809"/>
        <w:gridCol w:w="711"/>
        <w:gridCol w:w="715"/>
        <w:gridCol w:w="216"/>
        <w:gridCol w:w="738"/>
        <w:gridCol w:w="111"/>
        <w:gridCol w:w="109"/>
        <w:gridCol w:w="109"/>
        <w:gridCol w:w="109"/>
        <w:gridCol w:w="215"/>
        <w:gridCol w:w="737"/>
        <w:gridCol w:w="157"/>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operating leases are as follows (in thousands):</w:t>
      </w:r>
    </w:p>
    <w:tbl>
      <w:tblPr>
        <w:tblW w:w="10205" w:type="dxa"/>
        <w:jc w:val="left"/>
        <w:tblInd w:w="0" w:type="dxa"/>
        <w:tblLayout w:type="fixed"/>
        <w:tblCellMar>
          <w:top w:w="28" w:type="dxa"/>
          <w:left w:w="28" w:type="dxa"/>
          <w:bottom w:w="28" w:type="dxa"/>
          <w:right w:w="28" w:type="dxa"/>
        </w:tblCellMar>
      </w:tblPr>
      <w:tblGrid>
        <w:gridCol w:w="2318"/>
        <w:gridCol w:w="2025"/>
        <w:gridCol w:w="2038"/>
        <w:gridCol w:w="211"/>
        <w:gridCol w:w="721"/>
        <w:gridCol w:w="109"/>
        <w:gridCol w:w="109"/>
        <w:gridCol w:w="109"/>
        <w:gridCol w:w="109"/>
        <w:gridCol w:w="211"/>
        <w:gridCol w:w="721"/>
        <w:gridCol w:w="109"/>
        <w:gridCol w:w="109"/>
        <w:gridCol w:w="109"/>
        <w:gridCol w:w="109"/>
        <w:gridCol w:w="211"/>
        <w:gridCol w:w="721"/>
        <w:gridCol w:w="156"/>
      </w:tblGrid>
      <w:tr>
        <w:trPr/>
        <w:tc>
          <w:tcPr>
            <w:tcW w:w="2318"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and weighted-average discount rate for operating leases are as follows:</w:t>
      </w:r>
    </w:p>
    <w:tbl>
      <w:tblPr>
        <w:tblW w:w="6556" w:type="dxa"/>
        <w:jc w:val="left"/>
        <w:tblInd w:w="0" w:type="dxa"/>
        <w:tblLayout w:type="fixed"/>
        <w:tblCellMar>
          <w:top w:w="28" w:type="dxa"/>
          <w:left w:w="28" w:type="dxa"/>
          <w:bottom w:w="28" w:type="dxa"/>
          <w:right w:w="28" w:type="dxa"/>
        </w:tblCellMar>
      </w:tblPr>
      <w:tblGrid>
        <w:gridCol w:w="1435"/>
        <w:gridCol w:w="1260"/>
        <w:gridCol w:w="1265"/>
        <w:gridCol w:w="255"/>
        <w:gridCol w:w="256"/>
        <w:gridCol w:w="590"/>
        <w:gridCol w:w="109"/>
        <w:gridCol w:w="109"/>
        <w:gridCol w:w="109"/>
        <w:gridCol w:w="255"/>
        <w:gridCol w:w="256"/>
        <w:gridCol w:w="657"/>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remaining lease term (years) </w:t>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discount rate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operating leases as of April 1, 2023 are as follows (in thousands):</w:t>
      </w:r>
    </w:p>
    <w:tbl>
      <w:tblPr>
        <w:tblW w:w="3989" w:type="dxa"/>
        <w:jc w:val="left"/>
        <w:tblInd w:w="0" w:type="dxa"/>
        <w:tblLayout w:type="fixed"/>
        <w:tblCellMar>
          <w:top w:w="28" w:type="dxa"/>
          <w:left w:w="28" w:type="dxa"/>
          <w:bottom w:w="28" w:type="dxa"/>
          <w:right w:w="28" w:type="dxa"/>
        </w:tblCellMar>
      </w:tblPr>
      <w:tblGrid>
        <w:gridCol w:w="970"/>
        <w:gridCol w:w="851"/>
        <w:gridCol w:w="863"/>
        <w:gridCol w:w="253"/>
        <w:gridCol w:w="867"/>
        <w:gridCol w:w="185"/>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Year</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Payments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is as follows (in thousands):</w:t>
      </w:r>
    </w:p>
    <w:tbl>
      <w:tblPr>
        <w:tblW w:w="7678" w:type="dxa"/>
        <w:jc w:val="left"/>
        <w:tblInd w:w="0" w:type="dxa"/>
        <w:tblLayout w:type="fixed"/>
        <w:tblCellMar>
          <w:top w:w="28" w:type="dxa"/>
          <w:left w:w="28" w:type="dxa"/>
          <w:bottom w:w="28" w:type="dxa"/>
          <w:right w:w="28" w:type="dxa"/>
        </w:tblCellMar>
      </w:tblPr>
      <w:tblGrid>
        <w:gridCol w:w="1668"/>
        <w:gridCol w:w="1466"/>
        <w:gridCol w:w="1471"/>
        <w:gridCol w:w="211"/>
        <w:gridCol w:w="976"/>
        <w:gridCol w:w="109"/>
        <w:gridCol w:w="109"/>
        <w:gridCol w:w="109"/>
        <w:gridCol w:w="109"/>
        <w:gridCol w:w="211"/>
        <w:gridCol w:w="976"/>
        <w:gridCol w:w="109"/>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1.750% senior notes due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4.375%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3.375% senior notes due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discount and issuance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Company and certain of its U.S. subsidiaries (the "Guarantors") entered into a five-year unsecured senior credit 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that was fully repaid in fiscal 2022. The Revolving Facility is available to finance working capital, capital expenditures and other general corporate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Credit Agreement, the Company may request one or more additional tranches of term loans or increases to the Revolving Facility, up to an aggregate of $500.0 million and subject to, among other things, securing additional funding commitments from the existing or new lenders.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2022, the Company and the administrative agent entered into an amendment to the Credit Agreement (the "LIBOR Transition Amendment") to replace the London Interbank Offered Rate as a reference rate available for use in the computation of interest under the Credit Agreement. As a result of the LIBOR Transition Amendment, at the Company’s option, loans under the Credit Agreement will bear interest at (i) the Applicable Rate (as defined in the Credit Agreement) plus the Term SOFR (as defined in the Credit Agreement) or (ii) the Applicable Rate plus a rate equal to the highest of (a) the federal funds rate plus 0.50%, (b) the prime rate as set by the administrative agent, and (c) the Term SOFR plus 1.0% (the "Base Rate"). All swing line loans will bear interest at a rate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Rate plus the Base Rate. The Term SOFR is the rate per annum equal to the forward-looking Secured Overnight Financing Rate term rate for interest periods of one, three or six months (as selected by the Company) plus an adjustment (as defined in the Credit Agreement). The Applicable Rate for Term SOFR loans ranges from 1.000% per annum to 1.250% per annum, and the Applicable Rate for Base Rate loans ranges from 0.000% per annum to 0.250% per annum. Undrawn amounts under the Revolving Facility are subject to a commitment fee ranging from 0.150% to 0.200%.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2023 and 2022, there were no borrowings under the Revolving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various conditions, covenants and representations with which the Company must be in compliance in order to borrow funds and to avoid an event of default. As of April 1, 2023, the Company was in compliance with these covenants.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Notes due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December 14, 2021, the Company issued $500.0 million aggregate principal amount of its 1.750% senior notes due 2024 (the "2024 Notes"). The 2024 Notes will mature on December 15, 2024, unless earlier redeemed in accordance with their terms. The 2024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2024 Notes were issued pursuant to an indenture, dated as of December 14, 2021 (the "2021 Indenture"), by and among the Company, the Guarantors and</w:t>
      </w:r>
      <w:r>
        <w:rPr>
          <w:color w:val="000000"/>
        </w:rPr>
        <w:t xml:space="preserve"> </w:t>
      </w:r>
      <w:r>
        <w:rPr>
          <w:rFonts w:ascii="Times New Roman;sans-serif" w:hAnsi="Times New Roman;sans-serif"/>
          <w:b w:val="false"/>
          <w:color w:val="000000"/>
          <w:sz w:val="20"/>
        </w:rPr>
        <w:t xml:space="preserve">Computershare Trust Company, N.A., as trustee. </w:t>
      </w:r>
      <w:r>
        <w:rPr>
          <w:rFonts w:ascii="Times New Roman;sans-serif" w:hAnsi="Times New Roman;sans-serif"/>
          <w:b w:val="false"/>
          <w:color w:val="000000"/>
          <w:sz w:val="20"/>
          <w:shd w:fill="FFFFFF" w:val="clear"/>
        </w:rPr>
        <w:t>The 2021 Indenture contains customary events of default, including payment default, exchange default, failure to provide certain notices thereunder and certain provisions related to bankruptcy events. The 2021 Indenture also contains customary negative covenants.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2024 Notes have not been registered under the Securities Act of 1933, as amended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2024 Notes, the Company entered into a Registration Rights Agreement, dated as of December 14, 2021 (the "Registration Rights Agreement"), by and among the Company and the Guarantors, on the one hand, and BofA Securities, Inc., as representative of the initial purchasers of the 2024 Notes, on the other hand.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Registration Rights Agreement, the Company and the Guarantors have agreed to use their commercially reasonable efforts to (i) file with the SEC a registration statement (the "Exchange Offer Registration Statement") relating to the registered exchange offer (the "Exchange Offer") to exchange the 2024 Notes for a new series of the Company’s exchange notes having terms substantially identical in all material respects to, and in the same aggregate principal amount as, the 2024 Notes; (ii) cause the Exchange Offer Registration Statement to be declared effective by the SEC; and (iii) cause the Exchange Offer to be consummated no later than the 720th day after December 14, 2021 (or if such 720th day is not a business day, the next succeeding business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the Company and the Guarantors have agreed to use their commercially reasonable efforts to (i) file a shelf registration statement relating to the resale of the 2024 Notes as promptly as practicable, and (ii) cause the shelf registration statement to be declared effective by the SEC as promptly as practicable.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fails to meet any of these targets, the annual interest rate on the 2024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2024 Notes will revert to the original level.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Interest is payable on the 2024 Notes on June 15 and December 15 of each year. Interest paid on the 2024 Notes during fiscal 2023 was </w:t>
      </w:r>
      <w:r>
        <w:rPr>
          <w:rFonts w:ascii="Times New Roman;sans-serif" w:hAnsi="Times New Roman;sans-serif"/>
          <w:b w:val="false"/>
          <w:color w:val="000000"/>
          <w:sz w:val="20"/>
        </w:rPr>
        <w:t>$8.8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 due 2029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October 15, 2024, the Company may redeem all or part of the 2029 Notes, at a redemption price equal to 100% of their principal amount, plus a "make whole" premium as of the redemption date, and accrued and unpaid interest. In addition, at any time prior to October 15, 2024, the Company may redeem up to 35% of the original aggregate principal amount of the 2029 Notes with the proceeds of one or more equity offerings, at a redemption price equal to 104.375%, plus accrued and unpaid interest. Furthermore, at any time on or after October 15, 2024, the Company may redeem the 2029 Notes, in whole or in part, at the redemption prices specified in the 2019 Indenture, plus accrued and unpaid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is payable on the 2029 Notes on April 15 and October 15 of each year. Interest paid on the 2029 Notes during fiscal years 2023, 2022 and 2021 was $37.2 million, $37.2 million and $31.6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 due 2031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2021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April 1, 2026, the Company may redeem all or part of the 2031 Notes, at a redemption price equal to 100% of their principal amount, plus a "make whole" premium as of the redemption date, and accrued and unpaid interest. In addition, at any time prior to April 1, 2026, the Company may redeem up to 40% of the original aggregate principal amount of the 2031 Notes with the proceeds of one or more equity offerings, at a redemption price equal to 103.375%, plus accrued and unpaid interest. Furthermore, at any time on or after April 1, 2026, the Company may redeem the 2031 Notes, in whole or in part, at the redemption prices specified in the 2020 Indenture, plus accrued and unpaid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2031 Notes have not been and will not be registered under the Securities Act, or any state securities laws, and may not be offered or sold in the United States absent an applicable exemption from the registration requirements of the Securities Act and applicable state securities laws.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is payable on the 2031 Notes on April 1 and October 1 of each year. Interest paid on the 2031 Notes during fiscal years 2023, 2022 and 2021 was $23.6 million, $23.6 million and $11.9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 due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 2020, the Company redeemed the remaining $23.4 million principal amount of its 7.00% senior notes due December 1, 2025 (the "2025 Notes") using cash on hand, at a redemption price equal to 103.50% of the principal amount, plus accrued and unpaid interest.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on the 2025 Notes during fiscal 2021 was $1.6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 due 2026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2020, the Company redeemed the $900.0 million aggregate principal amount of its 5.50% senior notes due July 15, 2026 (the "2026 Notes") at a redemption price equal to 106.363% of the $900.0 million principal amount, plus accrued and unpaid interest. The 2026 Notes were redeemed using proceeds from the issuance of the 2031 Notes combined with cash on hand plus borrowings under a term loan. In connection with the redemption, the Company recognized a loss on debt extinguishment of $61.0 million as "Other (expense) income, net" in the fiscal 2021 Consolidated Statement of Income. The loss on debt extinguishment consisted of a $57.3 million redemption premium and a $3.7 million net write-off of unamortized debt issuance costs and bond premium. The primary purpose of the redemption was to reduce future interest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on the 2026 Notes during fiscal 2021 was $37.3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is carried at amortized cost and is measured at fair value quarterly for disclosure purposes. The estimated fair value of the 2024 Notes, the 2029 Notes and the 2031 Notes as of April 1, 2023 was $464.2 million, $785.9 million and $565.3 million, respectively (compared to the outstanding principal amount of $500.0 million, $850.0 million and $700.0 million, respectively). The estimated fair value of the 2024 Notes, the 2029 Notes and the 2031 Notes as of April 2, 2022 was $476.9 million, $852.6 million and $638.6 million, respectively (compared to the outstanding principal amount of $500.0 million, $850.0 million and $700.0 million, respectively). The Company considers its debt to be Level 2 in the fair value hierarchy. Fair values are estimated based on quoted market prices for identical or similar instruments. The 2024 Notes, the 2029 Notes and the 2031 Notes currently trade over-the-counter and the fair values were estimated based upon the value of the last trade at the end of the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2023, the Company recognized $72.3 million of interest expense primarily related to the 2024 Notes, the 2029 Notes and the 2031 Notes, which was partially offset by $3.9 million of interest capitalized to property and equipment. During fiscal 2022, the Company recognized $67.0 million of interest expense primarily related to the 2029 Notes and the 2031 Notes, which was partially offset by $3.7 million of interest capitalized to property and equipment. During fiscal 2021, the Company recognized $79.3 million of interest expense primarily related to the 2026 Notes (redeemed on October 16, 2020), the 2029 Notes and the 2031 Notes, which was partially offset by $4.1 million of interest capitalized to property and equipment.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RETIREMENT BENEFIT PLANS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Defined Contribution Plans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tax-beneficial retirement contribution plans to eligible employees in the U.S. and certain other countries. Eligible employees in certain countries outside of the U.S. are eligible to participate in stakeholder, group or national pension plans with differing eligibility and contributory requirements based on local and national regulations. U.S. employees are eligible to participate in the Company's fully qualified 401(k) plan 30 days after their date of hire. An employee may contribute and invest pretax and/or Roth dollars into the 401(k) plan up to the maximum legal limits (as defined by Federal regulations). Employer contributions to the 401(k) plan are made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discretion of the Company’s Board of Directors.  Employees are immediately vested in their own contributions as well as employer matching contributions.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total, the Company contributed $18.8 million, $17.6 million and $15.6 million to its domestic and foreign defined contribution plans during fiscal years 2023, 2022 and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Defined Benefit Pension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two qualified defined benefit pension plans for its subsidiaries located in Germany. One of the plans is funded through a self-paid reinsurance program with assets valued at $3.8 million as of April 1, 2023 and April 2, 2022 (included in "Other non-current assets" in the Consolidated Balance Sheets). The pension benefit obligations of both plans were $9.4 million and $12.1 million as of April 1, 2023 and April 2, 2022, respectively, which is included in "Accrued liabilities" and "Other long-term liabilities" in the Consolidated Balance Sheets. The benefit obligations for the plans are calculated annually by an independent actuary and require the use of significant judgment including assumptions based on local economic conditions. The net periodic benefit cost was approximately $0.5 million for fiscal 2023 and $0.6 million for fiscal years 2022 and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Non-Qualified Deferred Compensation Plan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employees and members of the Board of Directors are eligible to participate in the Company's Non-Qualified Deferred Compensation Plan ("NQDC Plan"). The NQDC Plan provides eligible participants the opportunity to defer and invest a specified percentage of their cash compensation. The NQDC Plan is a non-qualified plan that is maintained in a rabbi trust, which restricts the Company's use and access to the assets held but is subject to the claims of the Company's creditors in the event that the Company becomes insolvent. The amount of compensation to be deferred by each participant is based on their own elections and is adjusted for any investment changes that the participant directs. This plan does not provide for employer contributions. The deferred compensation obligation and the fair value of the investments held in the rabbi trust were $40.7 million and $39.4 million as of April 1, 2023 and April 2, 2022, respectively. The current portion of the deferred compensation obligation and fair value of the assets held in the rabbi trust were $1.6 million and $1.5 million as of April 1, 2023 and April 2, 2022, respectively, and are included in "Other current assets" and "Accrued liabilities" in the Consolidated Balance Sheets. The non-current portion of the deferred compensation obligation and fair value of the assets held in the rabbi trust were $39.1 million and $37.9 million as of April 1, 2023 and April 2, 2022, respectively, and are included in "Other non-current assets" and "Other long-term liabilities" in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COMMITMENTS AND CONTINGENT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Company's purchase obligations (including capital commitments and purchase commitments under a long-term capacity reservation agreement) totaled approximately $1,283.7 million, of which approximately $657.1 million is expected to be paid during fiscal 2024. In subsequent years, the Company expects to pay approximately $356.5 million, $227.6 million and $42.5 million related to these purchase obligations during fiscal years 2025, 2026 and 2027, respectively. Noncancelable purchase obligations represent payments due related to the purchase of materials, manufacturing services and property and equipment, a majority of which are not recorded as liabilities in the Consolidated Balance Sheet because the Company has not received the related goods or services as of April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Amidst ongoing industry-wide supply constraints, the Company entered into a long-term capacity reservation agreement with a foundry supplier during the second quarter of fiscal 2022. Under this agreement, the Company was required to purchase, and the foundry supplier was required to supply, a certain number of wafers (at predetermined sales prices) for calendar years 2022 through 2025. In connection with this agreement, the Company paid a refundable deposit (which was recorded in "Other non-current assets" in the Consolidated Balance Sheets), and if the purchase commitments per the agreement were not met, under certain circumstances the supplier could deduct the amount of the purchase shortfall from the prepaid refundable deposit at the end of each calendar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2023, the Company experienced unexpectedly weakened demand for 5G handsets in China and EMEA due to unprecedented disruption resulting, in part, from measures taken in China to control the COVID-19 pandemic and the war in Ukraine. As a result, the Company did not meet the minimum purchase commitments under this long-term capacity reservation agreement.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2023, the purchase shortfall resulted in an impairment to the prepaid refundable deposit of approximately $13.0 million, and additional reserves of approximately $11.0 million for inventory in excess of demand forecasts were recorded. Additionally, the Company assessed the future minimum purchase commitments over the remaining term of the agreement and recorded an estimated shortfall of $86.0 million, of which $8.0 million was recorded in "Other current liabilities" and $78.0 million was recorded in "Other long-term liabilities" in accordance with ASC 330. These transactions resulted in a total increase to cost of goods sold of $110.0 million in the first quarter of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the Company renegotiated the terms of the agreement with the foundry supplier, which included extending the duration of the agreement through calendar year 2026. As a result of the amended agreement, in the second quarter of fiscal 2023, the Company recorded an impairment to the prepaid refundable deposit of approximately $38.0 million and additional reserves of approximately $5.0 million for inventory in excess of demand forecasts, which reduced the estimated shortfall liability that was previously recorded by $43.0 million. In the third quarter of fiscal 2023, the Company recorded an impairment to the prepaid refundable deposit of approximately $8.0 million and additional reserves of approximately $4.0 million for inventory in excess of demand forecasts, which reduced the estimated shortfall liability that was previously recorded by $12.0 million. There was no impact to the statements of operations in the second or third quarters of fiscal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2023, the Company elected to apply the remaining prepaid refundable deposit against portions of its monthly purchase commitments for the term of the amended agreement in lieu of ordering certain additional silicon wafers. This election was made in order to better align component inventory with the timing of the forecasted finished goods demand and resulted in an impairment to the prepaid refundable deposit of $71.0 million, increasing cost of goods sold by $71.0 million in the fourth quarter of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customer forecasts, legal obligations, macroeconomic and geopolitical factors as well as market and industry trends, when assessing future minimum purchase commitments. These factors include significant management judgment and estimates and, to the extent that these assumptions are incorrect or there are further declines in customer forecasts, additional charges may be recorded in future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8 for disclosures related to lease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RESTRUCTURING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initiated actions to improve efficiencies in its operations and further align the organization with its strategic objectives, which resulted in approximately $32.5 million of restructuring charges recorded in the nine months ended December 31, 2022 (primarily related to the impairment of equipment and a contract cancellation fee). As part of ongoing efforts to focus on growth drivers and key markets and to streamline operations,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of fiscal 2023, the Company began to seek strategic alternatives related to its non-core biotechnology business. Given the future funding requirements necessary to further develop its diagnostic testing solutions and achieve the desired results, the Company decided not to invest further in this business. Therefore, the Company determined that there was a more-likely-than-not expectation of selling or disposing of all, or a portion, of this reporting unit, and impairment testing was triggered. An evaluation of the asset group within this reporting unit was performed which resulted in an impairment of equipment and inventory of approximately $74.8 million and other charges of approximately $6.8 million. Based on these facts and circumstances, the Company determined that the carrying value exceeded the fair value of this reporting unit which resulted in a goodwill impairment charge of approximately $12.4 million (representing the entire goodwill assigned to this reporting unit). The restructuring charges recorded by the Company are not allocated to its reportable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continue to evaluate its operating footprint, cost structure and strategic opportunities, but does not expect to incur additional material charges related to its fiscal 2023 restructuring initiatives.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charges resulting from the 2023 restructuring actions (in thousands):</w:t>
      </w:r>
    </w:p>
    <w:tbl>
      <w:tblPr>
        <w:tblW w:w="8698" w:type="dxa"/>
        <w:jc w:val="center"/>
        <w:tblInd w:w="0" w:type="dxa"/>
        <w:tblLayout w:type="fixed"/>
        <w:tblCellMar>
          <w:top w:w="28" w:type="dxa"/>
          <w:left w:w="28" w:type="dxa"/>
          <w:bottom w:w="28" w:type="dxa"/>
          <w:right w:w="28" w:type="dxa"/>
        </w:tblCellMar>
      </w:tblPr>
      <w:tblGrid>
        <w:gridCol w:w="1227"/>
        <w:gridCol w:w="1078"/>
        <w:gridCol w:w="1084"/>
        <w:gridCol w:w="304"/>
        <w:gridCol w:w="1039"/>
        <w:gridCol w:w="157"/>
        <w:gridCol w:w="109"/>
        <w:gridCol w:w="109"/>
        <w:gridCol w:w="109"/>
        <w:gridCol w:w="398"/>
        <w:gridCol w:w="1361"/>
        <w:gridCol w:w="205"/>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termination and other costs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costs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(see Note 6)</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One-time employee termination benefits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The asset impairment costs include inventory write-downs (for inventory expected to be disposed of) and equipment impairments (to adjust the carrying value of certain equipment to reflect its fair value). The estimated fair value of the equipment was determined using a market approach based upon quoted market prices from auction data. The significant inputs related to valuing these assets are classified as Level 2 in the fair value measurement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activity related to the Company's restructuring liabilities for the fiscal year ended April 1, 2023 (in thousands): </w:t>
      </w:r>
    </w:p>
    <w:tbl>
      <w:tblPr>
        <w:tblW w:w="10205" w:type="dxa"/>
        <w:jc w:val="center"/>
        <w:tblInd w:w="0" w:type="dxa"/>
        <w:tblLayout w:type="fixed"/>
        <w:tblCellMar>
          <w:top w:w="28" w:type="dxa"/>
          <w:left w:w="28" w:type="dxa"/>
          <w:bottom w:w="28" w:type="dxa"/>
          <w:right w:w="28" w:type="dxa"/>
        </w:tblCellMar>
      </w:tblPr>
      <w:tblGrid>
        <w:gridCol w:w="1240"/>
        <w:gridCol w:w="1089"/>
        <w:gridCol w:w="1092"/>
        <w:gridCol w:w="768"/>
        <w:gridCol w:w="1479"/>
        <w:gridCol w:w="399"/>
        <w:gridCol w:w="109"/>
        <w:gridCol w:w="109"/>
        <w:gridCol w:w="109"/>
        <w:gridCol w:w="560"/>
        <w:gridCol w:w="1644"/>
        <w:gridCol w:w="292"/>
        <w:gridCol w:w="109"/>
        <w:gridCol w:w="109"/>
        <w:gridCol w:w="109"/>
        <w:gridCol w:w="211"/>
        <w:gridCol w:w="616"/>
        <w:gridCol w:w="161"/>
      </w:tblGrid>
      <w:tr>
        <w:trPr/>
        <w:tc>
          <w:tcPr>
            <w:tcW w:w="124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1"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421"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421"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421"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421"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421"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421"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3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One-Time 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Termination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April 2, 2022</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and charged to expense</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balance as of April 1, 2023</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2022 and 2021, the Company's restructuring charges were $2.1 million and $2.7 million, respectively, primarily related to fiscal 2019 actions to reduce operating expenses and improve manufacturing cost structure.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consists of the following components (in thousands):</w:t>
      </w:r>
    </w:p>
    <w:tbl>
      <w:tblPr>
        <w:tblW w:w="5561" w:type="dxa"/>
        <w:jc w:val="left"/>
        <w:tblInd w:w="0" w:type="dxa"/>
        <w:tblLayout w:type="fixed"/>
        <w:tblCellMar>
          <w:top w:w="28" w:type="dxa"/>
          <w:left w:w="28" w:type="dxa"/>
          <w:bottom w:w="28" w:type="dxa"/>
          <w:right w:w="28" w:type="dxa"/>
        </w:tblCellMar>
      </w:tblPr>
      <w:tblGrid>
        <w:gridCol w:w="435"/>
        <w:gridCol w:w="381"/>
        <w:gridCol w:w="383"/>
        <w:gridCol w:w="211"/>
        <w:gridCol w:w="901"/>
        <w:gridCol w:w="109"/>
        <w:gridCol w:w="109"/>
        <w:gridCol w:w="109"/>
        <w:gridCol w:w="109"/>
        <w:gridCol w:w="211"/>
        <w:gridCol w:w="97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income tax provision are as follows (in thousands):</w:t>
      </w:r>
    </w:p>
    <w:tbl>
      <w:tblPr>
        <w:tblW w:w="6761" w:type="dxa"/>
        <w:jc w:val="left"/>
        <w:tblInd w:w="0" w:type="dxa"/>
        <w:tblLayout w:type="fixed"/>
        <w:tblCellMar>
          <w:top w:w="28" w:type="dxa"/>
          <w:left w:w="28" w:type="dxa"/>
          <w:bottom w:w="28" w:type="dxa"/>
          <w:right w:w="28" w:type="dxa"/>
        </w:tblCellMar>
      </w:tblPr>
      <w:tblGrid>
        <w:gridCol w:w="944"/>
        <w:gridCol w:w="831"/>
        <w:gridCol w:w="834"/>
        <w:gridCol w:w="211"/>
        <w:gridCol w:w="796"/>
        <w:gridCol w:w="109"/>
        <w:gridCol w:w="109"/>
        <w:gridCol w:w="109"/>
        <w:gridCol w:w="109"/>
        <w:gridCol w:w="211"/>
        <w:gridCol w:w="901"/>
        <w:gridCol w:w="109"/>
        <w:gridCol w:w="109"/>
        <w:gridCol w:w="109"/>
        <w:gridCol w:w="109"/>
        <w:gridCol w:w="211"/>
        <w:gridCol w:w="796"/>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tax (expense) benefit: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(expense) benefit:</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provision for income taxes to income tax expense computed by applying the statutory federal income tax rate to pre-tax income for fiscal years 2023, 2022 and 2021 is as follows (dollars in thousands):</w:t>
      </w:r>
    </w:p>
    <w:tbl>
      <w:tblPr>
        <w:tblW w:w="10205" w:type="dxa"/>
        <w:jc w:val="left"/>
        <w:tblInd w:w="0" w:type="dxa"/>
        <w:tblLayout w:type="fixed"/>
        <w:tblCellMar>
          <w:top w:w="28" w:type="dxa"/>
          <w:left w:w="28" w:type="dxa"/>
          <w:bottom w:w="28" w:type="dxa"/>
          <w:right w:w="28" w:type="dxa"/>
        </w:tblCellMar>
      </w:tblPr>
      <w:tblGrid>
        <w:gridCol w:w="1216"/>
        <w:gridCol w:w="832"/>
        <w:gridCol w:w="835"/>
        <w:gridCol w:w="211"/>
        <w:gridCol w:w="757"/>
        <w:gridCol w:w="109"/>
        <w:gridCol w:w="306"/>
        <w:gridCol w:w="310"/>
        <w:gridCol w:w="508"/>
        <w:gridCol w:w="109"/>
        <w:gridCol w:w="109"/>
        <w:gridCol w:w="109"/>
        <w:gridCol w:w="211"/>
        <w:gridCol w:w="862"/>
        <w:gridCol w:w="109"/>
        <w:gridCol w:w="272"/>
        <w:gridCol w:w="274"/>
        <w:gridCol w:w="508"/>
        <w:gridCol w:w="109"/>
        <w:gridCol w:w="109"/>
        <w:gridCol w:w="109"/>
        <w:gridCol w:w="211"/>
        <w:gridCol w:w="862"/>
        <w:gridCol w:w="109"/>
        <w:gridCol w:w="272"/>
        <w:gridCol w:w="274"/>
        <w:gridCol w:w="503"/>
      </w:tblGrid>
      <w:tr>
        <w:trPr/>
        <w:tc>
          <w:tcPr>
            <w:tcW w:w="121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statutory federal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resulting from:</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benefit (expense), net of federal impact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Effect of changes in income tax rate applied to net deferred tax assets </w:t>
            </w:r>
            <w:r>
              <w:rPr>
                <w:rFonts w:ascii="Times New Roman;sans-serif" w:hAnsi="Times New Roman;sans-serif"/>
                <w:b w:val="false"/>
                <w:color w:val="000000"/>
                <w:sz w:val="12"/>
              </w:rPr>
              <w:t>(1)</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difference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permanent differences and related items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state and foreign attributes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reserve adjustments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U.S. tax on foreign earnings, including GILTI &amp; FDII </w:t>
            </w:r>
            <w:r>
              <w:rPr>
                <w:rFonts w:ascii="Times New Roman;sans-serif" w:hAnsi="Times New Roman;sans-serif"/>
                <w:b w:val="false"/>
                <w:color w:val="000000"/>
                <w:sz w:val="12"/>
              </w:rPr>
              <w:t>(2)(3)</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reinvestment assertion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 and acquisition related adjustments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tax (expense) benefit </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In fiscal 2022, the Company negotiated an extension to its tax holiday in Singapore, resulting in the revaluation of its deferred tax assets. As a result, the Company recognized an income tax expense of $26.4 million due to the reduced tax rate, in part from a reversal of the tax benefit recognized in fiscal 2021. In fiscal 2021, the Company completed the restructuring of the Cavendish intellectual property, resulting in the recognition of an income tax benefit of $22.1 million in Singapore.</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 The Global Intangible Low-Taxed Income ("GILTI") and Foreign-Derived Intangible Income ("FDII") provisions became effective for the Company in fiscal 2019, at which time the Company elected to treat taxes due on future GILTI inclusions in U.S. taxable income as a period cost. </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 Beginning in fiscal 2023 and as required by the Tax Cuts and Jobs Act, the Company was required to capitalize and amortize research and development expenses which were previously expensed for U.S. tax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net deferred income taxes are as follows (in thousands):</w:t>
      </w:r>
    </w:p>
    <w:tbl>
      <w:tblPr>
        <w:tblW w:w="7628" w:type="dxa"/>
        <w:jc w:val="left"/>
        <w:tblInd w:w="0" w:type="dxa"/>
        <w:tblLayout w:type="fixed"/>
        <w:tblCellMar>
          <w:top w:w="28" w:type="dxa"/>
          <w:left w:w="28" w:type="dxa"/>
          <w:bottom w:w="28" w:type="dxa"/>
          <w:right w:w="28" w:type="dxa"/>
        </w:tblCellMar>
      </w:tblPr>
      <w:tblGrid>
        <w:gridCol w:w="1801"/>
        <w:gridCol w:w="1579"/>
        <w:gridCol w:w="1584"/>
        <w:gridCol w:w="211"/>
        <w:gridCol w:w="826"/>
        <w:gridCol w:w="109"/>
        <w:gridCol w:w="109"/>
        <w:gridCol w:w="109"/>
        <w:gridCol w:w="109"/>
        <w:gridCol w:w="211"/>
        <w:gridCol w:w="826"/>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other tax credits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 net of valuation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 on unremitted foreign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deferred income tax asset (liability)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included in the Consolidated Balance Sheets: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deferred income tax asset (liability)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 valuation allowance against certain U.S. and foreign deferred tax assets as of April 1, 2023 and April 2, 2022. These valuation allowances were established based upon management's opinion that it is more likely than not (a likelihood of more than 50 percent) that the benefit of these deferred tax assets will not be realized.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valuation allowance against deferred tax assets decreased in fiscal years 2023 and 2022 by $0.4 million and $0.2 million, respectively, and increased in fiscal 2021 by $1.2 million.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change in valuation allowances and ending balances are as follows (in thousands):</w:t>
      </w:r>
    </w:p>
    <w:tbl>
      <w:tblPr>
        <w:tblW w:w="8547" w:type="dxa"/>
        <w:jc w:val="left"/>
        <w:tblInd w:w="0" w:type="dxa"/>
        <w:tblLayout w:type="fixed"/>
        <w:tblCellMar>
          <w:top w:w="28" w:type="dxa"/>
          <w:left w:w="28" w:type="dxa"/>
          <w:bottom w:w="28" w:type="dxa"/>
          <w:right w:w="28" w:type="dxa"/>
        </w:tblCellMar>
      </w:tblPr>
      <w:tblGrid>
        <w:gridCol w:w="1713"/>
        <w:gridCol w:w="1501"/>
        <w:gridCol w:w="1511"/>
        <w:gridCol w:w="211"/>
        <w:gridCol w:w="721"/>
        <w:gridCol w:w="109"/>
        <w:gridCol w:w="109"/>
        <w:gridCol w:w="109"/>
        <w:gridCol w:w="109"/>
        <w:gridCol w:w="211"/>
        <w:gridCol w:w="721"/>
        <w:gridCol w:w="109"/>
        <w:gridCol w:w="109"/>
        <w:gridCol w:w="109"/>
        <w:gridCol w:w="109"/>
        <w:gridCol w:w="211"/>
        <w:gridCol w:w="721"/>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Beginning valuation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Domestic net operating losses and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losses and other deferred tax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Ending valuation allowance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ending valuation allowance: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Domestic deferred tax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deferred tax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had federal tax loss carryforwards of approximately $32.1 million that expire in fiscal years 2024 to 2043, if unused, and state tax loss carryforwards of approximately $107.9 million that expire in fiscal years 2024 to 2043, if unused. Federal research credits of $102.8 million expire in fiscal years 2040 to 2043, and state research credits of $68.3 million expire in fiscal years 2024 to 2043. The Company had foreign tax loss carryforwards of $96.4 million, which expire in fiscal years 2024 to 2033, if unused. The utilization of acquired domestic tax assets is subject to certain annual limitations as required under Section 382 of the Internal Revenue Code of 1986, as amended (the "Code") and similar state income tax provisions.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continued to expand its operations and increase its investments in numerous international jurisdictions. These activities expose the Company to taxation in multiple foreign jurisdictions. As a result, management has concluded that it is not permanently reinvested on certain earnings of its foreign subsidiaries which have been subject to U.S. federal taxation. The remainder of the Company's untaxed foreign earnings and historic investments will continue to be permanently reinvested to fund working capital requirements and operations abroad. It is not practical to estimate the additional tax that would be incurred, if any, if the remainder of the permanently reinvested earnings were repatriated.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foreign subsidiaries with tax holiday agreements in Costa Rica and Singapore. The Company’s tax holiday in Costa Rica is set to expire in December 2027. In fiscal 2022, the Company negotiated an extension to its tax holiday in Singapore, which is currently expected to expire in December 2031. Incentives from these countries are subject to the Company meeting certain employment and investment requirements. Relative to the statutory tax rate, income tax expense decreased by $65.5 million (an impact of approximately $0.64 per basic and diluted share) in fiscal 2023 and $128.4 million (an impact of approximately $1.17 and $1.15 per basic and diluted share, respectively) in fiscal 2022 as a result of these agreements.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gross unrecognized tax benefits totaled $152.3 million, $144.1 million and $134.1 million as of April 1, 2023, April 2, 2022, and April 3, 2021, respectively. Of these amounts, $145.9 million, $137.5 million and $128.7 million as of April 1, 2023, April 2, 2022 and April 3, 2021, respectively, represent the amounts of unrecognized tax benefits that, if recognized, would impact the effective tax rate in each of the fiscal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gross unrecognized tax benefits increased from $144.1 million as of April 2, 2022 to $152.3 million as of April 1, 2023, primarily due to current year tax positions and the effect of provision-to-return adjustments on prior year positions.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in the amount of gross unrecognized tax benefits is as follows (in thousands):</w:t>
      </w:r>
    </w:p>
    <w:tbl>
      <w:tblPr>
        <w:tblW w:w="8441" w:type="dxa"/>
        <w:jc w:val="left"/>
        <w:tblInd w:w="0" w:type="dxa"/>
        <w:tblLayout w:type="fixed"/>
        <w:tblCellMar>
          <w:top w:w="28" w:type="dxa"/>
          <w:left w:w="28" w:type="dxa"/>
          <w:bottom w:w="28" w:type="dxa"/>
          <w:right w:w="28" w:type="dxa"/>
        </w:tblCellMar>
      </w:tblPr>
      <w:tblGrid>
        <w:gridCol w:w="1560"/>
        <w:gridCol w:w="1368"/>
        <w:gridCol w:w="1376"/>
        <w:gridCol w:w="211"/>
        <w:gridCol w:w="826"/>
        <w:gridCol w:w="109"/>
        <w:gridCol w:w="109"/>
        <w:gridCol w:w="109"/>
        <w:gridCol w:w="109"/>
        <w:gridCol w:w="211"/>
        <w:gridCol w:w="826"/>
        <w:gridCol w:w="109"/>
        <w:gridCol w:w="109"/>
        <w:gridCol w:w="109"/>
        <w:gridCol w:w="109"/>
        <w:gridCol w:w="211"/>
        <w:gridCol w:w="826"/>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positions related to current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in prior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in prior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statute of limitations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the Company’s policy to recognize interest and penalties related to uncertain tax positions as a component of income tax expense. During fiscal years 2023, 2022 and 2021, the Company recognized $0.9 million, $(5.1) million and $0.8 million, respectively, of interest and penalties related to uncertain tax positions. Accrued interest and penalties related to unrecognized tax benefits totaled $1.9 million, $1.0 million and $6.2 million as of April 1, 2023, April 2, 2022 and April 3, 2021,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unrecognized tax benefits of $152.3 million and accrued interest and penalties of $1.9 million at the end of fiscal 2023 are recorded on the Consolidated Balance Sheet as a $21.0 million other long-term liability, with the balance reducing the carrying value of the gross deferred tax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uncertainties regarding the timing of examinations and the amount of settlements that may be paid, if any, to tax authorities, the Company believes it is reasonably possible that $22.1 million of gross unrecognized tax benefits will be reduced within the next 12 months.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a consolidated U.S. federal income tax return, as well as separate and combined income tax returns in numerous state and international jurisdictions. The Company’s fiscal 2020 U.S. federal and state tax returns and subsequent tax years remain open for examination, as well as all attributes brought forward into those years. The Company is also subject to examination by various international tax authorities. The tax years subject to examination vary by jurisdiction.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NET INCOME PER SHARE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share (in thousands, except per share data):</w:t>
      </w:r>
    </w:p>
    <w:tbl>
      <w:tblPr>
        <w:tblW w:w="10205" w:type="dxa"/>
        <w:jc w:val="center"/>
        <w:tblInd w:w="0" w:type="dxa"/>
        <w:tblLayout w:type="fixed"/>
        <w:tblCellMar>
          <w:top w:w="28" w:type="dxa"/>
          <w:left w:w="28" w:type="dxa"/>
          <w:bottom w:w="28" w:type="dxa"/>
          <w:right w:w="28" w:type="dxa"/>
        </w:tblCellMar>
      </w:tblPr>
      <w:tblGrid>
        <w:gridCol w:w="2312"/>
        <w:gridCol w:w="1798"/>
        <w:gridCol w:w="1807"/>
        <w:gridCol w:w="211"/>
        <w:gridCol w:w="826"/>
        <w:gridCol w:w="109"/>
        <w:gridCol w:w="109"/>
        <w:gridCol w:w="109"/>
        <w:gridCol w:w="109"/>
        <w:gridCol w:w="211"/>
        <w:gridCol w:w="976"/>
        <w:gridCol w:w="109"/>
        <w:gridCol w:w="109"/>
        <w:gridCol w:w="109"/>
        <w:gridCol w:w="109"/>
        <w:gridCol w:w="211"/>
        <w:gridCol w:w="826"/>
        <w:gridCol w:w="155"/>
      </w:tblGrid>
      <w:tr>
        <w:trPr/>
        <w:tc>
          <w:tcPr>
            <w:tcW w:w="231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5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net income per share — net income available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net income per share — weighted-average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net income per share — adjusted weighted-average shares and assumed conversions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computation of diluted net income per share for fiscal 2023, approximately 0.8 million shares of outstanding stock-based awards were excluded because the effect of their inclusion would have been anti-dilutive. An immaterial number of shares of outstanding stock-based awards were excluded from the computation of diluted net income per share for fiscal years 2022 and 2021 because the effect of their inclusion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Summary of Stock Plans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2009 and 2012 Incentive Plans - TriQuint Semiconductor,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upon the closing of the Business Combination, the Company assumed the TriQuint, Inc. 2009 Incentive Plan and the TriQuint, Inc. 2012 Incentive Plan (the "TriQuint Incentive Plans"), originally adopted by TriQuint. The TriQuint Incentive Plans provided for the grant of stock options, restricted stock units, stock appreciation rights and other stock or cash awards to employees, officers, directors, consultants, agents, advisors and independent contractors of TriQuint and its subsidiaries and affiliates. No further awards can be granted under these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2012 Stock Incentive Plan - Qorvo,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2012 Stock Incentive Plan (the "2012 Plan") was assumed by the Company in connection with the Business Combination and reapproved by the Company's stockholders on August 8, 2017 for purposes of Section 162(m) of the Internal Revenue Code. Under the 2012 Plan, the Company was permitted to grant stock options and other types of equity incentive awards, such as stock appreciation rights, restricted stock awards, performance shares and performance units. The aggregate number of shares subject to performance-based restricted stock units awarded for fiscal 2023 under the 2012 Plan was 0.2 million shares. No further awards can be granted under this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2013 Incentive Plan - Qorvo,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upon the closing of the Business Combination, the Company assumed the TriQuint, Inc. 2013 Incentive Plan (the "2013 Incentive Plan"), originally adopted by TriQuint, allowing the Company to issue awards under this plan. The 2013 Incentive Plan replaced the TriQuint 2012 Incentive Plan and provided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became employed by the Company or its affiliates after the closing of the Business Combination. No further awards can be granted under this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2015 Inducement Stock Plan - Qorvo,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2015 Inducement Stock Plan provided for the grant of stock options, restricted stock units, stock appreciation rights and other stock-based awards to persons as a material inducement to become employees of the Company or its affiliates. No further awards can be granted under this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2022 Stock Incentive Plan – Qorvo, Inc.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grants equity-based awards to eligible employees, directors and independent contractors under the 2022 Stock Incentive Plan (the "2022 Plan"), which was approved by the Company's stockholders on August 9, 2022. Under the 2022 Plan, the Company is permitted to grant awards, such as restricted stock units, restricted stock awards, performance shares, performance units, stock options, stock appreciation rights and phantom stock awards, to eligible participants. The maximum number of shares issuable under the 2022 Plan may not exceed 4.5 million shares (subject to adjustment for anti-dilution purposes). As of April 1, 2023, approximately 4.4 million shares were available for issuance under the 2022 Plan.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 - Qorvo,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upon closing of the Business Combination, the Company assumed the TriQuint Employee Stock Purchase Plan (the "ESPP"), which is intended to qualify as an "employee stock purchase plan" under Section 423 of the Internal Revenue Code. All regular full-time employees of the Company (including officers) and all other employees who meet the eligibility requirements of the plan may participate in the ESPP. The ESPP provides eligible employees an opportunity to acquire the Company’s common stock at 85.0% of the lower of the closing price per share of the Company’s common stock on the first or last day of each six-month purchase period. As of April 1, 2023, 2.6 million shares were available for future issuance under this plan. The Company makes no cash contributions to the ESPP, but bears the expenses of its administration. The Company issued 0.3 million shares under the ESPP in fiscal 2023, 0.3 million shares in fiscal 2022 and 0.4 million shares in fiscal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 fiscal years 2023, 2022 and 2021, the primary stock-based awards and their general terms and conditions are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 by the Company in fiscal years 2023, 2022 and 2021 are either service-based or performance and service-based. Service-based restricted stock units generally vest over a four-year period from the grant date. Performance and service-based restricted stock units are earned based on Company performance of stated metrics during the fiscal year and, if earned, generally vest one-half when earned and the balance over two years. Restricted stock units granted to non-employee directors generally vest over a one-year period from the grant date. In fiscal 2023, each non-employee director was eligible to receive an annual grant of restricted stock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options and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2023, stock-based compensation of $28.5 million was recognized upon the grant of 0.3 million restricted share units to certain officers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Stock-Based Compensation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pre-tax stock-based compensation expense recognized in the Consolidated Statements of Income was $105.6 million, $83.5 million and $89.3 million, for fiscal years 2023, 2022 and 2021, respectively, net of expense capitalized into inventory.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 summary of activity with respect to stock options under the Company’s director and employee stock plans follows:</w:t>
      </w:r>
    </w:p>
    <w:tbl>
      <w:tblPr>
        <w:tblW w:w="10205" w:type="dxa"/>
        <w:jc w:val="left"/>
        <w:tblInd w:w="0" w:type="dxa"/>
        <w:tblLayout w:type="fixed"/>
        <w:tblCellMar>
          <w:top w:w="28" w:type="dxa"/>
          <w:left w:w="28" w:type="dxa"/>
          <w:bottom w:w="28" w:type="dxa"/>
          <w:right w:w="28" w:type="dxa"/>
        </w:tblCellMar>
      </w:tblPr>
      <w:tblGrid>
        <w:gridCol w:w="1043"/>
        <w:gridCol w:w="915"/>
        <w:gridCol w:w="920"/>
        <w:gridCol w:w="336"/>
        <w:gridCol w:w="336"/>
        <w:gridCol w:w="338"/>
        <w:gridCol w:w="109"/>
        <w:gridCol w:w="109"/>
        <w:gridCol w:w="109"/>
        <w:gridCol w:w="211"/>
        <w:gridCol w:w="616"/>
        <w:gridCol w:w="109"/>
        <w:gridCol w:w="109"/>
        <w:gridCol w:w="109"/>
        <w:gridCol w:w="109"/>
        <w:gridCol w:w="1098"/>
        <w:gridCol w:w="1098"/>
        <w:gridCol w:w="1101"/>
        <w:gridCol w:w="109"/>
        <w:gridCol w:w="109"/>
        <w:gridCol w:w="109"/>
        <w:gridCol w:w="236"/>
        <w:gridCol w:w="690"/>
        <w:gridCol w:w="177"/>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w:t>
              <w:br/>
              <w:t xml:space="preserve"> Value </w:t>
              <w:br/>
              <w:t>(in thousands)</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April 2, 2022</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April 1, 2023</w:t>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April 1, 2023</w:t>
            </w:r>
          </w:p>
        </w:tc>
        <w:tc>
          <w:tcPr>
            <w:tcW w:w="10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April 1, 2023</w:t>
            </w:r>
          </w:p>
        </w:tc>
        <w:tc>
          <w:tcPr>
            <w:tcW w:w="101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5,562 </w:t>
            </w:r>
          </w:p>
        </w:tc>
        <w:tc>
          <w:tcPr>
            <w:tcW w:w="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 the table above represents the total pre-tax intrinsic value, based upon the Company’s closing stock price of $101.57 as of March 31, 2023 (the last Nasdaq trading day prior to the fiscal year end on April 1, 2023), that would have been received by the option holders had all option holders with in-the-money options exercised their options as of that date. As of April 1, 2023, there was no remaining unearned compensation cost related to unvested option awards.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award is estimated on the date of grant using a Black-Scholes option-pricing model based on the historical volatility, dividend yield, term and risk-free interest rate. There were no options granted during fiscal years 2023, 2022 and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fiscal years 2023, 2022 and 2021 was $16.5 million, $27.1 million and $66.7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exercise of stock options and from participation in the employee stock purchase plan (excluding accrued unremitted employee funds) was approximately $32.7 million for fiscal 2023 and is reflected in cash flows from financing activities in the Consolidated Statement of Cash Flows. The Company settles employee stock options with newly issued shares of the Company's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1.4% for both stock options and restricted stock units.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A summary of activity with respect to restricted stock units (</w:t>
      </w:r>
      <w:r>
        <w:rPr>
          <w:rFonts w:ascii="Times New Roman;sans-serif" w:hAnsi="Times New Roman;sans-serif"/>
          <w:b/>
          <w:color w:val="000000"/>
          <w:sz w:val="20"/>
        </w:rPr>
        <w:t>"</w:t>
      </w:r>
      <w:r>
        <w:rPr>
          <w:rFonts w:ascii="Times New Roman;sans-serif" w:hAnsi="Times New Roman;sans-serif"/>
          <w:b/>
          <w:i/>
          <w:color w:val="000000"/>
          <w:sz w:val="20"/>
        </w:rPr>
        <w:t>RSUs</w:t>
      </w:r>
      <w:r>
        <w:rPr>
          <w:rFonts w:ascii="Times New Roman;sans-serif" w:hAnsi="Times New Roman;sans-serif"/>
          <w:b/>
          <w:color w:val="000000"/>
          <w:sz w:val="20"/>
        </w:rPr>
        <w:t>"</w:t>
      </w:r>
      <w:r>
        <w:rPr>
          <w:rFonts w:ascii="Times New Roman;sans-serif" w:hAnsi="Times New Roman;sans-serif"/>
          <w:b/>
          <w:i/>
          <w:color w:val="000000"/>
          <w:sz w:val="20"/>
        </w:rPr>
        <w:t>) awarded under the Company’s director and employee stock plans follows:</w:t>
      </w:r>
    </w:p>
    <w:tbl>
      <w:tblPr>
        <w:tblW w:w="5334" w:type="dxa"/>
        <w:jc w:val="left"/>
        <w:tblInd w:w="0" w:type="dxa"/>
        <w:tblLayout w:type="fixed"/>
        <w:tblCellMar>
          <w:top w:w="28" w:type="dxa"/>
          <w:left w:w="28" w:type="dxa"/>
          <w:bottom w:w="28" w:type="dxa"/>
          <w:right w:w="28" w:type="dxa"/>
        </w:tblCellMar>
      </w:tblPr>
      <w:tblGrid>
        <w:gridCol w:w="842"/>
        <w:gridCol w:w="738"/>
        <w:gridCol w:w="744"/>
        <w:gridCol w:w="374"/>
        <w:gridCol w:w="374"/>
        <w:gridCol w:w="376"/>
        <w:gridCol w:w="109"/>
        <w:gridCol w:w="109"/>
        <w:gridCol w:w="109"/>
        <w:gridCol w:w="302"/>
        <w:gridCol w:w="1035"/>
        <w:gridCol w:w="222"/>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 xml:space="preserve">Grant-Date </w:t>
              <w:br/>
              <w:t>Fair Value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as of April 2, 2022</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as of April 1, 2023</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total remaining unearned compensation cost related to unvested restricted stock units was $137.6 million, which will be amortized over the weighted-average remaining service period of approximately 1.3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restricted stock units that vested during fiscal years 2023, 2022 and 2021 was $74.1 million, $163.6 million and $121.8 million, respectively, based upon the fair market value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on the vesting date. The Company settles restricted stock units with newly issued shares of the Company's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STOCKHOLDERS’ EQUITY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Stock Repurchase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2022, the Company announced that its Board of Directors authorized a new share repurchase program to repurchase up to $2.0 billion of the Company's outstanding common stock, which included the remaining authorized dollar amount under a prior program terminated concurrent with the new authorization.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current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As of January 1, 2023, the Company's share repurchases in excess of issuances are subject to a 1% excise tax enacted by the IRA. The excise tax is recognized as part of the cost basis of shares acquired in the Consolidated Statements of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2023, 2022 and 2021, the Company repurchased approximately 8.7 million shares, 7.3 million shares and 3.6 million shares of its common stock, respectively, for approximately $862.2 million, $1,152.3 million and $515.1 million, respectively (including transaction costs and excise tax, as applicable) under the prior and current share repurchase programs. As of April 1, 2023, approximately $1,705.0 million remains available for repurchases under the current share repurchase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Reserved For Future Issuance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had reserved a total of approximately 8.9 million of its authorized 405.0 million shares of common stock for future issuance as follows (in thousands):</w:t>
      </w:r>
    </w:p>
    <w:tbl>
      <w:tblPr>
        <w:tblW w:w="7636" w:type="dxa"/>
        <w:jc w:val="left"/>
        <w:tblInd w:w="0" w:type="dxa"/>
        <w:tblLayout w:type="fixed"/>
        <w:tblCellMar>
          <w:top w:w="28" w:type="dxa"/>
          <w:left w:w="28" w:type="dxa"/>
          <w:bottom w:w="28" w:type="dxa"/>
          <w:right w:w="28" w:type="dxa"/>
        </w:tblCellMar>
      </w:tblPr>
      <w:tblGrid>
        <w:gridCol w:w="2544"/>
        <w:gridCol w:w="2232"/>
        <w:gridCol w:w="2244"/>
        <w:gridCol w:w="180"/>
        <w:gridCol w:w="180"/>
        <w:gridCol w:w="256"/>
      </w:tblGrid>
      <w:tr>
        <w:trPr/>
        <w:tc>
          <w:tcPr>
            <w:tcW w:w="254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 under formal directors’ and employees’ stock option plans</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Possible future issuance under Company stock incentive plans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w:t>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stock-based units outstanding</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w:t>
            </w:r>
          </w:p>
        </w:tc>
        <w:tc>
          <w:tcPr>
            <w:tcW w:w="6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OPERATING SEGMENT AND GEOGRAPHIC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2023, the Company updated its organizational structure to more closely align technologies and applications with customers and end markets. Prior to this organizational change, the Company operated under two segments (MP and IDP) and subsequent to this organizational change, the Company is operating under three segments (HPA, CSG and ACG). The Company's Chief Executive Officer, who is also the Company's chief operating decision maker ("CODM"), allocates resources and evaluates the performance of each of the three operating segments primarily based on operating income. All prior-period segment data has been adjusted to reflect these three operating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HPA is a leading global supplier of RF and power solutions for automotive, defense and aerospace, cellular infrastructure, broadband and other markets. HPA leverages a diverse portfolio of differentiated technologies and products to support multiyear growth trends, including electrification, renewable energy, the increasing semiconductor spend in defense and 5G deployments outside of China.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CSG is a leading global supplier of connectivity and sensor solutions, with broad expertise spanning UWB, Matter</w:t>
      </w:r>
      <w:r>
        <w:rPr>
          <w:rFonts w:ascii="Times New Roman;sans-serif" w:hAnsi="Times New Roman;sans-serif"/>
          <w:b w:val="false"/>
          <w:color w:val="000000"/>
          <w:sz w:val="13"/>
        </w:rPr>
        <w:t>®</w:t>
      </w:r>
      <w:r>
        <w:rPr>
          <w:rFonts w:ascii="Times New Roman;sans-serif" w:hAnsi="Times New Roman;sans-serif"/>
          <w:b w:val="false"/>
          <w:color w:val="000000"/>
          <w:sz w:val="20"/>
        </w:rPr>
        <w:t>, Bluetooth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Low Energy, Zigbee</w:t>
      </w:r>
      <w:r>
        <w:rPr>
          <w:rFonts w:ascii="Times New Roman;sans-serif" w:hAnsi="Times New Roman;sans-serif"/>
          <w:b w:val="false"/>
          <w:color w:val="000000"/>
          <w:sz w:val="13"/>
        </w:rPr>
        <w:t>®</w:t>
      </w:r>
      <w:r>
        <w:rPr>
          <w:rFonts w:ascii="Times New Roman;sans-serif" w:hAnsi="Times New Roman;sans-serif"/>
          <w:b w:val="false"/>
          <w:color w:val="000000"/>
          <w:sz w:val="20"/>
        </w:rPr>
        <w:t>, Thread</w:t>
      </w:r>
      <w:r>
        <w:rPr>
          <w:rFonts w:ascii="Times New Roman;sans-serif" w:hAnsi="Times New Roman;sans-serif"/>
          <w:b w:val="false"/>
          <w:color w:val="000000"/>
          <w:sz w:val="13"/>
        </w:rPr>
        <w:t>®</w:t>
      </w:r>
      <w:r>
        <w:rPr>
          <w:rFonts w:ascii="Times New Roman;sans-serif" w:hAnsi="Times New Roman;sans-serif"/>
          <w:b w:val="false"/>
          <w:color w:val="000000"/>
          <w:sz w:val="20"/>
        </w:rPr>
        <w:t>, Wi-Fi</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cellular Internet of Things, MEMS-based sensors and BAW-based sensors. CSG combines the connectivity and sensors businesses formerly split between MP and IDP. CSG’s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markets include smart home, industrial automation, automotive, smartphones, wearables, gaming, and industrial and enterprise access points.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ACG is a leading global supplier of cellular RF solutions for smartphones, wearables, laptops, tablets and other devices. ACG leverages world-class technology and systems-level expertise to deliver a broad portfolio of high performance cellular products to the world's leading smartphone and consumer electronics companies. ACG is a highly diversified supplier of custom and open market cellular solutions, serving iOS and Android original equipment manufacturers.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"All other" category includes operating expenses such as stock-based compensation expense, amortization of intangible assets, restructuring related charges, acquisition and integration related costs, charges associated with a long-term capacity reservation agreement, goodwill impairment, fixed asset impairments, (loss) gain on sale of fixed assets, start-up costs and other miscellaneous corporate overhead expenses that the Company does not allocate to its operating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investments, interest expense, other (expense) income, or taxes to operating segments. Except as discussed above regarding the "All other" category, the Company's accounting policies for segment reporting are the same as for the Company as a whole.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details of the Company’s operating and reportable segments and a reconciliation of the "All other" category (in thousands):</w:t>
      </w:r>
    </w:p>
    <w:tbl>
      <w:tblPr>
        <w:tblW w:w="6971" w:type="dxa"/>
        <w:jc w:val="left"/>
        <w:tblInd w:w="0" w:type="dxa"/>
        <w:tblLayout w:type="fixed"/>
        <w:tblCellMar>
          <w:top w:w="28" w:type="dxa"/>
          <w:left w:w="28" w:type="dxa"/>
          <w:bottom w:w="28" w:type="dxa"/>
          <w:right w:w="28" w:type="dxa"/>
        </w:tblCellMar>
      </w:tblPr>
      <w:tblGrid>
        <w:gridCol w:w="861"/>
        <w:gridCol w:w="761"/>
        <w:gridCol w:w="762"/>
        <w:gridCol w:w="211"/>
        <w:gridCol w:w="976"/>
        <w:gridCol w:w="109"/>
        <w:gridCol w:w="109"/>
        <w:gridCol w:w="109"/>
        <w:gridCol w:w="109"/>
        <w:gridCol w:w="211"/>
        <w:gridCol w:w="976"/>
        <w:gridCol w:w="109"/>
        <w:gridCol w:w="109"/>
        <w:gridCol w:w="109"/>
        <w:gridCol w:w="109"/>
        <w:gridCol w:w="211"/>
        <w:gridCol w:w="976"/>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HPA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10197" w:type="dxa"/>
        <w:jc w:val="left"/>
        <w:tblInd w:w="0" w:type="dxa"/>
        <w:tblLayout w:type="fixed"/>
        <w:tblCellMar>
          <w:top w:w="28" w:type="dxa"/>
          <w:left w:w="28" w:type="dxa"/>
          <w:bottom w:w="28" w:type="dxa"/>
          <w:right w:w="28" w:type="dxa"/>
        </w:tblCellMar>
      </w:tblPr>
      <w:tblGrid>
        <w:gridCol w:w="2114"/>
        <w:gridCol w:w="1856"/>
        <w:gridCol w:w="1865"/>
        <w:gridCol w:w="211"/>
        <w:gridCol w:w="901"/>
        <w:gridCol w:w="109"/>
        <w:gridCol w:w="109"/>
        <w:gridCol w:w="109"/>
        <w:gridCol w:w="109"/>
        <w:gridCol w:w="211"/>
        <w:gridCol w:w="901"/>
        <w:gridCol w:w="109"/>
        <w:gridCol w:w="109"/>
        <w:gridCol w:w="109"/>
        <w:gridCol w:w="109"/>
        <w:gridCol w:w="211"/>
        <w:gridCol w:w="901"/>
        <w:gridCol w:w="154"/>
      </w:tblGrid>
      <w:tr>
        <w:trPr/>
        <w:tc>
          <w:tcPr>
            <w:tcW w:w="211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"All other" category:</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related charges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related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Charges associated with a long-term capacity reservation agreement</w:t>
            </w:r>
            <w:r>
              <w:rPr>
                <w:color w:val="000000"/>
              </w:rPr>
              <w:t xml:space="preserve"> </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impairment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 xml:space="preserve">(2)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 for "All other"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(385,051)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Refer to Note 11 for additional information.</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Other includes fixed asset impairments, (loss) gain on sale of fixed assets, start-up costs and other miscellaneous corporate overhead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 xml:space="preserve">Qorvo, Inc. and Subsidiaries </w:t>
        <w:br/>
        <w:t>Notes to Consolidated Financial Statements (continued)</w:t>
      </w:r>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revenue to customers by geographic region (based on the location of the customers' headquarters) that are summarized as follows (in thousands):</w:t>
      </w:r>
    </w:p>
    <w:tbl>
      <w:tblPr>
        <w:tblW w:w="5907" w:type="dxa"/>
        <w:jc w:val="left"/>
        <w:tblInd w:w="0" w:type="dxa"/>
        <w:tblLayout w:type="fixed"/>
        <w:tblCellMar>
          <w:top w:w="28" w:type="dxa"/>
          <w:left w:w="28" w:type="dxa"/>
          <w:bottom w:w="28" w:type="dxa"/>
          <w:right w:w="28" w:type="dxa"/>
        </w:tblCellMar>
      </w:tblPr>
      <w:tblGrid>
        <w:gridCol w:w="477"/>
        <w:gridCol w:w="420"/>
        <w:gridCol w:w="423"/>
        <w:gridCol w:w="211"/>
        <w:gridCol w:w="976"/>
        <w:gridCol w:w="109"/>
        <w:gridCol w:w="109"/>
        <w:gridCol w:w="109"/>
        <w:gridCol w:w="109"/>
        <w:gridCol w:w="211"/>
        <w:gridCol w:w="976"/>
        <w:gridCol w:w="109"/>
        <w:gridCol w:w="109"/>
        <w:gridCol w:w="109"/>
        <w:gridCol w:w="109"/>
        <w:gridCol w:w="211"/>
        <w:gridCol w:w="97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1,631,110 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Asia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following long-lived tangible asset amounts related to operations of the Company by geographic region (in thousands):</w:t>
      </w:r>
    </w:p>
    <w:tbl>
      <w:tblPr>
        <w:tblW w:w="5138" w:type="dxa"/>
        <w:jc w:val="left"/>
        <w:tblInd w:w="0" w:type="dxa"/>
        <w:tblLayout w:type="fixed"/>
        <w:tblCellMar>
          <w:top w:w="28" w:type="dxa"/>
          <w:left w:w="28" w:type="dxa"/>
          <w:bottom w:w="28" w:type="dxa"/>
          <w:right w:w="28" w:type="dxa"/>
        </w:tblCellMar>
      </w:tblPr>
      <w:tblGrid>
        <w:gridCol w:w="841"/>
        <w:gridCol w:w="740"/>
        <w:gridCol w:w="743"/>
        <w:gridCol w:w="211"/>
        <w:gridCol w:w="826"/>
        <w:gridCol w:w="109"/>
        <w:gridCol w:w="109"/>
        <w:gridCol w:w="109"/>
        <w:gridCol w:w="109"/>
        <w:gridCol w:w="211"/>
        <w:gridCol w:w="976"/>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2, 2022</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Long-lived 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192,416</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countries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53,712</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Qorvo,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Qorvo, Inc. and subsidiaries (the Company) as of April 1, 2023 and April 2, 2022, the related consolidated statements of income, comprehensive income, stockholders’ equity and cash flows for each of the three years in the period ended April 1, 2023, and the related notes (collectively referred to as the "consolidated financial statements"). In our opinion, the consolidated financial statements present fairly, in all material respects, the financial position of the Company at April 1, 2023 and April 2, 2022, and the results of its operations and its cash flows for each of the three years in the period ended April 1, 2023,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April 1, 2023, based on criteria established in Internal Control-Integrated Framework issued by the Committee of Sponsoring Organizations of the Treadway Commission (2013 framework) and our report dated May 19, 2023 expressed an unqualified opinion thereon.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Inventory - Valuation</w:t>
      </w:r>
    </w:p>
    <w:tbl>
      <w:tblPr>
        <w:tblW w:w="10205" w:type="dxa"/>
        <w:jc w:val="left"/>
        <w:tblInd w:w="0" w:type="dxa"/>
        <w:tblLayout w:type="fixed"/>
        <w:tblCellMar>
          <w:top w:w="28" w:type="dxa"/>
          <w:left w:w="28" w:type="dxa"/>
          <w:bottom w:w="28" w:type="dxa"/>
          <w:right w:w="28" w:type="dxa"/>
        </w:tblCellMar>
      </w:tblPr>
      <w:tblGrid>
        <w:gridCol w:w="545"/>
        <w:gridCol w:w="480"/>
        <w:gridCol w:w="483"/>
        <w:gridCol w:w="2571"/>
        <w:gridCol w:w="2533"/>
        <w:gridCol w:w="3593"/>
      </w:tblGrid>
      <w:tr>
        <w:trPr/>
        <w:tc>
          <w:tcPr>
            <w:tcW w:w="5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593" w:type="dxa"/>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697"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ans-serif" w:hAnsi="Times New Roman;sans-serif"/>
                <w:b w:val="false"/>
                <w:color w:val="000000"/>
                <w:sz w:val="20"/>
              </w:rPr>
              <w:t>The Company’s inventory, net totaled $796.6 million as of April 1, 2023, representing approximately 11.9% of total assets. As explained in Note 1 to the consolidated financial statements, the Company assesses the valuation of all inventories including manufacturing raw materials, work-in-process, and finished goods each reporting period. Obsolete inventory or inventory in excess of management’s estimated demand forecasts is written down to its estimated net realizable value if less than cost by recording an inventory reserve at each reporting period.</w:t>
              <w:br/>
            </w:r>
            <w:r>
              <w:rPr>
                <w:rFonts w:ascii="Times New Roman;sans-serif" w:hAnsi="Times New Roman;sans-serif"/>
                <w:b w:val="false"/>
                <w:sz w:val="20"/>
              </w:rPr>
              <w:br/>
            </w:r>
            <w:r>
              <w:rPr>
                <w:rFonts w:ascii="Times New Roman;sans-serif" w:hAnsi="Times New Roman;sans-serif"/>
                <w:b w:val="false"/>
                <w:color w:val="000000"/>
                <w:sz w:val="20"/>
              </w:rPr>
              <w:t>Auditing management’s estimates for inventory reserves involved subjective auditor judgment because the assessment considers a number of factors, including estimated customer demand forecasts, technological obsolescence risks, and possible alternative uses that are affected at least partially by market and economic conditions outside the Company’s control.</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6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inventory reserve process. This included testing controls over management's review of the assumptions and data underlying the inventory reserves, such as demand forecasts and consideration of how factors outside of the Company’s control might affect the valuation of obsolete and excess inventory.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included, among others, evaluating the significant assumptions (e.g., customer demand forecasts, technological obsolescence, and possible alternative uses) and the accuracy and completeness of underlying data used in management’s assessment of inventory reserves. We evaluated inventory levels compared to forecasted demand, historical sales and specific product considerations. We also assessed the historical accuracy of management’s estimates for both the forecast assumptions and the reserve estimate.</w:t>
            </w:r>
          </w:p>
        </w:tc>
      </w:tr>
    </w:tbl>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2018.</w:t>
        <w:br/>
        <w:t>Raleigh, North Carolina</w:t>
        <w:br/>
        <w:t xml:space="preserve">May 19,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4a4a4eedb9149f1a6051c00883ee679_6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Qorvo,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Qorvo, Inc. and subsidiaries’ internal control over financial reporting as of April 1, 2023,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April 1, 2023, based on the COSO criteria.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April 1, 2023 and April 2, 2022, the related consolidated statements of income, comprehensive income, stockholders’ equity and cash flows for each of the three years in the period ended April 1, 2023, and the related notes and our report dated May 19, 2023 expressed an unqualified opinion thereon.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Ernst &amp; Young LLP </w:t>
        <w:br/>
        <w:t>Raleigh, North Carolina</w:t>
        <w:br/>
        <w:t xml:space="preserve">May 19,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the Company’s management, including our Chief Executive Officer and Chief Financial Officer, evaluated the effectiveness of the Company’s disclosure controls and procedures in accordance with Rule 13a-15 under the Exchange Act. Based on this evaluation, our Chief Executive Officer and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Our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our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ind w:left="0" w:right="0" w:hanging="225"/>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Management's assessment of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Management assessed the effectiveness of our internal control over financial reporting as of April 1, 2023. Management based this assessment on criteria for effective internal control over financial reporting described in</w:t>
      </w:r>
      <w:r>
        <w:rPr>
          <w:color w:val="000000"/>
        </w:rPr>
        <w:t xml:space="preserve">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Based on this assessment, management concluded that the Company's internal control over financial reporting was effective as of April 1, 2023, based on the criteria in the</w:t>
      </w:r>
      <w:r>
        <w:rPr>
          <w:color w:val="000000"/>
        </w:rPr>
        <w:t xml:space="preserve"> </w:t>
      </w:r>
      <w:r>
        <w:rPr>
          <w:rFonts w:ascii="Times New Roman;sans-serif" w:hAnsi="Times New Roman;sans-serif"/>
          <w:b w:val="false"/>
          <w:i/>
          <w:color w:val="000000"/>
          <w:sz w:val="20"/>
        </w:rPr>
        <w:t>Internal Control-Integrated Framework (2013)</w:t>
      </w:r>
      <w:r>
        <w:rPr>
          <w:color w:val="000000"/>
        </w:rPr>
        <w:t xml:space="preserve"> </w:t>
      </w:r>
      <w:r>
        <w:rPr>
          <w:rFonts w:ascii="Times New Roman;sans-serif" w:hAnsi="Times New Roman;sans-serif"/>
          <w:b w:val="false"/>
          <w:color w:val="000000"/>
          <w:sz w:val="20"/>
        </w:rPr>
        <w:t>issued by the COSO.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Ernst &amp; Young LLP, an independent registered public accounting firm, has issued an unqualified opinion on the effectiveness of the Company’s internal control over financial reporting, as of April 1, 2023, which is included in this Annual Report on Form 10-K under Part II, Item 8, "Financial Statements and Supplementary Data."</w:t>
      </w:r>
    </w:p>
    <w:p>
      <w:pPr>
        <w:pStyle w:val="TextBody"/>
        <w:bidi w:val="0"/>
        <w:spacing w:before="0" w:after="0"/>
        <w:jc w:val="left"/>
        <w:rPr/>
      </w:pPr>
      <w:r>
        <w:rPr/>
      </w:r>
    </w:p>
    <w:p>
      <w:pPr>
        <w:pStyle w:val="TextBody"/>
        <w:bidi w:val="0"/>
        <w:spacing w:lineRule="auto" w:line="288" w:before="0" w:after="0"/>
        <w:ind w:left="0" w:right="0" w:hanging="225"/>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Company's internal control over financial reporting during the quarter ended April 1, 2023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may be found in our definitive proxy statement for our 2023 Annual Meeting of Stockholders under the captions "Committees and Meetings," "Corporate Governance," "Executive Officers," "Procedures for Director Nominations," and "Proposal 1 - Election of Directors," and the information therein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we intend to disclose such amendment on our website. Any waiver of the Code of Business Conduct and Ethics for any executive officer or director must be approved by the Board and will be promptly disclosed in accordance with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may be found in our definitive proxy statement for our 2023 Annual Meeting of Stockholders under the captions "Executive Compensation" and "Compensation Committee Interlocks and Insider Participation," "Compensation Committee Report," "Compensation of Executive Officers," "Compensation of Directors," "CEO Pay Ratio Disclosure," and the information therein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may be found in our definitive proxy statement for our 2023 Annual Meeting of Stockholders under the captions "Security Ownership of Certain Beneficial Owners and Management" and "Equity Compensation Plan Information," and the information therein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may be found in our definitive proxy statement for our 2023 Annual Meeting of Stockholders under the captions "Related Person Transactions" and "Corporate Governance," and the information therein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may be found in our definitive proxy statement for our 2023 Annual Meeting of Stockholders under the captions "Proposal 3 - Ratification of Appointment of Qorvo's Independent Registered Public Accounting Firm" and "Corporate Governance," and the information therein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Consolidated Balance Sheets as of April 1, 2023 and April 2, 2022.</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    Consolidated Statements of Income for fiscal years 2023, 2022 and 2021.</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iii.    Consolidated Statements of Comprehensive Income for fiscal years 2023, 2022 and 2021.</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iv.    Consolidated Statements of Stockholders' Equity for fiscal years 2023, 2022 and 2021.</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v.    Consolidated Statements of Cash Flows for fiscal years 2023, 2022 and 2021.</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    Notes to Consolidated Financial Statements.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Reports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financial statement schedules are not included in this item as they are either included within the consolidated financial statements or the notes thereto in this Annual Report on Form 10-K or are inapplicable and, therefore, have been omitted.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The exhibits listed in the accompanying Exhibit Index are filed as a part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Exhibits.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Separate Financial Statements and Schedules.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2"/>
        <w:gridCol w:w="239"/>
        <w:gridCol w:w="240"/>
        <w:gridCol w:w="2939"/>
        <w:gridCol w:w="2726"/>
        <w:gridCol w:w="3789"/>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40" w:before="0" w:after="20"/>
              <w:jc w:val="both"/>
              <w:rPr>
                <w:color w:val="000000"/>
                <w:u w:val="single"/>
              </w:rPr>
            </w:pPr>
            <w:r>
              <w:rPr>
                <w:color w:val="000000"/>
                <w:u w:val="single"/>
              </w:rPr>
              <w:t>  </w:t>
            </w:r>
            <w:r>
              <w:rPr>
                <w:rFonts w:ascii="Times New Roman;sans-serif" w:hAnsi="Times New Roman;sans-serif"/>
                <w:b/>
                <w:color w:val="000000"/>
                <w:sz w:val="20"/>
                <w:u w:val="single"/>
              </w:rPr>
              <w:t>No.</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Certificate of Incorporation of Qorvo, Inc., as amended (incorporated by reference to Exhibit 3.1 to the Company’s Quarterly Report on Form 10-Q filed with the SEC on February 3, 2015)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Second Amended and Restated Bylaws of Qorvo, Inc., adopted on November 9, 2022 (incorporated by reference to Exhibit 3.1 to the Company's Current Report on Form 8-K filed with the SEC on November 10, 2022</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Specimen Certificate of Common Stock of Qorvo, Inc. (incorporated by reference to Exhibit 4.1 to the Company's Annual Report on Form 10-K filed with the SEC on May 27, 2015)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Indenture, dated as of September 30, 2019, among Qorvo, Inc., the Guarantors party thereto and Computershare Trust Company, N.A., as Successor Trustee to MUFG Union Bank, N.A. (incorporated by reference to Exhibit 4.1 to the Company's Current Report on Form 8-K filed with the SEC on October 1, 2019)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Supplemental Indenture, dated as of December 20, 2019, among Qorvo, Inc., the Guarantors party thereto and Computershare Trust Company, N.A., as Successor Trustee to MUFG Union Bank, N.A. (incorporated by reference to Exhibit 4.1 to the Company’s Current Report on Form 8-K filed with the SEC on December 20, 2019)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Second Supplemental Indenture, dated as of June 11, 2020, among Qorvo, Inc., the Guarantors party thereto and Computershare Trust Company, N.A., as Successor Trustee to MUFG Union Bank, N.A. (incorporated by reference to Exhibit 4.1 to the Company’s Current Report on Form 8-K filed with the SEC on June 11, 2020)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Indenture, dated as of September 29, 2020, among Qorvo, Inc., the Guarantors and Computershare Trust Company, N.A., as Successor Trustee to MUFG Union Bank, N.A. (incorporated by reference to Exhibit 4.1 to the Company’s Current Report on Form 8-K filed with the SEC on September 29, 2020)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Indenture, dated as of December 14, 2021, among Qorvo, Inc., the Guarantors party thereto and Computershare Trust Company, N.A., as Trustee (incorporated by reference to Exhibit 4.1 to the Current Report on Form 8-K filed with the SEC on December 14,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Registration Rights Agreement, dated as of December 14, 2021, by and among Qorvo, Inc., the Guarantors named therein and BofA Securities, Inc., as representative of the several Initial Purchasers named therein (incorporated by reference to Exhibit 4.2 to the Current Report on Form 8-K filed with the SEC on December 14, 2021)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8descriptionofsecu.htm">
              <w:r>
                <w:rPr>
                  <w:rStyle w:val="InternetLink"/>
                  <w:rFonts w:ascii="Times New Roman;sans-serif" w:hAnsi="Times New Roman;sans-serif"/>
                  <w:b w:val="false"/>
                  <w:color w:val="0000FF"/>
                  <w:sz w:val="20"/>
                  <w:u w:val="single"/>
                </w:rPr>
                <w:t>Description of Securities</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Qorvo, Inc. 2007 Employee Stock Purchase Plan (As Assumed and Amended by Qorvo, Inc., and as further amended, effective February 8, 2017) (incorporated by reference to Exhibit 10.1 to the Company's Annual Report on Form 10-K filed with the SEC on May 23, 2017)*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Qorvo, Inc. 2013 Incentive Plan (As Assumed and Amended by Qorvo, Inc.) (incorporated by reference to Exhibit 99.2 to the Company’s Registration Statement on Form S-8 filed with the SEC on January 5, 2015 (File No. 333-201357))*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Qorvo, Inc. 2012 Incentive Plan (As Assumed by Qorvo, Inc.) (incorporated by reference to Exhibit 99.3 to the Company’s Registration Statement on Form S-8 filed with the SEC on January 5, 2015 (File No. 333-201357))*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Qorvo, Inc. 2009 Incentive Plan (As Assumed by Qorvo, Inc.) (incorporated by reference to Exhibit 99.4 to the Company’s Registration Statement on Form S-8 filed with the SEC on January 5, 2015 (File No. 333-201357))*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Qorvo, Inc. 2012 Stock Incentive Plan (As Assumed by Qorvo, Inc. and Amended and Restated Effective January 1, 2015) (incorporated by reference to Exhibit 99.1 to the Company’s Registration Statement on Form S-8 filed with the SEC on January 5, 2015 (File No. 333-201358))*</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Qorvo, Inc. 2006 Directors Stock Option Plan (As Assumed by Qorvo, Inc. and Amended Effective January 1, 2015) (incorporated by reference to Exhibit 99.3 to the Company’s Registration Statement on Form S-8 filed with the SEC on January 5, 2015 (File No. 333-201358))*</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Nonemployee Directors’ Stock Option Plan of Qorvo, Inc. (As Assumed by Qorvo, Inc. and Amended Effective January 1, 2015) (incorporated by reference to Exhibit 99.4 to the Company’s Registration Statement on Form S-8 filed with the SEC on January 5, 2015 (File No. 333-201358))*</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Qorvo, Inc. 2015 Inducement Stock Plan (incorporated by reference to Exhibit 99.5 to the Company’s Registration Statement on Form S-8 filed with the SEC on January 5, 2015 (File No. 333-201358))*</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Qorvo, Inc. Form of Indemnification Agreement (incorporated by reference to Exhibit 10.1 to the Company’s Current Report on Form 8-K filed with the SEC on January 5, 2015)*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Qorvo, Inc. Form of Change in Control Agreement (incorporated by reference to Exhibit 10.1 to the Company’s Current Report on Form 8-K filed with the SEC on February 10, 2015)*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014"/>
        <w:gridCol w:w="2732"/>
        <w:gridCol w:w="387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7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Qorvo, Inc. Nonqualified Deferred Compensation Plan (As Assumed and Amended and Restated Effective January 1, 2015) (incorporated by reference to Exhibit 10.15 to the Company’s Annual Report on Form 10-K filed with the SEC on May 27, 2015)*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Qorvo, Inc. Cash Bonus Plan (As Assumed and Amended and Restated Effective January 1, 2015) (incorporated by reference to Exhibit 10.16 to the Company’s Annual Report on Form 10-K filed with the SEC on May 27, 2015)*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Employment Agreement, dated as of November 12, 2008, between RF Micro Devices, Inc. and Robert A. Bruggeworth (As Assumed by Qorvo, Inc.) (incorporated by reference to Exhibit 10.1 to RFMD’s Current Report on Form 8-K filed with the SEC on November 14, 2008 (File No. 000-22511))*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Form of Stock Option Agreement (Senior Officers) pursuant to the Qorvo, Inc. 2012 Stock Incentive Plan (incorporated by reference to Exhibit 10.3 to the Company’s Quarterly Report on Form 10-Q filed with the SEC on August 5, 2015)*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Restricted Stock Unit Agreement (Service-Based Award for Senior Officers) pursuant to the Qorvo, Inc. 2012 Stock Incentive Plan (incorporated by reference to Exhibit 10.4 to the Company’s Quarterly Report on Form 10-Q filed with the SEC on August 5, 2015)*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Form of Restricted Stock Unit Agreement (Performance-Based and Service-Based Award for Senior Officers) pursuant to the Qorvo, Inc. 2012 Stock Incentive Plan (incorporated by reference to Exhibit 10.5 to the Company’s Quarterly Report on Form 10-Q filed with the SEC on August 5, 2015)*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Restricted Stock Unit Agreement (Performance-Based Award for Senior Officers (TSR)) pursuant to the Qorvo, Inc. 2012 Stock Incentive Plan (incorporated by reference to Exhibit 10.6 to the Company’s Quarterly Report on Form 10-Q filed with the SEC on August 5, 2015)*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Qorvo, Inc. Severance Benefits Plan and Summary Plan Description (incorporated by reference to Exhibit 10.8 to the Company’s Quarterly Report on Form 10-Q filed with the SEC on August 5, 2015)*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Form of Stock Option Agreement (Senior Officers) pursuant to the Qorvo, Inc. 2012 Stock Incentive Plan (incorporated by reference to Exhibit 10.30 to the Company’s Annual Report on Form 10-K filed with the SEC on May 31, 2016)*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Form of Restricted Stock Unit Agreement (Service-Based Award for Senior Officers) pursuant to the Qorvo, Inc. 2012 Stock Incentive Plan (incorporated by reference to Exhibit 10.31 to the Company’s Annual Report on Form 10-K filed with the SEC on May 31, 2016)*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Form of Restricted Stock Unit Agreement (Performance-Based and Service-Based Award for Senior Officers) pursuant to the Qorvo, Inc. 2012 Stock Incentive Plan (incorporated by reference to Exhibit 10.32 to the Company’s Annual Report on Form 10-K filed with the SEC on May 31, 2016)*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Form of Restricted Stock Unit Agreement (Performance-Based Award for Senior Officers (TSR)) pursuant to the Qorvo, Inc. 2012 Stock Incentive Plan (incorporated by reference to Exhibit 10.33 to the Company’s Annual Report on Form 10-K filed with the SEC on May 31, 2016)*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Form of Restricted Stock Unit Award Agreement (Director Annual/Supplemental RSU) pursuant to the Qorvo, Inc. 2012 Stock Incentive Plan (incorporated by reference to Exhibit 10.34 to the Company’s Annual Report on Form 10-K filed with the SEC on May 31, 2016)*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Form of Restricted Stock Unit Award Agreement (Director Annual/Supplemental RSUs) (deferral election) pursuant to the Qorvo, Inc. 2012 Stock Incentive Plan (incorporated by reference to Exhibit 10.1 to the Company’s Quarterly Report on Form 10-Q filed with the SEC on August 5, 2016)*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Qorvo, Inc. Cash Bonus Plan (As Amended and Restated Through June 9, 2016) (incorporated by reference to Exhibit 10.1 to the Company’s Quarterly Report on Form 10-Q filed with the SEC on November 7, 2016)*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Qorvo, Inc. Short-Term Incentive Plan (As Amended and Restated Through May 11, 2017) (incorporated by reference to Exhibit 10.1 to the Company’s Current Report on Form 8-K filed with the SEC on May 17, 2017)*</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2018 Declaration of Amendment to Qorvo, Inc. Nonqualified Deferred Compensation Plan, effective as of April 1, 2018 (incorporated by reference to Exhibit 10.37 to the Company's Annual Report on Form 10-K filed with the SEC on May 21, 2018)*</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9619" w:type="dxa"/>
            <w:gridSpan w:val="3"/>
            <w:tcBorders/>
            <w:tcMar>
              <w:top w:w="0" w:type="dxa"/>
              <w:left w:w="0" w:type="dxa"/>
              <w:bottom w:w="0" w:type="dxa"/>
              <w:right w:w="0" w:type="dxa"/>
            </w:tcMar>
            <w:vAlign w:val="center"/>
          </w:tcPr>
          <w:p>
            <w:pPr>
              <w:pStyle w:val="TableContents"/>
              <w:bidi w:val="0"/>
              <w:spacing w:lineRule="auto" w:line="240" w:before="10" w:after="283"/>
              <w:jc w:val="left"/>
              <w:rPr/>
            </w:pPr>
            <w:hyperlink r:id="rId40">
              <w:r>
                <w:rPr>
                  <w:rStyle w:val="InternetLink"/>
                  <w:rFonts w:ascii="Times New Roman;sans-serif" w:hAnsi="Times New Roman;sans-serif"/>
                  <w:b w:val="false"/>
                  <w:color w:val="0000FF"/>
                  <w:sz w:val="20"/>
                  <w:u w:val="single"/>
                </w:rPr>
                <w:t>Second 2018 Declaration of Amendment to Qorvo, Inc. Nonqualified Deferred Compensation Plan, dated as of October 8, 2018 (incorporated by reference to Exhibit 10.1 to the Company’s Quarterly Report on Form 10-Q filed with the SEC on February 7, 2019)*</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2019 Declaration of Amendment to Qorvo, Inc. 2007 Employee Stock Purchase Plan, dated as of October 30, 2019 (incorporated by reference to Exhibit 10.1 to the Company’s Quarterly Report on Form 10-Q filed with the SEC on January 30, 2020)*</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2019 Declaration of Amendment to Qorvo, Inc. Nonqualified Deferred Compensation Plan, dated as of October 30, 2019 (incorporated by reference to Exhibit 10.2 to the Company’s Quarterly Report on Form 10-Q filed with the SEC on January 30, 2020)*</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015"/>
        <w:gridCol w:w="2734"/>
        <w:gridCol w:w="387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Amended and Restated Credit Agreement, dated as of September 29, 2020, by and among Qorvo, Inc., as the Borrower, certain subsidiaries of the Borrower identified therein, as the Guarantors, Bank of America, N.A., as Administrative Agent, Swing Line Lender and L/C Issuer, the other lenders party thereto, and Wells Fargo Bank, National Association, Citibank, N.A., TD Bank, National Association, MUFG Bank, Ltd., PNC Bank, National Association, Bank of the West and Morgan Stanley Bank, N.A., as Co-Syndication Agents (incorporated by reference to Exhibit 10.1 to the Company’s Current Report on Form 8-K filed with the SEC on September 29, 2020)</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2020 Declaration of Amendment to Qorvo, Inc. Nonqualified Deferred Compensation Plan, dated as of December 17, 2020 (incorporated by reference to Exhibit 10.1 to the Company’s Quarterly Report on Form 10-Q filed with the SEC on February 4, 2021)*</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 xml:space="preserve">2021 Declaration of Amendment to Qorvo, Inc. 2007 Employee Stock Purchase Plan (incorporated by reference to Exhibit 10.38 to the Company’s Annual Report on Form 10-K filed with the SEC on May 24, 2021)* </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LIBOR Transition Amendment, dated April 6, 2022, to Amended and Restated Credit Agreement, by and among Qorvo, Inc., as the Borrower, and Bank of America, N.A., as Administrative Agent (incorporated by reference to Exhibit 10.39 to the Company's Annual Report on Form 10-K filed with SEC on May 20, 2022)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Qorvo, Inc. 2022 Stock Incentive Plan (incorporated by reference to Exhibit 10.1 to the Current Report on Form 8-K filed with the SEC on August 10, 2022)*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Form of Restricted Stock Unit Agreement (Service-Based Award for Senior Officers) pursuant to the Qorvo, Inc. 2022 Stock Incentive Plan (incorporated by reference to Exhibit 10.2 to the Company's Quarterly Report on Form 10-Q filed with the SEC on November 3, 2022)*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Form of Restricted Stock Unit Agreement (Director Annual/Supplemental RSUs) pursuant to the Qorvo, Inc. 2022 Stock Incentive Plan (incorporated by reference to Exhibit 10.3 to the Company's Quarterly Report on Form 10-Q filed with the SEC on November 3, 2022)*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Form of Restricted Stock Unit Agreement (Performance-Based and Service-Based Award for Senior Officers) pursuant to the Qorvo, Inc. 2022 Stock Incentive Plan (incorporated by reference to Exhibit 10.4 to the Company's Quarterly Report on Form 10-Q filed with the SEC on November 3, 2022)*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20230401.htm">
              <w:r>
                <w:rPr>
                  <w:rStyle w:val="InternetLink"/>
                  <w:rFonts w:ascii="Times New Roman;sans-serif" w:hAnsi="Times New Roman;sans-serif"/>
                  <w:b w:val="false"/>
                  <w:color w:val="0000FF"/>
                  <w:sz w:val="20"/>
                  <w:u w:val="single"/>
                </w:rPr>
                <w:t>Subsidiaries of Qorvo, Inc.</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20230401.htm">
              <w:r>
                <w:rPr>
                  <w:rStyle w:val="InternetLink"/>
                  <w:rFonts w:ascii="Times New Roman;sans-serif" w:hAnsi="Times New Roman;sans-serif"/>
                  <w:b w:val="false"/>
                  <w:color w:val="0000FF"/>
                  <w:sz w:val="20"/>
                  <w:u w:val="single"/>
                </w:rPr>
                <w:t>List of Subsidiary Guarantors</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20230401.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30401.htm">
              <w:r>
                <w:rPr>
                  <w:rStyle w:val="InternetLink"/>
                  <w:rFonts w:ascii="Times New Roman;sans-serif" w:hAnsi="Times New Roman;sans-serif"/>
                  <w:b w:val="false"/>
                  <w:color w:val="0000FF"/>
                  <w:sz w:val="20"/>
                  <w:u w:val="single"/>
                </w:rPr>
                <w:t>Certification of Periodic Report by Robert A. Bruggeworth, as Chief Executive Officer, pursuant to Rule 13a-14(a) or 15d-14(a) of the Exchange Act, as adopted pursuant to Section 302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30401.htm">
              <w:r>
                <w:rPr>
                  <w:rStyle w:val="InternetLink"/>
                  <w:rFonts w:ascii="Times New Roman;sans-serif" w:hAnsi="Times New Roman;sans-serif"/>
                  <w:b w:val="false"/>
                  <w:color w:val="0000FF"/>
                  <w:sz w:val="20"/>
                  <w:u w:val="single"/>
                </w:rPr>
                <w:t>Certification of Periodic Report by Grant A. Brown, as Chief Financial Officer, pursuant to Rule 13a-14(a) or 15d-14(a) of the Exchange Act, as adopted pursuant to Section 302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30401.htm">
              <w:r>
                <w:rPr>
                  <w:rStyle w:val="InternetLink"/>
                  <w:rFonts w:ascii="Times New Roman;sans-serif" w:hAnsi="Times New Roman;sans-serif"/>
                  <w:b w:val="false"/>
                  <w:color w:val="0000FF"/>
                  <w:sz w:val="20"/>
                  <w:u w:val="single"/>
                </w:rPr>
                <w:t>Certification of Periodic Report by Robert A. Bruggeworth, as Chief Executive Officer, pursuant to 18 U.S.C. Section 1350, as adopted pursuant to Section 906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30401.htm">
              <w:r>
                <w:rPr>
                  <w:rStyle w:val="InternetLink"/>
                  <w:rFonts w:ascii="Times New Roman;sans-serif" w:hAnsi="Times New Roman;sans-serif"/>
                  <w:b w:val="false"/>
                  <w:color w:val="0000FF"/>
                  <w:sz w:val="20"/>
                  <w:u w:val="single"/>
                </w:rPr>
                <w:t>Certification of Periodic Report by Grant A. Brown, as Chief Financial Officer, pursuant to 18 U.S.C. Section 1350, as adopted pursuant to Section 906 of the Sarbanes-Oxley Act of 2002</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our Annual Report on Form 10-K for the fiscal year ended April 1, 2023, formatted in iXBRL (Inline eXtensible Business Reporting Language): (i) the Consolidated Balance Sheets; (ii) the Consolidated Statements of Income; (iii) the Consolidated Statements of Comprehensive Income; (iv) the Consolidated Statements of Stockholders' Equity; (v) the Consolidated Statements of Cash Flows; and (vi) the Notes to Consolidated Financial Statements.</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our Annual Report on Form 10-K for the year ended April 1, 2023, formatted in iXBRL</w:t>
            </w:r>
          </w:p>
        </w:tc>
      </w:tr>
    </w:tbl>
    <w:p>
      <w:pPr>
        <w:pStyle w:val="TextBody"/>
        <w:bidi w:val="0"/>
        <w:spacing w:lineRule="auto" w:line="41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Executive compensation plan or agreement</w:t>
      </w:r>
    </w:p>
    <w:p>
      <w:pPr>
        <w:pStyle w:val="TextBody"/>
        <w:bidi w:val="0"/>
        <w:spacing w:before="0" w:after="0"/>
        <w:jc w:val="left"/>
        <w:rPr/>
      </w:pPr>
      <w:r>
        <w:rPr/>
      </w:r>
    </w:p>
    <w:p>
      <w:pPr>
        <w:pStyle w:val="TextBody"/>
        <w:bidi w:val="0"/>
        <w:spacing w:before="0" w:after="0"/>
        <w:ind w:left="0" w:right="0" w:hanging="72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SEC file number for documents filed with the SEC pursuant to the Securities Exchange Act of 1934, as amended, is 001-36801. The SEC file number for RFMD is 000-22511.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both"/>
        <w:rPr/>
      </w:pPr>
      <w:r>
        <w:rPr/>
      </w:r>
    </w:p>
    <w:p>
      <w:pPr>
        <w:pStyle w:val="TextBody"/>
        <w:bidi w:val="0"/>
        <w:spacing w:before="0" w:after="0"/>
        <w:jc w:val="both"/>
        <w:rPr/>
      </w:pPr>
      <w:r>
        <w:rPr/>
      </w:r>
    </w:p>
    <w:tbl>
      <w:tblPr>
        <w:tblW w:w="5757"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057"/>
        <w:gridCol w:w="1057"/>
        <w:gridCol w:w="151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A. Bruggeworth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Robert A. Bruggeworth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President and Chief Executive Officer</w:t>
            </w:r>
          </w:p>
        </w:tc>
      </w:tr>
    </w:tbl>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POWER OF ATTORNEY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Robert A. Bruggeworth and Grant A. Brown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4a4a4eedb9149f1a6051c00883ee6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May 19, 2023.</w:t>
      </w:r>
    </w:p>
    <w:p>
      <w:pPr>
        <w:pStyle w:val="TextBody"/>
        <w:bidi w:val="0"/>
        <w:spacing w:before="0" w:after="0"/>
        <w:jc w:val="both"/>
        <w:rPr/>
      </w:pPr>
      <w:r>
        <w:rPr/>
      </w:r>
    </w:p>
    <w:tbl>
      <w:tblPr>
        <w:tblW w:w="7346" w:type="dxa"/>
        <w:jc w:val="left"/>
        <w:tblInd w:w="0" w:type="dxa"/>
        <w:tblLayout w:type="fixed"/>
        <w:tblCellMar>
          <w:top w:w="28" w:type="dxa"/>
          <w:left w:w="28" w:type="dxa"/>
          <w:bottom w:w="28" w:type="dxa"/>
          <w:right w:w="28" w:type="dxa"/>
        </w:tblCellMar>
      </w:tblPr>
      <w:tblGrid>
        <w:gridCol w:w="816"/>
        <w:gridCol w:w="715"/>
        <w:gridCol w:w="719"/>
        <w:gridCol w:w="109"/>
        <w:gridCol w:w="109"/>
        <w:gridCol w:w="109"/>
        <w:gridCol w:w="209"/>
        <w:gridCol w:w="209"/>
        <w:gridCol w:w="211"/>
        <w:gridCol w:w="1212"/>
        <w:gridCol w:w="1212"/>
        <w:gridCol w:w="1716"/>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A. Bruggeworth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A. Bruggeworth</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A.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 Brown</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Gina B. Harrison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Gina B. Harrison</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and Corporate Controller </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Ralph G. Quinsey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Ralph G. Quinsey</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Judy Bruner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Judy Bruner</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Jeffery R. Gardner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Jeffery R. Gardner</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Harding</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 Y. 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H. Y. Ho</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Roderick D.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Roderick D. Nelson</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Dr. Walden C. Rhines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Walden C. Rhines</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L. Spradley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L. Spradley</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EXHIBIT 4.8</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SECURITIES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i/>
          <w:color w:val="000000"/>
          <w:sz w:val="24"/>
        </w:rPr>
      </w:pPr>
      <w:r>
        <w:rPr>
          <w:rFonts w:ascii="Times New Roman;sans-serif" w:hAnsi="Times New Roman;sans-serif"/>
          <w:b w:val="false"/>
          <w:i/>
          <w:color w:val="000000"/>
          <w:sz w:val="24"/>
        </w:rPr>
        <w:t>Qorvo, Inc. (“Qorvo” or the “Company”) has one class of securities registered under Section 12 of the Securities Exchange Act of 1934, as amended (the “Exchange Act”). Qorvo’s common stock is registered under Section 12(b) of the Exchange Act and is listed on The Nasdaq Stock Market LLC under the symbol “QRVO”.</w: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rPr>
        <w:t xml:space="preserve">The following is a summary of the material terms of Qorvo’s capital stock. This summary is not complete and is qualified by reference to the </w:t>
      </w:r>
      <w:hyperlink r:id="rId51">
        <w:r>
          <w:rPr>
            <w:rStyle w:val="InternetLink"/>
          </w:rPr>
          <w:t>Company’s Amended and Restated Certificate of Incorporation, as amended</w:t>
        </w:r>
      </w:hyperlink>
      <w:r>
        <w:rPr>
          <w:rFonts w:ascii="Times New Roman;sans-serif" w:hAnsi="Times New Roman;sans-serif"/>
          <w:b w:val="false"/>
          <w:i/>
          <w:color w:val="3051F2"/>
          <w:sz w:val="24"/>
          <w:u w:val="single"/>
        </w:rPr>
        <w:t xml:space="preserve"> </w:t>
      </w:r>
      <w:r>
        <w:rPr>
          <w:rFonts w:ascii="Times New Roman;sans-serif" w:hAnsi="Times New Roman;sans-serif"/>
          <w:b w:val="false"/>
          <w:i/>
          <w:color w:val="000000"/>
          <w:sz w:val="24"/>
        </w:rPr>
        <w:t xml:space="preserve">(the “Certificate of Incorporation”), and its </w:t>
      </w:r>
      <w:hyperlink r:id="rId52">
        <w:r>
          <w:rPr>
            <w:rStyle w:val="InternetLink"/>
            <w:rFonts w:ascii="Times New Roman;sans-serif" w:hAnsi="Times New Roman;sans-serif"/>
            <w:b w:val="false"/>
            <w:i/>
            <w:color w:val="3051F2"/>
            <w:sz w:val="24"/>
            <w:u w:val="single"/>
          </w:rPr>
          <w:t>Second Amended and Restated Bylaws</w:t>
        </w:r>
      </w:hyperlink>
      <w:r>
        <w:rPr>
          <w:color w:val="000000"/>
        </w:rPr>
        <w:t xml:space="preserve"> </w:t>
      </w:r>
      <w:r>
        <w:rPr>
          <w:rFonts w:ascii="Times New Roman;sans-serif" w:hAnsi="Times New Roman;sans-serif"/>
          <w:b w:val="false"/>
          <w:i/>
          <w:color w:val="000000"/>
          <w:sz w:val="24"/>
        </w:rPr>
        <w:t>(the “Bylaws”). The Certificate of Incorporation and the Bylaws are filed as exhibits to the Company’s most recent Annual Report on Form 10-K and are incorporated by reference herein.</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Authorized Capital Stock</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Under its Certificate of Incorporation, Qorvo is currently authorized to issue up to 405,000,000 shares of common stock, $0.0001 par value (“Common Stock”), and 5,000,000 shares of preferred stock, $0.0001 par value (“Preferred Stock”).</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Common Stock</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April 1, 2023, there were 98,648,784 shares of Common Stock issued and outstanding, which were held of record by 643 stockholders. Holders of Common Stock are entitled to one vote per share, which shall be noncumulative. Subject to preferences that may be applicable to any outstanding Preferred Stock, the holders of Common Stock are entitled to receive dividends when, as and if declared by the Company’s board of directors out of funds legally available for payment. In the event of a voluntary or involuntary liquidation, dissolution or winding up of the Company, the holders of Common Stock are entitled to share equally in any of the assets available for distribution after the Company has paid in full all of its debts, subject to the prior distribution rights of Preferred Stock, if any, then outstanding. There are no redemption or sinking fund provisions applicable to the Common Stock, and holders of Common Stock are not entitled to preemptive rights. Shares of Common Stock are not convertible into any other class of securities. All outstanding shares of Common Stock are fully paid and non-assessable.</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Common Stock is listed on the Nasdaq Global Select Market under the symbol “QRVO”. The transfer agent and registrar for the Common Stock is Broadridge Corporate Issuer Solutions, Inc., 1717 Arch Street, Suite 1300, Philadelphia, Pennsylvania 19103.</w:t>
      </w:r>
    </w:p>
    <w:p>
      <w:pPr>
        <w:pStyle w:val="TextBody"/>
        <w:bidi w:val="0"/>
        <w:spacing w:before="0" w:after="2"/>
        <w:ind w:left="0" w:right="0" w:firstLine="7"/>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Preferred Stock</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Under the Certificate of Incorporation, the Company is authorized to issue up to 5,000,000 shares of Preferred Stock. The Company’s board of directors is authorized to fix by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resolution the designations, powers, preferences and rights, and the qualifications, limitations or restrictions thereof, of each series of Preferred Stock, including, without limitation, the authority to fix the dividend rights, dividend rate, conversion rights, voting rights, rights and terms of redemption (including sinking fund provisions), redemption price or prices, and liquidation preferences of any wholly unissued series of Preferred Stock, and the number of shares constituting any such series and the designation thereof, or any of the foregoing.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board of directors is also authorized to increase (but not above the total number of authorized shares of the class) or decrease (but not below the number of shares of any such series then outstanding) the number of shares of any series, the number of which was fixed by it, subsequent to the issue of shares of such series then outstanding, subject to the powers, preferences and rights, and the qualifications, limitations and restrictions thereof, stated in the resolution of the board of directors originally fixing the number of shares of such series. If the number of shares of any series is so decreased, then the shares constituting such decrease will resume the status which they had prior to the adoption of the resolution originally fixing the number of shares of such series.</w:t>
      </w:r>
    </w:p>
    <w:p>
      <w:pPr>
        <w:pStyle w:val="TextBody"/>
        <w:bidi w:val="0"/>
        <w:spacing w:lineRule="auto" w:line="288" w:before="0" w:after="2"/>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April 1, 2023, there were no shares of Preferred Stock outstanding.</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Certain Provisions of the Certificate of Incorporation, Bylaws and Delaware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Authorized but Unissued Shares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Authorized but unissued shares of Common Stock or Preferred Stock can be reserved for issuance by the Company’s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pStyle w:val="TextBody"/>
        <w:bidi w:val="0"/>
        <w:spacing w:lineRule="auto" w:line="288" w:before="0" w:after="0"/>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Advance Notice of Proposals and Nominations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Under the Bylaws, stockholder proposals and nominations for election of directors at the Company’s annual meeting of stockholders or at a special meeting of stockholders (which may only be called by the board of directors and at which stockholders may only make nominations for director) may be made by any stockholder entitled to vote only if the stockholder gives timely written notice to the Secretary of the Company. In the case of an annual meeting of stockholders, notice will be considered timely if it is delivered to the Secretary of the Company at the Company’s principal executive offices not earlier than the close of business on the 150th day and not later than the close of business on the 120th day prior to the first anniversary of the preceding year’s annual meeting; provided, however, that if no annual meeting was held in the previous year or the date of the annual meeting is more than 30 days before or more than 70 days after such anniversary, notice will be considered timely if delivered not earlier than the close of business on the 150th day prior to the date of that year’s annual meeting and not later than the close of business on the later of (i) the 120th day prior to the date of the annual meeting or (ii) the 10th day following the date of the public announcement. In the case of a special meeting of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stockholders, notice will be considered timely if it is delivered to the Secretary of the Company not earlier than the close of business on the 150th day prior to the date of the special meeting and not later than the close of business on the later of (i) the 120th day prior to the date of the special meeting or (ii) the 10th day following the date of the public announcement of the meeting date and of the nominees proposed by the Company’s board of directors.</w:t>
      </w:r>
    </w:p>
    <w:p>
      <w:pPr>
        <w:pStyle w:val="TextBody"/>
        <w:bidi w:val="0"/>
        <w:spacing w:lineRule="auto" w:line="288" w:before="0" w:after="0"/>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Certain Anti-Takeover Effects of Delaware Law</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203 of the General Corporation Law of the State of Delaware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(i) the board of directors of the target corporation has approved, before the acquisition date,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by the vote of at least two-thirds of the outstanding voting stock not owned by the interested stockholder at an annual or special meeting.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DGCL authorizes companies to make an election in their certificate of incorporation or bylaws not to be covered by Section 203 of the DGCL, but the Company has not made such an election and is, therefore, covered by the anti-takeover protections of the statute, which could delay, defer or prevent a change of control or discourage, impede or prevent a merger, tender offer, proxy contest or other transaction, even if such action would be favorable to the interests of its stockholders.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345" w:before="0" w:after="0"/>
        <w:jc w:val="both"/>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before="0" w:after="280"/>
        <w:jc w:val="both"/>
        <w:rPr/>
      </w:pPr>
      <w:r>
        <w:rPr/>
      </w:r>
    </w:p>
    <w:tbl>
      <w:tblPr>
        <w:tblW w:w="7615" w:type="dxa"/>
        <w:jc w:val="left"/>
        <w:tblInd w:w="0" w:type="dxa"/>
        <w:tblLayout w:type="fixed"/>
        <w:tblCellMar>
          <w:top w:w="28" w:type="dxa"/>
          <w:left w:w="28" w:type="dxa"/>
          <w:bottom w:w="28" w:type="dxa"/>
          <w:right w:w="28" w:type="dxa"/>
        </w:tblCellMar>
      </w:tblPr>
      <w:tblGrid>
        <w:gridCol w:w="1235"/>
        <w:gridCol w:w="1083"/>
        <w:gridCol w:w="1101"/>
        <w:gridCol w:w="109"/>
        <w:gridCol w:w="109"/>
        <w:gridCol w:w="109"/>
        <w:gridCol w:w="1131"/>
        <w:gridCol w:w="1131"/>
        <w:gridCol w:w="1607"/>
      </w:tblGrid>
      <w:tr>
        <w:trPr/>
        <w:tc>
          <w:tcPr>
            <w:tcW w:w="123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color w:val="000000"/>
                <w:sz w:val="20"/>
                <w:u w:val="single"/>
              </w:rPr>
            </w:pPr>
            <w:r>
              <w:rPr>
                <w:rFonts w:ascii="Times New Roman;sans-serif" w:hAnsi="Times New Roman;sans-serif"/>
                <w:b/>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color w:val="000000"/>
                <w:sz w:val="20"/>
                <w:u w:val="single"/>
              </w:rPr>
            </w:pPr>
            <w:r>
              <w:rPr>
                <w:rFonts w:ascii="Times New Roman;sans-serif" w:hAnsi="Times New Roman;sans-serif"/>
                <w:b/>
                <w:color w:val="000000"/>
                <w:sz w:val="20"/>
                <w:u w:val="single"/>
              </w:rPr>
              <w:t>State or Other Jurisdiction of Incorporation</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color w:val="000000"/>
                <w:sz w:val="20"/>
                <w:u w:val="single"/>
              </w:rPr>
            </w:pPr>
            <w:r>
              <w:rPr>
                <w:rFonts w:ascii="Times New Roman;sans-serif" w:hAnsi="Times New Roman;sans-serif"/>
                <w:b/>
                <w:color w:val="000000"/>
                <w:sz w:val="20"/>
                <w:u w:val="single"/>
              </w:rPr>
              <w:t>Domestic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Active-Semi,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Amalfi Semiconductor,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Decawave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NextInput,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Premier Devices - A Sirenza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Asia,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Biotechnologies,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California,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Europe Holding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International Holding,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International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Oregon,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RFMD Infrastructure Product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RFMD,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Sevenhugs,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TriQuint WJ,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Silicon Carbide,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WJ Newco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Xemod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color w:val="000000"/>
                <w:sz w:val="20"/>
                <w:u w:val="single"/>
              </w:rPr>
            </w:pPr>
            <w:r>
              <w:rPr>
                <w:rFonts w:ascii="Times New Roman;sans-serif" w:hAnsi="Times New Roman;sans-serif"/>
                <w:b/>
                <w:color w:val="000000"/>
                <w:sz w:val="20"/>
                <w:u w:val="single"/>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Active-Semi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Active-Semi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Decawave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Beijing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Belgium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Costa Rica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Costa Rica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Dezhou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Finland 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Finland</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Germany Holding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Hong Kong Holding Pvt.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International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Ireland Holding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Japan YK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Malaga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Munich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Paris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Philippines Silicon Carbide,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Shanghai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35" w:type="dxa"/>
        <w:jc w:val="left"/>
        <w:tblInd w:w="0" w:type="dxa"/>
        <w:tblLayout w:type="fixed"/>
        <w:tblCellMar>
          <w:top w:w="28" w:type="dxa"/>
          <w:left w:w="28" w:type="dxa"/>
          <w:bottom w:w="28" w:type="dxa"/>
          <w:right w:w="28" w:type="dxa"/>
        </w:tblCellMar>
      </w:tblPr>
      <w:tblGrid>
        <w:gridCol w:w="1046"/>
        <w:gridCol w:w="921"/>
        <w:gridCol w:w="927"/>
        <w:gridCol w:w="109"/>
        <w:gridCol w:w="109"/>
        <w:gridCol w:w="109"/>
        <w:gridCol w:w="442"/>
        <w:gridCol w:w="442"/>
        <w:gridCol w:w="630"/>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Toulouse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Utrecht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Vietnam Company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Vietnam</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RF Micro Devices Svenska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bl>
    <w:p>
      <w:pPr>
        <w:pStyle w:val="TextBody"/>
        <w:bidi w:val="0"/>
        <w:spacing w:before="160" w:after="283"/>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All of the above listed entities are 100% directly or indirectly owned by Qorvo, Inc., and their results of operations are included in the consolidated financial statements.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Exhibit 22</w:t>
      </w:r>
    </w:p>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List of Subsidiary Guarantors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1.750% Senior Notes due 2024, the 4.375% Senior Notes due 2029 and the 3.375% Senior Notes due 2031 are guaranteed, jointly and severally, on an unsecured basis, by the following 100% owned subsidiaries of Qorvo, Inc., a Delaware corporation, as of April 1, 2023:</w:t>
      </w:r>
    </w:p>
    <w:p>
      <w:pPr>
        <w:pStyle w:val="TextBody"/>
        <w:bidi w:val="0"/>
        <w:spacing w:before="0" w:after="0"/>
        <w:jc w:val="left"/>
        <w:rPr/>
      </w:pPr>
      <w:r>
        <w:rPr/>
      </w:r>
    </w:p>
    <w:tbl>
      <w:tblPr>
        <w:tblW w:w="5158" w:type="dxa"/>
        <w:jc w:val="center"/>
        <w:tblInd w:w="0" w:type="dxa"/>
        <w:tblLayout w:type="fixed"/>
        <w:tblCellMar>
          <w:top w:w="28" w:type="dxa"/>
          <w:left w:w="28" w:type="dxa"/>
          <w:bottom w:w="28" w:type="dxa"/>
          <w:right w:w="28" w:type="dxa"/>
        </w:tblCellMar>
      </w:tblPr>
      <w:tblGrid>
        <w:gridCol w:w="846"/>
        <w:gridCol w:w="742"/>
        <w:gridCol w:w="751"/>
        <w:gridCol w:w="824"/>
        <w:gridCol w:w="824"/>
        <w:gridCol w:w="1171"/>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2" w:space="0" w:color="000000"/>
              <w:left w:val="single" w:sz="2" w:space="0" w:color="000000"/>
            </w:tcBorders>
            <w:shd w:fill="D9D9D9" w:val="clear"/>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Entity</w:t>
            </w:r>
          </w:p>
        </w:tc>
        <w:tc>
          <w:tcPr>
            <w:tcW w:w="2819" w:type="dxa"/>
            <w:gridSpan w:val="3"/>
            <w:tcBorders>
              <w:top w:val="single" w:sz="2" w:space="0" w:color="000000"/>
              <w:left w:val="single" w:sz="2" w:space="0" w:color="000000"/>
              <w:right w:val="single" w:sz="2" w:space="0" w:color="000000"/>
            </w:tcBorders>
            <w:shd w:fill="D9D9D9"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Jurisdiction of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Incorporation or Organization </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Amalfi Semiconductor,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RFMD,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California,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US,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Texas,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233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Qorvo Oregon, Inc.</w:t>
            </w:r>
          </w:p>
        </w:tc>
        <w:tc>
          <w:tcPr>
            <w:tcW w:w="2819"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1.Registration Statement (Form S-4 No. 333-195236) of Qorvo, Inc.,</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2.Registration Statement (Form S-8 No. 333-201357) pertaining to the Qorvo, Inc. 2007 Employee Stock Purchase Plan, Qorvo, Inc. 2013 Incentive Plan, Qorvo, Inc. 2012 Incentive Plan, Qorvo, Inc. 2009 Incentive Plan, Qorvo, Inc. 2008 Inducement Program, and the Qorvo, Inc. 1996 Stock Incentive Program,</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3.Registration Statement (Form S-8 No. 333-201358) pertaining to the Qorvo, Inc. 2012 Stock Incentive Plan, 2003 Stock Incentive Plan of Qorvo, Inc., Qorvo, Inc. 2006 Directors Stock Option Plan, Nonemployee Directors’ Stock Option Plan of Qorvo, Inc., and the Qorvo, Inc. 2015 Inducement Stock Plan,</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4.Registration Statement (Form S-8 No. 333-266687) pertaining to the Qorvo, Inc. 2012 Stock Incentive Plan, and</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5.Registration Statement (Form S-8 No. 333-266752) pertaining to the Qorvo, Inc. 2022 Stock Incentive Plan;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of our reports dated May 19, 2023, with respect to the consolidated financial statements of Qorvo, Inc. and subsidiaries and the effectiveness of internal control over financial reporting of Qorvo, Inc. and subsidiaries included in this Annual Report (Form 10-K) of Qorvo, Inc. for the year ended April 1,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 Ernst &amp; Young LLP </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Raleigh, North Carolina</w:t>
      </w:r>
    </w:p>
    <w:p>
      <w:pPr>
        <w:pStyle w:val="TextBody"/>
        <w:bidi w:val="0"/>
        <w:spacing w:lineRule="auto" w:line="268"/>
        <w:jc w:val="both"/>
        <w:rPr/>
      </w:pPr>
      <w:r>
        <w:rPr>
          <w:rFonts w:ascii="Times New Roman;sans-serif" w:hAnsi="Times New Roman;sans-serif"/>
          <w:b w:val="false"/>
          <w:color w:val="000000"/>
          <w:sz w:val="22"/>
        </w:rPr>
        <w:t>May 19, 2023</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EXCHANGE ACT,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Robert A. Bruggeworth,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annual report on Form 10-K of Qorvo, Inc.;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 xml:space="preserve">Date: May 19, 2023 </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EXCHANGE ACT,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Grant A. Brown,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Qorvo,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Date: May 19, 2023</w:t>
      </w:r>
    </w:p>
    <w:tbl>
      <w:tblPr>
        <w:tblW w:w="4526" w:type="dxa"/>
        <w:jc w:val="center"/>
        <w:tblInd w:w="0" w:type="dxa"/>
        <w:tblLayout w:type="fixed"/>
        <w:tblCellMar>
          <w:top w:w="28" w:type="dxa"/>
          <w:left w:w="28" w:type="dxa"/>
          <w:bottom w:w="28" w:type="dxa"/>
          <w:right w:w="28" w:type="dxa"/>
        </w:tblCellMar>
      </w:tblPr>
      <w:tblGrid>
        <w:gridCol w:w="124"/>
        <w:gridCol w:w="109"/>
        <w:gridCol w:w="109"/>
        <w:gridCol w:w="1225"/>
        <w:gridCol w:w="1225"/>
        <w:gridCol w:w="1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Robert A. Bruggeworth, President and Chief Executive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    the Annual Report on Form 10-K of the Company for the fiscal year ended April 1, 2023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598" w:type="dxa"/>
        <w:jc w:val="left"/>
        <w:tblInd w:w="0" w:type="dxa"/>
        <w:tblLayout w:type="fixed"/>
        <w:tblCellMar>
          <w:top w:w="28" w:type="dxa"/>
          <w:left w:w="28" w:type="dxa"/>
          <w:bottom w:w="28" w:type="dxa"/>
          <w:right w:w="28" w:type="dxa"/>
        </w:tblCellMar>
      </w:tblPr>
      <w:tblGrid>
        <w:gridCol w:w="124"/>
        <w:gridCol w:w="109"/>
        <w:gridCol w:w="109"/>
        <w:gridCol w:w="1294"/>
        <w:gridCol w:w="1294"/>
        <w:gridCol w:w="12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19,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Grant A. Brown, Senior Vice President and Chief Financial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(1)    the Annual Report on Form 10-K of the Company for the fiscal year ended April 1, 2023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tbl>
      <w:tblPr>
        <w:tblW w:w="5738" w:type="dxa"/>
        <w:jc w:val="left"/>
        <w:tblInd w:w="0" w:type="dxa"/>
        <w:tblLayout w:type="fixed"/>
        <w:tblCellMar>
          <w:top w:w="28" w:type="dxa"/>
          <w:left w:w="28" w:type="dxa"/>
          <w:bottom w:w="28" w:type="dxa"/>
          <w:right w:w="28" w:type="dxa"/>
        </w:tblCellMar>
      </w:tblPr>
      <w:tblGrid>
        <w:gridCol w:w="124"/>
        <w:gridCol w:w="109"/>
        <w:gridCol w:w="109"/>
        <w:gridCol w:w="1673"/>
        <w:gridCol w:w="1673"/>
        <w:gridCol w:w="16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 xml:space="preserve">Senior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19,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604778/000160477815000011/exhibit3120141227.htm" TargetMode="External"/><Relationship Id="rId5" Type="http://schemas.openxmlformats.org/officeDocument/2006/relationships/hyperlink" Target="https://www.sec.gov/Archives/edgar/data/1604778/000119312522282755/d601266dex31.htm" TargetMode="External"/><Relationship Id="rId6" Type="http://schemas.openxmlformats.org/officeDocument/2006/relationships/hyperlink" Target="http://www.sec.gov/Archives/edgar/data/1604778/000160477815000051/exhibit4120150328.htm" TargetMode="External"/><Relationship Id="rId7" Type="http://schemas.openxmlformats.org/officeDocument/2006/relationships/hyperlink" Target="https://www.sec.gov/Archives/edgar/data/0001604778/000160477819000072/qorvo-indenturefall201.htm" TargetMode="External"/><Relationship Id="rId8" Type="http://schemas.openxmlformats.org/officeDocument/2006/relationships/hyperlink" Target="https://www.sec.gov/Archives/edgar/data/1604778/000160477819000099/qorvo-supplementalinde.htm" TargetMode="External"/><Relationship Id="rId9" Type="http://schemas.openxmlformats.org/officeDocument/2006/relationships/hyperlink" Target="https://www.sec.gov/Archives/edgar/data/0001604778/000119312520166705/d941453dex41.htm" TargetMode="External"/><Relationship Id="rId10" Type="http://schemas.openxmlformats.org/officeDocument/2006/relationships/hyperlink" Target="https://www.sec.gov/Archives/edgar/data/0001604778/000119312520257877/d51558dex41.htm" TargetMode="External"/><Relationship Id="rId11" Type="http://schemas.openxmlformats.org/officeDocument/2006/relationships/hyperlink" Target="https://www.sec.gov/Archives/edgar/data/1604778/000119312521356784/d267681dex41.htm" TargetMode="External"/><Relationship Id="rId12" Type="http://schemas.openxmlformats.org/officeDocument/2006/relationships/hyperlink" Target="https://www.sec.gov/Archives/edgar/data/1604778/000119312521356784/d267681dex42.htm" TargetMode="External"/><Relationship Id="rId13" Type="http://schemas.openxmlformats.org/officeDocument/2006/relationships/hyperlink" Target="http://www.sec.gov/Archives/edgar/data/1604778/000160477817000031/exhibit10120170401.htm" TargetMode="External"/><Relationship Id="rId14" Type="http://schemas.openxmlformats.org/officeDocument/2006/relationships/hyperlink" Target="http://www.sec.gov/Archives/edgar/data/1604778/000119312515000770/d840258dex992.htm" TargetMode="External"/><Relationship Id="rId15" Type="http://schemas.openxmlformats.org/officeDocument/2006/relationships/hyperlink" Target="http://www.sec.gov/Archives/edgar/data/1604778/000119312515000770/d840258dex993.htm" TargetMode="External"/><Relationship Id="rId16" Type="http://schemas.openxmlformats.org/officeDocument/2006/relationships/hyperlink" Target="http://www.sec.gov/Archives/edgar/data/1604778/000119312515000770/d840258dex994.htm" TargetMode="External"/><Relationship Id="rId17" Type="http://schemas.openxmlformats.org/officeDocument/2006/relationships/hyperlink" Target="http://www.sec.gov/Archives/edgar/data/1604778/000119312515000771/d840388dex991.htm" TargetMode="External"/><Relationship Id="rId18" Type="http://schemas.openxmlformats.org/officeDocument/2006/relationships/hyperlink" Target="http://www.sec.gov/Archives/edgar/data/1604778/000119312515000771/d840388dex993.htm" TargetMode="External"/><Relationship Id="rId19" Type="http://schemas.openxmlformats.org/officeDocument/2006/relationships/hyperlink" Target="http://www.sec.gov/Archives/edgar/data/1604778/000119312515000771/d840388dex994.htm" TargetMode="External"/><Relationship Id="rId20" Type="http://schemas.openxmlformats.org/officeDocument/2006/relationships/hyperlink" Target="http://www.sec.gov/Archives/edgar/data/1604778/000119312515000771/d840388dex995.htm" TargetMode="External"/><Relationship Id="rId21" Type="http://schemas.openxmlformats.org/officeDocument/2006/relationships/hyperlink" Target="http://www.sec.gov/Archives/edgar/data/1604778/000119312515001853/d841781dex101.htm" TargetMode="External"/><Relationship Id="rId22" Type="http://schemas.openxmlformats.org/officeDocument/2006/relationships/hyperlink" Target="http://www.sec.gov/Archives/edgar/data/1604778/000160477815000018/qorvocicagreement2015final1.htm" TargetMode="External"/><Relationship Id="rId23" Type="http://schemas.openxmlformats.org/officeDocument/2006/relationships/hyperlink" Target="http://www.sec.gov/Archives/edgar/data/1604778/000160477815000051/exhibit101520150328.htm" TargetMode="External"/><Relationship Id="rId24" Type="http://schemas.openxmlformats.org/officeDocument/2006/relationships/hyperlink" Target="http://www.sec.gov/Archives/edgar/data/1604778/000160477815000051/exhibit101620150328.htm" TargetMode="External"/><Relationship Id="rId25" Type="http://schemas.openxmlformats.org/officeDocument/2006/relationships/hyperlink" Target="http://www.sec.gov/Archives/edgar/data/911160/000091116008000034/employmentagreement.htm" TargetMode="External"/><Relationship Id="rId26" Type="http://schemas.openxmlformats.org/officeDocument/2006/relationships/hyperlink" Target="http://www.sec.gov/Archives/edgar/data/1604778/000160477815000075/ex103-qorvo2012sipoptionag.htm" TargetMode="External"/><Relationship Id="rId27" Type="http://schemas.openxmlformats.org/officeDocument/2006/relationships/hyperlink" Target="http://www.sec.gov/Archives/edgar/data/1604778/000160477815000075/ex104-qorvo2012siprsuagree.htm" TargetMode="External"/><Relationship Id="rId28" Type="http://schemas.openxmlformats.org/officeDocument/2006/relationships/hyperlink" Target="http://www.sec.gov/Archives/edgar/data/1604778/000160477815000075/ex105-qorvo2012siprsuagree.htm" TargetMode="External"/><Relationship Id="rId29" Type="http://schemas.openxmlformats.org/officeDocument/2006/relationships/hyperlink" Target="http://www.sec.gov/Archives/edgar/data/1604778/000160477815000075/ex106-qorvo2012siprsuagree.htm" TargetMode="External"/><Relationship Id="rId30" Type="http://schemas.openxmlformats.org/officeDocument/2006/relationships/hyperlink" Target="http://www.sec.gov/Archives/edgar/data/1604778/000160477815000075/ex108-qorvoseverancebenefi.htm" TargetMode="External"/><Relationship Id="rId31" Type="http://schemas.openxmlformats.org/officeDocument/2006/relationships/hyperlink" Target="http://www.sec.gov/Archives/edgar/data/1604778/000160477816000175/exhibit103020160402.htm" TargetMode="External"/><Relationship Id="rId32" Type="http://schemas.openxmlformats.org/officeDocument/2006/relationships/hyperlink" Target="http://www.sec.gov/Archives/edgar/data/1604778/000160477816000175/exhibit103120160402.htm" TargetMode="External"/><Relationship Id="rId33" Type="http://schemas.openxmlformats.org/officeDocument/2006/relationships/hyperlink" Target="http://www.sec.gov/Archives/edgar/data/1604778/000160477816000175/exhibit103220160402.htm" TargetMode="External"/><Relationship Id="rId34" Type="http://schemas.openxmlformats.org/officeDocument/2006/relationships/hyperlink" Target="http://www.sec.gov/Archives/edgar/data/1604778/000160477816000175/exhibit103320160402.htm" TargetMode="External"/><Relationship Id="rId35" Type="http://schemas.openxmlformats.org/officeDocument/2006/relationships/hyperlink" Target="http://www.sec.gov/Archives/edgar/data/1604778/000160477816000175/exhibit103420160402.htm" TargetMode="External"/><Relationship Id="rId36" Type="http://schemas.openxmlformats.org/officeDocument/2006/relationships/hyperlink" Target="http://www.sec.gov/Archives/edgar/data/1604778/000160477816000193/exhibit10120160702.htm" TargetMode="External"/><Relationship Id="rId37" Type="http://schemas.openxmlformats.org/officeDocument/2006/relationships/hyperlink" Target="http://www.sec.gov/Archives/edgar/data/1604778/000160477816000211/exhibit10120161001.htm" TargetMode="External"/><Relationship Id="rId38" Type="http://schemas.openxmlformats.org/officeDocument/2006/relationships/hyperlink" Target="http://www.sec.gov/Archives/edgar/data/1604778/000160477817000025/exhibit10stincentiveplanma.htm" TargetMode="External"/><Relationship Id="rId39" Type="http://schemas.openxmlformats.org/officeDocument/2006/relationships/hyperlink" Target="http://www.sec.gov/Archives/edgar/data/1604778/000160477818000023/exhibit1037qorvo_2018amend.htm" TargetMode="External"/><Relationship Id="rId40" Type="http://schemas.openxmlformats.org/officeDocument/2006/relationships/hyperlink" Target="http://www.sec.gov/Archives/edgar/data/1604778/000160477819000008/exhibit101-second2018decla.htm" TargetMode="External"/><Relationship Id="rId41" Type="http://schemas.openxmlformats.org/officeDocument/2006/relationships/hyperlink" Target="https://www.sec.gov/Archives/edgar/data/1604778/000160477820000008/exhibit10120191228.htm" TargetMode="External"/><Relationship Id="rId42" Type="http://schemas.openxmlformats.org/officeDocument/2006/relationships/hyperlink" Target="https://www.sec.gov/Archives/edgar/data/1604778/000160477820000008/exhibit10220191228.htm" TargetMode="External"/><Relationship Id="rId43" Type="http://schemas.openxmlformats.org/officeDocument/2006/relationships/hyperlink" Target="https://www.sec.gov/Archives/edgar/data/1604778/000119312520257877/d51558dex101.htm" TargetMode="External"/><Relationship Id="rId44" Type="http://schemas.openxmlformats.org/officeDocument/2006/relationships/hyperlink" Target="https://www.sec.gov/Archives/edgar/data/1604778/000160477821000010/exhibit10120210102.htm" TargetMode="External"/><Relationship Id="rId45" Type="http://schemas.openxmlformats.org/officeDocument/2006/relationships/hyperlink" Target="https://www.sec.gov/Archives/edgar/data/1604778/000160477821000032/exhibit103820210403.htm" TargetMode="External"/><Relationship Id="rId46" Type="http://schemas.openxmlformats.org/officeDocument/2006/relationships/hyperlink" Target="https://www.sec.gov/Archives/edgar/data/1604778/000160477822000029/qorvo-libortransitionamend.htm" TargetMode="External"/><Relationship Id="rId47" Type="http://schemas.openxmlformats.org/officeDocument/2006/relationships/hyperlink" Target="https://www.sec.gov/Archives/edgar/data/1604778/000119312522217402/d371050dex101.htm" TargetMode="External"/><Relationship Id="rId48" Type="http://schemas.openxmlformats.org/officeDocument/2006/relationships/hyperlink" Target="https://www.sec.gov/Archives/edgar/data/1604778/000160477822000064/seniorofficerservice-based.htm" TargetMode="External"/><Relationship Id="rId49" Type="http://schemas.openxmlformats.org/officeDocument/2006/relationships/hyperlink" Target="https://www.sec.gov/Archives/edgar/data/1604778/000160477822000064/directorrsuawardagreementv2.htm" TargetMode="External"/><Relationship Id="rId50" Type="http://schemas.openxmlformats.org/officeDocument/2006/relationships/hyperlink" Target="https://www.sec.gov/Archives/edgar/data/1604778/000160477822000064/seniorofficerperformancean.htm" TargetMode="External"/><Relationship Id="rId51" Type="http://schemas.openxmlformats.org/officeDocument/2006/relationships/hyperlink" Target="https://www.sec.gov/Archives/edgar/data/1604778/000160477815000011/exhibit3120141227.htm" TargetMode="External"/><Relationship Id="rId52" Type="http://schemas.openxmlformats.org/officeDocument/2006/relationships/hyperlink" Target="https://www.sec.gov/Archives/edgar/data/1604778/000119312522282755/d601266dex31.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51998</Words>
  <Characters>295119</Characters>
  <CharactersWithSpaces>344842</CharactersWithSpaces>
  <Paragraphs>3569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