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July 3,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40" w:type="dxa"/>
            <w:vAlign w:val="bottom"/>
          </w:tcPr>
          <w:p>
            <w:pPr>
              <w:jc w:val="center"/>
              <w:ind w:right="77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(I.R.S. employer identification no.)</w:t>
            </w:r>
          </w:p>
        </w:tc>
      </w:tr>
      <w:tr>
        <w:trPr>
          <w:trHeight w:val="312"/>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2"/>
              </w:rPr>
              <w:t>7628 Thorndike Road</w:t>
            </w:r>
          </w:p>
        </w:tc>
        <w:tc>
          <w:tcPr>
            <w:tcW w:w="3160" w:type="dxa"/>
            <w:vAlign w:val="bottom"/>
          </w:tcPr>
          <w:p>
            <w:pPr>
              <w:spacing w:after="0"/>
              <w:rPr>
                <w:sz w:val="24"/>
                <w:szCs w:val="24"/>
                <w:color w:val="auto"/>
              </w:rPr>
            </w:pPr>
          </w:p>
        </w:tc>
      </w:tr>
      <w:tr>
        <w:trPr>
          <w:trHeight w:val="234"/>
        </w:trPr>
        <w:tc>
          <w:tcPr>
            <w:tcW w:w="4740" w:type="dxa"/>
            <w:vAlign w:val="bottom"/>
          </w:tcPr>
          <w:p>
            <w:pPr>
              <w:jc w:val="center"/>
              <w:ind w:right="554"/>
              <w:spacing w:after="0"/>
              <w:rPr>
                <w:sz w:val="20"/>
                <w:szCs w:val="20"/>
                <w:color w:val="auto"/>
              </w:rPr>
            </w:pPr>
            <w:r>
              <w:rPr>
                <w:rFonts w:ascii="Arial" w:cs="Arial" w:eastAsia="Arial" w:hAnsi="Arial"/>
                <w:sz w:val="18"/>
                <w:szCs w:val="18"/>
                <w:b w:val="1"/>
                <w:bCs w:val="1"/>
                <w:color w:val="auto"/>
                <w:w w:val="91"/>
              </w:rPr>
              <w:t>Greensboro, North Carolina</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40" w:type="dxa"/>
            <w:vAlign w:val="bottom"/>
          </w:tcPr>
          <w:p>
            <w:pPr>
              <w:jc w:val="center"/>
              <w:ind w:right="514"/>
              <w:spacing w:after="0"/>
              <w:rPr>
                <w:sz w:val="20"/>
                <w:szCs w:val="20"/>
                <w:color w:val="auto"/>
              </w:rPr>
            </w:pPr>
            <w:r>
              <w:rPr>
                <w:rFonts w:ascii="Arial" w:cs="Arial" w:eastAsia="Arial" w:hAnsi="Arial"/>
                <w:sz w:val="16"/>
                <w:szCs w:val="16"/>
                <w:color w:val="auto"/>
                <w:w w:val="94"/>
              </w:rPr>
              <w:t>(Address of principal executive office)</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994"/>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2021, there were 111,141,526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ind w:right="1450"/>
              <w:spacing w:after="0"/>
              <w:rPr>
                <w:sz w:val="20"/>
                <w:szCs w:val="20"/>
                <w:color w:val="auto"/>
              </w:rPr>
            </w:pPr>
            <w:r>
              <w:rPr>
                <w:rFonts w:ascii="Arial" w:cs="Arial" w:eastAsia="Arial" w:hAnsi="Arial"/>
                <w:sz w:val="18"/>
                <w:szCs w:val="18"/>
                <w:b w:val="1"/>
                <w:bCs w:val="1"/>
                <w:color w:val="auto"/>
              </w:rPr>
              <w:t>INDEX</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 xml:space="preserve">Item 1. Financial Statements </w:t>
              </w:r>
            </w:hyperlink>
            <w:r>
              <w:rPr>
                <w:rFonts w:ascii="Arial" w:cs="Arial" w:eastAsia="Arial" w:hAnsi="Arial"/>
                <w:sz w:val="18"/>
                <w:szCs w:val="18"/>
                <w:b w:val="1"/>
                <w:bCs w:val="1"/>
                <w:color w:val="0000FF"/>
              </w:rPr>
              <w:t>(Unaudited).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Balance Sheets</w:t>
              </w:r>
            </w:hyperlink>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w:t>
              </w:r>
            </w:hyperlink>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37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w:t>
              </w:r>
            </w:hyperlink>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7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Item 2. Management's Discussion and Analysis of Financial Condition and Results of Operations.</w:t>
              </w:r>
            </w:hyperlink>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9"/>
        </w:trPr>
        <w:tc>
          <w:tcPr>
            <w:tcW w:w="560" w:type="dxa"/>
            <w:vAlign w:val="bottom"/>
            <w:gridSpan w:val="2"/>
          </w:tcPr>
          <w:p>
            <w:pPr>
              <w:spacing w:after="0"/>
              <w:rPr>
                <w:rFonts w:ascii="Arial" w:cs="Arial" w:eastAsia="Arial" w:hAnsi="Arial"/>
                <w:sz w:val="18"/>
                <w:szCs w:val="18"/>
                <w:b w:val="1"/>
                <w:bCs w:val="1"/>
                <w:color w:val="0000FF"/>
                <w:w w:val="94"/>
              </w:rPr>
            </w:pPr>
            <w:hyperlink w:anchor="page24">
              <w:r>
                <w:rPr>
                  <w:rFonts w:ascii="Arial" w:cs="Arial" w:eastAsia="Arial" w:hAnsi="Arial"/>
                  <w:sz w:val="18"/>
                  <w:szCs w:val="18"/>
                  <w:b w:val="1"/>
                  <w:bCs w:val="1"/>
                  <w:color w:val="0000FF"/>
                  <w:w w:val="94"/>
                </w:rPr>
                <w:t>Item 3.</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Quantitative and Qualitative Disclosures About Market Risk.</w:t>
              </w:r>
            </w:hyperlink>
          </w:p>
        </w:tc>
        <w:tc>
          <w:tcPr>
            <w:tcW w:w="370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gridSpan w:val="2"/>
          </w:tcPr>
          <w:p>
            <w:pPr>
              <w:spacing w:after="0"/>
              <w:rPr>
                <w:rFonts w:ascii="Arial" w:cs="Arial" w:eastAsia="Arial" w:hAnsi="Arial"/>
                <w:sz w:val="18"/>
                <w:szCs w:val="18"/>
                <w:b w:val="1"/>
                <w:bCs w:val="1"/>
                <w:color w:val="0000FF"/>
                <w:w w:val="94"/>
              </w:rPr>
            </w:pPr>
            <w:hyperlink w:anchor="page24">
              <w:r>
                <w:rPr>
                  <w:rFonts w:ascii="Arial" w:cs="Arial" w:eastAsia="Arial" w:hAnsi="Arial"/>
                  <w:sz w:val="18"/>
                  <w:szCs w:val="18"/>
                  <w:b w:val="1"/>
                  <w:bCs w:val="1"/>
                  <w:color w:val="0000FF"/>
                  <w:w w:val="94"/>
                </w:rPr>
                <w:t>Item 4.</w:t>
              </w:r>
            </w:hyperlink>
          </w:p>
        </w:tc>
        <w:tc>
          <w:tcPr>
            <w:tcW w:w="4740" w:type="dxa"/>
            <w:vAlign w:val="bottom"/>
            <w:tcBorders>
              <w:top w:val="single" w:sz="8" w:color="0000FF"/>
            </w:tcBorders>
            <w:gridSpan w:val="15"/>
          </w:tcPr>
          <w:p>
            <w:pPr>
              <w:ind w:left="40"/>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Controls and Procedures.</w:t>
              </w:r>
            </w:hyperlink>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 OTHER INFORMATION</w:t>
              </w:r>
            </w:hyperlink>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5"/>
          </w:tcPr>
          <w:p>
            <w:pPr>
              <w:spacing w:after="0"/>
              <w:rPr>
                <w:rFonts w:ascii="Arial" w:cs="Arial" w:eastAsia="Arial" w:hAnsi="Arial"/>
                <w:sz w:val="18"/>
                <w:szCs w:val="18"/>
                <w:b w:val="1"/>
                <w:bCs w:val="1"/>
                <w:color w:val="0000FF"/>
                <w:w w:val="91"/>
              </w:rPr>
            </w:pPr>
            <w:hyperlink w:anchor="page25">
              <w:r>
                <w:rPr>
                  <w:rFonts w:ascii="Arial" w:cs="Arial" w:eastAsia="Arial" w:hAnsi="Arial"/>
                  <w:sz w:val="18"/>
                  <w:szCs w:val="18"/>
                  <w:b w:val="1"/>
                  <w:bCs w:val="1"/>
                  <w:color w:val="0000FF"/>
                  <w:w w:val="91"/>
                </w:rPr>
                <w:t>Item 1A. Risk Factors.</w:t>
              </w:r>
            </w:hyperlink>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c>
          <w:tcPr>
            <w:tcW w:w="0" w:type="dxa"/>
            <w:vAlign w:val="bottom"/>
          </w:tcPr>
          <w:p>
            <w:pPr>
              <w:spacing w:after="0"/>
              <w:rPr>
                <w:sz w:val="1"/>
                <w:szCs w:val="1"/>
                <w:color w:val="auto"/>
              </w:rPr>
            </w:pPr>
          </w:p>
        </w:tc>
      </w:tr>
      <w:tr>
        <w:trPr>
          <w:trHeight w:val="210"/>
        </w:trPr>
        <w:tc>
          <w:tcPr>
            <w:tcW w:w="560" w:type="dxa"/>
            <w:vAlign w:val="bottom"/>
            <w:gridSpan w:val="2"/>
          </w:tcPr>
          <w:p>
            <w:pPr>
              <w:spacing w:after="0"/>
              <w:rPr>
                <w:rFonts w:ascii="Arial" w:cs="Arial" w:eastAsia="Arial" w:hAnsi="Arial"/>
                <w:sz w:val="18"/>
                <w:szCs w:val="18"/>
                <w:b w:val="1"/>
                <w:bCs w:val="1"/>
                <w:color w:val="0000FF"/>
                <w:w w:val="94"/>
              </w:rPr>
            </w:pPr>
            <w:hyperlink w:anchor="page25">
              <w:r>
                <w:rPr>
                  <w:rFonts w:ascii="Arial" w:cs="Arial" w:eastAsia="Arial" w:hAnsi="Arial"/>
                  <w:sz w:val="18"/>
                  <w:szCs w:val="18"/>
                  <w:b w:val="1"/>
                  <w:bCs w:val="1"/>
                  <w:color w:val="0000FF"/>
                  <w:w w:val="94"/>
                </w:rPr>
                <w:t>Item 2.</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Unregistered Sales of Equity Securities and Use of Proceeds.</w:t>
              </w:r>
            </w:hyperlink>
          </w:p>
        </w:tc>
        <w:tc>
          <w:tcPr>
            <w:tcW w:w="370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4"/>
              </w:rPr>
            </w:pPr>
            <w:hyperlink w:anchor="page25">
              <w:r>
                <w:rPr>
                  <w:rFonts w:ascii="Arial" w:cs="Arial" w:eastAsia="Arial" w:hAnsi="Arial"/>
                  <w:sz w:val="18"/>
                  <w:szCs w:val="18"/>
                  <w:b w:val="1"/>
                  <w:bCs w:val="1"/>
                  <w:color w:val="0000FF"/>
                  <w:w w:val="94"/>
                </w:rPr>
                <w:t>Item 6.</w:t>
              </w:r>
            </w:hyperlink>
          </w:p>
        </w:tc>
        <w:tc>
          <w:tcPr>
            <w:tcW w:w="720" w:type="dxa"/>
            <w:vAlign w:val="bottom"/>
            <w:tcBorders>
              <w:top w:val="single" w:sz="8" w:color="0000FF"/>
              <w:bottom w:val="single" w:sz="8" w:color="0000FF"/>
            </w:tcBorders>
            <w:gridSpan w:val="2"/>
          </w:tcPr>
          <w:p>
            <w:pPr>
              <w:ind w:left="40"/>
              <w:spacing w:after="0"/>
              <w:rPr>
                <w:rFonts w:ascii="Arial" w:cs="Arial" w:eastAsia="Arial" w:hAnsi="Arial"/>
                <w:sz w:val="18"/>
                <w:szCs w:val="18"/>
                <w:b w:val="1"/>
                <w:bCs w:val="1"/>
                <w:color w:val="0000FF"/>
                <w:w w:val="87"/>
              </w:rPr>
            </w:pPr>
            <w:hyperlink w:anchor="page25">
              <w:r>
                <w:rPr>
                  <w:rFonts w:ascii="Arial" w:cs="Arial" w:eastAsia="Arial" w:hAnsi="Arial"/>
                  <w:sz w:val="18"/>
                  <w:szCs w:val="18"/>
                  <w:b w:val="1"/>
                  <w:bCs w:val="1"/>
                  <w:color w:val="0000FF"/>
                  <w:w w:val="87"/>
                </w:rPr>
                <w:t>Exhibits.</w:t>
              </w:r>
            </w:hyperlink>
          </w:p>
        </w:tc>
        <w:tc>
          <w:tcPr>
            <w:tcW w:w="3920" w:type="dxa"/>
            <w:vAlign w:val="bottom"/>
            <w:tcBorders>
              <w:top w:val="single" w:sz="8" w:color="0000FF"/>
            </w:tcBorders>
            <w:gridSpan w:val="12"/>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SIGNATURES</w:t>
              </w:r>
            </w:hyperlink>
          </w:p>
        </w:tc>
        <w:tc>
          <w:tcPr>
            <w:tcW w:w="370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1,397,880</w:t>
            </w:r>
          </w:p>
        </w:tc>
        <w:tc>
          <w:tcPr>
            <w:tcW w:w="0" w:type="dxa"/>
            <w:vAlign w:val="bottom"/>
          </w:tcPr>
          <w:p>
            <w:pPr>
              <w:spacing w:after="0"/>
              <w:rPr>
                <w:sz w:val="1"/>
                <w:szCs w:val="1"/>
                <w:color w:val="auto"/>
              </w:rPr>
            </w:pPr>
          </w:p>
        </w:tc>
      </w:tr>
      <w:tr>
        <w:trPr>
          <w:trHeight w:val="176"/>
        </w:trPr>
        <w:tc>
          <w:tcPr>
            <w:tcW w:w="7800" w:type="dxa"/>
            <w:vAlign w:val="bottom"/>
          </w:tcPr>
          <w:p>
            <w:pPr>
              <w:ind w:left="360"/>
              <w:spacing w:after="0" w:line="176" w:lineRule="exact"/>
              <w:rPr>
                <w:sz w:val="20"/>
                <w:szCs w:val="20"/>
                <w:color w:val="auto"/>
              </w:rPr>
            </w:pPr>
            <w:r>
              <w:rPr>
                <w:rFonts w:ascii="Arial" w:cs="Arial" w:eastAsia="Arial" w:hAnsi="Arial"/>
                <w:sz w:val="18"/>
                <w:szCs w:val="18"/>
                <w:color w:val="auto"/>
              </w:rPr>
              <w:t>Accounts receivable, net of allowance of $455 and $331 as of July 3, 2021 and April 3, 2021,</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495,590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457,431</w:t>
            </w:r>
          </w:p>
        </w:tc>
        <w:tc>
          <w:tcPr>
            <w:tcW w:w="0" w:type="dxa"/>
            <w:vAlign w:val="bottom"/>
          </w:tcPr>
          <w:p>
            <w:pPr>
              <w:spacing w:after="0"/>
              <w:rPr>
                <w:sz w:val="1"/>
                <w:szCs w:val="1"/>
                <w:color w:val="auto"/>
              </w:rPr>
            </w:pPr>
          </w:p>
        </w:tc>
      </w:tr>
      <w:tr>
        <w:trPr>
          <w:trHeight w:val="229"/>
        </w:trPr>
        <w:tc>
          <w:tcPr>
            <w:tcW w:w="78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507,787</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41,572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2,483,804</w:t>
            </w: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line="176" w:lineRule="exact"/>
              <w:rPr>
                <w:sz w:val="20"/>
                <w:szCs w:val="20"/>
                <w:color w:val="auto"/>
              </w:rPr>
            </w:pPr>
            <w:r>
              <w:rPr>
                <w:rFonts w:ascii="Arial" w:cs="Arial" w:eastAsia="Arial" w:hAnsi="Arial"/>
                <w:sz w:val="18"/>
                <w:szCs w:val="18"/>
                <w:color w:val="auto"/>
                <w:w w:val="91"/>
              </w:rPr>
              <w:t>Property and equipment, net of accumulated depreciation of $1,609,818 and $1,561,613 as of July 3, 2021</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1,270,727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1,266,031</w:t>
            </w: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and April 3, 2021, respectively</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611,155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7,271,859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352,143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313,868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255,060</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703,708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681,581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1,742,550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167,914</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2,592,045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Common stock and additional paid-in capital, $.0001 par value; 405,000 shares authorized; 111,210</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4,210,914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112,557 shares issued and outstanding at July 3, 2021 and April 3, 2021, respectively</w:t>
            </w: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29,649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4,648,394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7,271,859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787,451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461,662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325,789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130,071</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86,604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233,077</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50"/>
        </w:trPr>
        <w:tc>
          <w:tcPr>
            <w:tcW w:w="7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114,585</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113,872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96,922</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Foreign currency translation adjustment, including intra-entity foreign currency transactions that are of a</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investment nature</w:t>
            </w: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pension actuarial loss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April 3,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285,626</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(13,348)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(63,917)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(236,100)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(300,017)</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July 3,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111,210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4,210,914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32,918</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404,562</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4,648,394</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Balance, March 28, 2020</w:t>
            </w:r>
          </w:p>
        </w:tc>
        <w:tc>
          <w:tcPr>
            <w:tcW w:w="1320" w:type="dxa"/>
            <w:vAlign w:val="bottom"/>
          </w:tcPr>
          <w:p>
            <w:pPr>
              <w:jc w:val="right"/>
              <w:spacing w:after="0"/>
              <w:rPr>
                <w:sz w:val="20"/>
                <w:szCs w:val="20"/>
                <w:color w:val="auto"/>
              </w:rPr>
            </w:pPr>
            <w:r>
              <w:rPr>
                <w:rFonts w:ascii="Arial" w:cs="Arial" w:eastAsia="Arial" w:hAnsi="Arial"/>
                <w:sz w:val="18"/>
                <w:szCs w:val="18"/>
                <w:color w:val="auto"/>
              </w:rPr>
              <w:t>114,625</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4,290,377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96,922</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15,758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Cumulative-effect adoption of ASU 2016-13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(27,405)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(47,634)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(75,039)</w:t>
            </w:r>
          </w:p>
        </w:tc>
        <w:tc>
          <w:tcPr>
            <w:tcW w:w="0" w:type="dxa"/>
            <w:vAlign w:val="bottom"/>
          </w:tcPr>
          <w:p>
            <w:pPr>
              <w:spacing w:after="0"/>
              <w:rPr>
                <w:sz w:val="1"/>
                <w:szCs w:val="1"/>
                <w:color w:val="auto"/>
              </w:rPr>
            </w:pPr>
          </w:p>
        </w:tc>
      </w:tr>
      <w:tr>
        <w:trPr>
          <w:trHeight w:val="229"/>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27,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4,293,621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4,351,245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6"/>
                <w:szCs w:val="16"/>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27, 2020</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285,626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96,922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49,987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72,128</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(15,705)</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21,859</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(8,728)</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41,029</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7,588</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(29,832)</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(23,347)</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borrowings and debt issuances</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306,750</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(75,039)</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10,464</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229,841</w:t>
            </w:r>
          </w:p>
        </w:tc>
      </w:tr>
      <w:tr>
        <w:trPr>
          <w:trHeight w:val="196"/>
        </w:trPr>
        <w:tc>
          <w:tcPr>
            <w:tcW w:w="7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421,282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715,612</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1,136,894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1,136,302</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1,136,894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60,968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19,530</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3, 2021.</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2021 financial statements have been reclassified to conform with the fiscal 2022 presentation.</w:t>
      </w:r>
    </w:p>
    <w:p>
      <w:pPr>
        <w:spacing w:after="0" w:line="2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2022 is a 52-week year, and fiscal 2021 was a 53-week year; however, the first quarters of both fiscal years 2022 and 2021 included 13 weeks. Fiscal years including 53-weeks occur approximately every five or six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2019, the FASB issued 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eliminates certain exceptions within 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and simplifies other aspects of the current accounting guidance. The Company adopted this standard in the first quarter of fiscal 2022, and it did not have a material impact on the Company's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283,067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507,787</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April 5, 2021, the Company acquired all of the outstanding equity interests of NextInput, Inc. ("NextInput"), a leader in microelectromechanical system ("MEMS")-based sensing solutions, for a total cash purchase price of $173.4 million. The acquisition expands the Company's offerings of MEMS-based products for mobile applications and provides comprehensive sensing solution opportunities for a broad range of applications in other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was preliminarily allocated based on the estimated fair values of the assets acquired and liabilities assumed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93,998</w:t>
            </w:r>
          </w:p>
        </w:tc>
      </w:tr>
      <w:tr>
        <w:trPr>
          <w:trHeight w:val="229"/>
        </w:trPr>
        <w:tc>
          <w:tcPr>
            <w:tcW w:w="9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r>
      <w:tr>
        <w:trPr>
          <w:trHeight w:val="248"/>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cash acquired of $5.8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$73.0 million and customer relationships of $7.5 million.</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fair value of the developed technology acquired was determined based on an income approach using the "excess earnings method" which estimated the value of the intangible asset by discounting the future projected earnings of the asset to present value as of the valuation date. The acquired developed technology asset is being amortized on a straight-line basis over its estimated useful life of seven years.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fair value of the customer relationships acquired was determined based on an income approach using the "with and without method" in which the value of the intangible asset is determined by the difference in discounted cash flows of the profitability of the Company "with" the asset and the profitability of the Company "without" the asset. These customer relationships are being amortized on a straight-line basis over their estimated useful life of one year.</w:t>
      </w:r>
    </w:p>
    <w:p>
      <w:pPr>
        <w:spacing w:after="0" w:line="1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acquisition date). The goodwill resulting from the acquisition of NextInput is attributed to synergies and other benefits that are expected to be generated from this transaction and is not deductible for income tax purposes.</w:t>
      </w:r>
    </w:p>
    <w:p>
      <w:pPr>
        <w:spacing w:after="0" w:line="21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The operating results of NextInput were not material and have been included in the Company's condensed consolidated financial statements as of the acquisition date. During the three months ended July 3, 2021, the Company recorded acquisition and integration related costs associated with the acquisition of NextInput totaling $1.2 million in "Other operating expense" in the Condensed Consolidated Statement of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7Hugs Labs S.A.S.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1, 2020, the Company acquired all of the outstanding equity interests of 7Hugs Labs S.A.S. ("7Hugs"), a private developer of Ultra Wideband ("UWB") software and solutions, for a total cash purchase price of $48.7 million. The acquisition supports the ongoing development and adoption of the Company's UWB products and solutions.</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three months ended July 3, 2021, the Company recognized a decrease to goodwill of approximately $0.2 million as a result of purchase price allocation adjustments. The Company will continue to evaluate certain assets, liabilities and tax estimates over the measurement period (up to one year from the acquisition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Infrastructure and</w:t>
            </w:r>
          </w:p>
        </w:tc>
        <w:tc>
          <w:tcPr>
            <w:tcW w:w="36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3, 2021 </w:t>
            </w:r>
            <w:r>
              <w:rPr>
                <w:rFonts w:ascii="Arial" w:cs="Arial" w:eastAsia="Arial" w:hAnsi="Arial"/>
                <w:sz w:val="10"/>
                <w:szCs w:val="10"/>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Goodwill resulting from NextInput acquisition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93,998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93,998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7Hugs measurement period adjustments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July 3, 2021 </w:t>
            </w:r>
            <w:r>
              <w:rPr>
                <w:rFonts w:ascii="Arial" w:cs="Arial" w:eastAsia="Arial" w:hAnsi="Arial"/>
                <w:sz w:val="10"/>
                <w:szCs w:val="10"/>
                <w:color w:val="auto"/>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2,737,626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Company’s goodwill balance is presented net of accumulated impairment losses and write-offs of $621.6 million.</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3"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July 3, 2021</w:t>
            </w:r>
          </w:p>
        </w:tc>
        <w:tc>
          <w:tcPr>
            <w:tcW w:w="1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April 3, 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5"/>
              </w:rPr>
              <w:t>Accumulated</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920,228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332,042</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750,044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28,278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459,052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403,407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Backlog</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IPRD</w:t>
            </w:r>
          </w:p>
        </w:tc>
        <w:tc>
          <w:tcPr>
            <w:tcW w:w="1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363,148</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Amounts include the impact of foreign currency translation</w:t>
      </w:r>
    </w:p>
    <w:p>
      <w:pPr>
        <w:spacing w:after="0" w:line="2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intangible assets amortization expense was $37.4 million for the three months ended July 3, 2021, and $72.1 million for the three months ended June 27,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invests in limited partnerships and accounts for these investments using the equity method. The carrying amounts of these investments as of July 3, 2021, and April 3, 2021, were $40.4 million and $29.8 million, respectively, and are classified as “Long-term investments” in the Condensed Consolidated Balance Sheets. During the three months ended July 3, 2021, and June 27, 2020, the Company recorded income of $14.5 million and $15.7 million, respectively, based on its share of the limited partnerships' earnings. These amounts are included in “Other income, net” in the Condensed Consolidated Statements of Income. During the three months ended July 3, 2021, the Company received cash distributions of $3.9 million from these equity method investments. The distributions were recognized as a reduction to the carrying value of the investment, the majority of which represented a return of investment in cash flows from investing activities. There were no cash distributions received during the three months ended June 27,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3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3, 2021</w:t>
            </w: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3, 2021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40" w:firstLine="8"/>
        <w:spacing w:after="0"/>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9"/>
          <w:szCs w:val="19"/>
          <w:color w:val="auto"/>
          <w:vertAlign w:val="superscript"/>
        </w:rPr>
      </w:pPr>
    </w:p>
    <w:p>
      <w:pPr>
        <w:ind w:right="20" w:firstLine="8"/>
        <w:spacing w:after="0" w:line="234" w:lineRule="auto"/>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Company recorded a contingent earn-out liability in conjunction with the acquisition of Custom MMIC Design Services, Inc. which was paid during the three months ended July 3,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and issuance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1,742,550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29, 2020, the Company and certain of its U.S. subsidiaries (the “Guarantors”) entered into a five-year unsecured senior credit facility pursuant to a credit agreement (the “2020 Credit Agreement”) with Bank of America, N.A. acting as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During the three months ended July 3, 2021, there were no borrowings under the Revolving Facility.</w:t>
      </w:r>
    </w:p>
    <w:p>
      <w:pPr>
        <w:spacing w:after="0" w:line="20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the closing date of the 2020 Credit Agreement, the Company repaid the remaining principal balance of $97.5 million on the term loan under the 2017 Credit Agreement and concurrently drew $200.0 million under the 2020 Term Loan. During the three months ended July 3, 2021, the Company made principal payments of $1.3 million and interest payments of $0.6 million on the 2020 Term Loan.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the Company must be in compliance in order to borrow funds and to avoid an event of default. As of July 3, 2021,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failure to provide certain notices thereunder and certain provisions related to bankruptcy events and also contains customary negative covenants.</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is payable on the 2029 Notes on April 15 and October 15 of each year. Interest paid on the 2029 Notes during the three months ended July 3, 2021, and June 27, 2020, was $18.6 million and $13.0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the same customary events of default and negative covenants as the 2019 Indenture.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is payable on the 2031 Notes on April 1 and October 1 of each year. There was no interest paid on the 2031 Notes during the three months ended July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is carried at amortized cost and is measured at fair value quarterly for disclosure purposes. The estimated fair value of the 2029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2031 Notes as of July 3, 2021, was $926.5 million and $731.2 million, respectively (compared to the outstanding principal amount of $850.0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and $700.0 million, respectively). The estimated fair value of the 2029 Notes and the 2031 Notes as of April 3, 2021, was $905.3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$689.5 million, respectively (compared to the outstanding principal amount of $850.0 million and $700.0 million, respectively). The Company considers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to be Level 2 in the fair value hierarchy. Fair values are estimated based on quoted market prices for identical or similar instruments. The 2029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2031 Notes currently trade over the counter, and the fair values were estimated based upon the value of the last trade at the end of the period.</w:t>
      </w:r>
    </w:p>
    <w:p>
      <w:pPr>
        <w:spacing w:after="0" w:line="2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2020 Term Loan carries a variable interest rate set at current market rates, and as such, the fair value of the 2020 Term Loan approximated carrying value as of July 3, 2021 and April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three months ended July 3, 2021, the Company recognized total interest expense of $16.2 million, primarily related to the 2029 Notes and the 2031 Notes, which was partially offset by interest capitalized to property and equipment of $0.9 million. During the three months ended June 27, 2020, the Company recognized total interest expense of $19.9 million, primarily related to its 5.50% senior notes due July 15, 2026 (which were redeemed on October 16, 2020) and the 2029 Notes, which was partially offset by interest capitalized to property and equipment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5, 2021, the Company announced that its Board of Directors authorized a new share repurchase program to repurchase up to $2.0 billion of the Company's outstanding common stock, which included approximately $236.9 million authorized under the prior program terminated concurrent with the new authorization. Under this new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July 3, 2021, the Company repurchased approximately 1.7 million shares of its common stock for approximately $300.0 million, including transaction costs, under the prior and current share repurchase programs. As of July 3, 2021, approximately $1,714.0 million remained available for repurchases under the current share repurchase program.</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months ended June 27, 2020, the Company repurchased approximately 0.7 million shares of its common stock for approximately $75.0 million, including transaction costs, under the prior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6"/>
                <w:szCs w:val="16"/>
                <w:color w:val="auto"/>
              </w:rPr>
            </w:pPr>
          </w:p>
        </w:tc>
        <w:tc>
          <w:tcPr>
            <w:tcW w:w="140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27, 2020</w:t>
            </w:r>
          </w:p>
        </w:tc>
      </w:tr>
      <w:tr>
        <w:trPr>
          <w:trHeight w:val="224"/>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387,222</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248,246</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Asia</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58,097</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Taiwan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53,328</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w:t>
            </w:r>
          </w:p>
        </w:tc>
      </w:tr>
      <w:tr>
        <w:trPr>
          <w:trHeight w:val="223"/>
        </w:trPr>
        <w:tc>
          <w:tcPr>
            <w:tcW w:w="77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787,451</w:t>
            </w:r>
          </w:p>
        </w:tc>
      </w:tr>
      <w:tr>
        <w:trPr>
          <w:trHeight w:val="21"/>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5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Company's operating and reportable segments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MP is a global supplier of cellular, UWB, Wi-Fi and other solutions for a variety of applications, including smartphones, wearables, laptops, tablets and Internet of Things ("IoT").</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applications in wireless infrastructure, defense, Wi-Fi, smart home, automotive and IoT.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related charges, start-up costs,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836,138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468,404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319,047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(111,026)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27,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(including (loss) gain on assets, start-up costs, restructuring related charges and other</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miscellaneous corporate overhead)</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Company’s provision for income taxes for the three months ended July 3, 2021, and June 27, 2020, was calculated by applying an estimate of the annual effective tax rate for the full fiscal year to “ordinary” income or loss (pre-tax income or loss excluding unusual or infrequently occurring discrete items) for those respective periods.</w:t>
      </w:r>
    </w:p>
    <w:p>
      <w:pPr>
        <w:spacing w:after="0" w:line="21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Company’s income tax expense was $13.0 million and $0.1 million for the three months ended July 3, 2021, and June 27, 2020, respectively. The Company’s effective tax rate was 4.3% for the three months ended July 3, 2021, and 0.1% for the three months ended June 27, 2020.</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effective tax rate for the three months ended July 3, 2021, differed from the statutory rate primarily due to tax rate differences in foreign jurisdictions, global intangible low tax income (“GILTI”), domestic tax credits generated and discrete tax items recorded during the period. A discrete benefit of $20.2 million was recorded during the three months ended July 3, 2021. The discrete tax benefit was primarily related to the recognition of previously unrecognized tax benefits due to the expiration of the statute of limitations, tax deductions related to stock-based compensation and tax benefits associated with other non-recurring restructuring activities.</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effective tax rate for the three months ended June 27, 2020, differed from the statutory rate primarily due to tax rate differences in foreign jurisdictions, GILTI, domestic tax credits generated and a discrete tax benefit resulting from a retroactive incentive allowing previously non-deductible payments to be amortized.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27, 2020</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w w:val="92"/>
              </w:rPr>
              <w:t>Numerator for basic and diluted net income per share — net income available to common stockholders $</w:t>
            </w:r>
          </w:p>
        </w:tc>
        <w:tc>
          <w:tcPr>
            <w:tcW w:w="1360" w:type="dxa"/>
            <w:vAlign w:val="bottom"/>
          </w:tcPr>
          <w:p>
            <w:pPr>
              <w:jc w:val="right"/>
              <w:spacing w:after="0"/>
              <w:rPr>
                <w:sz w:val="20"/>
                <w:szCs w:val="20"/>
                <w:color w:val="auto"/>
              </w:rPr>
            </w:pPr>
            <w:r>
              <w:rPr>
                <w:rFonts w:ascii="Arial" w:cs="Arial" w:eastAsia="Arial" w:hAnsi="Arial"/>
                <w:sz w:val="18"/>
                <w:szCs w:val="18"/>
                <w:color w:val="auto"/>
              </w:rPr>
              <w:t>285,626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96,922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114,585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55"/>
        </w:trPr>
        <w:tc>
          <w:tcPr>
            <w:tcW w:w="7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Denominator for diluted net income per share — adjusted weighted average shares and assumed</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113,872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116,751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conversions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An immaterial number of the Company's outstanding stock-based awards was excluded from the computation of diluted net income per share for the three months ended July 3, 2021, and June 27, 2020,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the COVID-19 pandemic materially and adversely affecting our financial condition and results of operations;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our ability to continue to innovate in a very competitive industry; underutilization of manufacturing facilities as a result of industry overcapacity;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Qorvo® is a leader in the development and commercialization of technologies and products for wireless and wired connectivity. We combine highly differentiated technologies, systems-level expertise and manufacturing scale to serve a diverse set of customers a broad portfolio of innovative solutions that enable a more connected world.</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semiconductor industry is experiencing supply constraints for certain items such as capacitors, laminates and silicon. While we expect the industry to address these constraints over time, we have taken strategic actions to provide flexibility in our supply chain. The extent of the impact of the COVID-19 pandemic also remains uncertain, and we will continue to monitor the implications of the pandemic as it relates to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33"/>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 w:right="20"/>
        <w:spacing w:after="0" w:line="342"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51" w:lineRule="exact"/>
        <w:rPr>
          <w:sz w:val="20"/>
          <w:szCs w:val="20"/>
          <w:color w:val="auto"/>
        </w:rPr>
      </w:pPr>
    </w:p>
    <w:p>
      <w:pPr>
        <w:ind w:left="33" w:right="240"/>
        <w:spacing w:after="0" w:line="277" w:lineRule="auto"/>
        <w:rPr>
          <w:sz w:val="20"/>
          <w:szCs w:val="20"/>
          <w:color w:val="auto"/>
        </w:rPr>
      </w:pPr>
      <w:r>
        <w:rPr>
          <w:rFonts w:ascii="Arial" w:cs="Arial" w:eastAsia="Arial" w:hAnsi="Arial"/>
          <w:sz w:val="18"/>
          <w:szCs w:val="18"/>
          <w:color w:val="auto"/>
        </w:rPr>
        <w:t>MP is a global supplier of cellular, Ultra Wideband ("UWB"), Wi-Fi and other solutions for a variety of applications, including smartphones, wearables, laptops, tablets and Internet of Things ("IoT").</w:t>
      </w:r>
    </w:p>
    <w:p>
      <w:pPr>
        <w:spacing w:after="0" w:line="197" w:lineRule="exact"/>
        <w:rPr>
          <w:sz w:val="20"/>
          <w:szCs w:val="20"/>
          <w:color w:val="auto"/>
        </w:rPr>
      </w:pPr>
    </w:p>
    <w:p>
      <w:pPr>
        <w:ind w:left="33" w:right="12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applications in wireless infrastructure, defense, Wi-Fi, smart home, automotive and IoT.</w:t>
      </w:r>
    </w:p>
    <w:p>
      <w:pPr>
        <w:spacing w:after="0" w:line="197" w:lineRule="exact"/>
        <w:rPr>
          <w:sz w:val="20"/>
          <w:szCs w:val="20"/>
          <w:color w:val="auto"/>
        </w:rPr>
      </w:pPr>
    </w:p>
    <w:p>
      <w:pPr>
        <w:ind w:left="33"/>
        <w:spacing w:after="0" w:line="279" w:lineRule="auto"/>
        <w:rPr>
          <w:sz w:val="20"/>
          <w:szCs w:val="20"/>
          <w:color w:val="auto"/>
        </w:rPr>
      </w:pPr>
      <w:r>
        <w:rPr>
          <w:rFonts w:ascii="Arial" w:cs="Arial" w:eastAsia="Arial" w:hAnsi="Arial"/>
          <w:sz w:val="17"/>
          <w:szCs w:val="17"/>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reportable segment primarily based on operating income. See Note 11 of the Notes to Condensed Consolidated Financial Statements in Part I, Item 1 of this report for additional information regarding our reportable operating segments.</w:t>
      </w:r>
    </w:p>
    <w:p>
      <w:pPr>
        <w:spacing w:after="0" w:line="194"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FIRST QUARTER FISCAL 2022 FINANCIAL HIGHLIGHTS:</w:t>
      </w:r>
    </w:p>
    <w:p>
      <w:pPr>
        <w:spacing w:after="0" w:line="256" w:lineRule="exact"/>
        <w:rPr>
          <w:sz w:val="20"/>
          <w:szCs w:val="20"/>
          <w:color w:val="auto"/>
        </w:rPr>
      </w:pPr>
    </w:p>
    <w:p>
      <w:pPr>
        <w:ind w:left="333" w:right="140" w:hanging="333"/>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for the first quarter of fiscal 2022 increased 41.0% as compared to the first quarter of fiscal 2021, driven primarily by higher demand for our 5G mobile solutions and Wi-Fi products, partially offset by lower demand for our base station products.</w:t>
      </w:r>
    </w:p>
    <w:p>
      <w:pPr>
        <w:spacing w:after="0" w:line="197" w:lineRule="exact"/>
        <w:rPr>
          <w:rFonts w:ascii="Arial" w:cs="Arial" w:eastAsia="Arial" w:hAnsi="Arial"/>
          <w:sz w:val="18"/>
          <w:szCs w:val="18"/>
          <w:color w:val="auto"/>
        </w:rPr>
      </w:pPr>
    </w:p>
    <w:p>
      <w:pPr>
        <w:ind w:left="333" w:right="100" w:hanging="333"/>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the first quarter of fiscal 2022 was 49.2% as compared to 41.4% for the first quarter of fiscal 2021, primarily due to lower intangible amortization expense as well as lower unit costs on higher volume and productivity. Lower inventory charges and improved product mix also contributed to gross margin expansion.</w:t>
      </w:r>
    </w:p>
    <w:p>
      <w:pPr>
        <w:spacing w:after="0" w:line="210" w:lineRule="exact"/>
        <w:rPr>
          <w:rFonts w:ascii="Arial" w:cs="Arial" w:eastAsia="Arial" w:hAnsi="Arial"/>
          <w:sz w:val="18"/>
          <w:szCs w:val="18"/>
          <w:color w:val="auto"/>
        </w:rPr>
      </w:pPr>
    </w:p>
    <w:p>
      <w:pPr>
        <w:ind w:left="333" w:right="120" w:hanging="333"/>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$297.1 million for the first quarter of fiscal 2022 as compared to $92.7 million for the first quarter of fiscal 2021. This increase was primarily due to higher revenue and gross margin, partially offset by higher operating expenses. Operating expenses increased primarily due to higher personnel costs, partially offset by lower intangible amortization expense.</w:t>
      </w:r>
    </w:p>
    <w:p>
      <w:pPr>
        <w:spacing w:after="0" w:line="210"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per diluted share was $2.51 for the first quarter of fiscal 2022 as compared to $0.83 for the first quarter of fiscal 2021.</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$65.2 million for the first quarter of fiscal 2022 as compared to $29.8 million for the first quarter of fiscal 2021.</w:t>
      </w:r>
    </w:p>
    <w:p>
      <w:pPr>
        <w:spacing w:after="0" w:line="252" w:lineRule="exact"/>
        <w:rPr>
          <w:rFonts w:ascii="Arial" w:cs="Arial" w:eastAsia="Arial" w:hAnsi="Arial"/>
          <w:sz w:val="18"/>
          <w:szCs w:val="18"/>
          <w:color w:val="auto"/>
        </w:rPr>
      </w:pPr>
    </w:p>
    <w:p>
      <w:pPr>
        <w:ind w:left="333" w:right="40" w:hanging="333"/>
        <w:spacing w:after="0" w:line="259"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5, 2021, our Board of Directors authorized a new share repurchase program to repurchase up to $2.0 billion of our outstanding common stock, which included approximately $236.9 million authorized under the prior program terminated concurrent with the new authorization. During the first quarter of fiscal 2022, we repurchased approximately 1.7 million shares of our common stock for approximately $300.0 million under the prior and current share repurchase programs.</w:t>
      </w:r>
    </w:p>
    <w:p>
      <w:pPr>
        <w:spacing w:after="0" w:line="213"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completed the acquisition of NextInput, Inc. ("NextInput") for a total purchase price of $173.4 million, including cash acquired of $5.8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July 3, 2021</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27, 2020</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60" w:type="dxa"/>
            <w:vAlign w:val="bottom"/>
          </w:tcPr>
          <w:p>
            <w:pPr>
              <w:jc w:val="right"/>
              <w:ind w:right="234"/>
              <w:spacing w:after="0" w:line="135"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1340" w:type="dxa"/>
            <w:vAlign w:val="bottom"/>
          </w:tcPr>
          <w:p>
            <w:pPr>
              <w:jc w:val="right"/>
              <w:ind w:right="262"/>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96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Pr>
          <w:p>
            <w:pPr>
              <w:spacing w:after="0"/>
              <w:rPr>
                <w:sz w:val="16"/>
                <w:szCs w:val="16"/>
                <w:color w:val="auto"/>
              </w:rPr>
            </w:pPr>
          </w:p>
        </w:tc>
        <w:tc>
          <w:tcPr>
            <w:tcW w:w="1340" w:type="dxa"/>
            <w:vAlign w:val="bottom"/>
          </w:tcPr>
          <w:p>
            <w:pPr>
              <w:jc w:val="right"/>
              <w:ind w:right="3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787,451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322,900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461,662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102,506</w:t>
            </w:r>
          </w:p>
        </w:tc>
        <w:tc>
          <w:tcPr>
            <w:tcW w:w="144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325,789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220,394</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152,079</w:t>
            </w:r>
          </w:p>
        </w:tc>
        <w:tc>
          <w:tcPr>
            <w:tcW w:w="1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130,071</w:t>
            </w: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22,008</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w:t>
            </w:r>
          </w:p>
        </w:tc>
        <w:tc>
          <w:tcPr>
            <w:tcW w:w="144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204,390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220.5 %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Revenue increased primarily due to higher demand for our 5G mobile solutions and Wi-Fi products, partially offset by lower demand for our base station products. The higher demand for our 5G mobile solutions was driven by the continued 5G smartphone ramp and associated content increases with our largest customers. The increased demand for our Wi-Fi products was in support of hybrid work- /learn-from-home and other connectivity trends.</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Gross margin increased primarily due to lower intangible amortization expense as well as lower unit costs on higher volume and productivity. Lower inventory charges and improved product mix also contributed to gross margin expansion.</w:t>
      </w:r>
    </w:p>
    <w:p>
      <w:pPr>
        <w:spacing w:after="0" w:line="19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Operating expenses increased primarily due to additional headcount associated with the design and development of our UWB solutions and biotechnology testing solutions as well as the acquisitions of NextInput and 7Hugs Labs S.A.S. ("7Hugs"). Incentive-based cash compensation and stock-based compensation expense also increased, partially offset by lower intangible amortization expense and lower acquisition and integration-related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July 3, 2021</w:t>
            </w:r>
          </w:p>
        </w:tc>
        <w:tc>
          <w:tcPr>
            <w:tcW w:w="280" w:type="dxa"/>
            <w:vAlign w:val="bottom"/>
          </w:tcPr>
          <w:p>
            <w:pPr>
              <w:spacing w:after="0"/>
              <w:rPr>
                <w:sz w:val="11"/>
                <w:szCs w:val="11"/>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27, 2020</w:t>
            </w:r>
          </w:p>
        </w:tc>
        <w:tc>
          <w:tcPr>
            <w:tcW w:w="5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w:t>
            </w:r>
          </w:p>
        </w:tc>
        <w:tc>
          <w:tcPr>
            <w:tcW w:w="1740" w:type="dxa"/>
            <w:vAlign w:val="bottom"/>
          </w:tcPr>
          <w:p>
            <w:pPr>
              <w:jc w:val="right"/>
              <w:ind w:right="459"/>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740" w:type="dxa"/>
            <w:vAlign w:val="bottom"/>
          </w:tcPr>
          <w:p>
            <w:pPr>
              <w:jc w:val="right"/>
              <w:ind w:right="5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836,138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468,404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367,734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299,690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37"/>
              <w:spacing w:after="0"/>
              <w:rPr>
                <w:sz w:val="20"/>
                <w:szCs w:val="20"/>
                <w:color w:val="auto"/>
              </w:rPr>
            </w:pPr>
            <w:r>
              <w:rPr>
                <w:rFonts w:ascii="Arial" w:cs="Arial" w:eastAsia="Arial" w:hAnsi="Arial"/>
                <w:sz w:val="18"/>
                <w:szCs w:val="18"/>
                <w:color w:val="auto"/>
              </w:rPr>
              <w:t>109,983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189,707</w:t>
            </w:r>
          </w:p>
        </w:tc>
        <w:tc>
          <w:tcPr>
            <w:tcW w:w="100" w:type="dxa"/>
            <w:vAlign w:val="bottom"/>
          </w:tcPr>
          <w:p>
            <w:pPr>
              <w:spacing w:after="0"/>
              <w:rPr>
                <w:sz w:val="19"/>
                <w:szCs w:val="19"/>
                <w:color w:val="auto"/>
              </w:rPr>
            </w:pPr>
          </w:p>
        </w:tc>
        <w:tc>
          <w:tcPr>
            <w:tcW w:w="1740" w:type="dxa"/>
            <w:vAlign w:val="bottom"/>
          </w:tcPr>
          <w:p>
            <w:pPr>
              <w:jc w:val="right"/>
              <w:ind w:right="139"/>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MP revenue increased primarily due to the higher demand for our 5G mobile solutions driven by the continued 5G smartphone ramp and associated content increases with our largest customers.</w:t>
      </w:r>
    </w:p>
    <w:p>
      <w:pPr>
        <w:spacing w:after="0" w:line="1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MP operating income increased primarily due to the effects of increased revenue, including improved product mix and lower unit costs on higher volume and productivity, partially offset by higher operating expenses. Operating expenses increased primarily due to additional headcount associated with the design and development of our UWB solutions and acquisitions of NextInput and 7Hugs.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1"/>
                <w:szCs w:val="11"/>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27, 2020</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Decrease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8"/>
        </w:trPr>
        <w:tc>
          <w:tcPr>
            <w:tcW w:w="4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274,213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319,047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5"/>
              </w:rPr>
              <w:t>(14.1)%</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67,339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93,755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(26,416)</w:t>
            </w:r>
          </w:p>
        </w:tc>
        <w:tc>
          <w:tcPr>
            <w:tcW w:w="100" w:type="dxa"/>
            <w:vAlign w:val="bottom"/>
          </w:tcPr>
          <w:p>
            <w:pPr>
              <w:spacing w:after="0"/>
              <w:rPr>
                <w:sz w:val="19"/>
                <w:szCs w:val="19"/>
                <w:color w:val="auto"/>
              </w:rPr>
            </w:pPr>
          </w:p>
        </w:tc>
        <w:tc>
          <w:tcPr>
            <w:tcW w:w="1600" w:type="dxa"/>
            <w:vAlign w:val="bottom"/>
          </w:tcPr>
          <w:p>
            <w:pPr>
              <w:ind w:left="9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IDP revenue decreased primarily due to lower demand for our base station products, partially offset by increased demand for our Wi-Fi and broadband products. The higher demand for our Wi-Fi and broadband products was in support of hybrid work- /learn-from-home and other connectivity trends.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IDP operating income decreased primarily due to decreased revenue and higher operating expenses, partially offset by favorable changes in gross margin.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primarily due to additional headcount associated with the design and development of our biotechnology testing solutions.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favorable primarily due to lower unit costs and lower inventory charges.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11 of the Notes to Condensed Consolidated Financial Statements for a reconciliation of segment operating income to the consolidated operating income for the three months ended July 3, 2021, and June 27,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27, 2020</w:t>
            </w:r>
          </w:p>
        </w:tc>
      </w:tr>
      <w:tr>
        <w:trPr>
          <w:trHeight w:val="224"/>
        </w:trPr>
        <w:tc>
          <w:tcPr>
            <w:tcW w:w="7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2"/>
              </w:rPr>
              <w:t>(15,279)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1360" w:type="dxa"/>
            <w:vAlign w:val="bottom"/>
          </w:tcPr>
          <w:p>
            <w:pPr>
              <w:jc w:val="center"/>
              <w:ind w:left="617"/>
              <w:spacing w:after="0"/>
              <w:rPr>
                <w:sz w:val="20"/>
                <w:szCs w:val="20"/>
                <w:color w:val="auto"/>
              </w:rPr>
            </w:pPr>
            <w:r>
              <w:rPr>
                <w:rFonts w:ascii="Arial" w:cs="Arial" w:eastAsia="Arial" w:hAnsi="Arial"/>
                <w:sz w:val="18"/>
                <w:szCs w:val="18"/>
                <w:color w:val="auto"/>
                <w:w w:val="90"/>
              </w:rPr>
              <w:t>16,791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23,137</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2"/>
              </w:rPr>
              <w:t>(12,988)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ind w:right="560"/>
        <w:spacing w:after="0" w:line="277" w:lineRule="auto"/>
        <w:rPr>
          <w:sz w:val="20"/>
          <w:szCs w:val="20"/>
          <w:color w:val="auto"/>
        </w:rPr>
      </w:pPr>
      <w:r>
        <w:rPr>
          <w:rFonts w:ascii="Arial" w:cs="Arial" w:eastAsia="Arial" w:hAnsi="Arial"/>
          <w:sz w:val="17"/>
          <w:szCs w:val="17"/>
          <w:color w:val="auto"/>
        </w:rPr>
        <w:t>During the three months ended July 3, 2021, we recorded interest expense of $16.2 million, which was partially offset by $0.9 million of capitalized interest. During the three months ended June 27, 2020, we recorded interest expense of $19.9 million, which was partially offset by $1.1 million of capitalized interest. See Note 7 of the Notes to Condensed Consolidated Financial Statements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the three months ended July 3, 2021, and June 27, 2020, we recorded income of $14.5 million and $15.7 million, respectively, based on our share of investments in limited partnerships' earnings.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Our provision for income taxes for the three months ended July 3, 2021, and June 27, 2020, was calculated by applying an estimate of the annual effective tax rate for the full fiscal year to “ordinary” income or loss (pre-tax income or loss excluding unusual or discrete items) for those respective periods.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July 3, 2021, we recorded income tax expense of $13.0 million which was comprised primarily of tax expense related to domestic and international operations generating pre-tax book income, partially offset by tax benefits related to international operations generating pre-tax book losses, domestic tax credits and discrete tax items recorded during the period. The discrete tax benefit was primarily related to the recognition of previously unrecognized tax benefits due to the expiration of the statute of limitations, tax deductions related to stock-based compensation and tax benefits associated with other non-recurring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June 27, 2020, we recorded income tax expense of $0.1 million which was comprised primarily of tax expense related to international operations generating pre-tax book income, partially offset by a tax benefit related to domestic and international operations generating pre-tax book losses, domestic tax credits and the recognition of a discrete tax benefit resulting from a retroactive incentive allowing previously non-deductible payments to be amortized.</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generated by operations is our primary source of liquidity. As of July 3, 2021, we had working capital of approximately $1,670.4 million, including $1,200.2 million in cash and cash equivalents, compared to working capital of approximately $1,802.2 million, including $1,397.9 million in cash and cash equivalents as of April 3, 2021.</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$1,200.2 million of total cash and cash equivalents as of July 3, 2021, includes approximately $1,100.4 million held by our foreign subsidiaries, of which $976.7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months ended July 3, 2021, we repurchased approximately 1.7 million shares of our common stock for approximately $300.0 million, including transaction costs, under our prior and current share repurchase programs. As of July 3, 2021, approximately $1,714.0 million remained available for repurchases under the current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Operating activities for the three months ended July 3, 2021, generated cash of $341.6 million, compared to $214.3 million for the three months ended June 27, 2020, primarily due to increased profitability, partially offset by changes in working capital.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investing activities was $228.0 million for the three months ended July 3, 2021, compared to $23.3 million for the three months ended June 27, 2020. This decrease in cash flows was primarily due to the acquisition of NextInput. See Note 4 of the Notes to Condensed Consolidated Financial Statements for additional information regarding our business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used in financing activities was $311.4 million for the three months ended July 3, 2021, primarily due to our stock repurchases. See Note 8 of the Notes to Condensed Consolidated Financial Statements for additional information regarding our stock repurchases. Net cash provided by financing activities was $229.8 million for the three months ended June 27, 2020, primarily due to the proceeds received from the issuance of an additional $300.0 million aggregate principal amount of our 4.375% senior notes due 2029. See Note 7 of the Notes to Condensed Consolidated Financial Statements for additional information regarding our long-term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and certain of our U.S.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pursuant to a credit agreement (the “2020 Credit Agreement”) with Bank of America, N.A. acting as administrative agent and a syndicate of lenders. The 2020 Credit Agreement amended and restated our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closing date of the 2020 Credit Agreement, we repaid the remaining principal balance of $97.5 million on the previous term loan under the 2017 Credit Agreement and concurrently drew $200.0 million under the 2020 Term Loan.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Pursuant to the 2020 Credit Agreement, we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the three months ended July 3, 2021, there were no borrowings under the Revolving Facility.</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we must be in compliance in order to borrow funds and to avoid an event of default. As of July 3, 2021, we were in compliance with these covenants.</w:t>
      </w:r>
    </w:p>
    <w:p>
      <w:pPr>
        <w:spacing w:after="0" w:line="19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u w:val="single" w:color="auto"/>
          <w:color w:val="auto"/>
        </w:rPr>
        <w:t>2029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30, 2019, we issued $350.0 million aggregate principal amount of our senior notes due 2029 (the "Initial 2029 Notes").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are senior unsecured obligations of the Company and are guaranteed, jointly and severally, by the Guarantors.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2031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issued $700.0 million aggregate principal amount of our senior notes due 2031</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see Note 7 of the Notes to Condensed Consolidated Financial Statements.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July 3, 2021, we had capital commitments of approximately $121.3 million primarily for increasing manufacturing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capability to support new products, equipment and facility upgrades, and cost savings initiatives.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long-term impact of the COVID-19 pandemic on our business, financial conditions, results of operations, and cash flows, as well as market acceptance of and demand for our products, acquisition opportunities, technological advances and our relationships with suppliers and customers. Based on current and projected levels of cash flow from operations, coupled with our existing cash,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is not sufficient to meet our future requirements or if we perceive conditions to be favorable, we may seek additional debt or equity financing. We cannot be sure that any additional debt or equity financing will not be dilutive to holders of our common stock or that additional debt or equity financing, if required, will be available on favorable terms, if at all.</w:t>
      </w:r>
    </w:p>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accordance with the indentures governing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2021</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3, 2021</w:t>
            </w: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Non-Guarantors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532,440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610,646</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2,444,685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2,450,960</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240,943</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Non-Guarantors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1,855,343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2,250,666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320" w:type="dxa"/>
            <w:vAlign w:val="bottom"/>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Three Months Ended</w:t>
            </w:r>
          </w:p>
        </w:tc>
      </w:tr>
      <w:tr>
        <w:trPr>
          <w:trHeight w:val="181"/>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July 3, 2021</w:t>
            </w:r>
          </w:p>
        </w:tc>
      </w:tr>
      <w:tr>
        <w:trPr>
          <w:trHeight w:val="224"/>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274,037</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70,922</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(3,413)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2022. For a discussion of our exposure to market risk, refer to Item 7A, “Quantitative and Qualitative Disclosures About Market Risk,” contained in Qorvo's Annual Report on Form 10-K for the fiscal year ended April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July 3,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careful consideration should be given to the factors discussed in Part I, Item 1A., “Risk Factors” in Qorvo's Annual Report on Form 10-K for the fiscal year ended April 3, 2021,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ectPr>
          <w:pgSz w:w="11900" w:h="16838" w:orient="portrait"/>
          <w:cols w:equalWidth="0" w:num="1">
            <w:col w:w="11200"/>
          </w:cols>
          <w:pgMar w:left="320" w:top="121" w:right="3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Total number</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4"/>
              </w:rPr>
              <w:t>of shares</w:t>
            </w:r>
          </w:p>
        </w:tc>
        <w:tc>
          <w:tcPr>
            <w:tcW w:w="10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Average price paid</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7"/>
              </w:rPr>
              <w:t xml:space="preserve">purchased </w:t>
            </w:r>
            <w:r>
              <w:rPr>
                <w:rFonts w:ascii="Arial" w:cs="Arial" w:eastAsia="Arial" w:hAnsi="Arial"/>
                <w:sz w:val="12"/>
                <w:szCs w:val="12"/>
                <w:b w:val="1"/>
                <w:bCs w:val="1"/>
                <w:color w:val="auto"/>
                <w:w w:val="87"/>
              </w:rPr>
              <w:t>(in</w:t>
            </w: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announced plans or programs</w:t>
            </w:r>
          </w:p>
        </w:tc>
        <w:tc>
          <w:tcPr>
            <w:tcW w:w="0" w:type="dxa"/>
            <w:vAlign w:val="bottom"/>
          </w:tcPr>
          <w:p>
            <w:pPr>
              <w:spacing w:after="0"/>
              <w:rPr>
                <w:sz w:val="1"/>
                <w:szCs w:val="1"/>
                <w:color w:val="auto"/>
              </w:rPr>
            </w:pPr>
          </w:p>
        </w:tc>
      </w:tr>
      <w:tr>
        <w:trPr>
          <w:trHeight w:val="176"/>
        </w:trPr>
        <w:tc>
          <w:tcPr>
            <w:tcW w:w="3360" w:type="dxa"/>
            <w:vAlign w:val="bottom"/>
            <w:gridSpan w:val="2"/>
            <w:vMerge w:val="continue"/>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16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8"/>
              </w:rPr>
              <w:t>per share</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0" w:type="dxa"/>
            <w:vAlign w:val="bottom"/>
          </w:tcPr>
          <w:p>
            <w:pPr>
              <w:spacing w:after="0"/>
              <w:rPr>
                <w:sz w:val="1"/>
                <w:szCs w:val="1"/>
                <w:color w:val="auto"/>
              </w:rPr>
            </w:pPr>
          </w:p>
        </w:tc>
      </w:tr>
      <w:tr>
        <w:trPr>
          <w:trHeight w:val="176"/>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April 4, 2021 to May 1, 2021</w:t>
            </w:r>
          </w:p>
        </w:tc>
        <w:tc>
          <w:tcPr>
            <w:tcW w:w="16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192.05</w:t>
            </w:r>
          </w:p>
        </w:tc>
        <w:tc>
          <w:tcPr>
            <w:tcW w:w="160" w:type="dxa"/>
            <w:vAlign w:val="bottom"/>
          </w:tcPr>
          <w:p>
            <w:pPr>
              <w:spacing w:after="0"/>
              <w:rPr>
                <w:sz w:val="15"/>
                <w:szCs w:val="15"/>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4"/>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May 2, 2021 to May 29, 2021</w:t>
            </w:r>
          </w:p>
        </w:tc>
        <w:tc>
          <w:tcPr>
            <w:tcW w:w="1120" w:type="dxa"/>
            <w:vAlign w:val="bottom"/>
          </w:tcPr>
          <w:p>
            <w:pPr>
              <w:jc w:val="right"/>
              <w:spacing w:after="0"/>
              <w:rPr>
                <w:sz w:val="20"/>
                <w:szCs w:val="20"/>
                <w:color w:val="auto"/>
              </w:rPr>
            </w:pPr>
            <w:r>
              <w:rPr>
                <w:rFonts w:ascii="Arial" w:cs="Arial" w:eastAsia="Arial" w:hAnsi="Arial"/>
                <w:sz w:val="14"/>
                <w:szCs w:val="14"/>
                <w:color w:val="auto"/>
              </w:rPr>
              <w:t>1,073</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172.67</w:t>
            </w:r>
          </w:p>
        </w:tc>
        <w:tc>
          <w:tcPr>
            <w:tcW w:w="1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May 30, 2021 to July 3,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183.52</w:t>
            </w:r>
          </w:p>
        </w:tc>
        <w:tc>
          <w:tcPr>
            <w:tcW w:w="160" w:type="dxa"/>
            <w:vAlign w:val="bottom"/>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8"/>
        </w:trPr>
        <w:tc>
          <w:tcPr>
            <w:tcW w:w="33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177.00</w:t>
            </w:r>
          </w:p>
        </w:tc>
        <w:tc>
          <w:tcPr>
            <w:tcW w:w="160" w:type="dxa"/>
            <w:vAlign w:val="bottom"/>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0"/>
        <w:spacing w:after="0" w:line="227"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3810</wp:posOffset>
            </wp:positionV>
            <wp:extent cx="1440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3"/>
          <w:szCs w:val="13"/>
          <w:color w:val="auto"/>
        </w:rPr>
        <w:t>$237.5 million</w:t>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$1,815.4 million</w:t>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$1,714.0 million</w:t>
      </w:r>
    </w:p>
    <w:p>
      <w:pPr>
        <w:spacing w:after="0" w:line="80"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$1,714.0 million</w:t>
      </w:r>
    </w:p>
    <w:p>
      <w:pPr>
        <w:spacing w:after="0" w:line="260" w:lineRule="exact"/>
        <w:rPr>
          <w:sz w:val="20"/>
          <w:szCs w:val="20"/>
          <w:color w:val="auto"/>
        </w:rPr>
      </w:pPr>
    </w:p>
    <w:p>
      <w:pPr>
        <w:sectPr>
          <w:pgSz w:w="11900" w:h="16838" w:orient="portrait"/>
          <w:cols w:equalWidth="0" w:num="2">
            <w:col w:w="8680" w:space="280"/>
            <w:col w:w="2240"/>
          </w:cols>
          <w:pgMar w:left="320" w:top="121" w:right="379" w:bottom="1440" w:gutter="0" w:footer="0" w:header="0"/>
          <w:type w:val="continuous"/>
        </w:sectPr>
      </w:pPr>
    </w:p>
    <w:p>
      <w:pPr>
        <w:spacing w:after="0" w:line="1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May 5, 2021, we announced that our Board of Directors authorized a new share repurchase program to repurchase up to $2.0 billion of our outstanding common stock, which included approximately $236.9 million authorized under the prior program terminated concurrent with the new authorization. Under this new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600" w:hanging="277"/>
        <w:spacing w:after="0"/>
        <w:tabs>
          <w:tab w:leader="none" w:pos="600" w:val="left"/>
        </w:tabs>
        <w:numPr>
          <w:ilvl w:val="0"/>
          <w:numId w:val="8"/>
        </w:numPr>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List of Subsidiary Guarantors</w:t>
        </w:r>
      </w:hyperlink>
    </w:p>
    <w:p>
      <w:pPr>
        <w:spacing w:after="0" w:line="239" w:lineRule="exact"/>
        <w:rPr>
          <w:sz w:val="20"/>
          <w:szCs w:val="20"/>
          <w:color w:val="auto"/>
        </w:rPr>
      </w:pPr>
    </w:p>
    <w:p>
      <w:pPr>
        <w:ind w:left="600" w:right="10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29">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color w:val="auto"/>
        </w:rPr>
        <w:t xml:space="preserve"> </w:t>
      </w:r>
      <w:hyperlink w:anchor="page29">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0">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color w:val="auto"/>
        </w:rPr>
        <w:t xml:space="preserve"> </w:t>
      </w:r>
      <w:hyperlink w:anchor="page30">
        <w:r>
          <w:rPr>
            <w:rFonts w:ascii="Arial" w:cs="Arial" w:eastAsia="Arial" w:hAnsi="Arial"/>
            <w:sz w:val="18"/>
            <w:szCs w:val="18"/>
            <w:u w:val="single" w:color="auto"/>
            <w:color w:val="0000FF"/>
          </w:rPr>
          <w:t>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31">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FF"/>
          </w:rPr>
          <w:t>to Section 906 of the Sarbanes-Oxley Act of 2002</w:t>
        </w:r>
      </w:hyperlink>
    </w:p>
    <w:p>
      <w:pPr>
        <w:spacing w:after="0" w:line="216"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32.2 </w:t>
      </w:r>
      <w:hyperlink w:anchor="page32">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8" w:lineRule="exact"/>
        <w:rPr>
          <w:sz w:val="20"/>
          <w:szCs w:val="20"/>
          <w:color w:val="auto"/>
        </w:rPr>
      </w:pPr>
    </w:p>
    <w:p>
      <w:pPr>
        <w:ind w:left="6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906 of the Sarbanes-Oxley Act of 2002</w:t>
        </w:r>
      </w:hyperlink>
    </w:p>
    <w:p>
      <w:pPr>
        <w:spacing w:after="0" w:line="223" w:lineRule="exact"/>
        <w:rPr>
          <w:sz w:val="20"/>
          <w:szCs w:val="20"/>
          <w:color w:val="auto"/>
        </w:rPr>
      </w:pPr>
    </w:p>
    <w:p>
      <w:pPr>
        <w:ind w:left="600" w:right="200" w:hanging="367"/>
        <w:spacing w:after="0" w:line="232"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materials from our Quarterly Report on Form 10-Q for the quarter ended July 3, 2021,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July 3, 2021,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August 5, 2021</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Murphy</w:t>
            </w:r>
          </w:p>
        </w:tc>
      </w:tr>
      <w:tr>
        <w:trPr>
          <w:trHeight w:val="222"/>
        </w:trPr>
        <w:tc>
          <w:tcPr>
            <w:tcW w:w="54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Mark J. Murphy</w:t>
            </w:r>
          </w:p>
        </w:tc>
      </w:t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320" w:top="121" w:right="8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4.375% Senior Notes due 2029 and the 3.375% Senior Notes due 2031 are guaranteed, jointly and severally, on an unsecured basis, by the following 100% owned subsidiaries of Qorvo, Inc., a Delaware corporation, as of July 3, 2021:</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17" w:right="5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5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J. Murphy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27" w:lineRule="exact"/>
        <w:rPr>
          <w:sz w:val="20"/>
          <w:szCs w:val="20"/>
          <w:color w:val="auto"/>
        </w:rPr>
      </w:pPr>
    </w:p>
    <w:p>
      <w:pPr>
        <w:ind w:left="660" w:right="160" w:hanging="652"/>
        <w:spacing w:after="0" w:line="260" w:lineRule="auto"/>
        <w:tabs>
          <w:tab w:leader="none" w:pos="44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3,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hanging="652"/>
        <w:spacing w:after="0" w:line="260" w:lineRule="auto"/>
        <w:tabs>
          <w:tab w:leader="none" w:pos="44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27260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August 5, 2021</w:t>
      </w:r>
    </w:p>
    <w:p>
      <w:pPr>
        <w:sectPr>
          <w:pgSz w:w="11900" w:h="16838" w:orient="portrait"/>
          <w:cols w:equalWidth="0" w:num="1">
            <w:col w:w="11000"/>
          </w:cols>
          <w:pgMar w:left="320" w:top="886" w:right="57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204" w:lineRule="exact"/>
        <w:rPr>
          <w:sz w:val="20"/>
          <w:szCs w:val="20"/>
          <w:color w:val="auto"/>
        </w:rPr>
      </w:pPr>
    </w:p>
    <w:p>
      <w:pPr>
        <w:ind w:left="660" w:right="1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3,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29317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Mark J. Murphy</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Chief Financial Officer</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August 5, 2021</w:t>
      </w:r>
    </w:p>
    <w:sectPr>
      <w:pgSz w:w="11900" w:h="16838" w:orient="portrait"/>
      <w:cols w:equalWidth="0" w:num="1">
        <w:col w:w="11000"/>
      </w:cols>
      <w:pgMar w:left="320" w:top="88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22"/>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2021-08-05T16:41:46Z</dcterms:created>
  <dcterms:modified xsi:type="dcterms:W3CDTF">2021-08-05T16:41:46Z</dcterms:modified>
</cp:coreProperties>
</file>