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20" w:type="dxa"/>
            <w:vAlign w:val="bottom"/>
          </w:tcPr>
          <w:p>
            <w:pPr>
              <w:jc w:val="center"/>
              <w:ind w:right="7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7628 Thorndike Road</w:t>
            </w:r>
          </w:p>
        </w:tc>
        <w:tc>
          <w:tcPr>
            <w:tcW w:w="3220" w:type="dxa"/>
            <w:vAlign w:val="bottom"/>
          </w:tcPr>
          <w:p>
            <w:pPr>
              <w:spacing w:after="0"/>
              <w:rPr>
                <w:sz w:val="24"/>
                <w:szCs w:val="24"/>
                <w:color w:val="auto"/>
              </w:rPr>
            </w:pPr>
          </w:p>
        </w:tc>
      </w:tr>
      <w:tr>
        <w:trPr>
          <w:trHeight w:val="234"/>
        </w:trPr>
        <w:tc>
          <w:tcPr>
            <w:tcW w:w="4720" w:type="dxa"/>
            <w:vAlign w:val="bottom"/>
          </w:tcPr>
          <w:p>
            <w:pPr>
              <w:jc w:val="center"/>
              <w:ind w:right="534"/>
              <w:spacing w:after="0"/>
              <w:rPr>
                <w:sz w:val="20"/>
                <w:szCs w:val="20"/>
                <w:color w:val="auto"/>
              </w:rPr>
            </w:pPr>
            <w:r>
              <w:rPr>
                <w:rFonts w:ascii="Arial" w:cs="Arial" w:eastAsia="Arial" w:hAnsi="Arial"/>
                <w:sz w:val="18"/>
                <w:szCs w:val="18"/>
                <w:b w:val="1"/>
                <w:bCs w:val="1"/>
                <w:color w:val="auto"/>
                <w:w w:val="91"/>
              </w:rPr>
              <w:t>Greensboro, North Carolina</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20" w:type="dxa"/>
            <w:vAlign w:val="bottom"/>
          </w:tcPr>
          <w:p>
            <w:pPr>
              <w:jc w:val="center"/>
              <w:ind w:right="514"/>
              <w:spacing w:after="0"/>
              <w:rPr>
                <w:sz w:val="20"/>
                <w:szCs w:val="20"/>
                <w:color w:val="auto"/>
              </w:rPr>
            </w:pPr>
            <w:r>
              <w:rPr>
                <w:rFonts w:ascii="Arial" w:cs="Arial" w:eastAsia="Arial" w:hAnsi="Arial"/>
                <w:sz w:val="16"/>
                <w:szCs w:val="16"/>
                <w:color w:val="auto"/>
                <w:w w:val="93"/>
              </w:rPr>
              <w:t>(Address of principal executive offices)</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(Zip Code)</w:t>
            </w:r>
          </w:p>
        </w:tc>
      </w:tr>
    </w:tbl>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59"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ind w:right="40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2"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26, 2023, there were 97,345,755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8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w w:val="99"/>
              </w:rPr>
              <w:t>QORVO, INC. AND SUBSIDIARIES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5"/>
          </w:tcPr>
          <w:p>
            <w:pPr>
              <w:jc w:val="center"/>
              <w:ind w:right="270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140" w:type="dxa"/>
            <w:vAlign w:val="bottom"/>
            <w:gridSpan w:val="9"/>
            <w:vMerge w:val="restart"/>
          </w:tcPr>
          <w:p>
            <w:pPr>
              <w:spacing w:after="0"/>
              <w:rPr>
                <w:sz w:val="24"/>
                <w:szCs w:val="24"/>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6140" w:type="dxa"/>
            <w:vAlign w:val="bottom"/>
            <w:gridSpan w:val="9"/>
            <w:vMerge w:val="continue"/>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9400" w:type="dxa"/>
            <w:vAlign w:val="bottom"/>
            <w:gridSpan w:val="19"/>
          </w:tcPr>
          <w:p>
            <w:pPr>
              <w:spacing w:after="0"/>
              <w:rPr>
                <w:sz w:val="20"/>
                <w:szCs w:val="20"/>
                <w:color w:val="auto"/>
              </w:rPr>
            </w:pPr>
            <w:r>
              <w:rPr>
                <w:rFonts w:ascii="Arial" w:cs="Arial" w:eastAsia="Arial" w:hAnsi="Arial"/>
                <w:sz w:val="18"/>
                <w:szCs w:val="18"/>
                <w:b w:val="1"/>
                <w:bCs w:val="1"/>
                <w:color w:val="0000FF"/>
              </w:rPr>
              <w:t>Item 1. Financial Statements (Unaudited).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2"/>
              </w:rPr>
              <w:t>Condensed Consolidated Balance Sheets</w:t>
            </w:r>
          </w:p>
        </w:tc>
        <w:tc>
          <w:tcPr>
            <w:tcW w:w="6180" w:type="dxa"/>
            <w:vAlign w:val="bottom"/>
            <w:gridSpan w:val="10"/>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Arial" w:cs="Arial" w:eastAsia="Arial" w:hAnsi="Arial"/>
                <w:sz w:val="18"/>
                <w:szCs w:val="18"/>
                <w:color w:val="0000FF"/>
                <w:w w:val="88"/>
              </w:rPr>
              <w:t>Condensed Consolidated Statements of Income</w:t>
            </w:r>
          </w:p>
        </w:tc>
        <w:tc>
          <w:tcPr>
            <w:tcW w:w="5860" w:type="dxa"/>
            <w:vAlign w:val="bottom"/>
            <w:gridSpan w:val="8"/>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92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00" w:type="dxa"/>
            <w:vAlign w:val="bottom"/>
          </w:tcPr>
          <w:p>
            <w:pPr>
              <w:spacing w:after="0"/>
              <w:rPr>
                <w:sz w:val="18"/>
                <w:szCs w:val="18"/>
                <w:color w:val="auto"/>
              </w:rPr>
            </w:pPr>
          </w:p>
        </w:tc>
        <w:tc>
          <w:tcPr>
            <w:tcW w:w="4700" w:type="dxa"/>
            <w:vAlign w:val="bottom"/>
            <w:gridSpan w:val="4"/>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4900" w:type="dxa"/>
            <w:vAlign w:val="bottom"/>
            <w:gridSpan w:val="5"/>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28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400" w:type="dxa"/>
            <w:vAlign w:val="bottom"/>
            <w:gridSpan w:val="19"/>
          </w:tcPr>
          <w:p>
            <w:pPr>
              <w:spacing w:after="0"/>
              <w:rPr>
                <w:sz w:val="20"/>
                <w:szCs w:val="20"/>
                <w:color w:val="auto"/>
              </w:rPr>
            </w:pPr>
            <w:r>
              <w:rPr>
                <w:rFonts w:ascii="Arial" w:cs="Arial" w:eastAsia="Arial" w:hAnsi="Arial"/>
                <w:sz w:val="18"/>
                <w:szCs w:val="18"/>
                <w:b w:val="1"/>
                <w:bCs w:val="1"/>
                <w:color w:val="0000FF"/>
              </w:rPr>
              <w:t>Item 2. Management's Discussion and Analysis of Financial Condition and Results of Operations.</w:t>
            </w: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10"/>
        </w:trPr>
        <w:tc>
          <w:tcPr>
            <w:tcW w:w="7460" w:type="dxa"/>
            <w:vAlign w:val="bottom"/>
            <w:tcBorders>
              <w:top w:val="single" w:sz="8" w:color="0000FF"/>
            </w:tcBorders>
            <w:gridSpan w:val="17"/>
          </w:tcPr>
          <w:p>
            <w:pPr>
              <w:spacing w:after="0"/>
              <w:rPr>
                <w:sz w:val="20"/>
                <w:szCs w:val="20"/>
                <w:color w:val="auto"/>
              </w:rPr>
            </w:pPr>
            <w:r>
              <w:rPr>
                <w:rFonts w:ascii="Arial" w:cs="Arial" w:eastAsia="Arial" w:hAnsi="Arial"/>
                <w:sz w:val="18"/>
                <w:szCs w:val="18"/>
                <w:b w:val="1"/>
                <w:bCs w:val="1"/>
                <w:color w:val="0000FF"/>
              </w:rPr>
              <w:t>Item 3. Quantitative and Qualitative Disclosures About Market Risk.</w:t>
            </w:r>
          </w:p>
        </w:tc>
        <w:tc>
          <w:tcPr>
            <w:tcW w:w="19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10"/>
        </w:trPr>
        <w:tc>
          <w:tcPr>
            <w:tcW w:w="5300" w:type="dxa"/>
            <w:vAlign w:val="bottom"/>
            <w:tcBorders>
              <w:top w:val="single" w:sz="8" w:color="0000FF"/>
            </w:tcBorders>
            <w:gridSpan w:val="16"/>
          </w:tcPr>
          <w:p>
            <w:pPr>
              <w:spacing w:after="0"/>
              <w:rPr>
                <w:sz w:val="20"/>
                <w:szCs w:val="20"/>
                <w:color w:val="auto"/>
              </w:rPr>
            </w:pPr>
            <w:r>
              <w:rPr>
                <w:rFonts w:ascii="Arial" w:cs="Arial" w:eastAsia="Arial" w:hAnsi="Arial"/>
                <w:sz w:val="18"/>
                <w:szCs w:val="18"/>
                <w:b w:val="1"/>
                <w:bCs w:val="1"/>
                <w:color w:val="0000FF"/>
              </w:rPr>
              <w:t>Item 4. Controls and Procedures.</w:t>
            </w:r>
          </w:p>
        </w:tc>
        <w:tc>
          <w:tcPr>
            <w:tcW w:w="4100" w:type="dxa"/>
            <w:vAlign w:val="bottom"/>
            <w:gridSpan w:val="3"/>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 OTHER INFORMATION</w:t>
            </w:r>
          </w:p>
        </w:tc>
        <w:tc>
          <w:tcPr>
            <w:tcW w:w="6440" w:type="dxa"/>
            <w:vAlign w:val="bottom"/>
            <w:gridSpan w:val="1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1"/>
              </w:rPr>
              <w:t>Item 1A. Risk Factors.</w:t>
            </w:r>
          </w:p>
        </w:tc>
        <w:tc>
          <w:tcPr>
            <w:tcW w:w="7660" w:type="dxa"/>
            <w:vAlign w:val="bottom"/>
            <w:gridSpan w:val="15"/>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209"/>
        </w:trPr>
        <w:tc>
          <w:tcPr>
            <w:tcW w:w="9400" w:type="dxa"/>
            <w:vAlign w:val="bottom"/>
            <w:gridSpan w:val="19"/>
          </w:tcPr>
          <w:p>
            <w:pPr>
              <w:spacing w:after="0"/>
              <w:rPr>
                <w:sz w:val="20"/>
                <w:szCs w:val="20"/>
                <w:color w:val="auto"/>
              </w:rPr>
            </w:pPr>
            <w:r>
              <w:rPr>
                <w:rFonts w:ascii="Arial" w:cs="Arial" w:eastAsia="Arial" w:hAnsi="Arial"/>
                <w:sz w:val="18"/>
                <w:szCs w:val="18"/>
                <w:b w:val="1"/>
                <w:bCs w:val="1"/>
                <w:color w:val="0000FF"/>
              </w:rPr>
              <w:t>Item 2. Unregistered Sales of Equity Securities, Use of Proceeds, and Issuer Purchases of Equity Securities.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6100" w:type="dxa"/>
            <w:vAlign w:val="bottom"/>
            <w:tcBorders>
              <w:top w:val="single" w:sz="8" w:color="0000FF"/>
            </w:tcBorders>
            <w:gridSpan w:val="13"/>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1"/>
              </w:rPr>
              <w:t>Item 6. Exhibits.</w:t>
            </w:r>
          </w:p>
        </w:tc>
        <w:tc>
          <w:tcPr>
            <w:tcW w:w="8120" w:type="dxa"/>
            <w:vAlign w:val="bottom"/>
            <w:gridSpan w:val="16"/>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c>
          <w:tcPr>
            <w:tcW w:w="0" w:type="dxa"/>
            <w:vAlign w:val="bottom"/>
          </w:tcPr>
          <w:p>
            <w:pPr>
              <w:spacing w:after="0"/>
              <w:rPr>
                <w:sz w:val="1"/>
                <w:szCs w:val="1"/>
                <w:color w:val="auto"/>
              </w:rPr>
            </w:pPr>
          </w:p>
        </w:tc>
      </w:tr>
      <w:tr>
        <w:trPr>
          <w:trHeight w:val="480"/>
        </w:trPr>
        <w:tc>
          <w:tcPr>
            <w:tcW w:w="940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1, 2023</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808,757</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2"/>
              </w:rPr>
              <w:t>Accounts receivable, net of allowance of $494 and $369 as of September 30, 2023 and April 1, 2023,</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592,738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304,519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796,596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46,684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2,029,794</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89"/>
              </w:rPr>
              <w:t>Property and equipment, net of accumulated depreciation of $1,976,429 and $1,900,317 as of September 30,</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2023 and April 1, 2023,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1,061,163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1,149,806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2,760,813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537,703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193,381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275,256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210,701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122,599</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555,763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2,048,585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2,048,073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2,901,334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2,789,109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7)</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stock and additional paid-in capital, $.0001 par value; 405,000 shares authorized; 97,506 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w w:val="99"/>
              </w:rPr>
              <w:t>98,649 shares issued and outstanding at September 30, 2023 and April 1, 2023,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3,796,189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3,821,474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3,902,794</w:t>
            </w:r>
          </w:p>
        </w:tc>
        <w:tc>
          <w:tcPr>
            <w:tcW w:w="0" w:type="dxa"/>
            <w:vAlign w:val="bottom"/>
          </w:tcPr>
          <w:p>
            <w:pPr>
              <w:spacing w:after="0"/>
              <w:rPr>
                <w:sz w:val="1"/>
                <w:szCs w:val="1"/>
                <w:color w:val="auto"/>
              </w:rPr>
            </w:pPr>
          </w:p>
        </w:tc>
      </w:tr>
      <w:tr>
        <w:trPr>
          <w:trHeight w:val="223"/>
        </w:trPr>
        <w:tc>
          <w:tcPr>
            <w:tcW w:w="78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6,718,520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6,691,903</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October 1,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October 1, 2022</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1,279,238</w:t>
            </w: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914,177</w:t>
            </w:r>
          </w:p>
        </w:tc>
      </w:tr>
      <w:tr>
        <w:trPr>
          <w:trHeight w:val="270"/>
        </w:trPr>
        <w:tc>
          <w:tcPr>
            <w:tcW w:w="4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174,947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338,037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336,732</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199,567</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550,756</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363,421</w:t>
            </w:r>
          </w:p>
        </w:tc>
      </w:tr>
      <w:tr>
        <w:trPr>
          <w:trHeight w:val="270"/>
        </w:trPr>
        <w:tc>
          <w:tcPr>
            <w:tcW w:w="4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(34,156)</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246,872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326,417</w:t>
            </w:r>
          </w:p>
        </w:tc>
      </w:tr>
      <w:tr>
        <w:trPr>
          <w:trHeight w:val="270"/>
        </w:trPr>
        <w:tc>
          <w:tcPr>
            <w:tcW w:w="4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(68,918)</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257,499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shares of common stock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103,991</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4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1, 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1, 2022</w:t>
            </w:r>
          </w:p>
        </w:tc>
      </w:tr>
      <w:tr>
        <w:trPr>
          <w:trHeight w:val="23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257,499</w:t>
            </w:r>
          </w:p>
        </w:tc>
      </w:tr>
      <w:tr>
        <w:trPr>
          <w:trHeight w:val="209"/>
        </w:trPr>
        <w:tc>
          <w:tcPr>
            <w:tcW w:w="44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6"/>
        </w:trPr>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Foreign currency translation adjustment, including intra-</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5"/>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entity foreign currency transactions that are of a long-</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pension actuarial (gain) loss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(47,008)</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Common Stock</w:t>
            </w:r>
          </w:p>
        </w:tc>
        <w:tc>
          <w:tcPr>
            <w:tcW w:w="3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Accumulated Other</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100" w:type="dxa"/>
            <w:vAlign w:val="bottom"/>
            <w:vMerge w:val="continue"/>
          </w:tcPr>
          <w:p>
            <w:pPr>
              <w:spacing w:after="0"/>
              <w:rPr>
                <w:sz w:val="2"/>
                <w:szCs w:val="2"/>
                <w:color w:val="auto"/>
              </w:rPr>
            </w:pPr>
          </w:p>
        </w:tc>
        <w:tc>
          <w:tcPr>
            <w:tcW w:w="6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4"/>
        </w:trPr>
        <w:tc>
          <w:tcPr>
            <w:tcW w:w="3580" w:type="dxa"/>
            <w:vAlign w:val="bottom"/>
            <w:vMerge w:val="continue"/>
          </w:tcPr>
          <w:p>
            <w:pPr>
              <w:spacing w:after="0"/>
              <w:rPr>
                <w:sz w:val="16"/>
                <w:szCs w:val="16"/>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1840" w:type="dxa"/>
            <w:vAlign w:val="bottom"/>
          </w:tcPr>
          <w:p>
            <w:pPr>
              <w:ind w:left="920"/>
              <w:spacing w:after="0"/>
              <w:rPr>
                <w:sz w:val="20"/>
                <w:szCs w:val="20"/>
                <w:color w:val="auto"/>
              </w:rPr>
            </w:pPr>
            <w:r>
              <w:rPr>
                <w:rFonts w:ascii="Arial" w:cs="Arial" w:eastAsia="Arial" w:hAnsi="Arial"/>
                <w:sz w:val="14"/>
                <w:szCs w:val="14"/>
                <w:b w:val="1"/>
                <w:bCs w:val="1"/>
                <w:color w:val="auto"/>
              </w:rPr>
              <w:t>Amount</w:t>
            </w:r>
          </w:p>
        </w:tc>
        <w:tc>
          <w:tcPr>
            <w:tcW w:w="3100" w:type="dxa"/>
            <w:vAlign w:val="bottom"/>
          </w:tcPr>
          <w:p>
            <w:pPr>
              <w:ind w:left="120"/>
              <w:spacing w:after="0"/>
              <w:rPr>
                <w:sz w:val="20"/>
                <w:szCs w:val="20"/>
                <w:color w:val="auto"/>
              </w:rPr>
            </w:pPr>
            <w:r>
              <w:rPr>
                <w:rFonts w:ascii="Arial" w:cs="Arial" w:eastAsia="Arial" w:hAnsi="Arial"/>
                <w:sz w:val="14"/>
                <w:szCs w:val="14"/>
                <w:b w:val="1"/>
                <w:bCs w:val="1"/>
                <w:color w:val="auto"/>
              </w:rPr>
              <w:t>Comprehensive Loss   Retained Earnings</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70369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ectPr>
          <w:pgSz w:w="11900" w:h="16838" w:orient="portrait"/>
          <w:cols w:equalWidth="0" w:num="1">
            <w:col w:w="10560"/>
          </w:cols>
          <w:pgMar w:left="660" w:top="540" w:right="679" w:bottom="1440" w:gutter="0" w:footer="0" w:header="0"/>
        </w:sectPr>
      </w:pPr>
    </w:p>
    <w:tbl>
      <w:tblPr>
        <w:tblLayout w:type="fixed"/>
        <w:tblInd w:w="0" w:type="dxa"/>
        <w:tblCellMar>
          <w:top w:w="0" w:type="dxa"/>
          <w:left w:w="0" w:type="dxa"/>
          <w:bottom w:w="0" w:type="dxa"/>
          <w:right w:w="0" w:type="dxa"/>
        </w:tblCellMar>
      </w:tblPr>
      <w:tr>
        <w:trPr>
          <w:trHeight w:val="234"/>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July 1, 2023</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500"/>
              <w:spacing w:after="0"/>
              <w:rPr>
                <w:sz w:val="20"/>
                <w:szCs w:val="20"/>
                <w:color w:val="auto"/>
              </w:rPr>
            </w:pPr>
            <w:r>
              <w:rPr>
                <w:rFonts w:ascii="Arial" w:cs="Arial" w:eastAsia="Arial" w:hAnsi="Arial"/>
                <w:sz w:val="18"/>
                <w:szCs w:val="18"/>
                <w:color w:val="auto"/>
              </w:rPr>
              <w:t>withheld for employee taxes</w:t>
            </w:r>
          </w:p>
        </w:tc>
        <w:tc>
          <w:tcPr>
            <w:tcW w:w="1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line="189" w:lineRule="exact"/>
              <w:rPr>
                <w:sz w:val="20"/>
                <w:szCs w:val="20"/>
                <w:color w:val="auto"/>
              </w:rPr>
            </w:pPr>
            <w:r>
              <w:rPr>
                <w:rFonts w:ascii="Arial" w:cs="Arial" w:eastAsia="Arial" w:hAnsi="Arial"/>
                <w:sz w:val="18"/>
                <w:szCs w:val="18"/>
                <w:color w:val="auto"/>
              </w:rPr>
              <w:t>Repurchase of common stock, including</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500"/>
              <w:spacing w:after="0"/>
              <w:rPr>
                <w:sz w:val="20"/>
                <w:szCs w:val="20"/>
                <w:color w:val="auto"/>
              </w:rPr>
            </w:pPr>
            <w:r>
              <w:rPr>
                <w:rFonts w:ascii="Arial" w:cs="Arial" w:eastAsia="Arial" w:hAnsi="Arial"/>
                <w:sz w:val="18"/>
                <w:szCs w:val="18"/>
                <w:color w:val="auto"/>
              </w:rPr>
              <w:t>transaction costs and excise tax</w:t>
            </w:r>
          </w:p>
        </w:tc>
        <w:tc>
          <w:tcPr>
            <w:tcW w:w="1280" w:type="dxa"/>
            <w:vAlign w:val="bottom"/>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3600" w:type="dxa"/>
            <w:vAlign w:val="bottom"/>
          </w:tcPr>
          <w:p>
            <w:pPr>
              <w:ind w:left="20"/>
              <w:spacing w:after="0"/>
              <w:rPr>
                <w:sz w:val="20"/>
                <w:szCs w:val="20"/>
                <w:color w:val="auto"/>
              </w:rPr>
            </w:pPr>
            <w:r>
              <w:rPr>
                <w:rFonts w:ascii="Arial" w:cs="Arial" w:eastAsia="Arial" w:hAnsi="Arial"/>
                <w:sz w:val="18"/>
                <w:szCs w:val="18"/>
                <w:color w:val="auto"/>
              </w:rPr>
              <w:t>Balance, July 2, 2022</w:t>
            </w:r>
          </w:p>
        </w:tc>
        <w:tc>
          <w:tcPr>
            <w:tcW w:w="1280" w:type="dxa"/>
            <w:vAlign w:val="bottom"/>
          </w:tcPr>
          <w:p>
            <w:pPr>
              <w:jc w:val="right"/>
              <w:spacing w:after="0"/>
              <w:rPr>
                <w:sz w:val="20"/>
                <w:szCs w:val="20"/>
                <w:color w:val="auto"/>
              </w:rPr>
            </w:pPr>
            <w:r>
              <w:rPr>
                <w:rFonts w:ascii="Arial" w:cs="Arial" w:eastAsia="Arial" w:hAnsi="Arial"/>
                <w:sz w:val="18"/>
                <w:szCs w:val="18"/>
                <w:color w:val="auto"/>
              </w:rPr>
              <w:t>103,340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500"/>
              <w:spacing w:after="0"/>
              <w:rPr>
                <w:sz w:val="20"/>
                <w:szCs w:val="20"/>
                <w:color w:val="auto"/>
              </w:rPr>
            </w:pPr>
            <w:r>
              <w:rPr>
                <w:rFonts w:ascii="Arial" w:cs="Arial" w:eastAsia="Arial" w:hAnsi="Arial"/>
                <w:sz w:val="18"/>
                <w:szCs w:val="18"/>
                <w:color w:val="auto"/>
              </w:rPr>
              <w:t>withheld for employee taxes</w:t>
            </w:r>
          </w:p>
        </w:tc>
        <w:tc>
          <w:tcPr>
            <w:tcW w:w="1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line="189" w:lineRule="exact"/>
              <w:rPr>
                <w:sz w:val="20"/>
                <w:szCs w:val="20"/>
                <w:color w:val="auto"/>
              </w:rPr>
            </w:pPr>
            <w:r>
              <w:rPr>
                <w:rFonts w:ascii="Arial" w:cs="Arial" w:eastAsia="Arial" w:hAnsi="Arial"/>
                <w:sz w:val="18"/>
                <w:szCs w:val="18"/>
                <w:color w:val="auto"/>
              </w:rPr>
              <w:t>Repurchase of common stock, including</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October 1, 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-2691130</wp:posOffset>
            </wp:positionV>
            <wp:extent cx="670369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-2167890</wp:posOffset>
            </wp:positionV>
            <wp:extent cx="670369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3695" cy="2654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-1414145</wp:posOffset>
            </wp:positionV>
            <wp:extent cx="670369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3695"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-1122045</wp:posOffset>
            </wp:positionV>
            <wp:extent cx="67036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-599440</wp:posOffset>
            </wp:positionV>
            <wp:extent cx="670369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3695" cy="2654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67036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3695" cy="171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-1757045</wp:posOffset>
            </wp:positionV>
            <wp:extent cx="67036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3,816,260</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3,812,223</w:t>
            </w: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97,461</w:t>
            </w: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(9,572)</w:t>
            </w:r>
          </w:p>
        </w:tc>
      </w:tr>
      <w:tr>
        <w:trPr>
          <w:trHeight w:val="59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(19,741)</w:t>
            </w:r>
          </w:p>
        </w:tc>
        <w:tc>
          <w:tcPr>
            <w:tcW w:w="4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(19,741)</w:t>
            </w:r>
          </w:p>
        </w:tc>
      </w:tr>
      <w:tr>
        <w:trPr>
          <w:trHeight w:val="418"/>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(37,699)</w:t>
            </w:r>
          </w:p>
        </w:tc>
        <w:tc>
          <w:tcPr>
            <w:tcW w:w="4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(100,554)</w:t>
            </w: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37,369</w:t>
            </w: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37,369</w:t>
            </w:r>
          </w:p>
        </w:tc>
      </w:tr>
      <w:tr>
        <w:trPr>
          <w:trHeight w:val="22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3,796,189</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3,817,186</w:t>
            </w:r>
          </w:p>
        </w:tc>
      </w:tr>
      <w:tr>
        <w:trPr>
          <w:trHeight w:val="20"/>
        </w:trPr>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65"/>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3,962,499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(17,974)</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356,080</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4,300,605</w:t>
            </w:r>
          </w:p>
        </w:tc>
      </w:tr>
      <w:tr>
        <w:trPr>
          <w:trHeight w:val="229"/>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188,615</w:t>
            </w: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(23,802)</w:t>
            </w:r>
          </w:p>
        </w:tc>
      </w:tr>
      <w:tr>
        <w:trPr>
          <w:trHeight w:val="59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(16,993)</w:t>
            </w:r>
          </w:p>
        </w:tc>
        <w:tc>
          <w:tcPr>
            <w:tcW w:w="4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(16,993)</w:t>
            </w:r>
          </w:p>
        </w:tc>
      </w:tr>
      <w:tr>
        <w:trPr>
          <w:trHeight w:val="418"/>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(63,309)</w:t>
            </w:r>
          </w:p>
        </w:tc>
        <w:tc>
          <w:tcPr>
            <w:tcW w:w="4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(160,057)</w:t>
            </w: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33,772</w:t>
            </w: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33,772</w:t>
            </w:r>
          </w:p>
        </w:tc>
      </w:tr>
      <w:tr>
        <w:trPr>
          <w:trHeight w:val="22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3,915,969</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447,947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4,322,140</w:t>
            </w:r>
          </w:p>
        </w:tc>
      </w:tr>
      <w:tr>
        <w:trPr>
          <w:trHeight w:val="21"/>
        </w:trPr>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-7620</wp:posOffset>
            </wp:positionV>
            <wp:extent cx="831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-1576705</wp:posOffset>
            </wp:positionV>
            <wp:extent cx="831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400"/>
            <w:col w:w="5060"/>
          </w:cols>
          <w:pgMar w:left="660" w:top="540" w:right="67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540" w:right="6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0" w:type="dxa"/>
            <w:vAlign w:val="bottom"/>
            <w:gridSpan w:val="5"/>
            <w:vMerge w:val="restart"/>
          </w:tcPr>
          <w:p>
            <w:pPr>
              <w:ind w:left="88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28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restart"/>
          </w:tcPr>
          <w:p>
            <w:pPr>
              <w:jc w:val="center"/>
              <w:ind w:right="28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Six Months Ended</w:t>
            </w: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 Earnings</w:t>
            </w: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April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3,821,474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3,902,794</w:t>
            </w: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53,881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176"/>
        </w:trPr>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withheld for employee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 employee stock purchase plan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176"/>
        </w:trPr>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transaction costs and excise tax</w:t>
            </w:r>
          </w:p>
        </w:tc>
        <w:tc>
          <w:tcPr>
            <w:tcW w:w="128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(201,166)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77,094</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3,796,189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3,817,186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Balance, April 2, 2022</w:t>
            </w:r>
          </w:p>
        </w:tc>
        <w:tc>
          <w:tcPr>
            <w:tcW w:w="1280" w:type="dxa"/>
            <w:vAlign w:val="bottom"/>
          </w:tcPr>
          <w:p>
            <w:pPr>
              <w:jc w:val="right"/>
              <w:spacing w:after="0"/>
              <w:rPr>
                <w:sz w:val="20"/>
                <w:szCs w:val="20"/>
                <w:color w:val="auto"/>
              </w:rPr>
            </w:pPr>
            <w:r>
              <w:rPr>
                <w:rFonts w:ascii="Arial" w:cs="Arial" w:eastAsia="Arial" w:hAnsi="Arial"/>
                <w:sz w:val="18"/>
                <w:szCs w:val="18"/>
                <w:color w:val="auto"/>
              </w:rPr>
              <w:t>106,303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4,035,849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512,137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257,499</w:t>
            </w: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(47,008)</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withheld for employee taxes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0" w:type="dxa"/>
            <w:vAlign w:val="bottom"/>
          </w:tcPr>
          <w:p>
            <w:pPr>
              <w:spacing w:after="0"/>
              <w:rPr>
                <w:sz w:val="1"/>
                <w:szCs w:val="1"/>
                <w:color w:val="auto"/>
              </w:rPr>
            </w:pPr>
          </w:p>
        </w:tc>
      </w:tr>
      <w:tr>
        <w:trPr>
          <w:trHeight w:val="175"/>
        </w:trPr>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500"/>
              <w:spacing w:after="0"/>
              <w:rPr>
                <w:sz w:val="20"/>
                <w:szCs w:val="20"/>
                <w:color w:val="auto"/>
              </w:rPr>
            </w:pPr>
            <w:r>
              <w:rPr>
                <w:rFonts w:ascii="Arial" w:cs="Arial" w:eastAsia="Arial" w:hAnsi="Arial"/>
                <w:sz w:val="18"/>
                <w:szCs w:val="18"/>
                <w:color w:val="auto"/>
              </w:rPr>
              <w:t>with 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transaction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(510,099)</w:t>
            </w:r>
          </w:p>
        </w:tc>
        <w:tc>
          <w:tcPr>
            <w:tcW w:w="0" w:type="dxa"/>
            <w:vAlign w:val="bottom"/>
          </w:tcPr>
          <w:p>
            <w:pPr>
              <w:spacing w:after="0"/>
              <w:rPr>
                <w:sz w:val="1"/>
                <w:szCs w:val="1"/>
                <w:color w:val="auto"/>
              </w:rPr>
            </w:pPr>
          </w:p>
        </w:tc>
      </w:tr>
      <w:tr>
        <w:trPr>
          <w:trHeight w:val="229"/>
        </w:trPr>
        <w:tc>
          <w:tcPr>
            <w:tcW w:w="36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70,818</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1,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4,322,140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540" w:right="6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400" w:type="dxa"/>
            <w:vAlign w:val="bottom"/>
          </w:tcPr>
          <w:p>
            <w:pPr>
              <w:jc w:val="right"/>
              <w:ind w:right="231"/>
              <w:spacing w:after="0"/>
              <w:rPr>
                <w:sz w:val="20"/>
                <w:szCs w:val="20"/>
                <w:color w:val="auto"/>
              </w:rPr>
            </w:pPr>
            <w:r>
              <w:rPr>
                <w:rFonts w:ascii="Arial" w:cs="Arial" w:eastAsia="Arial" w:hAnsi="Arial"/>
                <w:sz w:val="14"/>
                <w:szCs w:val="14"/>
                <w:b w:val="1"/>
                <w:bCs w:val="1"/>
                <w:color w:val="auto"/>
              </w:rPr>
              <w:t>October 1, 2022</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53,881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257,499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103,882</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66,539</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(16,693)</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67,203</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58,804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(75,728)</w:t>
            </w: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(81,716)</w:t>
            </w: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30,503</w:t>
            </w: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65,012</w:t>
            </w: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Income taxes payable and receivable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3,518</w:t>
            </w: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540,424</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(90,454)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property and equipment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(84,282)</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 including transaction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(510,099)</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19,541</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(22,020)</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(512,957)</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972,805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706,836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911,570</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706,836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911,753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included in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United States Securities and Exchange Commission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1, 2023.</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The Company operates under three segments, High Performance Analog ("HPA"), Connectivity and Sensors Group ("CSG") and Advanced Cellular Group ("ACG").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fiscal 2024 presentation.</w:t>
      </w:r>
    </w:p>
    <w:p>
      <w:pPr>
        <w:spacing w:after="0" w:line="25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2024 and 2023 are 52-week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34"/>
              <w:spacing w:after="0"/>
              <w:rPr>
                <w:sz w:val="20"/>
                <w:szCs w:val="20"/>
                <w:color w:val="auto"/>
              </w:rPr>
            </w:pPr>
            <w:r>
              <w:rPr>
                <w:rFonts w:ascii="Arial" w:cs="Arial" w:eastAsia="Arial" w:hAnsi="Arial"/>
                <w:sz w:val="14"/>
                <w:szCs w:val="14"/>
                <w:b w:val="1"/>
                <w:bCs w:val="1"/>
                <w:color w:val="auto"/>
                <w:w w:val="99"/>
              </w:rPr>
              <w:t>April 1, 2023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266,354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w w:val="89"/>
              </w:rPr>
              <w:t>421,295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345,545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9"/>
              </w:rPr>
              <w:t>152,206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186,684</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839,855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796,596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3. GOODWILL AND INTANGIBLE ASSETS</w:t>
            </w: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gridSpan w:val="2"/>
          </w:tcPr>
          <w:p>
            <w:pPr>
              <w:spacing w:after="0"/>
              <w:rPr>
                <w:sz w:val="20"/>
                <w:szCs w:val="20"/>
                <w:color w:val="auto"/>
              </w:rPr>
            </w:pPr>
            <w:r>
              <w:rPr>
                <w:rFonts w:ascii="Arial" w:cs="Arial" w:eastAsia="Arial" w:hAnsi="Arial"/>
                <w:sz w:val="18"/>
                <w:szCs w:val="18"/>
                <w:color w:val="auto"/>
                <w:w w:val="92"/>
              </w:rPr>
              <w:t>The changes in the carrying amount of goodwill are as follows (in thousands):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HPA</w:t>
            </w:r>
          </w:p>
        </w:tc>
        <w:tc>
          <w:tcPr>
            <w:tcW w:w="32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CSG</w:t>
            </w:r>
          </w:p>
        </w:tc>
        <w:tc>
          <w:tcPr>
            <w:tcW w:w="3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4"/>
                <w:szCs w:val="14"/>
                <w:b w:val="1"/>
                <w:bCs w:val="1"/>
                <w:color w:val="auto"/>
              </w:rPr>
              <w:t>ACG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Balance as of April 1, 2023 </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2,760,813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as of September 30, 2023 </w:t>
            </w:r>
            <w:r>
              <w:rPr>
                <w:rFonts w:ascii="Arial" w:cs="Arial" w:eastAsia="Arial" w:hAnsi="Arial"/>
                <w:sz w:val="23"/>
                <w:szCs w:val="23"/>
                <w:color w:val="auto"/>
                <w:vertAlign w:val="superscript"/>
              </w:rPr>
              <w:t>(1)</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501,602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472,848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2,708,310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8"/>
        <w:spacing w:after="0" w:line="275"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totaling $730.0 million and $682.0 million as of September 30, 2023 and April 1, 2023, respectively, which were recognized in fiscal years 2009, 2013, 2014, 2022, 2023 and 2024.</w:t>
      </w:r>
    </w:p>
    <w:p>
      <w:pPr>
        <w:spacing w:after="0" w:line="19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During the second quarter of fiscal 2024, the Company completed an interim test for goodwill impairment as management determined, based on revisions to long-term forecasts, it was more likely than not that the fair value of a reporting unit within the CSG segment was below its carrying amount. The quantitative analysis, which considered the income approach and the market approach to estimate the reporting unit's fair value, resulted in a goodwill impairment charge of approximately $48.0 million, which was recorded in "Other operating expense" in the Condensed Consolidated Statements of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5"/>
          </w:tcPr>
          <w:p>
            <w:pPr>
              <w:ind w:left="760"/>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1, 2023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1"/>
                <w:szCs w:val="11"/>
                <w:color w:val="auto"/>
              </w:rPr>
            </w:pPr>
          </w:p>
        </w:tc>
        <w:tc>
          <w:tcPr>
            <w:tcW w:w="14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1"/>
                <w:szCs w:val="11"/>
                <w:color w:val="auto"/>
              </w:rPr>
            </w:pPr>
          </w:p>
        </w:tc>
        <w:tc>
          <w:tcPr>
            <w:tcW w:w="12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7"/>
                <w:szCs w:val="17"/>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872,106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382,448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67,485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963,584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988,938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Amounts include the impact of foreign currency translation.</w:t>
      </w:r>
    </w:p>
    <w:p>
      <w:pPr>
        <w:spacing w:after="0" w:line="2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invests in limited partnerships and accounts for these investments using the equity method. The carrying amounts of these investments, as of September 30, 2023 and April 1, 2023 were $18.5 million and $20.4 million, respectively, and are classified as "Long-term investments" in the Condensed Consolidated Balance Sheets. During the three and six months ended September 30, 2023, the Company recorded a loss of $1.2 million and income of $0.9 million, respectively, based on its share of the limited partnerships' results. During the three and six months ended October 1, 2022, the Company recorded income of $1.2 million and $0.4 million, respectively, based on its share of the limited partnerships' results. These amounts are included in "Other income (expense), net" in the Condensed Consolidated Statements of Income. During the three and six months ended September 30, 2023, the Company received cash distributions of $2.3 million and $2.8 million, respectively, from these limited partnerships. No cash distributions were received during the three months ended October 1, 2022 and $2.0 million of cash distributions were received during the six months ended October 1, 2022. The cash distributions were recognized as reductions to the carrying value of the investments and included in the cash flows from investing activities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by level within the fair value hierarchy, financial assets and liabilities measured on a recurring basis (in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7"/>
                <w:szCs w:val="17"/>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2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1, 2023</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2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80" w:type="dxa"/>
            <w:vAlign w:val="bottom"/>
          </w:tcPr>
          <w:p>
            <w:pPr>
              <w:ind w:left="12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23"/>
                <w:szCs w:val="23"/>
                <w:color w:val="auto"/>
                <w:vertAlign w:val="superscript"/>
              </w:rPr>
              <w:t>(2)</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(31,250)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w w:val="92"/>
              </w:rPr>
              <w:t>(31,250)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80" w:firstLine="8"/>
        <w:spacing w:after="0" w:line="264"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ind w:right="380" w:firstLine="8"/>
        <w:spacing w:after="0" w:line="257"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 contingent consideration liability which related to the acquisition of United Silicon Carbide, Inc. was equal to the maximum amount payable at April 1, 2023 and was subsequently paid in the first quarter of fiscal 2024.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1, 2023</w:t>
            </w:r>
          </w:p>
        </w:tc>
      </w:tr>
      <w:tr>
        <w:trPr>
          <w:trHeight w:val="25"/>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 and other</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discount and issuance costs,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48"/>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2,048,073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spacing w:after="0" w:line="21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Credit Agreement, the Company may request one or more additional tranches of term loans or increases to the Revolving Facility, up to an aggregate of $500.0 million and subject to, among other things, securing additional funding commitments from the existing or new lenders.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Revolving Facility are subject to a commitment fee ranging from 0.150% to 0.200%.</w:t>
      </w: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June 23, 2023, the Company entered into a second amendment to the Credit Agreement (the "Second Amendment"). The purpose of the Second Amendment was to amend certain covenants related to the Company’s ratio of Consolidated Funded Indebtedness to Consolidated EBITDA, as such terms are defined in the Credit Agreement (the "Consolidated Leverage Ratio"). The Second Amendment increased the maximum Consolidated Leverage Ratio to 4.00 to 1.00 for the fiscal quarters ended July 1, 2023 and September 30, 2023, and 3.50 to 1.00 for the fiscal quarters ending December 30, 2023 and March 30, 2024. For subsequent fiscal quarters, the maximum Consolidated Leverage Ratio will return to 3.00 to 1.00.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September 30, 2023, there were no borrowings under the Revolving Facility.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September 30, 2023, the Company was in compliance with these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1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connection with the offering of the 2024 Notes, the Company entered into a Registration Rights Agreement, dated as of December 14, 2021 (the "Registration Rights Agreement"), by and among the Company and the Guarantors, on the one hand, and BofA Securities, Inc., as representative of the initial purchasers of the 2024 Notes, on the other hand.</w:t>
      </w:r>
    </w:p>
    <w:p>
      <w:pPr>
        <w:spacing w:after="0" w:line="21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September 13, 2023, pursuant to their obligations under the Registration Rights Agreement, the Company and the Guarantors filed with the SEC a registration statement relating to the registered exchange offer (the "Exchange Offer") to exchange the 2024 Notes for a new series of the Company's exchange notes having terms substantially identical in all material respects to, and in the same aggregate principal amount as, the 2024 Notes. On October 16, 2023, the Company and the Guarantors commenced the Exchange Offer, which is scheduled to expire on November 17, 2023, unless extended.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is payable on the 2024 Notes on June 15 and December 15 of each year. The Company paid no interest on the 2024 Notes during the three months ended September 30, 2023 and October 1, 2022, and paid interest of $4.4 million during both the six months ended September 30, 2023 and October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their terms. The 2029 Notes are senior unsecured obligations of the Company and are guaranteed, jointly and severally, by the Guarantors.</w:t>
      </w:r>
    </w:p>
    <w:p>
      <w:pPr>
        <w:spacing w:after="0" w:line="2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1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Interest is payable on the 2029 Notes on April 15 and October 15 of each year. The Company paid no interest on the 2029 Notes during the three months ended September 30, 2023 and October 1, 2022, and paid interest of $18.6 million during both the six months ended September 30, 2023 and October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1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is payable on the 2031 Notes on April 1 and October 1 of each year. The Company paid no interest on the 2031 Notes during the three and six months ended September 30, 2023, and paid interest of $11.8 million during the three and six months ended October 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 of the 2024 Notes, the 2029 Notes and the 2031 Notes as of September 30, 2023 was $470.7 million, $751.1 million and $553.8 million, respectively (compared to the outstanding principal amount of $500.0 million, $850.0 million and $700.0 million, respectively). The estimated fair value of the 2024 Notes, the 2029 Notes and the 2031 Notes as of April 1, 2023 was $464.2 million, $785.9 million and $565.3 million, respectively (compared to the outstanding principal amount of $500.0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and six months ended September 30, 2023, the Company recognized $17.9 million and $36.1 million of interest expense, respectively, primarily related to the 2024 Notes, the 2029 Notes and the 2031 Notes, partially offset by interest capitalized to property and equipment of $0.8 million and $1.7 million, respectively. During the three and six months ended October 1, 2022, the Company recognized $17.9 million and $36.1 million of interest expense, respectively, primarily related to the 2024 Notes, the 2029 Notes and the 2031 Notes, partially offset by interest capitalized to property and equipment of $1.0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REPURCHASES</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w:t>
      </w:r>
    </w:p>
    <w:p>
      <w:pPr>
        <w:spacing w:after="0" w:line="2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Condensed Consolidated Statements of Stockholders' Equity.</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and six months ended September 30, 2023, the Company repurchased approximately 1.0 million and 2.0 million shares of its common stock, respectively, for approximately $100.6 million and $201.2 million, respectively (including transaction costs and excise tax) under the current share repurchase program. As of September 30, 2023, approximately $1,505.0 million remains available for repurchases under the current share repurchase program.</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During the three and six months ended October 1, 2022, the Company repurchased approximately 1.7 million and 4.9 million shares, respectively, of its common stock for approximately $160.1 million and $510.1 million, respectively (including transaction costs) under the prior share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CONTINGENT LIABILITIES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fiscal 2022, the Company entered into a long-term capacity reservation agreement with a foundry supplier to purchase a certain number of wafers through calendar year 2025. In fiscal 2023, the agreement was amended and the term was extended through calendar year 2026. In the first quarter of fiscal 2023, the Company recorded charges of $110.0 million to "Cost of goods sold" based on the actual and estimated purchase shortfalls. No charges have been recorded to the Condensed Consolidated Statements of Income in the first quarter or second quarter of fiscal 2024 as a result of this agreement.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2023, the long-term capacity reservation agreement with the foundry supplier was further amended. Pursuant to the amendment, the Company is no longer obligated to order silicon wafers from the foundry supplier and the agreement will be terminated effective December 31, 2023. A contract termination fee of $65.0 million will be recorded to “Cost of goods sold” in the third quarter of fiscal 2024 and is expected to be paid by the Company during the fourth quarter of fiscal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Revenue to customers by geographic region (based on the location of the customers' headquarters) is summarized as follows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1,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1, 2022</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699,288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1,011,038</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505,213</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318,688</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Taiwan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221,635</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136,841</w:t>
            </w: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2,193,415</w:t>
            </w: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(refer to Note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2023, the Company initiated actions to improve efficiencies in its operations and further align the organization with its strategic objectives. These initiatives included seeking strategic alternatives related to its non-core biotechnology business. In the second quarter of fiscal 2024, it was determined that this business met the held for sale criteria under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and the sale of this business was subsequently completed in October 2023.</w:t>
      </w:r>
    </w:p>
    <w:p>
      <w:pPr>
        <w:spacing w:after="0" w:line="21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will continue to evaluate its operating footprint, cost structure and strategic opportunities, but does not expect to incur additional material charges related to its 2023 restructuring initiatives. The restructuring charges recorded by the Company are not allocated to its reportable segments.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charges resulting from restructuring initiatives (in thousands):</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140" w:type="dxa"/>
            <w:vAlign w:val="bottom"/>
          </w:tcPr>
          <w:p>
            <w:pPr>
              <w:spacing w:after="0"/>
              <w:rPr>
                <w:sz w:val="16"/>
                <w:szCs w:val="16"/>
                <w:color w:val="auto"/>
              </w:rPr>
            </w:pPr>
          </w:p>
        </w:tc>
        <w:tc>
          <w:tcPr>
            <w:tcW w:w="364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2"/>
              </w:rPr>
              <w:t>Six Months Ended September 30, 2023</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Cost of Goods</w:t>
            </w:r>
          </w:p>
        </w:tc>
        <w:tc>
          <w:tcPr>
            <w:tcW w:w="12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Other Operating</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Cost of Goods</w:t>
            </w:r>
          </w:p>
        </w:tc>
        <w:tc>
          <w:tcPr>
            <w:tcW w:w="13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Other Operating</w:t>
            </w:r>
          </w:p>
        </w:tc>
        <w:tc>
          <w:tcPr>
            <w:tcW w:w="26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Sold</w:t>
            </w: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Sold</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termination and other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Asset impairment costs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One-time employee termination benefits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3"/>
        </w:trPr>
        <w:tc>
          <w:tcPr>
            <w:tcW w:w="338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restructuring liabilities for the six months ended September 30, 2023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One-Time Employee</w:t>
            </w: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Contract Termination</w:t>
            </w:r>
          </w:p>
        </w:tc>
        <w:tc>
          <w:tcPr>
            <w:tcW w:w="380" w:type="dxa"/>
            <w:vAlign w:val="bottom"/>
          </w:tcPr>
          <w:p>
            <w:pPr>
              <w:spacing w:after="0"/>
              <w:rPr>
                <w:sz w:val="14"/>
                <w:szCs w:val="14"/>
                <w:color w:val="auto"/>
              </w:rPr>
            </w:pPr>
          </w:p>
        </w:tc>
        <w:tc>
          <w:tcPr>
            <w:tcW w:w="124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Termination Benefits</w:t>
            </w: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 Costs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April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24,709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Accrued restructuring balance as of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accrued restructuring balances as of September 30, 2023 represent estimated future cash payments required to satisfy the Company's remaining obligations, the majority of which are expected to be paid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Company's three operating and reportable segments, HPA, CSG, and ACG,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HPA is a leading global supplier of radio frequency ("RF") and power solutions for automotive, defense and aerospace, cellular infrastructure, broadband, industrial, enterprise and consumer markets. HPA leverages a diverse portfolio of differentiated technologies and products to support multiyear growth trends, including electrification, renewable energy, the increasing semiconductor spend in defense and 5G and 6G network infrastructure.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CSG is a leading global supplier of connectivity and sensor solutions, with broad expertise spanning ultra-wideband, Matter</w:t>
      </w:r>
      <w:r>
        <w:rPr>
          <w:rFonts w:ascii="Arial" w:cs="Arial" w:eastAsia="Arial" w:hAnsi="Arial"/>
          <w:sz w:val="20"/>
          <w:szCs w:val="20"/>
          <w:color w:val="auto"/>
          <w:vertAlign w:val="superscript"/>
        </w:rPr>
        <w:t>®</w:t>
      </w:r>
      <w:r>
        <w:rPr>
          <w:rFonts w:ascii="Arial" w:cs="Arial" w:eastAsia="Arial" w:hAnsi="Arial"/>
          <w:sz w:val="16"/>
          <w:szCs w:val="16"/>
          <w:color w:val="auto"/>
        </w:rPr>
        <w:t>, Bluetooth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Low Energy, Zigbee</w:t>
      </w:r>
      <w:r>
        <w:rPr>
          <w:rFonts w:ascii="Arial" w:cs="Arial" w:eastAsia="Arial" w:hAnsi="Arial"/>
          <w:sz w:val="20"/>
          <w:szCs w:val="20"/>
          <w:color w:val="auto"/>
          <w:vertAlign w:val="superscript"/>
        </w:rPr>
        <w:t>®</w:t>
      </w:r>
      <w:r>
        <w:rPr>
          <w:rFonts w:ascii="Arial" w:cs="Arial" w:eastAsia="Arial" w:hAnsi="Arial"/>
          <w:sz w:val="16"/>
          <w:szCs w:val="16"/>
          <w:color w:val="auto"/>
        </w:rPr>
        <w:t>, Thread</w:t>
      </w:r>
      <w:r>
        <w:rPr>
          <w:rFonts w:ascii="Arial" w:cs="Arial" w:eastAsia="Arial" w:hAnsi="Arial"/>
          <w:sz w:val="20"/>
          <w:szCs w:val="20"/>
          <w:color w:val="auto"/>
          <w:vertAlign w:val="superscript"/>
        </w:rPr>
        <w:t>®</w:t>
      </w:r>
      <w:r>
        <w:rPr>
          <w:rFonts w:ascii="Arial" w:cs="Arial" w:eastAsia="Arial" w:hAnsi="Arial"/>
          <w:sz w:val="16"/>
          <w:szCs w:val="16"/>
          <w:color w:val="auto"/>
        </w:rPr>
        <w:t>, Wi-Fi</w:t>
      </w:r>
      <w:r>
        <w:rPr>
          <w:rFonts w:ascii="Arial" w:cs="Arial" w:eastAsia="Arial" w:hAnsi="Arial"/>
          <w:sz w:val="20"/>
          <w:szCs w:val="20"/>
          <w:color w:val="auto"/>
          <w:vertAlign w:val="superscript"/>
        </w:rPr>
        <w:t>®</w:t>
      </w:r>
      <w:r>
        <w:rPr>
          <w:rFonts w:ascii="Arial" w:cs="Arial" w:eastAsia="Arial" w:hAnsi="Arial"/>
          <w:sz w:val="16"/>
          <w:szCs w:val="16"/>
          <w:color w:val="auto"/>
        </w:rPr>
        <w:t>, cellular Internet of Things, microelectromechanical system-based sensors and bulk acoustic wave-based sensors. CSG’s markets include home and consumer electronics, industrial automation, automotive, smartphones, wearables, and industrial and enterprise access points.</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w:t>
      </w:r>
    </w:p>
    <w:p>
      <w:pPr>
        <w:spacing w:after="0" w:line="2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expense, amortization of intangible assets, restructuring-related charges, acquisition and integration-related costs, goodwill impairment, charges associated with a long-term capacity reservation agreement, fixed asset impairments, (loss) gain on sale of fixed assets and other miscellaneous corporate overhead expenses that the Company does not allocate to its operating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investments, interest expense, other income (expense),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8"/>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6"/>
          </w:tcPr>
          <w:p>
            <w:pPr>
              <w:ind w:lef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October 1,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HPA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228,132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289,496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439,083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CSG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ACG</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850,067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1,262,276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HPA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CSG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(47,886)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(258,641)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8"/>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3220" w:type="dxa"/>
            <w:vAlign w:val="bottom"/>
            <w:gridSpan w:val="6"/>
          </w:tcPr>
          <w:p>
            <w:pPr>
              <w:ind w:lef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October 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"All other" category: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(39,053)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(77,498)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Restructuring-related charges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2"/>
              </w:rPr>
              <w:t>Charges associated with a long-term capacity reservation</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agreement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 for "All other"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9 for additional information.</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3 for 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income tax expense was $42.1 million and $34.0 million for the three and six months ended September 30, 2023, respectively, and income tax expense was $58.3 million and $68.9 million for the three and six months ended October 1, 2022, respectively. The Company’s effective tax rate was 30.1% and 38.7% for the three and six months ended September 30, 2023, respectively, and 23.6% and 21.1% for the three and six months ended October 1, 2022, respectively.</w:t>
      </w:r>
    </w:p>
    <w:p>
      <w:pPr>
        <w:spacing w:after="0" w:line="21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Company's effective tax rate for the three and six months ended September 30, 2023 differed from the statutory rate primarily due to tax rate differences in foreign jurisdictions, global intangible low tax income ("GILTI"), domestic tax credits generated, discrete tax items recorded during the period and the effects of a non-deductible goodwill impairment charge within the CSG segment. A discrete tax expense of $5.6 million and $5.5 million was recorded during the three and six months ended September 30, 2023 and primarily resulted from foreign currency gains recognized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tax rate for the three and six months ended October 1, 2022 differed from the statutory rate primarily due to tax rate differences in foreign jurisdictions, GILTI, domestic tax credits generated and discrete tax items recorded during the period. A discrete tax expense of $6.7 million and discrete tax benefit of $12.6 million was recorded during the three and six months ended October 1, 2022, respectively. The discrete tax expense for the three months ended October 1, 2022 primarily resulted from foreign currency gains recognized for tax purposes. The discrete tax benefit for the six months ended October 1, 2022 primarily resulted from certain charges associated with a long-term capacity reservation agreement recorded during the first quarter of fiscal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1, 2022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1, 2022</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360"/>
              <w:spacing w:after="0" w:line="176" w:lineRule="exact"/>
              <w:rPr>
                <w:sz w:val="20"/>
                <w:szCs w:val="20"/>
                <w:color w:val="auto"/>
              </w:rPr>
            </w:pPr>
            <w:r>
              <w:rPr>
                <w:rFonts w:ascii="Arial" w:cs="Arial" w:eastAsia="Arial" w:hAnsi="Arial"/>
                <w:sz w:val="18"/>
                <w:szCs w:val="18"/>
                <w:color w:val="auto"/>
                <w:w w:val="95"/>
              </w:rPr>
              <w:t>Numerator for basic and diluted net income per share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97,461</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188,615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53,881</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257,499</w:t>
            </w:r>
          </w:p>
        </w:tc>
        <w:tc>
          <w:tcPr>
            <w:tcW w:w="0" w:type="dxa"/>
            <w:vAlign w:val="bottom"/>
          </w:tcPr>
          <w:p>
            <w:pPr>
              <w:spacing w:after="0"/>
              <w:rPr>
                <w:sz w:val="1"/>
                <w:szCs w:val="1"/>
                <w:color w:val="auto"/>
              </w:rPr>
            </w:pPr>
          </w:p>
        </w:tc>
      </w:tr>
      <w:tr>
        <w:trPr>
          <w:trHeight w:val="221"/>
        </w:trPr>
        <w:tc>
          <w:tcPr>
            <w:tcW w:w="4420" w:type="dxa"/>
            <w:vAlign w:val="bottom"/>
          </w:tcPr>
          <w:p>
            <w:pPr>
              <w:ind w:left="520"/>
              <w:spacing w:after="0"/>
              <w:rPr>
                <w:sz w:val="20"/>
                <w:szCs w:val="20"/>
                <w:color w:val="auto"/>
              </w:rPr>
            </w:pPr>
            <w:r>
              <w:rPr>
                <w:rFonts w:ascii="Arial" w:cs="Arial" w:eastAsia="Arial" w:hAnsi="Arial"/>
                <w:sz w:val="18"/>
                <w:szCs w:val="18"/>
                <w:color w:val="auto"/>
              </w:rPr>
              <w:t>— net income available to common stockholders</w:t>
            </w: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60"/>
              <w:spacing w:after="0" w:line="176" w:lineRule="exact"/>
              <w:rPr>
                <w:sz w:val="20"/>
                <w:szCs w:val="20"/>
                <w:color w:val="auto"/>
              </w:rPr>
            </w:pPr>
            <w:r>
              <w:rPr>
                <w:rFonts w:ascii="Arial" w:cs="Arial" w:eastAsia="Arial" w:hAnsi="Arial"/>
                <w:sz w:val="18"/>
                <w:szCs w:val="18"/>
                <w:color w:val="auto"/>
              </w:rPr>
              <w:t>Denominator for basic net income per share —</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520"/>
              <w:spacing w:after="0"/>
              <w:rPr>
                <w:sz w:val="20"/>
                <w:szCs w:val="20"/>
                <w:color w:val="auto"/>
              </w:rPr>
            </w:pPr>
            <w:r>
              <w:rPr>
                <w:rFonts w:ascii="Arial" w:cs="Arial" w:eastAsia="Arial" w:hAnsi="Arial"/>
                <w:sz w:val="18"/>
                <w:szCs w:val="18"/>
                <w:color w:val="auto"/>
              </w:rPr>
              <w:t>weighted-average shares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102,927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103,991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56"/>
        </w:trPr>
        <w:tc>
          <w:tcPr>
            <w:tcW w:w="4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Denominator for diluted net income per share — adjusted</w:t>
            </w:r>
          </w:p>
        </w:tc>
        <w:tc>
          <w:tcPr>
            <w:tcW w:w="1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98,590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103,674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98,892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104,817</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weighted-average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In the computation of diluted net income per share for the three and six months ended September 30, 2023, approximately 0.8 million and 0.6 million shares, respectively, of outstanding stock-based awards were excluded because the effect of their inclusion would have been anti-dilutive. In the computation of diluted net income per share for the three and six months ended October 1, 2022, approximately 1.0 million and 0.7 million shares, respectively, of outstanding stock-based awards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continued effects of the COVID-19 pandemic; our dependence on third parties; risks related to sales through distributors; risks associated with the operation of our manufacturing facilities; business disruptions; poor manufacturing yields; increased inventory risks and costs, including under long-term supply agreements, due to timing of customers' forecasts; our inability to effectively manage or maintain evolving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1, 2023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ind w:left="33"/>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33" w:right="80"/>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spacing w:after="0" w:line="208" w:lineRule="exact"/>
        <w:rPr>
          <w:sz w:val="20"/>
          <w:szCs w:val="20"/>
          <w:color w:val="auto"/>
        </w:rPr>
      </w:pPr>
    </w:p>
    <w:p>
      <w:pPr>
        <w:ind w:left="33"/>
        <w:spacing w:after="0"/>
        <w:rPr>
          <w:sz w:val="20"/>
          <w:szCs w:val="20"/>
          <w:color w:val="auto"/>
        </w:rPr>
      </w:pPr>
      <w:r>
        <w:rPr>
          <w:rFonts w:ascii="Arial" w:cs="Arial" w:eastAsia="Arial" w:hAnsi="Arial"/>
          <w:sz w:val="18"/>
          <w:szCs w:val="18"/>
          <w:color w:val="auto"/>
        </w:rPr>
        <w:t>Qorvo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global leader in the development and commercialization of technologies and products for wireless, wired and power markets.</w:t>
      </w:r>
    </w:p>
    <w:p>
      <w:pPr>
        <w:spacing w:after="0" w:line="200" w:lineRule="exact"/>
        <w:rPr>
          <w:sz w:val="20"/>
          <w:szCs w:val="20"/>
          <w:color w:val="auto"/>
        </w:rPr>
      </w:pPr>
    </w:p>
    <w:p>
      <w:pPr>
        <w:ind w:left="33" w:right="20"/>
        <w:spacing w:after="0" w:line="259" w:lineRule="auto"/>
        <w:rPr>
          <w:sz w:val="20"/>
          <w:szCs w:val="20"/>
          <w:color w:val="auto"/>
        </w:rPr>
      </w:pPr>
      <w:r>
        <w:rPr>
          <w:rFonts w:ascii="Arial" w:cs="Arial" w:eastAsia="Arial" w:hAnsi="Arial"/>
          <w:sz w:val="18"/>
          <w:szCs w:val="18"/>
          <w:color w:val="auto"/>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10 of the Notes to Condensed Consolidated Financial Statements for additional information regarding our reportable operating segments as of September 30, 2023.</w:t>
      </w:r>
    </w:p>
    <w:p>
      <w:pPr>
        <w:spacing w:after="0" w:line="214" w:lineRule="exact"/>
        <w:rPr>
          <w:sz w:val="20"/>
          <w:szCs w:val="20"/>
          <w:color w:val="auto"/>
        </w:rPr>
      </w:pPr>
    </w:p>
    <w:p>
      <w:pPr>
        <w:ind w:left="33" w:right="120"/>
        <w:spacing w:after="0" w:line="311" w:lineRule="auto"/>
        <w:rPr>
          <w:sz w:val="20"/>
          <w:szCs w:val="20"/>
          <w:color w:val="auto"/>
        </w:rPr>
      </w:pPr>
      <w:r>
        <w:rPr>
          <w:rFonts w:ascii="Arial" w:cs="Arial" w:eastAsia="Arial" w:hAnsi="Arial"/>
          <w:sz w:val="16"/>
          <w:szCs w:val="16"/>
          <w:color w:val="auto"/>
        </w:rPr>
        <w:t>HPA is a leading global supplier of radio frequency ("RF") and power solutions for automotive, defense and aerospace, cellular infrastructure, broadband, industrial, enterprise and consumer markets. HPA leverages a diverse portfolio of differentiated technologies and products to support multiyear growth trends, including electrification, renewable energy, the increasing semiconductor spend in defense and 5G and 6G network infrastructure.</w:t>
      </w:r>
    </w:p>
    <w:p>
      <w:pPr>
        <w:spacing w:after="0" w:line="170" w:lineRule="exact"/>
        <w:rPr>
          <w:sz w:val="20"/>
          <w:szCs w:val="20"/>
          <w:color w:val="auto"/>
        </w:rPr>
      </w:pPr>
    </w:p>
    <w:p>
      <w:pPr>
        <w:ind w:left="33" w:right="240"/>
        <w:spacing w:after="0" w:line="224" w:lineRule="auto"/>
        <w:rPr>
          <w:sz w:val="20"/>
          <w:szCs w:val="20"/>
          <w:color w:val="auto"/>
        </w:rPr>
      </w:pPr>
      <w:r>
        <w:rPr>
          <w:rFonts w:ascii="Arial" w:cs="Arial" w:eastAsia="Arial" w:hAnsi="Arial"/>
          <w:sz w:val="18"/>
          <w:szCs w:val="18"/>
          <w:color w:val="auto"/>
        </w:rPr>
        <w:t>CSG is a leading global supplier of connectivity and sensor solutions, with broad expertise spanning ultra-wideband, Matter</w:t>
      </w:r>
      <w:r>
        <w:rPr>
          <w:rFonts w:ascii="Arial" w:cs="Arial" w:eastAsia="Arial" w:hAnsi="Arial"/>
          <w:sz w:val="23"/>
          <w:szCs w:val="23"/>
          <w:color w:val="auto"/>
          <w:vertAlign w:val="superscript"/>
        </w:rPr>
        <w:t>®</w:t>
      </w:r>
      <w:r>
        <w:rPr>
          <w:rFonts w:ascii="Arial" w:cs="Arial" w:eastAsia="Arial" w:hAnsi="Arial"/>
          <w:sz w:val="18"/>
          <w:szCs w:val="18"/>
          <w:color w:val="auto"/>
        </w:rPr>
        <w:t>,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Low Energy, Zigbee</w:t>
      </w:r>
      <w:r>
        <w:rPr>
          <w:rFonts w:ascii="Arial" w:cs="Arial" w:eastAsia="Arial" w:hAnsi="Arial"/>
          <w:sz w:val="23"/>
          <w:szCs w:val="23"/>
          <w:color w:val="auto"/>
          <w:vertAlign w:val="superscript"/>
        </w:rPr>
        <w:t>®</w:t>
      </w:r>
      <w:r>
        <w:rPr>
          <w:rFonts w:ascii="Arial" w:cs="Arial" w:eastAsia="Arial" w:hAnsi="Arial"/>
          <w:sz w:val="18"/>
          <w:szCs w:val="18"/>
          <w:color w:val="auto"/>
        </w:rPr>
        <w:t>, Thread</w:t>
      </w:r>
      <w:r>
        <w:rPr>
          <w:rFonts w:ascii="Arial" w:cs="Arial" w:eastAsia="Arial" w:hAnsi="Arial"/>
          <w:sz w:val="23"/>
          <w:szCs w:val="23"/>
          <w:color w:val="auto"/>
          <w:vertAlign w:val="superscript"/>
        </w:rPr>
        <w:t>®</w:t>
      </w:r>
      <w:r>
        <w:rPr>
          <w:rFonts w:ascii="Arial" w:cs="Arial" w:eastAsia="Arial" w:hAnsi="Arial"/>
          <w:sz w:val="18"/>
          <w:szCs w:val="18"/>
          <w:color w:val="auto"/>
        </w:rPr>
        <w:t>, Wi-Fi</w:t>
      </w:r>
      <w:r>
        <w:rPr>
          <w:rFonts w:ascii="Arial" w:cs="Arial" w:eastAsia="Arial" w:hAnsi="Arial"/>
          <w:sz w:val="23"/>
          <w:szCs w:val="23"/>
          <w:color w:val="auto"/>
          <w:vertAlign w:val="superscript"/>
        </w:rPr>
        <w:t>®</w:t>
      </w:r>
      <w:r>
        <w:rPr>
          <w:rFonts w:ascii="Arial" w:cs="Arial" w:eastAsia="Arial" w:hAnsi="Arial"/>
          <w:sz w:val="18"/>
          <w:szCs w:val="18"/>
          <w:color w:val="auto"/>
        </w:rPr>
        <w:t>, cellular Internet of Things, microelectromechanical system-based sensors and bulk acoustic wave ("BAW")-based sensors. CSG’s markets include home and consumer electronics, industrial automation, automotive, smartphones, wearables, and industrial and enterprise access points.</w:t>
      </w:r>
    </w:p>
    <w:p>
      <w:pPr>
        <w:spacing w:after="0" w:line="232" w:lineRule="exact"/>
        <w:rPr>
          <w:sz w:val="20"/>
          <w:szCs w:val="20"/>
          <w:color w:val="auto"/>
        </w:rPr>
      </w:pPr>
    </w:p>
    <w:p>
      <w:pPr>
        <w:ind w:left="33" w:right="100"/>
        <w:spacing w:after="0" w:line="263" w:lineRule="auto"/>
        <w:rPr>
          <w:sz w:val="20"/>
          <w:szCs w:val="20"/>
          <w:color w:val="auto"/>
        </w:rPr>
      </w:pPr>
      <w:r>
        <w:rPr>
          <w:rFonts w:ascii="Arial" w:cs="Arial" w:eastAsia="Arial" w:hAnsi="Arial"/>
          <w:sz w:val="18"/>
          <w:szCs w:val="18"/>
          <w:color w:val="auto"/>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w:t>
      </w:r>
    </w:p>
    <w:p>
      <w:pPr>
        <w:spacing w:after="0" w:line="207"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SECOND QUARTER FISCAL 2024 FINANCIAL HIGHLIGHTS</w:t>
      </w:r>
    </w:p>
    <w:p>
      <w:pPr>
        <w:spacing w:after="0" w:line="256" w:lineRule="exact"/>
        <w:rPr>
          <w:sz w:val="20"/>
          <w:szCs w:val="20"/>
          <w:color w:val="auto"/>
        </w:rPr>
      </w:pPr>
    </w:p>
    <w:p>
      <w:pPr>
        <w:ind w:left="333" w:right="420" w:hanging="333"/>
        <w:spacing w:after="0" w:line="307" w:lineRule="auto"/>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for the second quarter of fiscal 2024 decreased 4.7% as compared to the second quarter of fiscal 2023, primarily due to challenges in the global macroeconomic environment which negatively impacted end market demand for mass market smartphones and products in other markets including Wi-Fi, cellular infrastructure, power management and broadband. Revenue was also negatively impacted by ongoing efforts to reduce channel inventories. The decrease in revenue was partially offset by content gains at our largest end customer.</w:t>
      </w:r>
    </w:p>
    <w:p>
      <w:pPr>
        <w:spacing w:after="0" w:line="179" w:lineRule="exact"/>
        <w:rPr>
          <w:rFonts w:ascii="Arial" w:cs="Arial" w:eastAsia="Arial" w:hAnsi="Arial"/>
          <w:sz w:val="16"/>
          <w:szCs w:val="16"/>
          <w:color w:val="auto"/>
        </w:rPr>
      </w:pPr>
    </w:p>
    <w:p>
      <w:pPr>
        <w:ind w:left="333" w:hanging="333"/>
        <w:spacing w:after="0" w:line="26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for the second quarter of fiscal 2024 decreased to 44.4% as compared to 46.5% for the second quarter of fiscal 2023, primarily due to average selling price erosion and the sell-through of inventory with higher unit costs resulting from lower production volumes, partially offset by lower inventory charges.</w:t>
      </w:r>
    </w:p>
    <w:p>
      <w:pPr>
        <w:spacing w:after="0" w:line="210" w:lineRule="exact"/>
        <w:rPr>
          <w:rFonts w:ascii="Arial" w:cs="Arial" w:eastAsia="Arial" w:hAnsi="Arial"/>
          <w:sz w:val="18"/>
          <w:szCs w:val="18"/>
          <w:color w:val="auto"/>
        </w:rPr>
      </w:pPr>
    </w:p>
    <w:p>
      <w:pPr>
        <w:ind w:left="333" w:hanging="333"/>
        <w:spacing w:after="0" w:line="286"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income was $151.4 million for the second quarter of fiscal 2024 as compared to operating income of $261.6 million for the second quarter of fiscal 2023. This decrease was primarily due to a goodwill impairment charge, lower revenue and lower gross margin. Refer to Note 3 of the Notes to Condensed Consolidated Financial Statements for additional information regarding the goodwill impairment charge.</w:t>
      </w:r>
    </w:p>
    <w:p>
      <w:pPr>
        <w:spacing w:after="0" w:line="192" w:lineRule="exact"/>
        <w:rPr>
          <w:rFonts w:ascii="Arial" w:cs="Arial" w:eastAsia="Arial" w:hAnsi="Arial"/>
          <w:sz w:val="17"/>
          <w:szCs w:val="17"/>
          <w:color w:val="auto"/>
        </w:rPr>
      </w:pPr>
    </w:p>
    <w:p>
      <w:pPr>
        <w:ind w:left="333" w:right="480" w:hanging="333"/>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per diluted share was $0.99 for the second quarter of fiscal 2024 as compared to net income per diluted share of $1.82 for the second quarter of fiscal 2023.</w:t>
      </w:r>
    </w:p>
    <w:p>
      <w:pPr>
        <w:spacing w:after="0" w:line="197" w:lineRule="exact"/>
        <w:rPr>
          <w:rFonts w:ascii="Arial" w:cs="Arial" w:eastAsia="Arial" w:hAnsi="Arial"/>
          <w:sz w:val="18"/>
          <w:szCs w:val="18"/>
          <w:color w:val="auto"/>
        </w:rPr>
      </w:pPr>
    </w:p>
    <w:p>
      <w:pPr>
        <w:ind w:left="313" w:hanging="313"/>
        <w:spacing w:after="0"/>
        <w:tabs>
          <w:tab w:leader="none" w:pos="313"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 expenditures were $28.6 million for the second quarter of fiscal 2024 as compared to $47.0 million for the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21" w:right="37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2022</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1,103,493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619,130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44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489,690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1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174,947</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168,164</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6,783</w:t>
            </w:r>
          </w:p>
        </w:tc>
        <w:tc>
          <w:tcPr>
            <w:tcW w:w="1440" w:type="dxa"/>
            <w:vAlign w:val="bottom"/>
            <w:gridSpan w:val="2"/>
          </w:tcPr>
          <w:p>
            <w:pPr>
              <w:jc w:val="right"/>
              <w:ind w:right="13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48,170</w:t>
            </w:r>
          </w:p>
        </w:tc>
        <w:tc>
          <w:tcPr>
            <w:tcW w:w="144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2022</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1,754,657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(438,758)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1,035,897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1,279,238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(243,341)</w:t>
            </w:r>
          </w:p>
        </w:tc>
        <w:tc>
          <w:tcPr>
            <w:tcW w:w="144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914,177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(195,417)</w:t>
            </w:r>
          </w:p>
        </w:tc>
        <w:tc>
          <w:tcPr>
            <w:tcW w:w="1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338,037</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336,732</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w:t>
            </w:r>
          </w:p>
        </w:tc>
        <w:tc>
          <w:tcPr>
            <w:tcW w:w="1440" w:type="dxa"/>
            <w:vAlign w:val="bottom"/>
            <w:gridSpan w:val="2"/>
          </w:tcPr>
          <w:p>
            <w:pPr>
              <w:jc w:val="right"/>
              <w:ind w:right="13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53,855</w:t>
            </w:r>
          </w:p>
        </w:tc>
        <w:tc>
          <w:tcPr>
            <w:tcW w:w="144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(260,129)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decreased for the three and six months ended September 30, 2023, compared to the three and six months ended October 1, 2022, primarily due to challenges in the global macroeconomic environment which negatively impacted end market demand for mass market smartphones and products in other markets including Wi-Fi, cellular infrastructure, power management and broadband. Revenue was also negatively impacted by ongoing efforts to reduce channel inventories. The decrease in revenue was partially offset by content gains at our largest end customer.</w:t>
      </w:r>
    </w:p>
    <w:p>
      <w:pPr>
        <w:spacing w:after="0" w:line="1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Gross margin decreased for the three months ended September 30, 2023, compared to the three months ended October 1, 2022, primarily due to average selling price erosion and the sell-through of inventory with higher unit costs resulting from lower production volumes, partially offset by lower inventory charges.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margin decreased for the six months ended September 30, 2023, compared to the six months ended October 1, 2022, primarily due to the sell-through of inventory with higher unit costs resulting from lower production volumes, average selling price erosion and restructuring charges, partially offset by favorable changes in customer mix.</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fiscal 2022, we entered into a long-term capacity reservation agreement with a foundry supplier to purchase a certain number of wafers through calendar year 2025. In fiscal 2023, the agreement was amended and the term was extended through calendar year 2026. In the first quarter of fiscal 2023, we recorded charges of $110.0 million to "Cost of goods sold" based on our actual and estimated purchase shortfalls. No charges have been recorded to the Condensed Consolidated Statements of Income in the first quarter or second quarter of fiscal 2024 as a result of this agreement. In October 2023, the long-term capacity reservation agreement with the foundry supplier was further amended. Pursuant to the amendment, we are no longer obligated to order silicon wafers from the foundry supplier and the agreement will be terminated effective December 31, 2023. A contract termination fee of $65.0 million will be recorded to “Cost of goods sold” in the third quarter of fiscal 2024 and is expected to be paid during the fourth quarter of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Operating expenses increased for the three and six months ended September 30, 2023, compared to the three and six months ended October 1, 2022, primarily due to a goodwill impairment charge, employee-related costs and restructuring charges. In addition, in fiscal 2024, we began a multiyear project to upgrade the core systems we use to run our business and recorded consulting expenses associated with this project.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Analog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717"/>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180" w:type="dxa"/>
            <w:vAlign w:val="bottom"/>
          </w:tcPr>
          <w:p>
            <w:pPr>
              <w:spacing w:after="0"/>
              <w:rPr>
                <w:sz w:val="11"/>
                <w:szCs w:val="1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1, 2022</w:t>
            </w:r>
          </w:p>
        </w:tc>
        <w:tc>
          <w:tcPr>
            <w:tcW w:w="5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149,804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228,132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(78,328)</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(34.3)%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25,446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37"/>
              <w:spacing w:after="0"/>
              <w:rPr>
                <w:sz w:val="20"/>
                <w:szCs w:val="20"/>
                <w:color w:val="auto"/>
              </w:rPr>
            </w:pPr>
            <w:r>
              <w:rPr>
                <w:rFonts w:ascii="Arial" w:cs="Arial" w:eastAsia="Arial" w:hAnsi="Arial"/>
                <w:sz w:val="18"/>
                <w:szCs w:val="18"/>
                <w:color w:val="auto"/>
              </w:rPr>
              <w:t>80,512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(55,066)</w:t>
            </w:r>
          </w:p>
        </w:tc>
        <w:tc>
          <w:tcPr>
            <w:tcW w:w="10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180" w:type="dxa"/>
            <w:vAlign w:val="bottom"/>
          </w:tcPr>
          <w:p>
            <w:pPr>
              <w:spacing w:after="0"/>
              <w:rPr>
                <w:sz w:val="11"/>
                <w:szCs w:val="1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1, 2022</w:t>
            </w:r>
          </w:p>
        </w:tc>
        <w:tc>
          <w:tcPr>
            <w:tcW w:w="5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289,496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439,083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(149,587)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(34.1)%</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49,410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37"/>
              <w:spacing w:after="0"/>
              <w:rPr>
                <w:sz w:val="20"/>
                <w:szCs w:val="20"/>
                <w:color w:val="auto"/>
              </w:rPr>
            </w:pPr>
            <w:r>
              <w:rPr>
                <w:rFonts w:ascii="Arial" w:cs="Arial" w:eastAsia="Arial" w:hAnsi="Arial"/>
                <w:sz w:val="18"/>
                <w:szCs w:val="18"/>
                <w:color w:val="auto"/>
              </w:rPr>
              <w:t>151,266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(101,856)</w:t>
            </w:r>
          </w:p>
        </w:tc>
        <w:tc>
          <w:tcPr>
            <w:tcW w:w="10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HPA revenue decreased for the three and six months ended September 30, 2023, compared to the three and six months ended October 1, 2022, primarily due to challenges in the global macroeconomic environment which negatively impacted end market demand for products in the cellular infrastructure, power management and broadband markets, including products supporting solid-state drives and power tools. Revenue was also negatively impacted by ongoing efforts to reduce channel inventories.</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HPA operating income decreased for the three months ended September 30, 2023, compared to the three months ended October 1, 2022, primarily due to lower revenue and the sell-through of inventory with higher unit costs resulting from lower production volumes.</w:t>
      </w:r>
    </w:p>
    <w:p>
      <w:pPr>
        <w:spacing w:after="0" w:line="1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HPA operating income decreased for the six months ended September 30, 2023, compared to the six months ended October 1, 2022, primarily due to lower revenue, the sell-through of inventory with higher unit costs resulting from lower production volumes, and inventory-related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and Sensors Group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1, 2022</w:t>
            </w:r>
          </w:p>
        </w:tc>
        <w:tc>
          <w:tcPr>
            <w:tcW w:w="5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103,622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143,329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(27,725)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19"/>
                <w:szCs w:val="19"/>
                <w:color w:val="auto"/>
              </w:rPr>
            </w:pPr>
          </w:p>
        </w:tc>
        <w:tc>
          <w:tcPr>
            <w:tcW w:w="1720" w:type="dxa"/>
            <w:vAlign w:val="bottom"/>
          </w:tcPr>
          <w:p>
            <w:pPr>
              <w:jc w:val="right"/>
              <w:ind w:right="99"/>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center"/>
              <w:ind w:left="717"/>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1, 2022</w:t>
            </w:r>
          </w:p>
        </w:tc>
        <w:tc>
          <w:tcPr>
            <w:tcW w:w="5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202,885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295,644</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(92,759)</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(47,886)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(49,105)</w:t>
            </w:r>
          </w:p>
        </w:tc>
        <w:tc>
          <w:tcPr>
            <w:tcW w:w="100" w:type="dxa"/>
            <w:vAlign w:val="bottom"/>
          </w:tcPr>
          <w:p>
            <w:pPr>
              <w:spacing w:after="0"/>
              <w:rPr>
                <w:sz w:val="19"/>
                <w:szCs w:val="19"/>
                <w:color w:val="auto"/>
              </w:rPr>
            </w:pPr>
          </w:p>
        </w:tc>
        <w:tc>
          <w:tcPr>
            <w:tcW w:w="1720" w:type="dxa"/>
            <w:vAlign w:val="bottom"/>
          </w:tcPr>
          <w:p>
            <w:pPr>
              <w:jc w:val="right"/>
              <w:ind w:right="99"/>
              <w:spacing w:after="0"/>
              <w:rPr>
                <w:sz w:val="20"/>
                <w:szCs w:val="20"/>
                <w:color w:val="auto"/>
              </w:rPr>
            </w:pPr>
            <w:r>
              <w:rPr>
                <w:rFonts w:ascii="Arial" w:cs="Arial" w:eastAsia="Arial" w:hAnsi="Arial"/>
                <w:sz w:val="18"/>
                <w:szCs w:val="18"/>
                <w:color w:val="auto"/>
              </w:rPr>
              <w:t>(4,028.3)</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CSG revenue decreased for the three and six months ended September 30, 2023, compared to the three and six months ended October 1, 2022, primarily due to challenges in the global macroeconomic environment which negatively impacted end market demand for Wi-Fi components. Revenue was also negatively impacted by ongoing efforts to reduce channel inventories.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CSG operating loss increased for the three months ended September 30, 2023, compared to the three months ended October 1, 2022, due to lower revenue and higher operating expenses driven by employee-related costs.</w:t>
      </w:r>
    </w:p>
    <w:p>
      <w:pPr>
        <w:spacing w:after="0" w:line="19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CSG operating income decreased for the six months ended September 30, 2023, compared to the six months ended October 1, 2022, primarily due to lower revenue, the sell-through of inventory with higher unit costs resulting from lower production volumes, average selling price erosion, and to a lesser extent, increased operating expenses primarily due to employee-related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Cellular Group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180" w:type="dxa"/>
            <w:vAlign w:val="bottom"/>
          </w:tcPr>
          <w:p>
            <w:pPr>
              <w:spacing w:after="0"/>
              <w:rPr>
                <w:sz w:val="11"/>
                <w:szCs w:val="11"/>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1, 2022</w:t>
            </w:r>
          </w:p>
        </w:tc>
        <w:tc>
          <w:tcPr>
            <w:tcW w:w="520" w:type="dxa"/>
            <w:vAlign w:val="bottom"/>
          </w:tcPr>
          <w:p>
            <w:pPr>
              <w:spacing w:after="0"/>
              <w:rPr>
                <w:sz w:val="11"/>
                <w:szCs w:val="11"/>
                <w:color w:val="auto"/>
              </w:rPr>
            </w:pPr>
          </w:p>
        </w:tc>
        <w:tc>
          <w:tcPr>
            <w:tcW w:w="1140" w:type="dxa"/>
            <w:vAlign w:val="bottom"/>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850,067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786,596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1"/>
              </w:rPr>
              <w:t>8.1 %</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284,805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267,204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19"/>
                <w:szCs w:val="19"/>
                <w:color w:val="auto"/>
              </w:rPr>
            </w:pPr>
          </w:p>
        </w:tc>
        <w:tc>
          <w:tcPr>
            <w:tcW w:w="1720" w:type="dxa"/>
            <w:vAlign w:val="bottom"/>
          </w:tcPr>
          <w:p>
            <w:pPr>
              <w:ind w:left="12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180" w:type="dxa"/>
            <w:vAlign w:val="bottom"/>
          </w:tcPr>
          <w:p>
            <w:pPr>
              <w:spacing w:after="0"/>
              <w:rPr>
                <w:sz w:val="11"/>
                <w:szCs w:val="11"/>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1, 2022</w:t>
            </w:r>
          </w:p>
        </w:tc>
        <w:tc>
          <w:tcPr>
            <w:tcW w:w="520" w:type="dxa"/>
            <w:vAlign w:val="bottom"/>
          </w:tcPr>
          <w:p>
            <w:pPr>
              <w:spacing w:after="0"/>
              <w:rPr>
                <w:sz w:val="11"/>
                <w:szCs w:val="11"/>
                <w:color w:val="auto"/>
              </w:rPr>
            </w:pPr>
          </w:p>
        </w:tc>
        <w:tc>
          <w:tcPr>
            <w:tcW w:w="1140" w:type="dxa"/>
            <w:vAlign w:val="bottom"/>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rPr>
              <w:t>Dollar</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Change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1,262,276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1,458,688</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(13.5)%</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329,803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469,577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(139,774)</w:t>
            </w:r>
          </w:p>
        </w:tc>
        <w:tc>
          <w:tcPr>
            <w:tcW w:w="10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ACG revenue increased for the three months ended September 30, 2023, compared to the three months ended October 1, 2022, primarily due to content gains at our largest end customer, partially offset by challenges in the global macroeconomic environment which negatively impacted end market demand for mass market smartphones. Revenue was also negatively impacted by ongoing efforts to reduce channel inventories.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ACG revenue decreased for the six months ended September 30, 2023, compared to the six months ended October 1, 2022, primarily due to challenges in the global macroeconomic environment which negatively impacted end market demand for mass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market smartphones. Revenue was also negatively impacted by ongoing efforts to reduce channel inventories. The decrease in revenue was partially offset by content gains at our largest end customer.</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ACG operating income increased for the three months ended September 30, 2023, compared to the three months ended October 1, 2022, primarily due to higher revenue, partially offset by average selling price erosion and higher product development costs.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ACG operating income decreased for the six months ended September 30, 2023, compared to the six months ended October 1, 2022, primarily due to lower revenue, average selling price erosion and the sell-through of inventory with higher unit costs resulting from lower production volumes. These decreases to operating income were partially offset by favorable changes in customer mix.</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 to Note 10 of the Notes to Condensed Consolidated Financial Statements for a reconciliation of reportable segment operating income (loss) to the consolidated operating income for the three and six months ended September 30, 2023 and October 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(EXPENSE) AND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10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October 1, 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October 1, 2022</w:t>
            </w:r>
          </w:p>
        </w:tc>
        <w:tc>
          <w:tcPr>
            <w:tcW w:w="0" w:type="dxa"/>
            <w:vAlign w:val="bottom"/>
          </w:tcPr>
          <w:p>
            <w:pPr>
              <w:spacing w:after="0"/>
              <w:rPr>
                <w:sz w:val="1"/>
                <w:szCs w:val="1"/>
                <w:color w:val="auto"/>
              </w:rPr>
            </w:pPr>
          </w:p>
        </w:tc>
      </w:tr>
      <w:tr>
        <w:trPr>
          <w:trHeight w:val="23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89"/>
              </w:rPr>
              <w:t>(34,382)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left="717"/>
              <w:spacing w:after="0"/>
              <w:rPr>
                <w:sz w:val="20"/>
                <w:szCs w:val="20"/>
                <w:color w:val="auto"/>
              </w:rPr>
            </w:pPr>
            <w:r>
              <w:rPr>
                <w:rFonts w:ascii="Arial" w:cs="Arial" w:eastAsia="Arial" w:hAnsi="Arial"/>
                <w:sz w:val="18"/>
                <w:szCs w:val="18"/>
                <w:color w:val="auto"/>
                <w:w w:val="90"/>
              </w:rPr>
              <w:t>18,927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697"/>
              <w:spacing w:after="0"/>
              <w:rPr>
                <w:sz w:val="20"/>
                <w:szCs w:val="20"/>
                <w:color w:val="auto"/>
              </w:rPr>
            </w:pPr>
            <w:r>
              <w:rPr>
                <w:rFonts w:ascii="Arial" w:cs="Arial" w:eastAsia="Arial" w:hAnsi="Arial"/>
                <w:sz w:val="18"/>
                <w:szCs w:val="18"/>
                <w:color w:val="auto"/>
                <w:w w:val="89"/>
              </w:rPr>
              <w:t>(33,956)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months ended September 30, 2023 and October 1, 2022, we recorded interest expense primarily related to our 1.750% senior notes due 2024 (the "2024 Notes"), our 4.375% senior notes due 2029 (the "2029 Notes") and our 3.375% senior notes due 2031 (the "2031 Notes"). Refer to Note 5 of the Notes to Condensed Consolidated Financial Statements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During the three months ended September 30, 2023, we recorded interest income of $7.7 million and net losses of $2.5 million from our share of the results from our limited partnership investments and other investments. During the six months ended September 30, 2023, we recorded interest income of $15.9 million and net gains of $2.1 million from our share of the results from our limited partnership investments and other investments.</w:t>
      </w:r>
    </w:p>
    <w:p>
      <w:pPr>
        <w:spacing w:after="0" w:line="20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three months ended October 1, 2022, we recorded interest income of $3.0 million and net losses of $0.7 million from our share of the results from our limited partnership investments and other investments. During the six months ended October 1, 2022, we recorded interest income of $4.7 million and net losses of $7.2 million from our share of the results from our limited partnership investments and other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of the Notes to Condensed Consolidated Financial Statements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three and six months ended September 30, 2023, we recorded income tax expense of $42.1 million and $34.0 million, respectively, comprised primarily of tax expense related to international operations generating pre-tax book income, the impact of global intangible low tax income ("GILTI") and discrete tax items, partially offset by tax benefits related to domestic and international operations generating pre-tax book losses and domestic tax credits recorded during the period. The discrete tax expense for the three and six months ended September 30, 2023 primarily resulted from foreign currency gains recognized for tax purposes.</w:t>
      </w: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three and six months ended October 1, 2022, we recorded income tax expense of $58.3 million and $68.9 million, respectively, comprised primarily of tax expense related to international operations generating pre-tax book income and the impact of GILTI, partially offset by tax benefits related to domestic and international operations generating pre-tax book losses,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domestic tax credits generated and discrete tax items recorded during the period. The discrete tax expense for the three months ended October 1, 2022 primarily resulted from foreign currency gains recognized for tax purposes. The discrete tax benefit for the six months ended October 1, 2022 primarily resulted from certain charges associated with a long-term capacity reservation agreement recorded during the first quarter of fiscal 2023.</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Cash generated by operations is our primary source of liquidity. As of September 30, 2023, we had working capital of approximately $1,590.9 million, including $706.8 million in cash and cash equivalents, compared to working capital of approximately $1,474.0 million, including $808.8 million in cash and cash equivalents as of April 1, 2023.</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$706.8 million of total cash and cash equivalents as of September 30, 2023, includes approximately $572.0 million held by our foreign subsidiaries, of which $358.8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may from time to time in the future seek to retire or make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six months ended September 30, 2023, we repurchased approximately 2.0 million shares of our common stock for approximately $201.2 million (including transaction costs and excise tax) under our share repurchase program. As of September 30, 2023, approximately $1,505.0 million remains available for repurchases under the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Net cash provided by operating activities was $137.9 million and $540.4 million for the six months ended September 30, 2023 and October 1, 2022, respectively. This decrease in cash provided by operating activities was primarily due to decreased profitability and changes in working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investing activities was $24.2 million and $84.3 million for the six months ended September 30, 2023 and October 1, 2022, respectively. During the six months ended September 30, 2023, we received proceeds of $47.3 million primarily from the sale of our BAW manufacturing facility in Farmers Branch, Texas.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780"/>
        <w:spacing w:after="0" w:line="255" w:lineRule="auto"/>
        <w:rPr>
          <w:sz w:val="20"/>
          <w:szCs w:val="20"/>
          <w:color w:val="auto"/>
        </w:rPr>
      </w:pPr>
      <w:r>
        <w:rPr>
          <w:rFonts w:ascii="Arial" w:cs="Arial" w:eastAsia="Arial" w:hAnsi="Arial"/>
          <w:sz w:val="18"/>
          <w:szCs w:val="18"/>
          <w:color w:val="auto"/>
        </w:rPr>
        <w:t>Net cash used in financing activities was $214.3 million and $513.0 million for the six months ended September 30, 2023 and October 1, 2022, respectively, primarily due to our stock repurchases. Refer to Note 6 of the Notes to Condensed Consolidated Financial Statements for additional information regarding our stock repurchases.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and certain of our U.S.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7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June 23, 2023, we entered into a second amendment to the Credit Agreement (the "Second Amendment"). The purpose of the Second Amendment was to amend certain covenants related to our ratio of Consolidated Funded Indebtedness to Consolidated EBITDA, as such terms are defined in the Credit Agreement (the "Consolidated Leverage Ratio"). The Second Amendment increases the maximum Consolidated Leverage Ratio to 4.00 to 1.00 for the fiscal quarters ended July 1, 2023 and September 30, 2023, and 3.50 to 1.00 for the fiscal quarters ending December 30, 2023 and March 30, 2024. For subsequent fiscal quarters, the maximum Consolidated Leverage Ratio will return to 3.00 to 1.00.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2023, there were no borrowings under the Revolving Facility.</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As of September 30, 2023, we were in compliance with these covenants.</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u w:val="single" w:color="auto"/>
          <w:color w:val="auto"/>
        </w:rPr>
        <w:t>2024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December 14, 2021, we issued $500.0 million aggregate principal amount of our 2024 Notes. Interest on the 2024 Notes is payable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15 and December 15 of each year at a rate of 1.750% per annum. The 2024 Notes will mature on December 15, 2024, unless earlier redeemed in accordance with their terms. The 2024 Notes are senior unsecured obligations of the Company and are guaranteed, jointly and severally, by the Guarantors.</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2029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30, 2019, we issued $350.0 million aggregate principal amount of our 2029 Notes. On December 20, 2019, and June 11,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1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refer to Note 5 of the Notes to Condensed Consolidated Financial Statements.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2023, we had capital commitments of approximately $65.7 million primarily for expanding capability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new products, equipment and facility upgrades and cost savings initiatives.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flows from operations, coupled with our existing cash, cash equivalents and our Revolving Facility, we believe we have sufficient liquidity to meet both our short-term and long-term cash requirements. However, if there is a significant decrease in demand for our products, or if our demand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any additional debt or equity financing, if required, will be available on favorable terms, if at all.</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1, 2023</w:t>
            </w:r>
          </w:p>
        </w:tc>
      </w:tr>
      <w:tr>
        <w:trPr>
          <w:trHeight w:val="21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829,203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972,989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2,398,287</w:t>
            </w:r>
          </w:p>
        </w:tc>
      </w:tr>
      <w:tr>
        <w:trPr>
          <w:trHeight w:val="270"/>
        </w:trPr>
        <w:tc>
          <w:tcPr>
            <w:tcW w:w="7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259,834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296,049</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2,689,824</w:t>
            </w:r>
          </w:p>
        </w:tc>
      </w:tr>
    </w:tbl>
    <w:p>
      <w:pPr>
        <w:spacing w:after="0" w:line="166"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amounts due from Non-Guarantor subsidiaries of $292.8 million and $379.5 million as of September 30, 2023 and April 1, 2023, respectively.</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amounts due to Non-Guarantor subsidiaries of $568.9 million and $509.1 million as of September 30, 2023 and April 1, 2023, respectively.</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580" w:type="dxa"/>
            <w:vAlign w:val="bottom"/>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160" w:type="dxa"/>
            <w:vAlign w:val="bottom"/>
          </w:tcPr>
          <w:p>
            <w:pPr>
              <w:spacing w:after="0"/>
              <w:rPr>
                <w:sz w:val="19"/>
                <w:szCs w:val="19"/>
                <w:color w:val="auto"/>
              </w:rPr>
            </w:pPr>
          </w:p>
        </w:tc>
        <w:tc>
          <w:tcPr>
            <w:tcW w:w="146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Six Months Ended</w:t>
            </w:r>
          </w:p>
        </w:tc>
      </w:tr>
      <w:tr>
        <w:trPr>
          <w:trHeight w:val="186"/>
        </w:trPr>
        <w:tc>
          <w:tcPr>
            <w:tcW w:w="9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46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September 30, 2023</w:t>
            </w:r>
          </w:p>
        </w:tc>
      </w:tr>
      <w:tr>
        <w:trPr>
          <w:trHeight w:val="25"/>
        </w:trPr>
        <w:tc>
          <w:tcPr>
            <w:tcW w:w="9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500,482</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82,354</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2024. For a discussion of our exposure to market risk, refer to Item 7A, "Quantitative and Qualitative Disclosures About Market Risk," contained in Qorvo's Annual Report on Form 10-K for the fiscal year ended April 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spacing w:after="0" w:line="20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other information set forth in this report and in our other reports and statements that we file with the United States Securities and Exchange Commission ("SEC"), careful consideration should be given to the factors discussed in Part I, Item 1A., "Risk Factors" in Qorvo's Annual Report on Form 10-K for the fiscal year ended April 1, 2023,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215" w:lineRule="exact"/>
        <w:rPr>
          <w:sz w:val="20"/>
          <w:szCs w:val="20"/>
          <w:color w:val="auto"/>
        </w:rPr>
      </w:pPr>
    </w:p>
    <w:p>
      <w:pPr>
        <w:ind w:right="1140"/>
        <w:spacing w:after="0" w:line="282"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15"/>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Arial" w:cs="Arial" w:eastAsia="Arial" w:hAnsi="Arial"/>
                <w:sz w:val="16"/>
                <w:szCs w:val="16"/>
                <w:b w:val="1"/>
                <w:bCs w:val="1"/>
                <w:color w:val="auto"/>
                <w:w w:val="90"/>
              </w:rPr>
              <w:t>shares that may yet be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2"/>
              </w:rPr>
              <w:t>Average price paid</w:t>
            </w: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21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 or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plans or programs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Arial" w:cs="Arial" w:eastAsia="Arial" w:hAnsi="Arial"/>
                <w:sz w:val="16"/>
                <w:szCs w:val="16"/>
                <w:b w:val="1"/>
                <w:bCs w:val="1"/>
                <w:color w:val="auto"/>
                <w:w w:val="92"/>
              </w:rPr>
              <w:t>programs</w:t>
            </w:r>
          </w:p>
        </w:tc>
        <w:tc>
          <w:tcPr>
            <w:tcW w:w="0" w:type="dxa"/>
            <w:vAlign w:val="bottom"/>
          </w:tcPr>
          <w:p>
            <w:pPr>
              <w:spacing w:after="0"/>
              <w:rPr>
                <w:sz w:val="1"/>
                <w:szCs w:val="1"/>
                <w:color w:val="auto"/>
              </w:rPr>
            </w:pPr>
          </w:p>
        </w:tc>
      </w:tr>
      <w:tr>
        <w:trPr>
          <w:trHeight w:val="213"/>
        </w:trPr>
        <w:tc>
          <w:tcPr>
            <w:tcW w:w="4020" w:type="dxa"/>
            <w:vAlign w:val="bottom"/>
            <w:gridSpan w:val="2"/>
            <w:vMerge w:val="continue"/>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per share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26"/>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 2023 to July 29, 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July 30, 2023 to August 26, 2023</w:t>
            </w: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1,573.8</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27, 2023 to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23"/>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38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January 1, 2023, our share repurchases in excess of issuances are subject to a 1% excise tax enacted by the Inflation Reduction Act. The excise tax is recognized as part of the cost basis of shares acquired in the Condensed Consolidated Statements of Stockholders' Equity and is excluded from amounts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and Non-Rule 10b5-1 Trading Arrangements</w:t>
      </w:r>
    </w:p>
    <w:p>
      <w:pPr>
        <w:spacing w:after="0" w:line="23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The following table describes actions by our directors and Section 16 officers with respect to plans intended to satisfy the affirmative defense conditions of Rule 10b5-1(c) during the second quarter of fiscal 2024. None of our directors or Section 16 officers took actions with respect to a "non-Rule 10b5-1 trading arrangement," as such term is defined in Item 408(c) of Regulation S-K, during the second quarter of fiscal 2024.</w:t>
      </w:r>
    </w:p>
    <w:tbl>
      <w:tblPr>
        <w:tblLayout w:type="fixed"/>
        <w:tblInd w:w="0" w:type="dxa"/>
        <w:tblCellMar>
          <w:top w:w="0" w:type="dxa"/>
          <w:left w:w="0" w:type="dxa"/>
          <w:bottom w:w="0" w:type="dxa"/>
          <w:right w:w="0" w:type="dxa"/>
        </w:tblCellMar>
      </w:tblPr>
      <w:tr>
        <w:trPr>
          <w:trHeight w:val="165"/>
        </w:trPr>
        <w:tc>
          <w:tcPr>
            <w:tcW w:w="280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Name and Title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Action</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Expiration of Plan</w:t>
            </w:r>
          </w:p>
        </w:tc>
        <w:tc>
          <w:tcPr>
            <w:tcW w:w="20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0"/>
              </w:rPr>
              <w:t>Number of Shares to be</w:t>
            </w:r>
          </w:p>
        </w:tc>
        <w:tc>
          <w:tcPr>
            <w:tcW w:w="0" w:type="dxa"/>
            <w:vAlign w:val="bottom"/>
          </w:tcPr>
          <w:p>
            <w:pPr>
              <w:spacing w:after="0"/>
              <w:rPr>
                <w:sz w:val="1"/>
                <w:szCs w:val="1"/>
                <w:color w:val="auto"/>
              </w:rPr>
            </w:pPr>
          </w:p>
        </w:tc>
      </w:tr>
      <w:tr>
        <w:trPr>
          <w:trHeight w:val="216"/>
        </w:trPr>
        <w:tc>
          <w:tcPr>
            <w:tcW w:w="280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04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4"/>
              </w:rPr>
              <w:t>Sold</w:t>
            </w:r>
            <w:r>
              <w:rPr>
                <w:rFonts w:ascii="Arial" w:cs="Arial" w:eastAsia="Arial" w:hAnsi="Arial"/>
                <w:sz w:val="21"/>
                <w:szCs w:val="21"/>
                <w:b w:val="1"/>
                <w:bCs w:val="1"/>
                <w:color w:val="auto"/>
                <w:w w:val="84"/>
                <w:vertAlign w:val="superscript"/>
              </w:rPr>
              <w:t>(1)</w:t>
            </w:r>
          </w:p>
        </w:tc>
        <w:tc>
          <w:tcPr>
            <w:tcW w:w="0" w:type="dxa"/>
            <w:vAlign w:val="bottom"/>
          </w:tcPr>
          <w:p>
            <w:pPr>
              <w:spacing w:after="0"/>
              <w:rPr>
                <w:sz w:val="1"/>
                <w:szCs w:val="1"/>
                <w:color w:val="auto"/>
              </w:rPr>
            </w:pPr>
          </w:p>
        </w:tc>
      </w:tr>
      <w:tr>
        <w:trPr>
          <w:trHeight w:val="182"/>
        </w:trPr>
        <w:tc>
          <w:tcPr>
            <w:tcW w:w="27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Philip J. Chesley</w:t>
            </w: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Adoption</w:t>
            </w: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ind w:right="555"/>
              <w:spacing w:after="0" w:line="182" w:lineRule="exact"/>
              <w:rPr>
                <w:sz w:val="20"/>
                <w:szCs w:val="20"/>
                <w:color w:val="auto"/>
              </w:rPr>
            </w:pPr>
            <w:r>
              <w:rPr>
                <w:rFonts w:ascii="Arial" w:cs="Arial" w:eastAsia="Arial" w:hAnsi="Arial"/>
                <w:sz w:val="18"/>
                <w:szCs w:val="18"/>
                <w:color w:val="auto"/>
              </w:rPr>
              <w:t>8/25/2023</w:t>
            </w:r>
          </w:p>
        </w:tc>
        <w:tc>
          <w:tcPr>
            <w:tcW w:w="1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ind w:right="555"/>
              <w:spacing w:after="0" w:line="182" w:lineRule="exact"/>
              <w:rPr>
                <w:sz w:val="20"/>
                <w:szCs w:val="20"/>
                <w:color w:val="auto"/>
              </w:rPr>
            </w:pPr>
            <w:r>
              <w:rPr>
                <w:rFonts w:ascii="Arial" w:cs="Arial" w:eastAsia="Arial" w:hAnsi="Arial"/>
                <w:sz w:val="18"/>
                <w:szCs w:val="18"/>
                <w:color w:val="auto"/>
              </w:rPr>
              <w:t>8/30/2024</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27,898</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Senior Vice President and President</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High Performance Analog</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gross number of shares subject to the Rule 10b5-1 plan, excluding the potential effect of shares withheld for taxes. Amounts may include shares to be</w:t>
      </w:r>
    </w:p>
    <w:p>
      <w:pPr>
        <w:spacing w:after="0" w:line="42" w:lineRule="exact"/>
        <w:rPr>
          <w:rFonts w:ascii="Arial" w:cs="Arial" w:eastAsia="Arial" w:hAnsi="Arial"/>
          <w:sz w:val="14"/>
          <w:szCs w:val="14"/>
          <w:color w:val="auto"/>
        </w:rPr>
      </w:pPr>
    </w:p>
    <w:p>
      <w:pPr>
        <w:ind w:right="60"/>
        <w:spacing w:after="0" w:line="275" w:lineRule="auto"/>
        <w:rPr>
          <w:rFonts w:ascii="Arial" w:cs="Arial" w:eastAsia="Arial" w:hAnsi="Arial"/>
          <w:sz w:val="14"/>
          <w:szCs w:val="14"/>
          <w:color w:val="auto"/>
        </w:rPr>
      </w:pPr>
      <w:r>
        <w:rPr>
          <w:rFonts w:ascii="Arial" w:cs="Arial" w:eastAsia="Arial" w:hAnsi="Arial"/>
          <w:sz w:val="16"/>
          <w:szCs w:val="16"/>
          <w:color w:val="auto"/>
        </w:rPr>
        <w:t>earned as performance-based restricted stock unit awards ("PBRSUs") and are presented at their target amounts. The actual number of PBRSUs earned following the end of the applicable performance period, if any, will depend on the relative attainment of the performance metrics.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600" w:hanging="27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3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Periodic Report by Robert A. Bruggeworth, as Chief Executive Officer, pursuant to Rule 13a-14(a) or 15d-14(a) of the Exchange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as adopted pursuant to Section 302 of the Sarbanes-Oxley Act of 2002</w:t>
      </w:r>
    </w:p>
    <w:p>
      <w:pPr>
        <w:spacing w:after="0" w:line="229" w:lineRule="exact"/>
        <w:rPr>
          <w:sz w:val="20"/>
          <w:szCs w:val="20"/>
          <w:color w:val="auto"/>
        </w:rPr>
      </w:pPr>
    </w:p>
    <w:p>
      <w:pPr>
        <w:ind w:left="600" w:right="200" w:hanging="404"/>
        <w:spacing w:after="0" w:line="23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Periodic Report by Grant A. Brown, as Chief Financial Officer, pursuant to Rule 13a-14(a) or 15d-14(a) of the Exchange Act,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adopted pursuant to Section 302 of the Sarbanes-Oxley Act of 2002</w:t>
      </w:r>
    </w:p>
    <w:p>
      <w:pPr>
        <w:spacing w:after="0" w:line="229" w:lineRule="exact"/>
        <w:rPr>
          <w:sz w:val="20"/>
          <w:szCs w:val="20"/>
          <w:color w:val="auto"/>
        </w:rPr>
      </w:pPr>
    </w:p>
    <w:p>
      <w:pPr>
        <w:ind w:left="600" w:right="180" w:hanging="404"/>
        <w:spacing w:after="0" w:line="235"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Section 906 of the Sarbanes-Oxley Act of 2002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0000FF"/>
        </w:rPr>
        <w:t>Certification of Periodic Report by Grant A. Brown, as Chief Financial Officer, pursuant to 18 U.S.C. Section 1350, as adopted pursuant to Section</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906 of the Sarbanes-Oxley Act of 2002</w:t>
      </w:r>
    </w:p>
    <w:p>
      <w:pPr>
        <w:spacing w:after="0" w:line="236" w:lineRule="exact"/>
        <w:rPr>
          <w:sz w:val="20"/>
          <w:szCs w:val="20"/>
          <w:color w:val="auto"/>
        </w:rPr>
      </w:pPr>
    </w:p>
    <w:p>
      <w:pPr>
        <w:ind w:left="600" w:right="300" w:hanging="367"/>
        <w:spacing w:after="0" w:line="254"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September 30, 2023,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07" w:lineRule="exact"/>
        <w:rPr>
          <w:sz w:val="20"/>
          <w:szCs w:val="20"/>
          <w:color w:val="auto"/>
        </w:rPr>
      </w:pPr>
    </w:p>
    <w:p>
      <w:pPr>
        <w:ind w:right="1660" w:firstLine="233"/>
        <w:spacing w:after="0" w:line="782" w:lineRule="auto"/>
        <w:tabs>
          <w:tab w:leader="none" w:pos="5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quarter ended September 30, 2023, formatted in iXBRL Our SEC file number for documents filed with the SEC pursuant to the Securities Exchange Act of 1934, as amended, is 001-36801.</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32"/>
        </w:trPr>
        <w:tc>
          <w:tcPr>
            <w:tcW w:w="5480" w:type="dxa"/>
            <w:vAlign w:val="bottom"/>
          </w:tcPr>
          <w:p>
            <w:pPr>
              <w:spacing w:after="0"/>
              <w:rPr>
                <w:sz w:val="20"/>
                <w:szCs w:val="20"/>
                <w:color w:val="auto"/>
              </w:rPr>
            </w:pPr>
            <w:r>
              <w:rPr>
                <w:rFonts w:ascii="Arial" w:cs="Arial" w:eastAsia="Arial" w:hAnsi="Arial"/>
                <w:sz w:val="18"/>
                <w:szCs w:val="18"/>
                <w:color w:val="auto"/>
              </w:rPr>
              <w:t>Date:  November 2,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Grant A. Brown</w:t>
            </w:r>
          </w:p>
        </w:tc>
      </w:tr>
      <w:tr>
        <w:trPr>
          <w:trHeight w:val="222"/>
        </w:trPr>
        <w:tc>
          <w:tcPr>
            <w:tcW w:w="5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Grant A. Brown</w:t>
            </w:r>
          </w:p>
        </w:tc>
      </w:t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List of Subsidiary Guarantors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1.750% Senior Notes due 2024, the 4.375% Senior Notes due 2029 and the 3.375% Senior Notes due 2031 are guaranteed, jointly and severally, on an unsecured basis, by the following 100% owned subsidiaries of Qorvo, Inc., a Delaware corporation, as of September 30, 2023:</w:t>
      </w:r>
    </w:p>
    <w:p>
      <w:pPr>
        <w:spacing w:after="0" w:line="195"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7"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00" w:firstLine="8"/>
        <w:spacing w:after="0" w:line="308"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40" w:hanging="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20" w:hanging="4"/>
        <w:spacing w:after="0" w:line="277" w:lineRule="auto"/>
        <w:tabs>
          <w:tab w:leader="none" w:pos="9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2922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Grant A. Brown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00"/>
          </w:cols>
          <w:pgMar w:left="320" w:top="891" w:right="37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98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74"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27260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Robert A. Bruggeworth</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President and Chief Executive Officer</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November 2, 2023</w:t>
      </w:r>
    </w:p>
    <w:p>
      <w:pPr>
        <w:sectPr>
          <w:pgSz w:w="11900" w:h="16838" w:orient="portrait"/>
          <w:cols w:equalWidth="0" w:num="1">
            <w:col w:w="11180"/>
          </w:cols>
          <w:pgMar w:left="320" w:top="886" w:right="39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8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Senior Vice President and Chief Financial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74" w:lineRule="auto"/>
        <w:tabs>
          <w:tab w:leader="none" w:pos="4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46374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Grant A. Brown</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Senior Vice President and Chief Financial Officer</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November 2, 2023</w:t>
      </w:r>
    </w:p>
    <w:sectPr>
      <w:pgSz w:w="11900" w:h="16838" w:orient="portrait"/>
      <w:cols w:equalWidth="0" w:num="1">
        <w:col w:w="11180"/>
      </w:cols>
      <w:pgMar w:left="320" w:top="88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2"/>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2023-11-02T15:38:26Z</dcterms:created>
  <dcterms:modified xsi:type="dcterms:W3CDTF">2023-11-02T15:38:26Z</dcterms:modified>
</cp:coreProperties>
</file>