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right="40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27, 2020</w:t>
      </w:r>
    </w:p>
    <w:p>
      <w:pPr>
        <w:spacing w:after="0" w:line="63"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00" w:right="38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center"/>
              <w:ind w:left="275"/>
              <w:spacing w:after="0"/>
              <w:rPr>
                <w:sz w:val="20"/>
                <w:szCs w:val="20"/>
                <w:color w:val="auto"/>
              </w:rPr>
            </w:pPr>
            <w:r>
              <w:rPr>
                <w:rFonts w:ascii="Arial" w:cs="Arial" w:eastAsia="Arial" w:hAnsi="Arial"/>
                <w:sz w:val="18"/>
                <w:szCs w:val="18"/>
                <w:b w:val="1"/>
                <w:bCs w:val="1"/>
                <w:color w:val="auto"/>
                <w:w w:val="89"/>
              </w:rPr>
              <w:t>46-5288992</w:t>
            </w:r>
          </w:p>
        </w:tc>
      </w:tr>
      <w:tr>
        <w:trPr>
          <w:trHeight w:val="264"/>
        </w:trPr>
        <w:tc>
          <w:tcPr>
            <w:tcW w:w="5200" w:type="dxa"/>
            <w:vAlign w:val="bottom"/>
          </w:tcPr>
          <w:p>
            <w:pPr>
              <w:jc w:val="center"/>
              <w:ind w:right="1233"/>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660" w:type="dxa"/>
            <w:vAlign w:val="bottom"/>
          </w:tcPr>
          <w:p>
            <w:pPr>
              <w:jc w:val="center"/>
              <w:ind w:left="295"/>
              <w:spacing w:after="0"/>
              <w:rPr>
                <w:sz w:val="20"/>
                <w:szCs w:val="20"/>
                <w:color w:val="auto"/>
              </w:rPr>
            </w:pPr>
            <w:r>
              <w:rPr>
                <w:rFonts w:ascii="Arial" w:cs="Arial" w:eastAsia="Arial" w:hAnsi="Arial"/>
                <w:sz w:val="16"/>
                <w:szCs w:val="16"/>
                <w:color w:val="auto"/>
                <w:w w:val="94"/>
              </w:rPr>
              <w:t>(I.R.S. employer identification no.)</w:t>
            </w:r>
          </w:p>
        </w:tc>
      </w:tr>
      <w:tr>
        <w:trPr>
          <w:trHeight w:val="398"/>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2"/>
              </w:rPr>
              <w:t>7628 Thorndike Road</w:t>
            </w:r>
          </w:p>
        </w:tc>
        <w:tc>
          <w:tcPr>
            <w:tcW w:w="2660" w:type="dxa"/>
            <w:vAlign w:val="bottom"/>
          </w:tcPr>
          <w:p>
            <w:pPr>
              <w:spacing w:after="0"/>
              <w:rPr>
                <w:sz w:val="24"/>
                <w:szCs w:val="24"/>
                <w:color w:val="auto"/>
              </w:rPr>
            </w:pPr>
          </w:p>
        </w:tc>
      </w:tr>
      <w:tr>
        <w:trPr>
          <w:trHeight w:val="270"/>
        </w:trPr>
        <w:tc>
          <w:tcPr>
            <w:tcW w:w="5200" w:type="dxa"/>
            <w:vAlign w:val="bottom"/>
          </w:tcPr>
          <w:p>
            <w:pPr>
              <w:jc w:val="center"/>
              <w:ind w:right="1033"/>
              <w:spacing w:after="0"/>
              <w:rPr>
                <w:sz w:val="20"/>
                <w:szCs w:val="20"/>
                <w:color w:val="auto"/>
              </w:rPr>
            </w:pPr>
            <w:r>
              <w:rPr>
                <w:rFonts w:ascii="Arial" w:cs="Arial" w:eastAsia="Arial" w:hAnsi="Arial"/>
                <w:sz w:val="18"/>
                <w:szCs w:val="18"/>
                <w:b w:val="1"/>
                <w:bCs w:val="1"/>
                <w:color w:val="auto"/>
                <w:w w:val="92"/>
              </w:rPr>
              <w:t>Greensboro, North Carolina</w:t>
            </w:r>
          </w:p>
        </w:tc>
        <w:tc>
          <w:tcPr>
            <w:tcW w:w="2660" w:type="dxa"/>
            <w:vAlign w:val="bottom"/>
          </w:tcPr>
          <w:p>
            <w:pPr>
              <w:jc w:val="center"/>
              <w:ind w:left="275"/>
              <w:spacing w:after="0"/>
              <w:rPr>
                <w:sz w:val="20"/>
                <w:szCs w:val="20"/>
                <w:color w:val="auto"/>
              </w:rPr>
            </w:pPr>
            <w:r>
              <w:rPr>
                <w:rFonts w:ascii="Arial" w:cs="Arial" w:eastAsia="Arial" w:hAnsi="Arial"/>
                <w:sz w:val="18"/>
                <w:szCs w:val="18"/>
                <w:b w:val="1"/>
                <w:bCs w:val="1"/>
                <w:color w:val="auto"/>
                <w:w w:val="89"/>
              </w:rPr>
              <w:t>27409-9421</w:t>
            </w:r>
          </w:p>
        </w:tc>
      </w:tr>
      <w:tr>
        <w:trPr>
          <w:trHeight w:val="264"/>
        </w:trPr>
        <w:tc>
          <w:tcPr>
            <w:tcW w:w="5200" w:type="dxa"/>
            <w:vAlign w:val="bottom"/>
          </w:tcPr>
          <w:p>
            <w:pPr>
              <w:jc w:val="center"/>
              <w:ind w:right="993"/>
              <w:spacing w:after="0"/>
              <w:rPr>
                <w:sz w:val="20"/>
                <w:szCs w:val="20"/>
                <w:color w:val="auto"/>
              </w:rPr>
            </w:pPr>
            <w:r>
              <w:rPr>
                <w:rFonts w:ascii="Arial" w:cs="Arial" w:eastAsia="Arial" w:hAnsi="Arial"/>
                <w:sz w:val="16"/>
                <w:szCs w:val="16"/>
                <w:color w:val="auto"/>
                <w:w w:val="94"/>
              </w:rPr>
              <w:t>(Address of principal executive office)</w:t>
            </w:r>
          </w:p>
        </w:tc>
        <w:tc>
          <w:tcPr>
            <w:tcW w:w="2660" w:type="dxa"/>
            <w:vAlign w:val="bottom"/>
          </w:tcPr>
          <w:p>
            <w:pPr>
              <w:jc w:val="center"/>
              <w:ind w:left="295"/>
              <w:spacing w:after="0"/>
              <w:rPr>
                <w:sz w:val="20"/>
                <w:szCs w:val="20"/>
                <w:color w:val="auto"/>
              </w:rPr>
            </w:pPr>
            <w:r>
              <w:rPr>
                <w:rFonts w:ascii="Arial" w:cs="Arial" w:eastAsia="Arial" w:hAnsi="Arial"/>
                <w:sz w:val="16"/>
                <w:szCs w:val="16"/>
                <w:color w:val="auto"/>
                <w:w w:val="94"/>
              </w:rPr>
              <w:t>(Zip code)</w:t>
            </w:r>
          </w:p>
        </w:tc>
      </w:tr>
      <w:tr>
        <w:trPr>
          <w:trHeight w:val="276"/>
        </w:trPr>
        <w:tc>
          <w:tcPr>
            <w:tcW w:w="5200" w:type="dxa"/>
            <w:vAlign w:val="bottom"/>
          </w:tcPr>
          <w:p>
            <w:pPr>
              <w:jc w:val="right"/>
              <w:ind w:right="313"/>
              <w:spacing w:after="0"/>
              <w:rPr>
                <w:sz w:val="20"/>
                <w:szCs w:val="20"/>
                <w:color w:val="auto"/>
              </w:rPr>
            </w:pPr>
            <w:r>
              <w:rPr>
                <w:rFonts w:ascii="Arial" w:cs="Arial" w:eastAsia="Arial" w:hAnsi="Arial"/>
                <w:sz w:val="18"/>
                <w:szCs w:val="18"/>
                <w:b w:val="1"/>
                <w:bCs w:val="1"/>
                <w:color w:val="auto"/>
              </w:rPr>
              <w:t>(336) 664-1233</w:t>
            </w:r>
          </w:p>
        </w:tc>
        <w:tc>
          <w:tcPr>
            <w:tcW w:w="26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6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86"/>
              </w:rPr>
              <w:t>Title of each class</w:t>
            </w:r>
          </w:p>
        </w:tc>
        <w:tc>
          <w:tcPr>
            <w:tcW w:w="26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140" w:type="dxa"/>
            <w:vAlign w:val="bottom"/>
            <w:gridSpan w:val="3"/>
          </w:tcPr>
          <w:p>
            <w:pPr>
              <w:jc w:val="center"/>
              <w:ind w:right="1640"/>
              <w:spacing w:after="0"/>
              <w:rPr>
                <w:sz w:val="20"/>
                <w:szCs w:val="20"/>
                <w:color w:val="auto"/>
              </w:rPr>
            </w:pPr>
            <w:r>
              <w:rPr>
                <w:rFonts w:ascii="Arial" w:cs="Arial" w:eastAsia="Arial" w:hAnsi="Arial"/>
                <w:sz w:val="18"/>
                <w:szCs w:val="18"/>
                <w:color w:val="auto"/>
                <w:w w:val="90"/>
              </w:rPr>
              <w:t>Common Stock, $0.0001 par value</w:t>
            </w:r>
          </w:p>
        </w:tc>
        <w:tc>
          <w:tcPr>
            <w:tcW w:w="2640" w:type="dxa"/>
            <w:vAlign w:val="bottom"/>
            <w:gridSpan w:val="2"/>
          </w:tcPr>
          <w:p>
            <w:pPr>
              <w:jc w:val="center"/>
              <w:ind w:right="1220"/>
              <w:spacing w:after="0"/>
              <w:rPr>
                <w:sz w:val="20"/>
                <w:szCs w:val="20"/>
                <w:color w:val="auto"/>
              </w:rPr>
            </w:pPr>
            <w:r>
              <w:rPr>
                <w:rFonts w:ascii="Arial" w:cs="Arial" w:eastAsia="Arial" w:hAnsi="Arial"/>
                <w:sz w:val="18"/>
                <w:szCs w:val="18"/>
                <w:color w:val="auto"/>
                <w:w w:val="94"/>
              </w:rPr>
              <w:t>QRVO</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920" w:type="dxa"/>
        <w:tblCellMar>
          <w:top w:w="0" w:type="dxa"/>
          <w:left w:w="0" w:type="dxa"/>
          <w:bottom w:w="0" w:type="dxa"/>
          <w:right w:w="0" w:type="dxa"/>
        </w:tblCellMar>
      </w:tblPr>
      <w:tr>
        <w:trPr>
          <w:trHeight w:val="268"/>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800" w:type="dxa"/>
            <w:vAlign w:val="bottom"/>
          </w:tcPr>
          <w:p>
            <w:pPr>
              <w:ind w:left="27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July 27, 2020, there were 114,236,461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70"/>
        </w:trPr>
        <w:tc>
          <w:tcPr>
            <w:tcW w:w="9860" w:type="dxa"/>
            <w:vAlign w:val="bottom"/>
            <w:gridSpan w:val="4"/>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1320" w:type="dxa"/>
            <w:vAlign w:val="bottom"/>
          </w:tcPr>
          <w:p>
            <w:pPr>
              <w:spacing w:after="0"/>
              <w:rPr>
                <w:sz w:val="23"/>
                <w:szCs w:val="23"/>
                <w:color w:val="auto"/>
              </w:rPr>
            </w:pPr>
          </w:p>
        </w:tc>
      </w:tr>
      <w:tr>
        <w:trPr>
          <w:trHeight w:val="527"/>
        </w:trPr>
        <w:tc>
          <w:tcPr>
            <w:tcW w:w="9860" w:type="dxa"/>
            <w:vAlign w:val="bottom"/>
            <w:gridSpan w:val="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u w:val="single" w:color="auto"/>
                  <w:color w:val="0000FF"/>
                </w:rPr>
                <w:t>Item 1. Financial Statements</w:t>
              </w:r>
              <w:r>
                <w:rPr>
                  <w:rFonts w:ascii="Arial" w:cs="Arial" w:eastAsia="Arial" w:hAnsi="Arial"/>
                  <w:sz w:val="18"/>
                  <w:szCs w:val="18"/>
                  <w:b w:val="1"/>
                  <w:bCs w:val="1"/>
                  <w:color w:val="0000FF"/>
                </w:rPr>
                <w:t xml:space="preserve"> </w:t>
              </w:r>
            </w:hyperlink>
            <w:r>
              <w:rPr>
                <w:rFonts w:ascii="Arial" w:cs="Arial" w:eastAsia="Arial" w:hAnsi="Arial"/>
                <w:sz w:val="18"/>
                <w:szCs w:val="18"/>
                <w:b w:val="1"/>
                <w:bCs w:val="1"/>
                <w:color w:val="0000FF"/>
              </w:rPr>
              <w:t>(Unaudited).</w:t>
            </w:r>
          </w:p>
        </w:tc>
        <w:tc>
          <w:tcPr>
            <w:tcW w:w="1320" w:type="dxa"/>
            <w:vAlign w:val="bottom"/>
          </w:tcPr>
          <w:p>
            <w:pPr>
              <w:spacing w:after="0"/>
              <w:rPr>
                <w:sz w:val="24"/>
                <w:szCs w:val="24"/>
                <w:color w:val="auto"/>
              </w:rPr>
            </w:pPr>
          </w:p>
        </w:tc>
      </w:tr>
      <w:tr>
        <w:trPr>
          <w:trHeight w:val="20"/>
        </w:trPr>
        <w:tc>
          <w:tcPr>
            <w:tcW w:w="2200" w:type="dxa"/>
            <w:vAlign w:val="bottom"/>
            <w:gridSpan w:val="2"/>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9860" w:type="dxa"/>
            <w:vAlign w:val="bottom"/>
            <w:gridSpan w:val="4"/>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27, 2020 and March 28, 2020</w:t>
              </w:r>
            </w:hyperlink>
          </w:p>
        </w:tc>
        <w:tc>
          <w:tcPr>
            <w:tcW w:w="13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9860" w:type="dxa"/>
            <w:vAlign w:val="bottom"/>
            <w:gridSpan w:val="4"/>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 for the three months ended June 27, 2020 and June 29, 2019</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70"/>
        </w:trPr>
        <w:tc>
          <w:tcPr>
            <w:tcW w:w="9860" w:type="dxa"/>
            <w:vAlign w:val="bottom"/>
            <w:gridSpan w:val="4"/>
          </w:tcPr>
          <w:p>
            <w:pPr>
              <w:ind w:left="140"/>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Condensed Consolidated Statements of Comprehensive Income for the three months ended June 27, 2020 and June 29, 2019</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70"/>
        </w:trPr>
        <w:tc>
          <w:tcPr>
            <w:tcW w:w="9860" w:type="dxa"/>
            <w:vAlign w:val="bottom"/>
            <w:gridSpan w:val="4"/>
          </w:tcPr>
          <w:p>
            <w:pPr>
              <w:ind w:left="14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Condensed Consolidated Statements of Stockholders' Equity for the three months ended June 27, 2020 and June 29, 2019</w:t>
              </w:r>
            </w:hyperlink>
          </w:p>
        </w:tc>
        <w:tc>
          <w:tcPr>
            <w:tcW w:w="13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70"/>
        </w:trPr>
        <w:tc>
          <w:tcPr>
            <w:tcW w:w="9860" w:type="dxa"/>
            <w:vAlign w:val="bottom"/>
            <w:gridSpan w:val="4"/>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June 27, 2020 and June 29, 2019</w:t>
              </w:r>
            </w:hyperlink>
          </w:p>
        </w:tc>
        <w:tc>
          <w:tcPr>
            <w:tcW w:w="13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70"/>
        </w:trPr>
        <w:tc>
          <w:tcPr>
            <w:tcW w:w="9860" w:type="dxa"/>
            <w:vAlign w:val="bottom"/>
            <w:gridSpan w:val="4"/>
          </w:tcPr>
          <w:p>
            <w:pPr>
              <w:ind w:left="1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r>
      <w:tr>
        <w:trPr>
          <w:trHeight w:val="594"/>
        </w:trPr>
        <w:tc>
          <w:tcPr>
            <w:tcW w:w="9860" w:type="dxa"/>
            <w:vAlign w:val="bottom"/>
            <w:gridSpan w:val="4"/>
          </w:tcPr>
          <w:p>
            <w:pPr>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u w:val="single" w:color="auto"/>
                  <w:color w:val="0000FF"/>
                </w:rPr>
                <w:t>Item 2. Management's Discussion and Analysis of Financial Condition and Results of Operations</w:t>
              </w:r>
              <w:r>
                <w:rPr>
                  <w:rFonts w:ascii="Arial" w:cs="Arial" w:eastAsia="Arial" w:hAnsi="Arial"/>
                  <w:sz w:val="18"/>
                  <w:szCs w:val="18"/>
                  <w:b w:val="1"/>
                  <w:bCs w:val="1"/>
                  <w:color w:val="0000FF"/>
                </w:rPr>
                <w:t>.</w:t>
              </w:r>
            </w:hyperlink>
          </w:p>
        </w:tc>
        <w:tc>
          <w:tcPr>
            <w:tcW w:w="13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70"/>
        </w:trPr>
        <w:tc>
          <w:tcPr>
            <w:tcW w:w="560" w:type="dxa"/>
            <w:vAlign w:val="bottom"/>
          </w:tcPr>
          <w:p>
            <w:pPr>
              <w:spacing w:after="0"/>
              <w:rPr>
                <w:rFonts w:ascii="Arial" w:cs="Arial" w:eastAsia="Arial" w:hAnsi="Arial"/>
                <w:sz w:val="18"/>
                <w:szCs w:val="18"/>
                <w:b w:val="1"/>
                <w:bCs w:val="1"/>
                <w:u w:val="single" w:color="auto"/>
                <w:color w:val="0000FF"/>
                <w:w w:val="94"/>
              </w:rPr>
            </w:pPr>
            <w:hyperlink w:anchor="page27">
              <w:r>
                <w:rPr>
                  <w:rFonts w:ascii="Arial" w:cs="Arial" w:eastAsia="Arial" w:hAnsi="Arial"/>
                  <w:sz w:val="18"/>
                  <w:szCs w:val="18"/>
                  <w:b w:val="1"/>
                  <w:bCs w:val="1"/>
                  <w:u w:val="single" w:color="auto"/>
                  <w:color w:val="0000FF"/>
                  <w:w w:val="94"/>
                </w:rPr>
                <w:t>Item 3.</w:t>
              </w:r>
            </w:hyperlink>
          </w:p>
        </w:tc>
        <w:tc>
          <w:tcPr>
            <w:tcW w:w="9300" w:type="dxa"/>
            <w:vAlign w:val="bottom"/>
            <w:gridSpan w:val="3"/>
          </w:tcPr>
          <w:p>
            <w:pPr>
              <w:ind w:left="20"/>
              <w:spacing w:after="0"/>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Quantitative and Qualitative Disclosures About Market Risk.</w:t>
              </w:r>
            </w:hyperlink>
          </w:p>
        </w:tc>
        <w:tc>
          <w:tcPr>
            <w:tcW w:w="132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270"/>
        </w:trPr>
        <w:tc>
          <w:tcPr>
            <w:tcW w:w="560" w:type="dxa"/>
            <w:vAlign w:val="bottom"/>
          </w:tcPr>
          <w:p>
            <w:pPr>
              <w:spacing w:after="0"/>
              <w:rPr>
                <w:rFonts w:ascii="Arial" w:cs="Arial" w:eastAsia="Arial" w:hAnsi="Arial"/>
                <w:sz w:val="18"/>
                <w:szCs w:val="18"/>
                <w:b w:val="1"/>
                <w:bCs w:val="1"/>
                <w:u w:val="single" w:color="auto"/>
                <w:color w:val="0000FF"/>
                <w:w w:val="94"/>
              </w:rPr>
            </w:pPr>
            <w:hyperlink w:anchor="page27">
              <w:r>
                <w:rPr>
                  <w:rFonts w:ascii="Arial" w:cs="Arial" w:eastAsia="Arial" w:hAnsi="Arial"/>
                  <w:sz w:val="18"/>
                  <w:szCs w:val="18"/>
                  <w:b w:val="1"/>
                  <w:bCs w:val="1"/>
                  <w:u w:val="single" w:color="auto"/>
                  <w:color w:val="0000FF"/>
                  <w:w w:val="94"/>
                </w:rPr>
                <w:t>Item 4.</w:t>
              </w:r>
            </w:hyperlink>
          </w:p>
        </w:tc>
        <w:tc>
          <w:tcPr>
            <w:tcW w:w="9300" w:type="dxa"/>
            <w:vAlign w:val="bottom"/>
            <w:gridSpan w:val="3"/>
          </w:tcPr>
          <w:p>
            <w:pPr>
              <w:ind w:left="20"/>
              <w:spacing w:after="0"/>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Controls and Procedures.</w:t>
              </w:r>
            </w:hyperlink>
          </w:p>
        </w:tc>
        <w:tc>
          <w:tcPr>
            <w:tcW w:w="132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594"/>
        </w:trPr>
        <w:tc>
          <w:tcPr>
            <w:tcW w:w="9860" w:type="dxa"/>
            <w:vAlign w:val="bottom"/>
            <w:gridSpan w:val="4"/>
          </w:tcPr>
          <w:p>
            <w:pPr>
              <w:spacing w:after="0"/>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PART II — OTHER INFORMATION</w:t>
              </w:r>
            </w:hyperlink>
          </w:p>
        </w:tc>
        <w:tc>
          <w:tcPr>
            <w:tcW w:w="13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594"/>
        </w:trPr>
        <w:tc>
          <w:tcPr>
            <w:tcW w:w="9860" w:type="dxa"/>
            <w:vAlign w:val="bottom"/>
            <w:gridSpan w:val="4"/>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u w:val="single" w:color="auto"/>
                  <w:color w:val="0000FF"/>
                </w:rPr>
                <w:t>Item 1A. Risk Factors</w:t>
              </w:r>
              <w:r>
                <w:rPr>
                  <w:rFonts w:ascii="Arial" w:cs="Arial" w:eastAsia="Arial" w:hAnsi="Arial"/>
                  <w:sz w:val="18"/>
                  <w:szCs w:val="18"/>
                  <w:b w:val="1"/>
                  <w:bCs w:val="1"/>
                  <w:color w:val="0000FF"/>
                </w:rPr>
                <w:t>.</w:t>
              </w:r>
            </w:hyperlink>
          </w:p>
        </w:tc>
        <w:tc>
          <w:tcPr>
            <w:tcW w:w="13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r>
      <w:tr>
        <w:trPr>
          <w:trHeight w:val="270"/>
        </w:trPr>
        <w:tc>
          <w:tcPr>
            <w:tcW w:w="560" w:type="dxa"/>
            <w:vAlign w:val="bottom"/>
          </w:tcPr>
          <w:p>
            <w:pPr>
              <w:spacing w:after="0"/>
              <w:rPr>
                <w:rFonts w:ascii="Arial" w:cs="Arial" w:eastAsia="Arial" w:hAnsi="Arial"/>
                <w:sz w:val="18"/>
                <w:szCs w:val="18"/>
                <w:b w:val="1"/>
                <w:bCs w:val="1"/>
                <w:u w:val="single" w:color="auto"/>
                <w:color w:val="0000EE"/>
                <w:w w:val="94"/>
              </w:rPr>
            </w:pPr>
            <w:hyperlink w:anchor="page29">
              <w:r>
                <w:rPr>
                  <w:rFonts w:ascii="Arial" w:cs="Arial" w:eastAsia="Arial" w:hAnsi="Arial"/>
                  <w:sz w:val="18"/>
                  <w:szCs w:val="18"/>
                  <w:b w:val="1"/>
                  <w:bCs w:val="1"/>
                  <w:u w:val="single" w:color="auto"/>
                  <w:color w:val="0000EE"/>
                  <w:w w:val="94"/>
                </w:rPr>
                <w:t>Item 2.</w:t>
              </w:r>
            </w:hyperlink>
          </w:p>
        </w:tc>
        <w:tc>
          <w:tcPr>
            <w:tcW w:w="9300" w:type="dxa"/>
            <w:vAlign w:val="bottom"/>
            <w:gridSpan w:val="3"/>
          </w:tcPr>
          <w:p>
            <w:pPr>
              <w:ind w:left="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Unregistered Sales of Equity Securities and Use of Proceeds.</w:t>
              </w:r>
            </w:hyperlink>
          </w:p>
        </w:tc>
        <w:tc>
          <w:tcPr>
            <w:tcW w:w="132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tc>
      </w:tr>
      <w:tr>
        <w:trPr>
          <w:trHeight w:val="270"/>
        </w:trPr>
        <w:tc>
          <w:tcPr>
            <w:tcW w:w="560" w:type="dxa"/>
            <w:vAlign w:val="bottom"/>
          </w:tcPr>
          <w:p>
            <w:pPr>
              <w:spacing w:after="0"/>
              <w:rPr>
                <w:rFonts w:ascii="Arial" w:cs="Arial" w:eastAsia="Arial" w:hAnsi="Arial"/>
                <w:sz w:val="18"/>
                <w:szCs w:val="18"/>
                <w:b w:val="1"/>
                <w:bCs w:val="1"/>
                <w:u w:val="single" w:color="auto"/>
                <w:color w:val="0000FF"/>
                <w:w w:val="94"/>
              </w:rPr>
            </w:pPr>
            <w:hyperlink w:anchor="page30">
              <w:r>
                <w:rPr>
                  <w:rFonts w:ascii="Arial" w:cs="Arial" w:eastAsia="Arial" w:hAnsi="Arial"/>
                  <w:sz w:val="18"/>
                  <w:szCs w:val="18"/>
                  <w:b w:val="1"/>
                  <w:bCs w:val="1"/>
                  <w:u w:val="single" w:color="auto"/>
                  <w:color w:val="0000FF"/>
                  <w:w w:val="94"/>
                </w:rPr>
                <w:t>Item 6.</w:t>
              </w:r>
            </w:hyperlink>
          </w:p>
        </w:tc>
        <w:tc>
          <w:tcPr>
            <w:tcW w:w="9300" w:type="dxa"/>
            <w:vAlign w:val="bottom"/>
            <w:gridSpan w:val="3"/>
          </w:tcPr>
          <w:p>
            <w:pPr>
              <w:ind w:left="2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Exhibits.</w:t>
              </w:r>
            </w:hyperlink>
          </w:p>
        </w:tc>
        <w:tc>
          <w:tcPr>
            <w:tcW w:w="132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29</w:t>
              </w:r>
            </w:hyperlink>
          </w:p>
        </w:tc>
      </w:tr>
      <w:tr>
        <w:trPr>
          <w:trHeight w:val="594"/>
        </w:trPr>
        <w:tc>
          <w:tcPr>
            <w:tcW w:w="9860" w:type="dxa"/>
            <w:vAlign w:val="bottom"/>
            <w:gridSpan w:val="4"/>
          </w:tcPr>
          <w:p>
            <w:pPr>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SIGNATURES</w:t>
              </w:r>
            </w:hyperlink>
          </w:p>
        </w:tc>
        <w:tc>
          <w:tcPr>
            <w:tcW w:w="132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459"/>
        </w:trPr>
        <w:tc>
          <w:tcPr>
            <w:tcW w:w="560" w:type="dxa"/>
            <w:vAlign w:val="bottom"/>
          </w:tcPr>
          <w:p>
            <w:pPr>
              <w:spacing w:after="0"/>
              <w:rPr>
                <w:sz w:val="24"/>
                <w:szCs w:val="24"/>
                <w:color w:val="auto"/>
              </w:rPr>
            </w:pPr>
          </w:p>
        </w:tc>
        <w:tc>
          <w:tcPr>
            <w:tcW w:w="9300" w:type="dxa"/>
            <w:vAlign w:val="bottom"/>
            <w:gridSpan w:val="3"/>
          </w:tcPr>
          <w:p>
            <w:pPr>
              <w:ind w:left="498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27, 2020</w:t>
            </w:r>
          </w:p>
        </w:tc>
        <w:tc>
          <w:tcPr>
            <w:tcW w:w="22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714,939</w:t>
            </w:r>
          </w:p>
        </w:tc>
        <w:tc>
          <w:tcPr>
            <w:tcW w:w="0" w:type="dxa"/>
            <w:vAlign w:val="bottom"/>
          </w:tcPr>
          <w:p>
            <w:pPr>
              <w:spacing w:after="0"/>
              <w:rPr>
                <w:sz w:val="1"/>
                <w:szCs w:val="1"/>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w w:val="95"/>
              </w:rPr>
              <w:t>Accounts receivable, net of allowance of $288 and $55 as of June 27, 2020 and March 28, 2020,</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325,993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367,172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517,198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37,872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77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1,690,502</w:t>
            </w:r>
          </w:p>
        </w:tc>
        <w:tc>
          <w:tcPr>
            <w:tcW w:w="0" w:type="dxa"/>
            <w:vAlign w:val="bottom"/>
          </w:tcPr>
          <w:p>
            <w:pPr>
              <w:spacing w:after="0"/>
              <w:rPr>
                <w:sz w:val="1"/>
                <w:szCs w:val="1"/>
                <w:color w:val="auto"/>
              </w:rPr>
            </w:pPr>
          </w:p>
        </w:tc>
      </w:tr>
      <w:tr>
        <w:trPr>
          <w:trHeight w:val="229"/>
        </w:trPr>
        <w:tc>
          <w:tcPr>
            <w:tcW w:w="7760" w:type="dxa"/>
            <w:vAlign w:val="bottom"/>
          </w:tcPr>
          <w:p>
            <w:pPr>
              <w:ind w:left="40"/>
              <w:spacing w:after="0"/>
              <w:rPr>
                <w:sz w:val="20"/>
                <w:szCs w:val="20"/>
                <w:color w:val="auto"/>
              </w:rPr>
            </w:pPr>
            <w:r>
              <w:rPr>
                <w:rFonts w:ascii="Arial" w:cs="Arial" w:eastAsia="Arial" w:hAnsi="Arial"/>
                <w:sz w:val="18"/>
                <w:szCs w:val="18"/>
                <w:color w:val="auto"/>
                <w:w w:val="93"/>
              </w:rPr>
              <w:t>Property and equipment, net of accumulated depreciation of $1,459,728 and $1,415,397 as of June 27,</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8"/>
                <w:szCs w:val="18"/>
                <w:color w:val="auto"/>
              </w:rPr>
              <w:t>2020 and March 28, 2020, respectively</w:t>
            </w:r>
          </w:p>
        </w:tc>
        <w:tc>
          <w:tcPr>
            <w:tcW w:w="2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1,235,676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1,259,203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738,346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808,892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177,236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165,296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6,882,686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225,905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217,801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67,355</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509,332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539,003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1,567,231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152,607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161,783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2,531,441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2,268,017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w w:val="98"/>
              </w:rPr>
              <w:t>Preferred stock, $.0001 par value; 5,000 shares authorized; no shares issued and outstanding</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shd w:val="clear" w:color="auto" w:fill="CCEEFF"/>
              </w:rPr>
              <w:t>Common stock and additional paid-in capital, $.0001 par value; 405,000 shares authorized; 114,354</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4"/>
                <w:shd w:val="clear" w:color="auto" w:fill="CCEEFF"/>
              </w:rPr>
              <w:t>and 114,625 shares issued and outstanding at June 27, 2020 and March 28, 2020,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4,290,377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net of tax</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6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4,351,245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6,882,686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27, 2020</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775,598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461,662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481,309</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294,289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118,920</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86,604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88,979</w:t>
            </w: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31,164</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233,077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239,063</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55,226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(11,864)</w:t>
            </w: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7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45,197</w:t>
            </w: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7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(5,656)</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39,541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0.33</w:t>
            </w:r>
          </w:p>
        </w:tc>
      </w:tr>
      <w:tr>
        <w:trPr>
          <w:trHeight w:val="67"/>
        </w:trPr>
        <w:tc>
          <w:tcPr>
            <w:tcW w:w="7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55"/>
        </w:trPr>
        <w:tc>
          <w:tcPr>
            <w:tcW w:w="77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of common stock outstanding</w:t>
            </w:r>
            <w:r>
              <w:rPr>
                <w:rFonts w:ascii="Arial" w:cs="Arial" w:eastAsia="Arial" w:hAnsi="Arial"/>
                <w:sz w:val="18"/>
                <w:szCs w:val="18"/>
                <w:i w:val="1"/>
                <w:i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114,585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118,756</w:t>
            </w: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116,751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121,123</w:t>
            </w:r>
          </w:p>
        </w:tc>
      </w:tr>
      <w:tr>
        <w:trPr>
          <w:trHeight w:val="27"/>
        </w:trPr>
        <w:tc>
          <w:tcPr>
            <w:tcW w:w="7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27, 2020</w:t>
            </w:r>
          </w:p>
        </w:tc>
        <w:tc>
          <w:tcPr>
            <w:tcW w:w="260" w:type="dxa"/>
            <w:vAlign w:val="bottom"/>
          </w:tcPr>
          <w:p>
            <w:pPr>
              <w:spacing w:after="0"/>
              <w:rPr>
                <w:sz w:val="22"/>
                <w:szCs w:val="22"/>
                <w:color w:val="auto"/>
              </w:rPr>
            </w:pPr>
          </w:p>
        </w:tc>
        <w:tc>
          <w:tcPr>
            <w:tcW w:w="142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29, 2019</w:t>
            </w:r>
          </w:p>
        </w:tc>
      </w:tr>
      <w:tr>
        <w:trPr>
          <w:trHeight w:val="269"/>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96,922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39,541</w:t>
            </w:r>
          </w:p>
        </w:tc>
      </w:tr>
      <w:tr>
        <w:trPr>
          <w:trHeight w:val="223"/>
        </w:trPr>
        <w:tc>
          <w:tcPr>
            <w:tcW w:w="7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0"/>
        </w:trPr>
        <w:tc>
          <w:tcPr>
            <w:tcW w:w="7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9"/>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Foreign currency translation adjustment, including intra-entity foreign currency transactions that are of a</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investment nature</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loss included in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2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103,028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39,484</w:t>
            </w:r>
          </w:p>
        </w:tc>
      </w:tr>
      <w:tr>
        <w:trPr>
          <w:trHeight w:val="27"/>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64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Retained Earnings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5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640" w:type="dxa"/>
            <w:vAlign w:val="bottom"/>
            <w:vMerge w:val="restart"/>
          </w:tcPr>
          <w:p>
            <w:pPr>
              <w:jc w:val="center"/>
              <w:ind w:right="148"/>
              <w:spacing w:after="0" w:line="139" w:lineRule="exact"/>
              <w:rPr>
                <w:sz w:val="20"/>
                <w:szCs w:val="20"/>
                <w:color w:val="auto"/>
              </w:rPr>
            </w:pPr>
            <w:r>
              <w:rPr>
                <w:rFonts w:ascii="Arial" w:cs="Arial" w:eastAsia="Arial" w:hAnsi="Arial"/>
                <w:sz w:val="14"/>
                <w:szCs w:val="14"/>
                <w:b w:val="1"/>
                <w:bCs w:val="1"/>
                <w:color w:val="auto"/>
                <w:w w:val="92"/>
              </w:rPr>
              <w:t>(Accumulated</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92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4"/>
              </w:rPr>
              <w:t>Shares</w:t>
            </w:r>
          </w:p>
        </w:tc>
        <w:tc>
          <w:tcPr>
            <w:tcW w:w="18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Amount</w:t>
            </w:r>
          </w:p>
        </w:tc>
        <w:tc>
          <w:tcPr>
            <w:tcW w:w="15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6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64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Deficit)</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Balance, March 28, 2020</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Other comprehensive income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20" w:type="dxa"/>
            <w:vAlign w:val="bottom"/>
          </w:tcPr>
          <w:p>
            <w:pPr>
              <w:ind w:left="32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8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20" w:type="dxa"/>
            <w:vAlign w:val="bottom"/>
          </w:tcPr>
          <w:p>
            <w:pPr>
              <w:ind w:left="32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4020" w:type="dxa"/>
            <w:vAlign w:val="bottom"/>
          </w:tcPr>
          <w:p>
            <w:pPr>
              <w:ind w:left="320"/>
              <w:spacing w:after="0"/>
              <w:rPr>
                <w:sz w:val="20"/>
                <w:szCs w:val="20"/>
                <w:color w:val="auto"/>
              </w:rPr>
            </w:pPr>
            <w:r>
              <w:rPr>
                <w:rFonts w:ascii="Arial" w:cs="Arial" w:eastAsia="Arial" w:hAnsi="Arial"/>
                <w:sz w:val="18"/>
                <w:szCs w:val="18"/>
                <w:color w:val="auto"/>
              </w:rPr>
              <w:t>Cumulative-effect adoption of ASU 2016-13</w:t>
            </w:r>
          </w:p>
        </w:tc>
        <w:tc>
          <w:tcPr>
            <w:tcW w:w="1340" w:type="dxa"/>
            <w:vAlign w:val="bottom"/>
          </w:tcPr>
          <w:p>
            <w:pPr>
              <w:jc w:val="right"/>
              <w:ind w:right="11"/>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2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Arial" w:cs="Arial" w:eastAsia="Arial" w:hAnsi="Arial"/>
                <w:sz w:val="18"/>
                <w:szCs w:val="18"/>
                <w:color w:val="auto"/>
              </w:rPr>
              <w:t>Balance, June 27, 2020</w:t>
            </w: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114,354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020" w:type="dxa"/>
            <w:vAlign w:val="bottom"/>
          </w:tcPr>
          <w:p>
            <w:pPr>
              <w:spacing w:after="0"/>
              <w:rPr>
                <w:sz w:val="20"/>
                <w:szCs w:val="20"/>
                <w:color w:val="auto"/>
              </w:rPr>
            </w:pPr>
            <w:r>
              <w:rPr>
                <w:rFonts w:ascii="Arial" w:cs="Arial" w:eastAsia="Arial" w:hAnsi="Arial"/>
                <w:sz w:val="18"/>
                <w:szCs w:val="18"/>
                <w:color w:val="auto"/>
              </w:rPr>
              <w:t>Balance, March 30, 2019</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Other comprehensive loss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20" w:type="dxa"/>
            <w:vAlign w:val="bottom"/>
          </w:tcPr>
          <w:p>
            <w:pPr>
              <w:ind w:left="32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8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20" w:type="dxa"/>
            <w:vAlign w:val="bottom"/>
          </w:tcPr>
          <w:p>
            <w:pPr>
              <w:ind w:left="32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Cumulative-effect adoption of ASU 2016-02</w:t>
            </w: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2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8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Arial" w:cs="Arial" w:eastAsia="Arial" w:hAnsi="Arial"/>
                <w:sz w:val="18"/>
                <w:szCs w:val="18"/>
                <w:color w:val="auto"/>
              </w:rPr>
              <w:t>Balance, June 29, 2019</w:t>
            </w: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117,943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-4396740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-3300095</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4,290,377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4,292,665</w:t>
            </w:r>
          </w:p>
        </w:tc>
      </w:tr>
      <w:tr>
        <w:trPr>
          <w:trHeight w:val="289"/>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96,922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96,922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6,106</w:t>
            </w:r>
          </w:p>
        </w:tc>
      </w:tr>
      <w:tr>
        <w:trPr>
          <w:trHeight w:val="683"/>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(6,065)</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(6,065)</w:t>
            </w:r>
          </w:p>
        </w:tc>
      </w:tr>
      <w:tr>
        <w:trPr>
          <w:trHeight w:val="486"/>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15,758</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15,758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8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(27,405)</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(75,039)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20,956</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20,956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4,293,621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8,394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49,230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4,351,245</w:t>
            </w:r>
          </w:p>
        </w:tc>
      </w:tr>
      <w:tr>
        <w:trPr>
          <w:trHeight w:val="27"/>
        </w:trPr>
        <w:tc>
          <w:tcPr>
            <w:tcW w:w="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4,687,455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(321,152)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4,359,679</w:t>
            </w:r>
          </w:p>
        </w:tc>
      </w:tr>
      <w:tr>
        <w:trPr>
          <w:trHeight w:val="289"/>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39,541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39,541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83"/>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(3,576)</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(3,576)</w:t>
            </w:r>
          </w:p>
        </w:tc>
      </w:tr>
      <w:tr>
        <w:trPr>
          <w:trHeight w:val="486"/>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14,948</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14,948</w:t>
            </w:r>
          </w:p>
        </w:tc>
      </w:tr>
      <w:tr>
        <w:trPr>
          <w:trHeight w:val="486"/>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486"/>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98"/>
              </w:rPr>
              <w:t>(100,073)</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(100,073)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26,812</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26,812</w:t>
            </w:r>
          </w:p>
        </w:tc>
      </w:tr>
      <w:tr>
        <w:trPr>
          <w:trHeight w:val="27"/>
        </w:trPr>
        <w:tc>
          <w:tcPr>
            <w:tcW w:w="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4,625,566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(281,542)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4,337,343</w:t>
            </w:r>
          </w:p>
        </w:tc>
      </w:tr>
      <w:tr>
        <w:trPr>
          <w:trHeight w:val="27"/>
        </w:trPr>
        <w:tc>
          <w:tcPr>
            <w:tcW w:w="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-24765</wp:posOffset>
            </wp:positionV>
            <wp:extent cx="8572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-8255</wp:posOffset>
            </wp:positionV>
            <wp:extent cx="857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-205105</wp:posOffset>
            </wp:positionV>
            <wp:extent cx="8572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-2468245</wp:posOffset>
            </wp:positionV>
            <wp:extent cx="857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-2647950</wp:posOffset>
            </wp:positionV>
            <wp:extent cx="8572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400"/>
            <w:col w:w="5200"/>
          </w:cols>
          <w:pgMar w:left="320" w:top="121" w:right="339"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2020</w:t>
            </w:r>
          </w:p>
        </w:tc>
        <w:tc>
          <w:tcPr>
            <w:tcW w:w="260" w:type="dxa"/>
            <w:vAlign w:val="bottom"/>
          </w:tcPr>
          <w:p>
            <w:pPr>
              <w:spacing w:after="0"/>
              <w:rPr>
                <w:sz w:val="22"/>
                <w:szCs w:val="22"/>
                <w:color w:val="auto"/>
              </w:rPr>
            </w:pPr>
          </w:p>
        </w:tc>
        <w:tc>
          <w:tcPr>
            <w:tcW w:w="1420" w:type="dxa"/>
            <w:vAlign w:val="bottom"/>
          </w:tcPr>
          <w:p>
            <w:pPr>
              <w:jc w:val="right"/>
              <w:ind w:right="331"/>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96,922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39,541</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49,987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63,904</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58,366</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(11,015)</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24,953</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8,296</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41,029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57,298</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6,371</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7,564</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Income taxes payable and receivable</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1,868</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214,281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257,118</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(50,295)</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businesses,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(291,551)</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Proceeds from sales of available-for-sale debt securities</w:t>
            </w: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1,950</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(342,132)</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Payment of debt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and debt issuances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(100,073)</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9,379</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(4,806)</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3,866</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7"/>
        </w:trPr>
        <w:tc>
          <w:tcPr>
            <w:tcW w:w="7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715,612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711,382</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1,136,894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629,950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19,530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25,270</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3"/>
        </w:trPr>
        <w:tc>
          <w:tcPr>
            <w:tcW w:w="7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629,599</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1,136,894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629,950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2020.</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2020 financial statements have been reclassified to conform with the fiscal 2021 presentation.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2021 is a 53-week year and fiscal 2020 was a 52-week year; however, the first quarters of both fiscal years 2021 and 2020 included 13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28, 2020.</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2016, the FASB issued Accounting Standards Update ("ASU") 2016-13, "</w:t>
      </w:r>
      <w:r>
        <w:rPr>
          <w:rFonts w:ascii="Arial" w:cs="Arial" w:eastAsia="Arial" w:hAnsi="Arial"/>
          <w:sz w:val="18"/>
          <w:szCs w:val="18"/>
          <w:i w:val="1"/>
          <w:iCs w:val="1"/>
          <w:color w:val="auto"/>
        </w:rPr>
        <w:t>Financial Instruments-Credit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which requires a current lifetime expected credit loss methodology to be used to measure impairments of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other financial assets. Using this methodology will result in earlier recognition of losses than under the previous incurred loss approach, which requires waiting to recognize a loss until it is probable of being incurred. The Company adopted the standard, which applies to its accounts receivables, in the first quarter of fiscal 2021.</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this new standard, trade receivables are now evaluated on a collective (pool) basis and aggregated on the basis of similar risk characteristics. These aggregated risk pools will be reassessed at each measurement date. A combination of factors is considered in determining the appropriate estimate of expected credit losses which include broad-based economic indicators as well as customers' financial strength, credit standing, payment history and any historical defaults.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adoption of this standard using the modified retrospective transition method resulted in a cumulative-effect adjustment to retained earnings of less than $0.1 million.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27, 2020</w:t>
            </w:r>
          </w:p>
        </w:tc>
        <w:tc>
          <w:tcPr>
            <w:tcW w:w="22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28, 2020</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117,868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112,671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257,656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291,028</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148,166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113,499</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523,690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517,198</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fiscal 2020, the Company completed the acquisitions of Active-Semi International, Inc. ("Active-Semi"), Cavendish Kinetics Limited ("Cavendish"), Custom MMIC Design Services, Inc. ("Custom MMIC") and Decawave Limited ("Decawave"). The operating results of these companies have been included in the Company's consolidated financial statements as of their acquisition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Active-Semi International, Inc.</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May 6, 2019, the Company acquired all of the outstanding equity interests of Active-Semi, a private fabless supplier of programmable analog power management solutions, for a total purchase price of $307.9 million. The acquisition expanded the Company's product offerings in power management markets.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June 27, 2020, the Company recognized an increase to goodwill of approximately $0.1 million in connection with finalizing the purchase price allocation. The measurement period ended one year from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Prior to fiscal 2020, the Company had an investment in preferred shares in Cavendish, a private supplier of high-performance radio frequency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ASC 321, </w:t>
      </w:r>
      <w:r>
        <w:rPr>
          <w:rFonts w:ascii="Arial" w:cs="Arial" w:eastAsia="Arial" w:hAnsi="Arial"/>
          <w:sz w:val="18"/>
          <w:szCs w:val="18"/>
          <w:i w:val="1"/>
          <w:iCs w:val="1"/>
          <w:color w:val="auto"/>
        </w:rPr>
        <w:t>"Investments-Equity Securities."</w:t>
      </w:r>
    </w:p>
    <w:p>
      <w:pPr>
        <w:spacing w:after="0" w:line="18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October 4, 2019, the Company acquired the remaining issued and outstanding capital of Cavendish for cash consideration of $198.4 million. The acquisition advances RF MEMS technology for applications across the Company's products and the technology will be transitioned into high-volume manufacturing for mobile devices and other markets.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which resulted in recognition of a gain of $43.0 million in fiscal 2020.</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three months ended June 27, 2020, the Company recognized an increase to goodwill of approximately $1.5 million and a decrease to intangibles of approximately $2.0 million as a result of purchase price allocation adjustments. The Company will continue to evaluate certain assets, liabilities, and tax estimates over the measurement period (up to one year from the October 4, 2019 acquisition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MMIC Design Services, Inc.</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February 6, 2020, the Company acquired all of the outstanding equity interests of Custom MMIC, a supplier of high-performance gallium arsenide ("GaAs") and gallium nitride ("GaN") monolithic microwave integrated circuits ("MMICs") for defense and commercial applications, for a total purchase price of $91.7 million. The acquisition expands the Company's millimeter wave ("mmWave") capabilities for product offerings in defense and commercial markets. On the acquisition date, the purchase price was comprised of cash consideration of $86.0 million and contingent consideration of $5.7 million (based on estimated fair value) which is payable to the sellers in the first quarter of fiscal 2022 if certain revenue targets are achieved over a one-year period from the acquisition date. At June 27, 2020, the contingent consideration liability was remeasured to fair value ($9.6 million, which is included in "Accrued liabilities") with changes recognized in "Other operating expense.” See Note 6 for further information related to the fair value measurement.</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months ended June 27, 2020, the Company recognized a decrease to goodwill of approximately $0.5 million as a result of purchase price allocation adjustments. The Company will continue to evaluate certain assets, liabilities, and tax estimates over the measurement period (up to one year from the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Decawave Limited</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February 21, 2020, the Company acquired all of the outstanding equity interests of Decawave, a pioneer in ultra-wide band ("UWB") technology and provider of UWB solutions for mobile, automotive and Internet of Things ("IoT") applications, for a total purchase price of $372.7 million. The acquisition expands the Company's product and technology offerings that enables real-time, highly accurate and reliable local area precision-location services.</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months ended June 27, 2020, the Company recognized a decrease to goodwill of approximately $2.3 million as a result of purchase price allocation adjustments. The Company will continue to evaluate certain assets, liabilities, and tax estimates over the measurement period (up to one year from the acquisition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months ended June 27, 2020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as of March 28, 2020 </w:t>
            </w:r>
            <w:r>
              <w:rPr>
                <w:rFonts w:ascii="Arial" w:cs="Arial" w:eastAsia="Arial" w:hAnsi="Arial"/>
                <w:sz w:val="16"/>
                <w:szCs w:val="16"/>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2,005,432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608,842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Measurement period adjustments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Effect of changes in foreign currency exchange rates </w:t>
            </w: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8"/>
                <w:szCs w:val="18"/>
                <w:color w:val="auto"/>
              </w:rPr>
              <w:t xml:space="preserve">Balance as of June 27, 2020 </w:t>
            </w:r>
            <w:r>
              <w:rPr>
                <w:rFonts w:ascii="Arial" w:cs="Arial" w:eastAsia="Arial" w:hAnsi="Arial"/>
                <w:sz w:val="16"/>
                <w:szCs w:val="16"/>
                <w:color w:val="auto"/>
              </w:rPr>
              <w:t>(1)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2,006,682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608,496</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2,615,178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8255</wp:posOffset>
            </wp:positionV>
            <wp:extent cx="312928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9280" cy="25400"/>
                    </a:xfrm>
                    <a:prstGeom prst="rect">
                      <a:avLst/>
                    </a:prstGeom>
                    <a:noFill/>
                  </pic:spPr>
                </pic:pic>
              </a:graphicData>
            </a:graphic>
          </wp:anchor>
        </w:drawing>
      </w:r>
    </w:p>
    <w:p>
      <w:pPr>
        <w:spacing w:after="0" w:line="2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of $621.6 million.</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impact of foreign currency translation when goodwill is recorded in foreign entities whose functional currency is also their local currency.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Goodwill is allocated to the reporting units that are expected to benefit from the synergies of the business combinations generating the underlying goodwill.</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27, 2020</w:t>
            </w: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2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1,232,472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613,366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1,325,472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652,400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458,150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360,649</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463,772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346,799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Backlog</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 xml:space="preserve">Effect of changes in foreign currency exchange rates </w:t>
            </w:r>
            <w:r>
              <w:rPr>
                <w:rFonts w:ascii="Arial" w:cs="Arial" w:eastAsia="Arial" w:hAnsi="Arial"/>
                <w:sz w:val="16"/>
                <w:szCs w:val="16"/>
                <w:color w:val="auto"/>
                <w:w w:val="92"/>
              </w:rPr>
              <w:t>(1)</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9,773</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1,714,866</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976,520</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1,810,979</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1,002,087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449199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1990" cy="254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 Represents the impact of foreign currency translation when intangibles are recorded in foreign entities whose functional currency is also their local currency.</w:t>
      </w:r>
    </w:p>
    <w:p>
      <w:pPr>
        <w:spacing w:after="0" w:line="22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expected economic benefit to be derived from the intangible assets.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intangible assets amortization expense was $72.1 million for the three months ended June 27, 2020 and $58.4 million for the three months ended June 29,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invests in limited partnerships which are accounted for using the equity method. The carrying amounts of these investments as of June 27, 2020 and March 28, 2020 were $29.9 million and $14.2 million, respectively, and are classified as “Long-term investments” in the Condensed Consolidated Balance Sheets. During the three months ended June 27, 2020, the Company recorded $15.7 million of income based on its share of the limited partnerships' earnings. This amount is included in “Other income (expense)” in the Condensed Consolidated Statement of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Without a Readily Determinable Fair Value</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During fiscal 2020, the Company recorded an impairment of $18.3 million on an equity investment without a readily determinable fair value based on observable price changes present at the time. During the three months ended June 27, 2020, the Company recorded an additional impairment of $2.8 million to fully impair this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fair value of the financial assets and liabilities measured on a recurring basis was determined using the following levels of inputs as of June 27, 2020 and March 28, 2020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2"/>
                <w:szCs w:val="12"/>
                <w:color w:val="auto"/>
              </w:rPr>
            </w:pPr>
          </w:p>
        </w:tc>
        <w:tc>
          <w:tcPr>
            <w:tcW w:w="13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27, 2020</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24,049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14"/>
                <w:szCs w:val="14"/>
                <w:color w:val="auto"/>
              </w:rPr>
              <w:t>(2)</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28, 2020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19,398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14"/>
                <w:szCs w:val="14"/>
                <w:color w:val="auto"/>
              </w:rPr>
              <w:t>(2)</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100" w:firstLine="44"/>
        <w:spacing w:after="0" w:line="253" w:lineRule="auto"/>
        <w:tabs>
          <w:tab w:leader="none" w:pos="26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Company's non-qualified deferred compensation plan provides eligible employees and members of the Board of Directors with the opportunity to defer a specified 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 w:lineRule="exact"/>
        <w:rPr>
          <w:rFonts w:ascii="Arial" w:cs="Arial" w:eastAsia="Arial" w:hAnsi="Arial"/>
          <w:sz w:val="16"/>
          <w:szCs w:val="16"/>
          <w:color w:val="auto"/>
        </w:rPr>
      </w:pPr>
    </w:p>
    <w:p>
      <w:pPr>
        <w:ind w:right="280" w:firstLine="8"/>
        <w:spacing w:after="0" w:line="284"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Company recorded a contingent earn-out liability in conjunction with the Custom MMIC acquisition. The fair value of this liability is estimated using an option pricing model and is remeasured to fair value each period with changes in fair value reported in “Other operating expense” in the Condensed Consolidated Statements of Income. As </w:t>
      </w:r>
      <w:r>
        <w:rPr>
          <w:rFonts w:ascii="Arial" w:cs="Arial" w:eastAsia="Arial" w:hAnsi="Arial"/>
          <w:sz w:val="17"/>
          <w:szCs w:val="17"/>
          <w:color w:val="auto"/>
        </w:rPr>
        <w:t>of</w:t>
      </w:r>
      <w:r>
        <w:rPr>
          <w:rFonts w:ascii="Arial" w:cs="Arial" w:eastAsia="Arial" w:hAnsi="Arial"/>
          <w:sz w:val="16"/>
          <w:szCs w:val="16"/>
          <w:color w:val="auto"/>
        </w:rPr>
        <w:t xml:space="preserve"> June 27, 2020, no payments have been made for the contingent liability as the earn-out assessment period is still ongoing. Any anticipated payments are expected to be settled during the first quarter of fiscal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June 27, 2020 and March 28, 2020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2020</w:t>
            </w:r>
          </w:p>
        </w:tc>
        <w:tc>
          <w:tcPr>
            <w:tcW w:w="24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28, 2020</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23,404</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4.375% senior notes due 2029</w:t>
            </w: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550,000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Unamortized premium and issuance costs, net</w:t>
            </w: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r>
      <w:tr>
        <w:trPr>
          <w:trHeight w:val="257"/>
        </w:trPr>
        <w:tc>
          <w:tcPr>
            <w:tcW w:w="77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1,869,502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1,567,231</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included a senior delayed draw term loan of up to $400.0 million (the "Term Loan") and a $300.0 million senior revolving line of credit (the "Revolving Facility"). In addition, the Company may request one or more additional tranches of term loans or increases in the Revolving Facility, up to an aggregate of $300.0 million and subject to securing additional funding commitments from the existing or new lenders (the “Incremental Facility,” together with the Term Loan and the Revolving Facility, the “Credit Facility”). On the closing date, $100.0 million of the Term Loan was funded (and subsequently repaid in March 2018). On June 17, 2019, the Company drew $100.0 million of the Term Loan. The delayed draw availability period for the remaining $200.0 million of the Term Loan expired on December 31, 2019. The Revolving Facility includes a $25.0 million sublimit for the issuance of standby letters of credit and a $10.0 million sublimit for swing line loans. The Credit Facility is available to finance working capital, capital expenditures and other corporate purposes. Outstanding amounts are due in full on the maturity date of December 5, 2022 (with amounts borrowed under the swing line option due in full no later than ten business days after such loan is made), subject to scheduled amortization of the Term Loan principal prior to the maturity date as set forth in the Credit Agreement. During the three months ended June 27, 2020, there were no borrowings under the Revolving Facility. Principal paid on the Term Loan during the three months ended June 27, 2020 was $1.3 million. Interest paid on the Term Loan during the three months ended June 27, 2020 was $0.5 million.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June 27, 2020,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2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November 19, 2015, the Company issued $550.0 million aggregate principal amount of its 7.00% senior notes due December 1, 2025 (the "2025 Notes"). Interest on the 2025 Notes is payable on June 1 and December 1 of each year. The 2025 Notes are senior unsecured obligations of the Company and guaranteed, jointly and severally, by certain of the Company's U.S. subsidiaries (the "Guarantors").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fiscal years 2018 and 2019, the Company retired $526.6 million of the 2025 Notes. As of June 27, 2020, an aggregate principal amount of $23.4 million of the 2025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paid on the 2025 Notes during both the three months ended June 27, 2020 and June 29, 2019 was $0.8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16, 2018, the Company issued $500.0 million aggregate principal amount of its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Interest is payable on the 2026 Notes on January 15 and July 15 of each year. The 2026 Notes will mature on July 15, 2026, unless earlier redeemed in accordance with their terms. The 2026 Notes are senior unsecured obligations of the Company and are initially guaranteed, jointly and severally, by the Guarantors.</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interest paid on the 2026 Notes during the three months ended June 27, 2020 or June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Interest is payable on the 2029 Notes on April 15 and October 15 of each year. The 2029 Notes will mature on October 15, 2029, unless earlier redeemed in accordance with their terms. The 2029 Notes are senior unsecured obligations of the Company and are initially guaranteed, jointly and severally, by the Guarantors.</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offering of the Initial 2029 Notes, the Company entered into a registration rights agreement, dated as of September 30, 2019, by and among the Company and the Guarantors, on the one hand, and the representative of the initial purchasers of the Initial 2029 Notes, on the other hand, and substantially similar agreements, dated as of December 20, 2019 and June 11, 2020, with respect to the Additional 2029 Notes (collectively, the "Registration Rights Agreements").</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June 24, 2020, pursuant to their obligations under the Registration Rights Agreements, the Company and the Guarantors filed with the Securities and Exchange Commission a registration statement relating to the registered exchange offer (the “Exchange Offer”) to exchange the 2029 Notes for a new series of the Company’s exchange notes having terms substantially identical in all material respects to, and in the same aggregate principal amount as, the 2029 Notes. On July 15, 2020, the Company and the Guarantors commenced the Exchange Offer, which is scheduled to expire on August 13,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Interest paid on the 2029 Notes during the three months ended June 27, 2020 was $13.0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debt is carried at amortized cost and is measured at fair value quarterly for disclosure purposes. The estimated fair value of the 2025 Notes, 2026 Notes and 2029 Notes as of June 27, 2020 was $23.9 million, $941.6 million, and $867.0 million, respectively (compared to a carrying value of $23.4 million, $900.0 million, and $850.0 million, respectively). The estimated fair value of the 2025 Notes, 2026 Notes and the 2029 Notes as of March 28, 2020 was $23.9 million, $962.8 million, and $489.5 million, respectively (compared to a carrying value of $23.4 million, $900.0 million, and $550.0 million, respectively). The Company considers its debt to be Level 2 in the fair value hierarchy. Fair values are estimated based on quoted market prices for identical or similar instruments. The 2025 Notes, 2026 Notes and 2029 Notes trade over the counter, and their fair values were estimated based upon the value of their last trade at the end of the period.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Term Loan carries a variable interest rate set at current market rates, and as such, the fair value of the Term Loan approximated book value as of June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June 27, 2020, the Company recognized $19.9 million of interest expense primarily related to the 2026 Notes and the 2029 Notes, which was partially offset by $1.1 million of interest capitalized to property and equipment. During the three months ended June 29, 2019, the Company recognized $13.6 million of interest expense primarily related to the 2026 Notes, which was partially offset by $1.7 million of interest capitalized to property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31, 2019, the Company announced that its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three months ended June 27, 2020, the Company repurchased approximately 0.7 million shares of its common stock for approximately $75.0 million under the current share repurchase program. As of June 27, 2020, approximately $690.9 million remained available for repurchases under the current share repurchase program.</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June 29, 2019, the Company repurchased approximately 1.5 million shares of its common stock for approximately $100.1 million under the prior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9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27, 2020</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361,143</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248,246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267,496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70,009</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Taiwan</w:t>
            </w:r>
          </w:p>
        </w:tc>
        <w:tc>
          <w:tcPr>
            <w:tcW w:w="2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53,328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40,989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35,961</w:t>
            </w:r>
          </w:p>
        </w:tc>
      </w:tr>
      <w:tr>
        <w:trPr>
          <w:trHeight w:val="257"/>
        </w:trPr>
        <w:tc>
          <w:tcPr>
            <w:tcW w:w="766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787,451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775,598</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restructuring actions, the Company has recorded cumulative restructuring related charges totaling $92.9 million as of the end of the first quarter of fiscal 2021, including accelerated depreciation of $47.4 million (to reflect changes in estimated useful lives of certain property and equipment), impairment charges of $15.9 million (to adjust the carrying value of certain property and equipment to reflect its fair value), employee termination benefits of $13.9 million and other exit costs of $15.7 million. The Company expects to record additional expenses of approximately $0.4 million for employee termination benefits and other exit costs as a result of these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charges resulting from this restructuring event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274"/>
              <w:spacing w:after="0"/>
              <w:rPr>
                <w:sz w:val="20"/>
                <w:szCs w:val="20"/>
                <w:color w:val="auto"/>
              </w:rPr>
            </w:pPr>
            <w:r>
              <w:rPr>
                <w:rFonts w:ascii="Arial" w:cs="Arial" w:eastAsia="Arial" w:hAnsi="Arial"/>
                <w:sz w:val="14"/>
                <w:szCs w:val="14"/>
                <w:b w:val="1"/>
                <w:bCs w:val="1"/>
                <w:color w:val="auto"/>
                <w:w w:val="93"/>
              </w:rPr>
              <w:t>Three Months Ended June 27, 2020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4"/>
                <w:szCs w:val="14"/>
                <w:b w:val="1"/>
                <w:bCs w:val="1"/>
                <w:color w:val="auto"/>
                <w:w w:val="93"/>
              </w:rPr>
              <w:t>Three Months Ended June 29, 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20" w:type="dxa"/>
            <w:vAlign w:val="bottom"/>
            <w:vMerge w:val="restart"/>
          </w:tcPr>
          <w:p>
            <w:pPr>
              <w:spacing w:after="0"/>
              <w:rPr>
                <w:sz w:val="13"/>
                <w:szCs w:val="13"/>
                <w:color w:val="auto"/>
              </w:rPr>
            </w:pPr>
          </w:p>
        </w:tc>
        <w:tc>
          <w:tcPr>
            <w:tcW w:w="13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400" w:type="dxa"/>
            <w:vAlign w:val="bottom"/>
          </w:tcPr>
          <w:p>
            <w:pPr>
              <w:spacing w:after="0"/>
              <w:rPr>
                <w:sz w:val="13"/>
                <w:szCs w:val="13"/>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Cost of Goods Sold</w:t>
            </w:r>
          </w:p>
        </w:tc>
        <w:tc>
          <w:tcPr>
            <w:tcW w:w="120" w:type="dxa"/>
            <w:vAlign w:val="bottom"/>
            <w:vMerge w:val="restart"/>
          </w:tcPr>
          <w:p>
            <w:pPr>
              <w:spacing w:after="0"/>
              <w:rPr>
                <w:sz w:val="13"/>
                <w:szCs w:val="13"/>
                <w:color w:val="auto"/>
              </w:rPr>
            </w:pPr>
          </w:p>
        </w:tc>
        <w:tc>
          <w:tcPr>
            <w:tcW w:w="13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420" w:type="dxa"/>
            <w:vAlign w:val="bottom"/>
          </w:tcPr>
          <w:p>
            <w:pPr>
              <w:spacing w:after="0"/>
              <w:rPr>
                <w:sz w:val="13"/>
                <w:szCs w:val="13"/>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w w:val="96"/>
              </w:rPr>
              <w:t>Contract termination and other associated</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costs</w:t>
            </w:r>
          </w:p>
        </w:tc>
        <w:tc>
          <w:tcPr>
            <w:tcW w:w="5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57"/>
        </w:trPr>
        <w:tc>
          <w:tcPr>
            <w:tcW w:w="328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the Company's restructuring liabilities for the three months ended June 27,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One-Time Employee</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Contract Termination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and Other Associated</w:t>
            </w:r>
          </w:p>
        </w:tc>
        <w:tc>
          <w:tcPr>
            <w:tcW w:w="36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Termination 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28, 2020</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Non-cash activity</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June 27, 2020</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 INFORMATION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operating and reportable segments as of June 27, 2020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MP is a global supplier of cellular, UWB and Wi-Fi solutions for a variety of high-volume markets, including smartphones, wearables, laptops, tablets and IoT applications.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wireless infrastructure, defense, smart home, automotive and other IoT and biosensor applications.</w:t>
      </w:r>
    </w:p>
    <w:p>
      <w:pPr>
        <w:spacing w:after="0" w:line="170"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restructuring related charges, start-up costs,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27,</w:t>
            </w:r>
          </w:p>
        </w:tc>
        <w:tc>
          <w:tcPr>
            <w:tcW w:w="340" w:type="dxa"/>
            <w:vAlign w:val="bottom"/>
          </w:tcPr>
          <w:p>
            <w:pPr>
              <w:spacing w:after="0"/>
              <w:rPr>
                <w:sz w:val="13"/>
                <w:szCs w:val="13"/>
                <w:color w:val="auto"/>
              </w:rPr>
            </w:pPr>
          </w:p>
        </w:tc>
        <w:tc>
          <w:tcPr>
            <w:tcW w:w="134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MP</w:t>
            </w:r>
          </w:p>
        </w:tc>
        <w:tc>
          <w:tcPr>
            <w:tcW w:w="4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468,404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556,253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319,047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219,345</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9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787,451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775,598</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39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MP</w:t>
            </w:r>
          </w:p>
        </w:tc>
        <w:tc>
          <w:tcPr>
            <w:tcW w:w="4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109,983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139,935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50,124</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(111,026)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(134,833)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55,226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45,197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2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(21,859)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(24,953)</w:t>
            </w:r>
          </w:p>
        </w:tc>
      </w:tr>
      <w:tr>
        <w:trPr>
          <w:trHeight w:val="27"/>
        </w:trPr>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(58,182)</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(23,130)</w:t>
            </w:r>
          </w:p>
        </w:tc>
      </w:tr>
      <w:tr>
        <w:trPr>
          <w:trHeight w:val="27"/>
        </w:trPr>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(15,938)</w:t>
            </w:r>
          </w:p>
        </w:tc>
      </w:tr>
      <w:tr>
        <w:trPr>
          <w:trHeight w:val="27"/>
        </w:trPr>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Other (including (loss) gain on assets, start-up costs and other miscellaneous corporate overhead)</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(111,026)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(134,833)</w:t>
            </w:r>
          </w:p>
        </w:tc>
      </w:tr>
      <w:tr>
        <w:trPr>
          <w:trHeight w:val="27"/>
        </w:trPr>
        <w:tc>
          <w:tcPr>
            <w:tcW w:w="7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Company’s provision for income taxes for the three months ended June 27, 2020 and June 29, 2019 was calculated by applying an estimate of the annual effective tax rate for the full fiscal year to “ordinary” income or loss (pre-tax income or loss excluding unusual or infrequently occurring discrete items) for the three months ended June 27, 2020 and June 29, 2019.</w:t>
      </w:r>
    </w:p>
    <w:p>
      <w:pPr>
        <w:spacing w:after="0" w:line="18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income tax expense was $0.1 million and $5.7 million for the three months ended June 27, 2020 and June 29, 2019, respectively. The Company’s effective tax rate was 0.1% and 12.5% for the three months ended June 27, 2020 and June 29, 2019, respectively.</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Company's effective tax rate for the three months ended June 27, 2020 differed from the statutory rate primarily due to tax rate differences in foreign jurisdictions, global intangible low tax income (“GILTI”), domestic tax credits generated and a discrete tax benefit resulting from a retroactive incentive allowing previously non-deductible payments to be amortized. The Company's effective tax rate for the three months ended June 29, 2019 differed from the statutory rate primarily due to tax rate differences in foreign jurisdictions, GILTI, domestic tax credits generated, foreign permanent differences and the discrete treatment of post-combination compensation related expenses due to the Active-Semi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2020</w:t>
            </w:r>
          </w:p>
        </w:tc>
        <w:tc>
          <w:tcPr>
            <w:tcW w:w="240" w:type="dxa"/>
            <w:vAlign w:val="bottom"/>
          </w:tcPr>
          <w:p>
            <w:pPr>
              <w:spacing w:after="0"/>
              <w:rPr>
                <w:sz w:val="22"/>
                <w:szCs w:val="22"/>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29, 2019</w:t>
            </w:r>
          </w:p>
        </w:tc>
        <w:tc>
          <w:tcPr>
            <w:tcW w:w="0" w:type="dxa"/>
            <w:vAlign w:val="bottom"/>
          </w:tcPr>
          <w:p>
            <w:pPr>
              <w:spacing w:after="0"/>
              <w:rPr>
                <w:sz w:val="1"/>
                <w:szCs w:val="1"/>
                <w:color w:val="auto"/>
              </w:rPr>
            </w:pP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w w:val="92"/>
              </w:rPr>
              <w:t>Numerator for basic and diluted net income per share — net income available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96,922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114,585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118,756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Denominator for diluted net income per share — adjusted weighted average shares and assumed conversions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116,751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121,123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computation of diluted net income per share for the three months ended June 27, 2020 and June 29, 2019, less than 0.1 million outstanding shares were excluded because the effect of their inclusion would have been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the COVID-19 outbreak, which has and will likely continue to negatively impact the global economy and disrupt normal business activities, and which may have an adverse effect on our results of operations;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recent and future acquisitions and other strategic investments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Many of the foregoing risks and uncertainties are, and will continue to be exacerbated by the COVID-</w:t>
      </w:r>
    </w:p>
    <w:p>
      <w:pPr>
        <w:spacing w:after="0" w:line="10"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i w:val="1"/>
          <w:iCs w:val="1"/>
          <w:color w:val="auto"/>
        </w:rPr>
        <w:t>19 outbreak and any worsening of the global business and economic environment as a result.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4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Qorvo® is a leader in the development and commercialization of technologies and products for wireless and wired connectivity. We combine a broad portfolio of innovative radio frequency ("RF") solutions, highly differentiated semiconductor technologies, systems-level expertise and global manufacturing scale to supply a diverse set of customers a broad range of products that enable a more connected world.</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financial results for the quarter ended June 27, 2020 were not materially impacted by the COVID-19 outbreak; however, we are not able to estimate the long-term impact of the COVID-19 outbreak on our business (including our supply chain), financial condition, results of operations, and/or cash flow. We believe we have sufficient liquidity available from operating cash flow, cash on hand (including from our recently issued senior notes), and availability under our revolving credit facility. However, as the situation evolves, we will continue to assess our liquidity needs, evaluate available alternatives and take appropriate actions.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MP is a global supplier of cellular, ultra-wide band and Wi-Fi solutions for a variety of high-volume markets, including smartphones, wearables, laptops, tablets and Internet of Things ("IoT") applications.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wireless infrastructure, defense, smart home, automotive and other IoT and biosensor applications.</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(see Note 12 of the Notes to Condensed Consolidated Financial Statements in Part I, Item 1 of this report for additional information regarding our operating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2021 FINANCIAL HIGHLIGHTS:</w:t>
      </w:r>
    </w:p>
    <w:p>
      <w:pPr>
        <w:spacing w:after="0" w:line="229" w:lineRule="exact"/>
        <w:rPr>
          <w:sz w:val="20"/>
          <w:szCs w:val="20"/>
          <w:color w:val="auto"/>
        </w:rPr>
      </w:pPr>
    </w:p>
    <w:p>
      <w:pPr>
        <w:ind w:left="280" w:hanging="272"/>
        <w:spacing w:after="0" w:line="25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revenue increased 1.5% as compared to the first quarter of fiscal 2020, primarily due to higher demand for our base station products as a result of strength in 5G sub-6 GHz massive Multiple-Input/Multiple-Output ("MIMO") base station deployments (primarily in Asia) and higher demand for our mobile products in support of customers based in China, partially offset by lower shipments of our mobile products to Huawei Technologies Co., Ltd. and affiliates ("Huawei") as well as lower demand from our largest end customer.</w:t>
      </w:r>
    </w:p>
    <w:p>
      <w:pPr>
        <w:spacing w:after="0" w:line="186" w:lineRule="exact"/>
        <w:rPr>
          <w:rFonts w:ascii="Arial" w:cs="Arial" w:eastAsia="Arial" w:hAnsi="Arial"/>
          <w:sz w:val="18"/>
          <w:szCs w:val="18"/>
          <w:color w:val="auto"/>
        </w:rPr>
      </w:pPr>
    </w:p>
    <w:p>
      <w:pPr>
        <w:ind w:left="280" w:hanging="272"/>
        <w:spacing w:after="0" w:line="342"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Gross margin for the first quarter of fiscal 2021 was 41.4% as compared to 37.9% for the first quarter of fiscal 2020, primarily due to favorable changes in product mix and lower restructuring charges, partially offset by higher intangible amortization expense and higher manufacturing costs.</w:t>
      </w:r>
    </w:p>
    <w:p>
      <w:pPr>
        <w:spacing w:after="0" w:line="123" w:lineRule="exact"/>
        <w:rPr>
          <w:rFonts w:ascii="Arial" w:cs="Arial" w:eastAsia="Arial" w:hAnsi="Arial"/>
          <w:sz w:val="16"/>
          <w:szCs w:val="16"/>
          <w:color w:val="auto"/>
        </w:rPr>
      </w:pPr>
    </w:p>
    <w:p>
      <w:pPr>
        <w:ind w:left="280" w:right="240" w:hanging="272"/>
        <w:spacing w:after="0" w:line="277"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$92.7 million for the first quarter of fiscal 2021 as compared to $55.2 million for the first quarter of fiscal 2020. This increase was primarily due to higher gross margin, lower operating expenses, and higher revenue.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per diluted share was $0.83 for the first quarter of fiscal 2021 as compared to $0.33 for the first quarter of fiscal 2020.</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were $29.8 million for the first quarter of fiscal 2021 as compared to $50.3 million for the first quarter of fiscal 2020.</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first quarter of fiscal 2021, we issued an additional $300.0 million aggregate principal amount of our 4.375% senior notes due 2029.</w:t>
      </w:r>
    </w:p>
    <w:p>
      <w:pPr>
        <w:spacing w:after="0" w:line="236" w:lineRule="exact"/>
        <w:rPr>
          <w:rFonts w:ascii="Arial" w:cs="Arial" w:eastAsia="Arial" w:hAnsi="Arial"/>
          <w:sz w:val="17"/>
          <w:szCs w:val="17"/>
          <w:color w:val="auto"/>
        </w:rPr>
      </w:pPr>
    </w:p>
    <w:p>
      <w:pPr>
        <w:ind w:left="280" w:hanging="272"/>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first quarter of fiscal 2021, we repurchased approximately 0.7 million shares of our common stock for approximately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months ended June 27, 2020 and June 29, 2019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12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9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30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r>
      <w:tr>
        <w:trPr>
          <w:trHeight w:val="24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787,451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775,598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461,662</w:t>
            </w:r>
          </w:p>
        </w:tc>
        <w:tc>
          <w:tcPr>
            <w:tcW w:w="12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481,309</w:t>
            </w:r>
          </w:p>
        </w:tc>
        <w:tc>
          <w:tcPr>
            <w:tcW w:w="1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(19,647)</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(4.1)</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325,789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294,289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31,500</w:t>
            </w:r>
          </w:p>
        </w:tc>
        <w:tc>
          <w:tcPr>
            <w:tcW w:w="1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10.7</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130,071</w:t>
            </w:r>
          </w:p>
        </w:tc>
        <w:tc>
          <w:tcPr>
            <w:tcW w:w="12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118,920</w:t>
            </w:r>
          </w:p>
        </w:tc>
        <w:tc>
          <w:tcPr>
            <w:tcW w:w="1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11,151</w:t>
            </w:r>
          </w:p>
        </w:tc>
        <w:tc>
          <w:tcPr>
            <w:tcW w:w="1420" w:type="dxa"/>
            <w:vAlign w:val="bottom"/>
            <w:gridSpan w:val="2"/>
          </w:tcPr>
          <w:p>
            <w:pPr>
              <w:jc w:val="right"/>
              <w:ind w:right="148"/>
              <w:spacing w:after="0"/>
              <w:rPr>
                <w:sz w:val="20"/>
                <w:szCs w:val="20"/>
                <w:color w:val="auto"/>
              </w:rPr>
            </w:pPr>
            <w:r>
              <w:rPr>
                <w:rFonts w:ascii="Arial" w:cs="Arial" w:eastAsia="Arial" w:hAnsi="Arial"/>
                <w:sz w:val="18"/>
                <w:szCs w:val="18"/>
                <w:color w:val="auto"/>
              </w:rPr>
              <w:t>9.4</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86,604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88,979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16,402</w:t>
            </w:r>
          </w:p>
        </w:tc>
        <w:tc>
          <w:tcPr>
            <w:tcW w:w="12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(14,762)</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(47.4)</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92,712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55,226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37,486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67.9 %</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Revenue increased primarily due to higher demand for our base station products as a result of strength in 5G sub-6 GHz massive MIMO base station deployments (primarily in Asia) and higher demand for our mobile products in support of customers based in China, partially offset by lower shipments of our mobile products to Huawei as well as lower demand from our largest end customer.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16, 2019, the Bureau of Industry and Security ("BIS") of the U.S. Department of Commerce added Huawei and over 100 of its affiliates to the BIS's Entity List, which caused us to temporarily suspend the shipment of all products to Huawei. Subsequently, we restarted shipments from outside the U.S. of certain products that are not subject to the Export Administration Regulations ("EAR") to Huawei in compliance with the BIS order. We have also applied for a license to ship other products that are subject to the EAR, as required by the rules governing the Entity List. Our sales to Huawei are expected to continue to be impacted by trade restrictions.</w:t>
      </w:r>
    </w:p>
    <w:p>
      <w:pPr>
        <w:spacing w:after="0" w:line="188" w:lineRule="exact"/>
        <w:rPr>
          <w:sz w:val="20"/>
          <w:szCs w:val="20"/>
          <w:color w:val="auto"/>
        </w:rPr>
      </w:pPr>
    </w:p>
    <w:p>
      <w:pPr>
        <w:ind w:left="60" w:right="820"/>
        <w:spacing w:after="0" w:line="277" w:lineRule="auto"/>
        <w:rPr>
          <w:sz w:val="20"/>
          <w:szCs w:val="20"/>
          <w:color w:val="auto"/>
        </w:rPr>
      </w:pPr>
      <w:r>
        <w:rPr>
          <w:rFonts w:ascii="Arial" w:cs="Arial" w:eastAsia="Arial" w:hAnsi="Arial"/>
          <w:sz w:val="18"/>
          <w:szCs w:val="18"/>
          <w:color w:val="auto"/>
        </w:rPr>
        <w:t>Gross margin increased primarily due to favorable changes in product mix and lower restructuring charges, partially offset by higher intangible amortization expense and higher manufacturing costs.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Research and development expense increased primarily due to higher personnel costs and increased product development spend as a result of our recent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 decreased primarily due to lower personnel costs, partially offset by higher intangible amortization expense.</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operating expense decreased primarily due to lower acquisition related costs and lower restructuring related charges. In the three months ended June 29, 2019, we incurred acquisition related costs associated with Active-Semi International, Inc. ("Active-Semi") as well as restructuring charges resulting from our fiscal 2019 restructuring actions.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21" w:right="3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1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Decrease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468,404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556,253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5"/>
              </w:rPr>
              <w:t>(15.8)%</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109,983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139,935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(29,952)</w:t>
            </w:r>
          </w:p>
        </w:tc>
        <w:tc>
          <w:tcPr>
            <w:tcW w:w="120" w:type="dxa"/>
            <w:vAlign w:val="bottom"/>
          </w:tcPr>
          <w:p>
            <w:pPr>
              <w:spacing w:after="0"/>
              <w:rPr>
                <w:sz w:val="21"/>
                <w:szCs w:val="21"/>
                <w:color w:val="auto"/>
              </w:rPr>
            </w:pPr>
          </w:p>
        </w:tc>
        <w:tc>
          <w:tcPr>
            <w:tcW w:w="1540" w:type="dxa"/>
            <w:vAlign w:val="bottom"/>
          </w:tcPr>
          <w:p>
            <w:pPr>
              <w:ind w:left="9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MP revenue decreased primarily due to lower shipments to Huawei as well as lower demand from our largest end customer. These decreases were partially offset by increased revenue resulting from higher demand for our mobile products in support of customers based in China.</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MP operating income decreased primarily due to lower revenue and higher operating expenses, partially offset by higher gross margin. Operating expenses increased in the three months ended June 27, 2020 primarily as a result of our recent acquisitions. Gross margin was positively impacted by changes in product mix, partially offset by lower factory utilization and average selling price erosion.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319,047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219,345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7"/>
              </w:rPr>
              <w:t>45.5%</w:t>
            </w:r>
          </w:p>
        </w:tc>
        <w:tc>
          <w:tcPr>
            <w:tcW w:w="0" w:type="dxa"/>
            <w:vAlign w:val="bottom"/>
          </w:tcPr>
          <w:p>
            <w:pPr>
              <w:spacing w:after="0"/>
              <w:rPr>
                <w:sz w:val="1"/>
                <w:szCs w:val="1"/>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93,755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50,124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43,631</w:t>
            </w:r>
          </w:p>
        </w:tc>
        <w:tc>
          <w:tcPr>
            <w:tcW w:w="10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IDP revenue increased primarily due to higher demand for our base station products as a result of strength in 5G sub-6 GHz massive MIMO base station deployments (primarily in Asia), as well as increased revenue resulting from our recent acquisitions.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IDP operating income increased primarily due to higher revenue, partially offset by lower gross margin. Gross margin was negatively impacted by changes in product mix and lower factory utilization.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12 of the Notes to Condensed Consolidated Financial Statements for a reconciliation of segment operating income to the consolidated operating income for the three months ended June 27, 2020 and June 29,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2020</w:t>
            </w:r>
          </w:p>
        </w:tc>
        <w:tc>
          <w:tcPr>
            <w:tcW w:w="260" w:type="dxa"/>
            <w:vAlign w:val="bottom"/>
          </w:tcPr>
          <w:p>
            <w:pPr>
              <w:spacing w:after="0"/>
              <w:rPr>
                <w:sz w:val="22"/>
                <w:szCs w:val="22"/>
                <w:color w:val="auto"/>
              </w:rPr>
            </w:pP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3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3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2,946</w:t>
            </w:r>
          </w:p>
        </w:tc>
      </w:tr>
      <w:tr>
        <w:trPr>
          <w:trHeight w:val="27"/>
        </w:trPr>
        <w:tc>
          <w:tcPr>
            <w:tcW w:w="3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(5,656)</w:t>
            </w:r>
          </w:p>
        </w:tc>
      </w:tr>
      <w:tr>
        <w:trPr>
          <w:trHeight w:val="675"/>
        </w:trPr>
        <w:tc>
          <w:tcPr>
            <w:tcW w:w="3640" w:type="dxa"/>
            <w:vAlign w:val="bottom"/>
          </w:tcPr>
          <w:p>
            <w:pPr>
              <w:spacing w:after="0"/>
              <w:rPr>
                <w:sz w:val="24"/>
                <w:szCs w:val="24"/>
                <w:color w:val="auto"/>
              </w:rPr>
            </w:pPr>
          </w:p>
        </w:tc>
        <w:tc>
          <w:tcPr>
            <w:tcW w:w="4120" w:type="dxa"/>
            <w:vAlign w:val="bottom"/>
          </w:tcPr>
          <w:p>
            <w:pPr>
              <w:jc w:val="right"/>
              <w:ind w:right="19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During the three months ended June 27, 2020, we recorded interest expense of $19.9 million primarily related to our 5.50% senior notes due July 15, 2026 (the "2026 Notes") and our 4.375% senior notes due October 15, 2029 (the "2029 Notes"), which was partially offset by $1.1 million of capitalized interest.</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June 29, 2019, we recorded interest expense of $13.6 million primarily related to the 2026 Notes, which was partially offset by $1.7 million of capitalized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27, 2020, we recorded income of $15.7 million based on our share of investments in limited partnerships' earnings.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provision for income taxes for the three months ended June 27, 2020 and June 29, 2019 has been calculated by applying an estimate of the annual effective tax rate for the full fiscal year to “ordinary” income or loss (pre-tax income or loss excluding unusual or discrete items) for those respective periods.</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three months ended June 27, 2020, we recorded an income tax expense of $0.1 million, which was comprised primarily of tax expense related to international operations generating pre-tax book income, partially offset by a tax benefit related to domestic and international operations generating pre-tax book losses and domestic tax credits, and the recognition of a discrete tax benefit resulting from a retroactive incentive allowing previously non-deductible payments to be amortized. For the three months ended June 29, 2019, we recorded an income tax expense of $5.7 million, which was comprised primarily of tax expense related to international operations generating pre-tax book income, partially offset by a tax benefit related to domestic and international operations generating pre-tax book losses and domestic tax credits.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generated by operations is our primary source of liquidity. As of June 27, 2020, we had working capital of approximately $1,570.0 million, including $1,136.3 million in cash and cash equivalents, compared to working capital of approximately $1,151.5 million, including $714.9 million in cash and cash equivalents as of March 28, 2020. The increase in working capital was primarily due to the issuance of an additional $300.0 million aggregate principal amount of the 2029 Notes for general corporate purposes.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$1,136.3 million of total cash and cash equivalents as of June 27, 2020 includes approximately $542.2 million held by our foreign subsidiaries, of which $431.9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During the three months ended June 27, 2020, we repurchased approximately 0.7 million shares of our common stock for approximately $75.0 million under our share repurchase program. As of June 27, 2020, approximately $690.9 million remained available for repurchases under the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Operating activities for the three months ended June 27, 2020 generated cash of $214.3 million, compared to $257.1 million for the three months ended June 29, 2019, primarily due to changes in working capital driven by accounts payable and accounts receivable. These changes were partially offset by increased profitability.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Net cash used in investing activities was $23.3 million for the three months ended June 27, 2020, compared to $342.1 million for the three months ended June 29, 2019, primarily due to the acquisition of Active-Semi during the three months ended June 29,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Net cash provided by financing activities was $229.8 million for the three months ended June 27, 2020, compared to $3.9 million for the three months ended June 29, 2019. This increase was primarily due to the proceeds received from the issuance of an additional $300.0 million aggregate principal amount of 2029 Notes during the three months ended June 27,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5, 2017, we and certain of our U.S. subsidiaries (the "Guarantors") entered into a five-year unsecured 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Bank of America, N.A., as administrative agent, swing line lender, and L/C issuer, and a syndicate of lenders (the “Credit Agreement”).</w:t>
      </w:r>
    </w:p>
    <w:p>
      <w:pPr>
        <w:spacing w:after="0" w:line="1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Credit Agreement included a senior delayed draw term loan of up to $400.0 million (the "Term Loan") and a $300.0 million senior revolving line of credit (the "Revolving Facility"). In addition, we may request one or more additional tranches of term loans or increases in the Revolving Facility, up to an aggregate of $300.0 million and subject to securing additional funding commitments from the existing or new lenders (the “Incremental Facility,” together with the Term Loan and the Revolving Facility, the “Credit Facility”). On the closing date, $100.0 million of the Term Loan was funded, and subsequently repaid in March 2018. On June 17, 2019, we drew $100.0 million of the Term Loan. The delayed draw availability period for the remaining $200.0 million of the Term Loan expired on December 31, 2019. The Revolving Facility includes a $25.0 million sublimit for the issuance of standby letters of credit and a $10.0 million sublimit for swing line loans. The Credit Facility is available to finance working capital, capital expenditures and other corporate purposes. Outstanding amounts are due in full on the maturity date of December 5, 2022 (with amounts borrowed under the swing line option due in full no later than ten business days after such loan is made). During the three months ended June 27, 2020, there were no borrowings under the Revolving Facility. Principal paid on the Term Loan during the three months ended June 27, 2020 was $1.3 million.</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As of June 27, 2020, we were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Credit Agreement.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u w:val="single" w:color="auto"/>
          <w:color w:val="auto"/>
        </w:rPr>
        <w:t>2025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19, 2015, we issued $550.0 million aggregate principal amount of our 7.00% senior notes due December 1, 2025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Interest on the 2025 Notes is payable on June 1 and December 1 of each year. The 2025 Notes are senior unsecured obligations of the Company and guaranteed, jointly and severally, by the Guarantors.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fiscal years 2018 and 2019, we retired $526.6 million of the 2025 Notes. As of June 27, 2020, an aggregate principal amount of $23.4 million of the 2025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2025 Notes.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2026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16, 2018, we issued $500.0 million aggregate principal amount of the 2026 Notes. On August 28, 2018 and March 5, 2019,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$130.0 million and $270.0 million, respectively, aggregate principal amount of the 2026 Notes. Interest on the 2026 Notes is payable on January 15 and July 15 of each year at a rate of 5.50% per annum. The 2026 Notes are senior unsecured obligations of the Company and are guaranteed, jointly and severally, by the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2026 Notes.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2029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30, 2019, we issued $350.0 million aggregate principal amount of the 2029 Notes. On December 20, 2019 and June 11,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 additional $200.0 million and $300.0 million, respectively, aggregate principal amount of the 2029 Notes. Interest on the 2029 Notes is payable on April 15 and October 15 of each year at a rate of 4.375% per annum. The 2029 Notes are senior unsecured obligations of the Company and are guaranteed, jointly and severally, by the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2029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June 27, 2020, we had capital commitments of approximately $69.0 million primarily for projects related to premium filter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manufacturing cost savings initiatives, as well as for equipment upgrades and general corporate purposes.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Future Sources of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future capital requirements may differ materially from those currently projected and will depend on many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long-term impact of the COVID-19 outbreak on our business (including our supply chain), financial conditions, results of operations, and/or cash flow, as well as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combined with cash from operations are not sufficient to meet our future requirements or if we perceive conditions to be favorable, we may seek additional debt or equity financing. We cannot be sure that any additional debt or equity financing will not be dilutive to holders of our common stock or that additional debt or equity financing, if required, will be available on favorable terms, if at all.</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w:t>
      </w:r>
      <w:r>
        <w:rPr>
          <w:rFonts w:ascii="Arial" w:cs="Arial" w:eastAsia="Arial" w:hAnsi="Arial"/>
          <w:sz w:val="18"/>
          <w:szCs w:val="18"/>
          <w:i w:val="1"/>
          <w:iCs w:val="1"/>
          <w:color w:val="auto"/>
        </w:rPr>
        <w:t xml:space="preserve"> </w:t>
      </w:r>
      <w:r>
        <w:rPr>
          <w:rFonts w:ascii="Arial" w:cs="Arial" w:eastAsia="Arial" w:hAnsi="Arial"/>
          <w:sz w:val="18"/>
          <w:szCs w:val="18"/>
          <w:color w:val="auto"/>
        </w:rPr>
        <w:t>These actions, when finally concluded and determined, will not, in the opinion of management, have a material adverse effect on our consolidated financial position or results of operations.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indentures governing the 2025 Notes, the 2026 Notes and the 2029 Notes (collectively, the "Notes"), our obligations under the Notes are fully and unconditionally guaranteed on a joint and several unsecured basis by the Guarantors, each of which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27, 2020</w:t>
            </w: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1,344,363</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2,484,738</w:t>
            </w:r>
          </w:p>
        </w:tc>
      </w:tr>
      <w:tr>
        <w:trPr>
          <w:trHeight w:val="27"/>
        </w:trPr>
        <w:tc>
          <w:tcPr>
            <w:tcW w:w="9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9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217,883</w:t>
            </w:r>
          </w:p>
        </w:tc>
      </w:tr>
      <w:tr>
        <w:trPr>
          <w:trHeight w:val="27"/>
        </w:trPr>
        <w:tc>
          <w:tcPr>
            <w:tcW w:w="9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14"/>
                <w:szCs w:val="14"/>
                <w:color w:val="auto"/>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2,497,116</w:t>
            </w:r>
          </w:p>
        </w:tc>
      </w:tr>
      <w:tr>
        <w:trPr>
          <w:trHeight w:val="27"/>
        </w:trPr>
        <w:tc>
          <w:tcPr>
            <w:tcW w:w="9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current receivable from Non-Guarantors of $523.2 million.</w:t>
      </w:r>
    </w:p>
    <w:p>
      <w:pPr>
        <w:spacing w:after="0" w:line="9"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non-current payable to Non-Guarantors of $540.9 million.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60" w:type="dxa"/>
            <w:vAlign w:val="bottom"/>
          </w:tcPr>
          <w:p>
            <w:pPr>
              <w:ind w:left="40"/>
              <w:spacing w:after="0"/>
              <w:rPr>
                <w:sz w:val="20"/>
                <w:szCs w:val="20"/>
                <w:color w:val="auto"/>
              </w:rPr>
            </w:pPr>
            <w:r>
              <w:rPr>
                <w:rFonts w:ascii="Arial" w:cs="Arial" w:eastAsia="Arial" w:hAnsi="Arial"/>
                <w:sz w:val="18"/>
                <w:szCs w:val="18"/>
                <w:b w:val="1"/>
                <w:bCs w:val="1"/>
                <w:color w:val="auto"/>
              </w:rPr>
              <w:t>Summarized Statement of Income (Loss)</w:t>
            </w: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Three Months Ended</w:t>
            </w:r>
          </w:p>
        </w:tc>
      </w:tr>
      <w:tr>
        <w:trPr>
          <w:trHeight w:val="250"/>
        </w:trPr>
        <w:tc>
          <w:tcPr>
            <w:tcW w:w="9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27, 2020</w:t>
            </w:r>
          </w:p>
        </w:tc>
      </w:tr>
      <w:tr>
        <w:trPr>
          <w:trHeight w:val="249"/>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242,838</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37,204</w:t>
            </w:r>
          </w:p>
        </w:tc>
      </w:tr>
      <w:tr>
        <w:trPr>
          <w:trHeight w:val="27"/>
        </w:trPr>
        <w:tc>
          <w:tcPr>
            <w:tcW w:w="9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w:t>
            </w:r>
          </w:p>
        </w:tc>
      </w:tr>
      <w:tr>
        <w:trPr>
          <w:trHeight w:val="27"/>
        </w:trPr>
        <w:tc>
          <w:tcPr>
            <w:tcW w:w="9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2021. For a discussion of our exposure to market risk, refer to Item 7A, “Quantitative and Qualitative Disclosures About Market Risk,” contained in Qorvo's Annual Report on Form 10-K for the fiscal year ended March 28,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June 27, 2020 that have materially affected, or are reasonably likely to materially affect, our internal control over financial reporting.</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the ongoing COVID-19 outbreak, a significant number of our employees are now working from home. The design of our processes, systems, and controls allows for remote execution with accessibility to secure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28, 2020, which could materially affect our business, financial condition or future results. The risks described in Qorvo's Annual Report on Form 10-K for the fiscal year ended March 28, 2020 are not the only risks that we face. Additional risks and uncertainties not currently known to us or that we currently deem to be immaterial also may materially adversely affect our business, financial condition and/or operating results.</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320" w:top="121" w:right="4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08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4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ind w:left="180"/>
        <w:spacing w:after="0"/>
        <w:tabs>
          <w:tab w:leader="none" w:pos="174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26035</wp:posOffset>
            </wp:positionV>
            <wp:extent cx="1817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12065</wp:posOffset>
            </wp:positionV>
            <wp:extent cx="1397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4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5080</wp:posOffset>
            </wp:positionV>
            <wp:extent cx="1466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4">
            <w:col w:w="2920" w:space="720"/>
            <w:col w:w="2740" w:space="200"/>
            <w:col w:w="2080" w:space="300"/>
            <w:col w:w="2280"/>
          </w:cols>
          <w:pgMar w:left="320" w:top="121" w:right="33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March 29, 2020 to April 25, 2020</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April 26, 2020 to May 23, 2020</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May 24, 2020 to June 27, 2020</w:t>
      </w:r>
    </w:p>
    <w:p>
      <w:pPr>
        <w:spacing w:after="0" w:line="109"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82.26</w:t>
            </w:r>
          </w:p>
        </w:tc>
        <w:tc>
          <w:tcPr>
            <w:tcW w:w="100" w:type="dxa"/>
            <w:vAlign w:val="bottom"/>
          </w:tcPr>
          <w:p>
            <w:pPr>
              <w:spacing w:after="0"/>
              <w:rPr>
                <w:sz w:val="15"/>
                <w:szCs w:val="15"/>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0"/>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96.73</w:t>
            </w:r>
          </w:p>
        </w:tc>
        <w:tc>
          <w:tcPr>
            <w:tcW w:w="100" w:type="dxa"/>
            <w:vAlign w:val="bottom"/>
          </w:tcPr>
          <w:p>
            <w:pPr>
              <w:spacing w:after="0"/>
              <w:rPr>
                <w:sz w:val="23"/>
                <w:szCs w:val="23"/>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276"/>
        </w:trPr>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109.72</w:t>
            </w:r>
          </w:p>
        </w:tc>
        <w:tc>
          <w:tcPr>
            <w:tcW w:w="100" w:type="dxa"/>
            <w:vAlign w:val="bottom"/>
          </w:tcPr>
          <w:p>
            <w:pPr>
              <w:spacing w:after="0"/>
              <w:rPr>
                <w:sz w:val="24"/>
                <w:szCs w:val="24"/>
                <w:color w:val="auto"/>
              </w:rPr>
            </w:pPr>
          </w:p>
        </w:tc>
        <w:tc>
          <w:tcPr>
            <w:tcW w:w="2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w:t>
            </w:r>
          </w:p>
        </w:tc>
      </w:tr>
      <w:tr>
        <w:trPr>
          <w:trHeight w:val="237"/>
        </w:trPr>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102.48</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$754.6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$743.2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$690.9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$690.9 million</w:t>
      </w:r>
    </w:p>
    <w:p>
      <w:pPr>
        <w:spacing w:after="0" w:line="271" w:lineRule="exact"/>
        <w:rPr>
          <w:sz w:val="20"/>
          <w:szCs w:val="20"/>
          <w:color w:val="auto"/>
        </w:rPr>
      </w:pPr>
    </w:p>
    <w:p>
      <w:pPr>
        <w:sectPr>
          <w:pgSz w:w="11900" w:h="16838" w:orient="portrait"/>
          <w:cols w:equalWidth="0" w:num="3">
            <w:col w:w="2840" w:space="720"/>
            <w:col w:w="5980" w:space="720"/>
            <w:col w:w="980"/>
          </w:cols>
          <w:pgMar w:left="320" w:top="121" w:right="339" w:bottom="1440" w:gutter="0" w:footer="0" w:header="0"/>
          <w:type w:val="continuous"/>
        </w:sectPr>
      </w:pP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October 31, 2019, we announced that our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00" w:right="360" w:hanging="359"/>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34">
        <w:r>
          <w:rPr>
            <w:rFonts w:ascii="Arial" w:cs="Arial" w:eastAsia="Arial" w:hAnsi="Arial"/>
            <w:sz w:val="17"/>
            <w:szCs w:val="17"/>
            <w:u w:val="single" w:color="auto"/>
            <w:color w:val="0000FF"/>
          </w:rPr>
          <w:t>Second Supplemental Indenture, dated as of June 11, 2020, among Qorvo, Inc., the Guarantors party thereto and MUFG Union Bank, N.A., as</w:t>
        </w:r>
      </w:hyperlink>
      <w:r>
        <w:rPr>
          <w:rFonts w:ascii="Arial" w:cs="Arial" w:eastAsia="Arial" w:hAnsi="Arial"/>
          <w:sz w:val="17"/>
          <w:szCs w:val="17"/>
          <w:color w:val="auto"/>
        </w:rPr>
        <w:t xml:space="preserve"> </w:t>
      </w:r>
      <w:hyperlink r:id="rId34">
        <w:r>
          <w:rPr>
            <w:rFonts w:ascii="Arial" w:cs="Arial" w:eastAsia="Arial" w:hAnsi="Arial"/>
            <w:sz w:val="17"/>
            <w:szCs w:val="17"/>
            <w:u w:val="single" w:color="auto"/>
            <w:color w:val="0000FF"/>
          </w:rPr>
          <w:t>Trustee (incorporated by reference to Exhibit 4.1 to the Current Report on Form 8-K filed with the SEC on June 11, 2020)</w:t>
        </w:r>
      </w:hyperlink>
    </w:p>
    <w:p>
      <w:pPr>
        <w:spacing w:after="0" w:line="335" w:lineRule="exact"/>
        <w:rPr>
          <w:sz w:val="20"/>
          <w:szCs w:val="20"/>
          <w:color w:val="auto"/>
        </w:rPr>
      </w:pPr>
    </w:p>
    <w:p>
      <w:pPr>
        <w:ind w:left="600" w:hanging="359"/>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35">
        <w:r>
          <w:rPr>
            <w:rFonts w:ascii="Arial" w:cs="Arial" w:eastAsia="Arial" w:hAnsi="Arial"/>
            <w:sz w:val="18"/>
            <w:szCs w:val="18"/>
            <w:u w:val="single" w:color="auto"/>
            <w:color w:val="0000FF"/>
          </w:rPr>
          <w:t>Registration Rights Agreement, dated as of June 11, 2020, among Qorvo, Inc., the Guarantors named therein and Citigroup Global Markets Inc., as</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representative of the several Initial Purchasers named therein (incorporated by reference to Exhibit 4.2 to the Current Report on Form 8-K filed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with the SEC on June 11, 2020)</w:t>
        </w:r>
      </w:hyperlink>
    </w:p>
    <w:p>
      <w:pPr>
        <w:spacing w:after="0" w:line="373" w:lineRule="exact"/>
        <w:rPr>
          <w:rFonts w:ascii="Arial" w:cs="Arial" w:eastAsia="Arial" w:hAnsi="Arial"/>
          <w:sz w:val="18"/>
          <w:szCs w:val="18"/>
          <w:color w:val="auto"/>
        </w:rPr>
      </w:pPr>
    </w:p>
    <w:p>
      <w:pPr>
        <w:ind w:left="600" w:right="10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32">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00" w:right="16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3">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0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34">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32.2  </w:t>
      </w:r>
      <w:hyperlink w:anchor="page35">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46" w:lineRule="exact"/>
        <w:rPr>
          <w:sz w:val="20"/>
          <w:szCs w:val="20"/>
          <w:color w:val="auto"/>
        </w:rPr>
      </w:pPr>
    </w:p>
    <w:p>
      <w:pPr>
        <w:ind w:left="6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00" w:hanging="403"/>
        <w:spacing w:after="0" w:line="293"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June 27, 2020, formatted in iXBRL (Inline eXtensible Business Reporting Language): (i) the Condensed Consolidated Balance Sheets as of June 27, 2020 and March 28, 2020; (ii) the Condensed Consolidated Statements of Income for the three months ended June 27, 2020 and June 29, 2019; (iii) the Condensed Consolidated Statements of Comprehensive Income for the three months ended June 27, 2020 and June 29, 2019; (iv) the Condensed Consolidated Statements of Stockholders' Equity for the three months ended June 27, 2020 and June 29, 2019; (v) the Condensed Consolidated Statements of Cash Flows for the three months ended June 27, 2020 and June 29, 2019; and (vi) the Notes to Condensed Consolidated Financial Statements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104  The cover page from our Quarterly Report on Form 10-Q for the quarter ended June 27, 2020, formatted in iXBRL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20" w:val="left"/>
          <w:tab w:leader="none" w:pos="5540"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2854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320" w:top="121" w:right="8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180" w:firstLine="8"/>
        <w:spacing w:after="0" w:line="263"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8"/>
        <w:spacing w:after="0" w:line="308" w:lineRule="auto"/>
        <w:tabs>
          <w:tab w:leader="none" w:pos="783"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00" w:firstLine="8"/>
        <w:spacing w:after="0" w:line="263"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20" w:hanging="4"/>
        <w:spacing w:after="0" w:line="263" w:lineRule="auto"/>
        <w:tabs>
          <w:tab w:leader="none" w:pos="144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00" w:hanging="4"/>
        <w:spacing w:after="0" w:line="263"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40" w:hanging="4"/>
        <w:spacing w:after="0" w:line="342" w:lineRule="auto"/>
        <w:tabs>
          <w:tab w:leader="none" w:pos="144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hanging="4"/>
        <w:spacing w:after="0" w:line="263"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308" w:lineRule="auto"/>
        <w:tabs>
          <w:tab w:leader="none" w:pos="78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4"/>
        <w:spacing w:after="0" w:line="308" w:lineRule="auto"/>
        <w:tabs>
          <w:tab w:leader="none" w:pos="1448"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20" w:hanging="4"/>
        <w:spacing w:after="0" w:line="277"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9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31750</wp:posOffset>
            </wp:positionV>
            <wp:extent cx="2280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553"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9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70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553" w:right="37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20" w:hanging="652"/>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27, 2020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27089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July 30, 2020</w:t>
      </w:r>
    </w:p>
    <w:p>
      <w:pPr>
        <w:sectPr>
          <w:pgSz w:w="11900" w:h="16838" w:orient="portrait"/>
          <w:cols w:equalWidth="0" w:num="1">
            <w:col w:w="11220"/>
          </w:cols>
          <w:pgMar w:left="320" w:top="549" w:right="35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27, 2020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27305</wp:posOffset>
            </wp:positionV>
            <wp:extent cx="2957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July 30, 2020</w:t>
      </w:r>
    </w:p>
    <w:sectPr>
      <w:pgSz w:w="11900" w:h="16838" w:orient="portrait"/>
      <w:cols w:equalWidth="0" w:num="1">
        <w:col w:w="11220"/>
      </w:cols>
      <w:pgMar w:left="32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lvl w:ilvl="1">
      <w:lvlJc w:val="left"/>
      <w:lvlText w:val="(%2)"/>
      <w:numFmt w:val="decimal"/>
      <w:start w:val="1"/>
    </w:lvl>
  </w:abstractNum>
  <w:abstractNum w:abstractNumId="4">
    <w:nsid w:val="515F007C"/>
    <w:multiLevelType w:val="hybridMultilevel"/>
    <w:lvl w:ilvl="0">
      <w:lvlJc w:val="left"/>
      <w:lvlText w:val="(%1)"/>
      <w:numFmt w:val="decimal"/>
      <w:start w:val="2"/>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34" Type="http://schemas.openxmlformats.org/officeDocument/2006/relationships/hyperlink" Target="https://www.sec.gov/Archives/edgar/data/1604778/000119312520166705/d941453dex41.htm" TargetMode="External"/><Relationship Id="rId35" Type="http://schemas.openxmlformats.org/officeDocument/2006/relationships/hyperlink" Target="https://www.sec.gov/Archives/edgar/data/1604778/000119312520166705/d94145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2020-07-30T18:25:06Z</dcterms:created>
  <dcterms:modified xsi:type="dcterms:W3CDTF">2020-07-30T18:25:06Z</dcterms:modified>
</cp:coreProperties>
</file>