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700" w:right="48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March 28, 2020</w:t>
      </w:r>
    </w:p>
    <w:p>
      <w:pPr>
        <w:spacing w:after="0" w:line="63"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00" w:right="38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00" w:type="dxa"/>
            <w:vAlign w:val="bottom"/>
          </w:tcPr>
          <w:p>
            <w:pPr>
              <w:jc w:val="center"/>
              <w:ind w:right="734"/>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center"/>
              <w:ind w:left="735"/>
              <w:spacing w:after="0"/>
              <w:rPr>
                <w:sz w:val="20"/>
                <w:szCs w:val="20"/>
                <w:color w:val="auto"/>
              </w:rPr>
            </w:pPr>
            <w:r>
              <w:rPr>
                <w:rFonts w:ascii="Arial" w:cs="Arial" w:eastAsia="Arial" w:hAnsi="Arial"/>
                <w:sz w:val="18"/>
                <w:szCs w:val="18"/>
                <w:b w:val="1"/>
                <w:bCs w:val="1"/>
                <w:color w:val="auto"/>
                <w:w w:val="89"/>
              </w:rPr>
              <w:t>46-5288992</w:t>
            </w:r>
          </w:p>
        </w:tc>
      </w:tr>
      <w:tr>
        <w:trPr>
          <w:trHeight w:val="264"/>
        </w:trPr>
        <w:tc>
          <w:tcPr>
            <w:tcW w:w="4700" w:type="dxa"/>
            <w:vAlign w:val="bottom"/>
          </w:tcPr>
          <w:p>
            <w:pPr>
              <w:jc w:val="center"/>
              <w:ind w:right="73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00" w:type="dxa"/>
            <w:vAlign w:val="bottom"/>
          </w:tcPr>
          <w:p>
            <w:pPr>
              <w:jc w:val="center"/>
              <w:ind w:left="755"/>
              <w:spacing w:after="0"/>
              <w:rPr>
                <w:sz w:val="20"/>
                <w:szCs w:val="20"/>
                <w:color w:val="auto"/>
              </w:rPr>
            </w:pPr>
            <w:r>
              <w:rPr>
                <w:rFonts w:ascii="Arial" w:cs="Arial" w:eastAsia="Arial" w:hAnsi="Arial"/>
                <w:sz w:val="16"/>
                <w:szCs w:val="16"/>
                <w:color w:val="auto"/>
                <w:w w:val="95"/>
              </w:rPr>
              <w:t>(I.R.S. Employer Identification No.)</w:t>
            </w:r>
          </w:p>
        </w:tc>
      </w:tr>
      <w:tr>
        <w:trPr>
          <w:trHeight w:val="398"/>
        </w:trPr>
        <w:tc>
          <w:tcPr>
            <w:tcW w:w="4700" w:type="dxa"/>
            <w:vAlign w:val="bottom"/>
          </w:tcPr>
          <w:p>
            <w:pPr>
              <w:jc w:val="center"/>
              <w:ind w:right="734"/>
              <w:spacing w:after="0"/>
              <w:rPr>
                <w:sz w:val="20"/>
                <w:szCs w:val="20"/>
                <w:color w:val="auto"/>
              </w:rPr>
            </w:pPr>
            <w:r>
              <w:rPr>
                <w:rFonts w:ascii="Arial" w:cs="Arial" w:eastAsia="Arial" w:hAnsi="Arial"/>
                <w:sz w:val="18"/>
                <w:szCs w:val="18"/>
                <w:b w:val="1"/>
                <w:bCs w:val="1"/>
                <w:color w:val="auto"/>
                <w:w w:val="92"/>
              </w:rPr>
              <w:t>7628 Thorndike Road</w:t>
            </w:r>
          </w:p>
        </w:tc>
        <w:tc>
          <w:tcPr>
            <w:tcW w:w="3200" w:type="dxa"/>
            <w:vAlign w:val="bottom"/>
          </w:tcPr>
          <w:p>
            <w:pPr>
              <w:spacing w:after="0"/>
              <w:rPr>
                <w:sz w:val="24"/>
                <w:szCs w:val="24"/>
                <w:color w:val="auto"/>
              </w:rPr>
            </w:pPr>
          </w:p>
        </w:tc>
      </w:tr>
      <w:tr>
        <w:trPr>
          <w:trHeight w:val="270"/>
        </w:trPr>
        <w:tc>
          <w:tcPr>
            <w:tcW w:w="4700" w:type="dxa"/>
            <w:vAlign w:val="bottom"/>
          </w:tcPr>
          <w:p>
            <w:pPr>
              <w:jc w:val="center"/>
              <w:ind w:right="534"/>
              <w:spacing w:after="0"/>
              <w:rPr>
                <w:sz w:val="20"/>
                <w:szCs w:val="20"/>
                <w:color w:val="auto"/>
              </w:rPr>
            </w:pPr>
            <w:r>
              <w:rPr>
                <w:rFonts w:ascii="Arial" w:cs="Arial" w:eastAsia="Arial" w:hAnsi="Arial"/>
                <w:sz w:val="18"/>
                <w:szCs w:val="18"/>
                <w:b w:val="1"/>
                <w:bCs w:val="1"/>
                <w:color w:val="auto"/>
                <w:w w:val="92"/>
              </w:rPr>
              <w:t>Greensboro, North Carolina</w:t>
            </w:r>
          </w:p>
        </w:tc>
        <w:tc>
          <w:tcPr>
            <w:tcW w:w="3200" w:type="dxa"/>
            <w:vAlign w:val="bottom"/>
          </w:tcPr>
          <w:p>
            <w:pPr>
              <w:jc w:val="center"/>
              <w:ind w:left="735"/>
              <w:spacing w:after="0"/>
              <w:rPr>
                <w:sz w:val="20"/>
                <w:szCs w:val="20"/>
                <w:color w:val="auto"/>
              </w:rPr>
            </w:pPr>
            <w:r>
              <w:rPr>
                <w:rFonts w:ascii="Arial" w:cs="Arial" w:eastAsia="Arial" w:hAnsi="Arial"/>
                <w:sz w:val="18"/>
                <w:szCs w:val="18"/>
                <w:b w:val="1"/>
                <w:bCs w:val="1"/>
                <w:color w:val="auto"/>
                <w:w w:val="89"/>
              </w:rPr>
              <w:t>27409-9421</w:t>
            </w:r>
          </w:p>
        </w:tc>
      </w:tr>
      <w:tr>
        <w:trPr>
          <w:trHeight w:val="264"/>
        </w:trPr>
        <w:tc>
          <w:tcPr>
            <w:tcW w:w="4700" w:type="dxa"/>
            <w:vAlign w:val="bottom"/>
          </w:tcPr>
          <w:p>
            <w:pPr>
              <w:jc w:val="center"/>
              <w:ind w:right="494"/>
              <w:spacing w:after="0"/>
              <w:rPr>
                <w:sz w:val="20"/>
                <w:szCs w:val="20"/>
                <w:color w:val="auto"/>
              </w:rPr>
            </w:pPr>
            <w:r>
              <w:rPr>
                <w:rFonts w:ascii="Arial" w:cs="Arial" w:eastAsia="Arial" w:hAnsi="Arial"/>
                <w:sz w:val="16"/>
                <w:szCs w:val="16"/>
                <w:color w:val="auto"/>
                <w:w w:val="94"/>
              </w:rPr>
              <w:t>(Address of principal executive office)</w:t>
            </w:r>
          </w:p>
        </w:tc>
        <w:tc>
          <w:tcPr>
            <w:tcW w:w="3200" w:type="dxa"/>
            <w:vAlign w:val="bottom"/>
          </w:tcPr>
          <w:p>
            <w:pPr>
              <w:jc w:val="center"/>
              <w:ind w:left="755"/>
              <w:spacing w:after="0"/>
              <w:rPr>
                <w:sz w:val="20"/>
                <w:szCs w:val="20"/>
                <w:color w:val="auto"/>
              </w:rPr>
            </w:pPr>
            <w:r>
              <w:rPr>
                <w:rFonts w:ascii="Arial" w:cs="Arial" w:eastAsia="Arial" w:hAnsi="Arial"/>
                <w:sz w:val="16"/>
                <w:szCs w:val="16"/>
                <w:color w:val="auto"/>
                <w:w w:val="95"/>
              </w:rPr>
              <w:t>(Zip Code)</w:t>
            </w:r>
          </w:p>
        </w:tc>
      </w:tr>
    </w:tbl>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6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6"/>
              </w:rPr>
              <w:t>Title of each class</w:t>
            </w:r>
          </w:p>
        </w:tc>
        <w:tc>
          <w:tcPr>
            <w:tcW w:w="26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4140" w:type="dxa"/>
            <w:vAlign w:val="bottom"/>
            <w:gridSpan w:val="3"/>
          </w:tcPr>
          <w:p>
            <w:pPr>
              <w:jc w:val="center"/>
              <w:ind w:right="1640"/>
              <w:spacing w:after="0"/>
              <w:rPr>
                <w:sz w:val="20"/>
                <w:szCs w:val="20"/>
                <w:color w:val="auto"/>
              </w:rPr>
            </w:pPr>
            <w:r>
              <w:rPr>
                <w:rFonts w:ascii="Arial" w:cs="Arial" w:eastAsia="Arial" w:hAnsi="Arial"/>
                <w:sz w:val="18"/>
                <w:szCs w:val="18"/>
                <w:color w:val="auto"/>
                <w:w w:val="90"/>
              </w:rPr>
              <w:t>Common Stock, $0.0001 par value</w:t>
            </w:r>
          </w:p>
        </w:tc>
        <w:tc>
          <w:tcPr>
            <w:tcW w:w="2640" w:type="dxa"/>
            <w:vAlign w:val="bottom"/>
            <w:gridSpan w:val="2"/>
          </w:tcPr>
          <w:p>
            <w:pPr>
              <w:jc w:val="center"/>
              <w:ind w:right="1220"/>
              <w:spacing w:after="0"/>
              <w:rPr>
                <w:sz w:val="20"/>
                <w:szCs w:val="20"/>
                <w:color w:val="auto"/>
              </w:rPr>
            </w:pPr>
            <w:r>
              <w:rPr>
                <w:rFonts w:ascii="Arial" w:cs="Arial" w:eastAsia="Arial" w:hAnsi="Arial"/>
                <w:sz w:val="18"/>
                <w:szCs w:val="18"/>
                <w:color w:val="auto"/>
                <w:w w:val="94"/>
              </w:rPr>
              <w:t>QRVO</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6" w:lineRule="exact"/>
        <w:rPr>
          <w:sz w:val="24"/>
          <w:szCs w:val="24"/>
          <w:color w:val="auto"/>
        </w:rPr>
      </w:pPr>
    </w:p>
    <w:p>
      <w:pPr>
        <w:ind w:right="240"/>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800" w:type="dxa"/>
            <w:vAlign w:val="bottom"/>
          </w:tcPr>
          <w:p>
            <w:pPr>
              <w:ind w:left="27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0"/>
          <w:szCs w:val="20"/>
          <w:color w:val="auto"/>
        </w:rPr>
      </w:pPr>
    </w:p>
    <w:p>
      <w:pPr>
        <w:ind w:left="40" w:right="5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5" w:lineRule="exact"/>
        <w:rPr>
          <w:sz w:val="20"/>
          <w:szCs w:val="20"/>
          <w:color w:val="auto"/>
        </w:rPr>
      </w:pPr>
    </w:p>
    <w:p>
      <w:pPr>
        <w:ind w:left="40" w:right="18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approximately $8,484,359,696 as of September 28, 2019.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As of May 12, 2020, there were 114,734,210 shares of the registrant’s common stock outstanding.</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2020 annual meeting of stockholders, which is expected to be filed pursuant to Regulation 14A within 120 days after the end of the registrant’s fiscal year ended March 28, 2020.</w:t>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9"/>
              </w:rPr>
              <w:t>QORVO, INC.</w:t>
            </w:r>
          </w:p>
        </w:tc>
        <w:tc>
          <w:tcPr>
            <w:tcW w:w="9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8"/>
              </w:rPr>
              <w:t>FORM 10-K</w:t>
            </w:r>
          </w:p>
        </w:tc>
        <w:tc>
          <w:tcPr>
            <w:tcW w:w="9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9"/>
              </w:rPr>
              <w:t>FOR THE FISCAL YEAR ENDED MARCH 28, 2020</w:t>
            </w:r>
          </w:p>
        </w:tc>
        <w:tc>
          <w:tcPr>
            <w:tcW w:w="9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8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0"/>
                <w:szCs w:val="20"/>
                <w:color w:val="auto"/>
              </w:rPr>
            </w:pPr>
          </w:p>
        </w:tc>
      </w:tr>
      <w:tr>
        <w:trPr>
          <w:trHeight w:val="270"/>
        </w:trPr>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567"/>
        </w:trPr>
        <w:tc>
          <w:tcPr>
            <w:tcW w:w="1300" w:type="dxa"/>
            <w:vAlign w:val="bottom"/>
          </w:tcPr>
          <w:p>
            <w:pPr>
              <w:spacing w:after="0"/>
              <w:rPr>
                <w:sz w:val="24"/>
                <w:szCs w:val="24"/>
                <w:color w:val="auto"/>
              </w:rPr>
            </w:pP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Forward-Looking Information.</w:t>
              </w:r>
            </w:hyperlink>
          </w:p>
        </w:tc>
        <w:tc>
          <w:tcPr>
            <w:tcW w:w="9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56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80" w:type="dxa"/>
            <w:vAlign w:val="bottom"/>
          </w:tcPr>
          <w:p>
            <w:pPr>
              <w:jc w:val="center"/>
              <w:ind w:right="135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940" w:type="dxa"/>
            <w:vAlign w:val="bottom"/>
          </w:tcPr>
          <w:p>
            <w:pPr>
              <w:spacing w:after="0"/>
              <w:rPr>
                <w:sz w:val="24"/>
                <w:szCs w:val="24"/>
                <w:color w:val="auto"/>
              </w:rPr>
            </w:pPr>
          </w:p>
        </w:tc>
      </w:tr>
      <w:tr>
        <w:trPr>
          <w:trHeight w:val="567"/>
        </w:trPr>
        <w:tc>
          <w:tcPr>
            <w:tcW w:w="1300" w:type="dxa"/>
            <w:vAlign w:val="bottom"/>
          </w:tcPr>
          <w:p>
            <w:pPr>
              <w:spacing w:after="0"/>
              <w:rPr>
                <w:sz w:val="20"/>
                <w:szCs w:val="20"/>
                <w:color w:val="auto"/>
              </w:rPr>
            </w:pPr>
            <w:r>
              <w:rPr>
                <w:rFonts w:ascii="Arial" w:cs="Arial" w:eastAsia="Arial" w:hAnsi="Arial"/>
                <w:sz w:val="18"/>
                <w:szCs w:val="18"/>
                <w:color w:val="auto"/>
              </w:rPr>
              <w:t>Item 1.</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9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3"/>
          </w:tcPr>
          <w:p>
            <w:pPr>
              <w:ind w:left="280"/>
              <w:spacing w:after="0"/>
              <w:rPr>
                <w:rFonts w:ascii="Arial" w:cs="Arial" w:eastAsia="Arial" w:hAnsi="Arial"/>
                <w:sz w:val="18"/>
                <w:szCs w:val="18"/>
                <w:color w:val="0000FF"/>
              </w:rPr>
            </w:pPr>
            <w:hyperlink w:anchor="page12">
              <w:r>
                <w:rPr>
                  <w:rFonts w:ascii="Arial" w:cs="Arial" w:eastAsia="Arial" w:hAnsi="Arial"/>
                  <w:sz w:val="18"/>
                  <w:szCs w:val="18"/>
                  <w:u w:val="single" w:color="auto"/>
                  <w:color w:val="0000FF"/>
                </w:rPr>
                <w:t>Risk Factors</w:t>
              </w:r>
              <w:r>
                <w:rPr>
                  <w:rFonts w:ascii="Arial" w:cs="Arial" w:eastAsia="Arial" w:hAnsi="Arial"/>
                  <w:sz w:val="18"/>
                  <w:szCs w:val="18"/>
                  <w:color w:val="0000FF"/>
                </w:rPr>
                <w:t>.</w:t>
              </w:r>
            </w:hyperlink>
          </w:p>
        </w:tc>
        <w:tc>
          <w:tcPr>
            <w:tcW w:w="94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Unresolved Staff Comments.</w:t>
              </w:r>
            </w:hyperlink>
          </w:p>
        </w:tc>
        <w:tc>
          <w:tcPr>
            <w:tcW w:w="94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3"/>
          </w:tcPr>
          <w:p>
            <w:pPr>
              <w:ind w:left="280"/>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Properties</w:t>
              </w:r>
              <w:r>
                <w:rPr>
                  <w:rFonts w:ascii="Arial" w:cs="Arial" w:eastAsia="Arial" w:hAnsi="Arial"/>
                  <w:sz w:val="18"/>
                  <w:szCs w:val="18"/>
                  <w:color w:val="0000FF"/>
                </w:rPr>
                <w:t>.</w:t>
              </w:r>
            </w:hyperlink>
          </w:p>
        </w:tc>
        <w:tc>
          <w:tcPr>
            <w:tcW w:w="94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Legal Proceedings.</w:t>
              </w:r>
            </w:hyperlink>
          </w:p>
        </w:tc>
        <w:tc>
          <w:tcPr>
            <w:tcW w:w="94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3"/>
          </w:tcPr>
          <w:p>
            <w:pPr>
              <w:ind w:left="280"/>
              <w:spacing w:after="0"/>
              <w:rPr>
                <w:rFonts w:ascii="Arial" w:cs="Arial" w:eastAsia="Arial" w:hAnsi="Arial"/>
                <w:sz w:val="18"/>
                <w:szCs w:val="18"/>
                <w:color w:val="0000FF"/>
              </w:rPr>
            </w:pPr>
            <w:hyperlink w:anchor="page29">
              <w:r>
                <w:rPr>
                  <w:rFonts w:ascii="Arial" w:cs="Arial" w:eastAsia="Arial" w:hAnsi="Arial"/>
                  <w:sz w:val="18"/>
                  <w:szCs w:val="18"/>
                  <w:u w:val="single" w:color="auto"/>
                  <w:color w:val="0000FF"/>
                </w:rPr>
                <w:t>Mine Safety Disclosures</w:t>
              </w:r>
              <w:r>
                <w:rPr>
                  <w:rFonts w:ascii="Arial" w:cs="Arial" w:eastAsia="Arial" w:hAnsi="Arial"/>
                  <w:sz w:val="18"/>
                  <w:szCs w:val="18"/>
                  <w:color w:val="0000FF"/>
                </w:rPr>
                <w:t>.</w:t>
              </w:r>
            </w:hyperlink>
          </w:p>
        </w:tc>
        <w:tc>
          <w:tcPr>
            <w:tcW w:w="94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56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80" w:type="dxa"/>
            <w:vAlign w:val="bottom"/>
          </w:tcPr>
          <w:p>
            <w:pPr>
              <w:jc w:val="center"/>
              <w:ind w:right="1350"/>
              <w:spacing w:after="0"/>
              <w:rPr>
                <w:rFonts w:ascii="Arial" w:cs="Arial" w:eastAsia="Arial" w:hAnsi="Arial"/>
                <w:sz w:val="18"/>
                <w:szCs w:val="18"/>
                <w:b w:val="1"/>
                <w:bCs w:val="1"/>
                <w:u w:val="single" w:color="auto"/>
                <w:color w:val="0000FF"/>
                <w:w w:val="99"/>
              </w:rPr>
            </w:pPr>
            <w:hyperlink w:anchor="page29">
              <w:r>
                <w:rPr>
                  <w:rFonts w:ascii="Arial" w:cs="Arial" w:eastAsia="Arial" w:hAnsi="Arial"/>
                  <w:sz w:val="18"/>
                  <w:szCs w:val="18"/>
                  <w:b w:val="1"/>
                  <w:bCs w:val="1"/>
                  <w:u w:val="single" w:color="auto"/>
                  <w:color w:val="0000FF"/>
                  <w:w w:val="99"/>
                </w:rPr>
                <w:t>PART II</w:t>
              </w:r>
            </w:hyperlink>
          </w:p>
        </w:tc>
        <w:tc>
          <w:tcPr>
            <w:tcW w:w="940" w:type="dxa"/>
            <w:vAlign w:val="bottom"/>
          </w:tcPr>
          <w:p>
            <w:pPr>
              <w:spacing w:after="0"/>
              <w:rPr>
                <w:sz w:val="24"/>
                <w:szCs w:val="24"/>
                <w:color w:val="auto"/>
              </w:rPr>
            </w:pPr>
          </w:p>
        </w:tc>
      </w:tr>
      <w:tr>
        <w:trPr>
          <w:trHeight w:val="567"/>
        </w:trPr>
        <w:tc>
          <w:tcPr>
            <w:tcW w:w="1300" w:type="dxa"/>
            <w:vAlign w:val="bottom"/>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3"/>
          </w:tcPr>
          <w:p>
            <w:pPr>
              <w:ind w:left="280"/>
              <w:spacing w:after="0"/>
              <w:rPr>
                <w:rFonts w:ascii="Arial" w:cs="Arial" w:eastAsia="Arial" w:hAnsi="Arial"/>
                <w:sz w:val="18"/>
                <w:szCs w:val="18"/>
                <w:u w:val="single" w:color="auto"/>
                <w:color w:val="0000FF"/>
                <w:w w:val="96"/>
              </w:rPr>
            </w:pPr>
            <w:hyperlink w:anchor="page29">
              <w:r>
                <w:rPr>
                  <w:rFonts w:ascii="Arial" w:cs="Arial" w:eastAsia="Arial" w:hAnsi="Arial"/>
                  <w:sz w:val="18"/>
                  <w:szCs w:val="18"/>
                  <w:u w:val="single" w:color="auto"/>
                  <w:color w:val="0000FF"/>
                  <w:w w:val="96"/>
                </w:rPr>
                <w:t>Market for Registrant's Common Equity, Related Stockholder Matters and Issuer Purchases of Equity Securities.</w:t>
              </w:r>
            </w:hyperlink>
          </w:p>
        </w:tc>
        <w:tc>
          <w:tcPr>
            <w:tcW w:w="94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Selected Financial Data.</w:t>
              </w:r>
            </w:hyperlink>
          </w:p>
        </w:tc>
        <w:tc>
          <w:tcPr>
            <w:tcW w:w="94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7.</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94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7A.</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94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Financial Statements and Supplementary Data.</w:t>
              </w:r>
            </w:hyperlink>
          </w:p>
        </w:tc>
        <w:tc>
          <w:tcPr>
            <w:tcW w:w="94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3"/>
          </w:tcPr>
          <w:p>
            <w:pPr>
              <w:ind w:left="280"/>
              <w:spacing w:after="0"/>
              <w:rPr>
                <w:rFonts w:ascii="Arial" w:cs="Arial" w:eastAsia="Arial" w:hAnsi="Arial"/>
                <w:sz w:val="18"/>
                <w:szCs w:val="18"/>
                <w:color w:val="0000FF"/>
              </w:rPr>
            </w:pPr>
            <w:hyperlink w:anchor="page94">
              <w:r>
                <w:rPr>
                  <w:rFonts w:ascii="Arial" w:cs="Arial" w:eastAsia="Arial" w:hAnsi="Arial"/>
                  <w:sz w:val="18"/>
                  <w:szCs w:val="18"/>
                  <w:u w:val="single" w:color="auto"/>
                  <w:color w:val="0000FF"/>
                </w:rPr>
                <w:t>Changes in and Disagreements With Accountants on Accounting and Financial Disclosure</w:t>
              </w:r>
              <w:r>
                <w:rPr>
                  <w:rFonts w:ascii="Arial" w:cs="Arial" w:eastAsia="Arial" w:hAnsi="Arial"/>
                  <w:sz w:val="18"/>
                  <w:szCs w:val="18"/>
                  <w:color w:val="0000FF"/>
                </w:rPr>
                <w:t>.</w:t>
              </w:r>
            </w:hyperlink>
          </w:p>
        </w:tc>
        <w:tc>
          <w:tcPr>
            <w:tcW w:w="94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9A.</w:t>
            </w:r>
          </w:p>
        </w:tc>
        <w:tc>
          <w:tcPr>
            <w:tcW w:w="8940" w:type="dxa"/>
            <w:vAlign w:val="bottom"/>
            <w:gridSpan w:val="3"/>
          </w:tcPr>
          <w:p>
            <w:pPr>
              <w:ind w:left="280"/>
              <w:spacing w:after="0"/>
              <w:rPr>
                <w:rFonts w:ascii="Arial" w:cs="Arial" w:eastAsia="Arial" w:hAnsi="Arial"/>
                <w:sz w:val="18"/>
                <w:szCs w:val="18"/>
                <w:color w:val="0000FF"/>
              </w:rPr>
            </w:pPr>
            <w:hyperlink w:anchor="page94">
              <w:r>
                <w:rPr>
                  <w:rFonts w:ascii="Arial" w:cs="Arial" w:eastAsia="Arial" w:hAnsi="Arial"/>
                  <w:sz w:val="18"/>
                  <w:szCs w:val="18"/>
                  <w:u w:val="single" w:color="auto"/>
                  <w:color w:val="0000FF"/>
                </w:rPr>
                <w:t>Controls and Procedures</w:t>
              </w:r>
              <w:r>
                <w:rPr>
                  <w:rFonts w:ascii="Arial" w:cs="Arial" w:eastAsia="Arial" w:hAnsi="Arial"/>
                  <w:sz w:val="18"/>
                  <w:szCs w:val="18"/>
                  <w:color w:val="0000FF"/>
                </w:rPr>
                <w:t>.</w:t>
              </w:r>
            </w:hyperlink>
          </w:p>
        </w:tc>
        <w:tc>
          <w:tcPr>
            <w:tcW w:w="94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9B.</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Other Information.</w:t>
              </w:r>
            </w:hyperlink>
          </w:p>
        </w:tc>
        <w:tc>
          <w:tcPr>
            <w:tcW w:w="9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486"/>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80" w:type="dxa"/>
            <w:vAlign w:val="bottom"/>
          </w:tcPr>
          <w:p>
            <w:pPr>
              <w:jc w:val="center"/>
              <w:ind w:right="1350"/>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PART III</w:t>
              </w:r>
            </w:hyperlink>
          </w:p>
        </w:tc>
        <w:tc>
          <w:tcPr>
            <w:tcW w:w="940" w:type="dxa"/>
            <w:vAlign w:val="bottom"/>
          </w:tcPr>
          <w:p>
            <w:pPr>
              <w:spacing w:after="0"/>
              <w:rPr>
                <w:sz w:val="24"/>
                <w:szCs w:val="24"/>
                <w:color w:val="auto"/>
              </w:rPr>
            </w:pPr>
          </w:p>
        </w:tc>
      </w:tr>
      <w:tr>
        <w:trPr>
          <w:trHeight w:val="567"/>
        </w:trPr>
        <w:tc>
          <w:tcPr>
            <w:tcW w:w="1300" w:type="dxa"/>
            <w:vAlign w:val="bottom"/>
          </w:tcPr>
          <w:p>
            <w:pPr>
              <w:spacing w:after="0"/>
              <w:rPr>
                <w:sz w:val="20"/>
                <w:szCs w:val="20"/>
                <w:color w:val="auto"/>
              </w:rPr>
            </w:pPr>
            <w:r>
              <w:rPr>
                <w:rFonts w:ascii="Arial" w:cs="Arial" w:eastAsia="Arial" w:hAnsi="Arial"/>
                <w:sz w:val="18"/>
                <w:szCs w:val="18"/>
                <w:color w:val="auto"/>
              </w:rPr>
              <w:t>Item 10.</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Directors, Executive Officers and Corporate Governance.</w:t>
              </w:r>
            </w:hyperlink>
          </w:p>
        </w:tc>
        <w:tc>
          <w:tcPr>
            <w:tcW w:w="9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11.</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Executive Compensation.</w:t>
              </w:r>
            </w:hyperlink>
          </w:p>
        </w:tc>
        <w:tc>
          <w:tcPr>
            <w:tcW w:w="940" w:type="dxa"/>
            <w:vAlign w:val="bottom"/>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95</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12.</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Security Ownership of Certain Beneficial Owners and Management and Related Stockholder Matters.</w:t>
              </w:r>
            </w:hyperlink>
          </w:p>
        </w:tc>
        <w:tc>
          <w:tcPr>
            <w:tcW w:w="9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13.</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Certain Relationships and Related Transactions, and Director Independence.</w:t>
              </w:r>
            </w:hyperlink>
          </w:p>
        </w:tc>
        <w:tc>
          <w:tcPr>
            <w:tcW w:w="9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Item 14.</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Principal Accounting Fees and Services.</w:t>
              </w:r>
            </w:hyperlink>
          </w:p>
        </w:tc>
        <w:tc>
          <w:tcPr>
            <w:tcW w:w="9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r>
      <w:tr>
        <w:trPr>
          <w:trHeight w:val="56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80" w:type="dxa"/>
            <w:vAlign w:val="bottom"/>
          </w:tcPr>
          <w:p>
            <w:pPr>
              <w:jc w:val="center"/>
              <w:ind w:right="1350"/>
              <w:spacing w:after="0"/>
              <w:rPr>
                <w:rFonts w:ascii="Arial" w:cs="Arial" w:eastAsia="Arial" w:hAnsi="Arial"/>
                <w:sz w:val="18"/>
                <w:szCs w:val="18"/>
                <w:b w:val="1"/>
                <w:bCs w:val="1"/>
                <w:u w:val="single" w:color="auto"/>
                <w:color w:val="0000FF"/>
              </w:rPr>
            </w:pPr>
            <w:hyperlink w:anchor="page96">
              <w:r>
                <w:rPr>
                  <w:rFonts w:ascii="Arial" w:cs="Arial" w:eastAsia="Arial" w:hAnsi="Arial"/>
                  <w:sz w:val="18"/>
                  <w:szCs w:val="18"/>
                  <w:b w:val="1"/>
                  <w:bCs w:val="1"/>
                  <w:u w:val="single" w:color="auto"/>
                  <w:color w:val="0000FF"/>
                </w:rPr>
                <w:t>PART IV</w:t>
              </w:r>
            </w:hyperlink>
          </w:p>
        </w:tc>
        <w:tc>
          <w:tcPr>
            <w:tcW w:w="940" w:type="dxa"/>
            <w:vAlign w:val="bottom"/>
          </w:tcPr>
          <w:p>
            <w:pPr>
              <w:spacing w:after="0"/>
              <w:rPr>
                <w:sz w:val="24"/>
                <w:szCs w:val="24"/>
                <w:color w:val="auto"/>
              </w:rPr>
            </w:pPr>
          </w:p>
        </w:tc>
      </w:tr>
      <w:tr>
        <w:trPr>
          <w:trHeight w:val="567"/>
        </w:trPr>
        <w:tc>
          <w:tcPr>
            <w:tcW w:w="1300" w:type="dxa"/>
            <w:vAlign w:val="bottom"/>
          </w:tcPr>
          <w:p>
            <w:pPr>
              <w:spacing w:after="0"/>
              <w:rPr>
                <w:sz w:val="20"/>
                <w:szCs w:val="20"/>
                <w:color w:val="auto"/>
              </w:rPr>
            </w:pPr>
            <w:r>
              <w:rPr>
                <w:rFonts w:ascii="Arial" w:cs="Arial" w:eastAsia="Arial" w:hAnsi="Arial"/>
                <w:sz w:val="18"/>
                <w:szCs w:val="18"/>
                <w:color w:val="auto"/>
              </w:rPr>
              <w:t>Item 15.</w:t>
            </w:r>
          </w:p>
        </w:tc>
        <w:tc>
          <w:tcPr>
            <w:tcW w:w="8940" w:type="dxa"/>
            <w:vAlign w:val="bottom"/>
            <w:gridSpan w:val="3"/>
          </w:tcPr>
          <w:p>
            <w:pPr>
              <w:ind w:left="28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Exhibits, Financial Statement Schedules.</w:t>
              </w:r>
            </w:hyperlink>
          </w:p>
        </w:tc>
        <w:tc>
          <w:tcPr>
            <w:tcW w:w="94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96</w:t>
              </w:r>
            </w:hyperlink>
          </w:p>
        </w:tc>
      </w:tr>
      <w:tr>
        <w:trPr>
          <w:trHeight w:val="229"/>
        </w:trPr>
        <w:tc>
          <w:tcPr>
            <w:tcW w:w="1300" w:type="dxa"/>
            <w:vAlign w:val="bottom"/>
          </w:tcPr>
          <w:p>
            <w:pPr>
              <w:spacing w:after="0"/>
              <w:rPr>
                <w:sz w:val="20"/>
                <w:szCs w:val="20"/>
                <w:color w:val="auto"/>
              </w:rPr>
            </w:pPr>
            <w:r>
              <w:rPr>
                <w:rFonts w:ascii="Arial" w:cs="Arial" w:eastAsia="Arial" w:hAnsi="Arial"/>
                <w:sz w:val="18"/>
                <w:szCs w:val="18"/>
                <w:color w:val="auto"/>
              </w:rPr>
              <w:t>Item 16.</w:t>
            </w:r>
          </w:p>
        </w:tc>
        <w:tc>
          <w:tcPr>
            <w:tcW w:w="8940" w:type="dxa"/>
            <w:vAlign w:val="bottom"/>
            <w:gridSpan w:val="3"/>
          </w:tcPr>
          <w:p>
            <w:pPr>
              <w:ind w:left="280"/>
              <w:spacing w:after="0"/>
              <w:rPr>
                <w:sz w:val="20"/>
                <w:szCs w:val="20"/>
                <w:color w:val="auto"/>
              </w:rPr>
            </w:pPr>
            <w:r>
              <w:rPr>
                <w:rFonts w:ascii="Arial" w:cs="Arial" w:eastAsia="Arial" w:hAnsi="Arial"/>
                <w:sz w:val="18"/>
                <w:szCs w:val="18"/>
                <w:color w:val="0000FF"/>
              </w:rPr>
              <w:t>Form 10-K Summary.</w:t>
            </w:r>
          </w:p>
        </w:tc>
        <w:tc>
          <w:tcPr>
            <w:tcW w:w="940" w:type="dxa"/>
            <w:vAlign w:val="bottom"/>
          </w:tcPr>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97</w:t>
              </w:r>
            </w:hyperlink>
          </w:p>
        </w:tc>
      </w:tr>
      <w:tr>
        <w:trPr>
          <w:trHeight w:val="588"/>
        </w:trPr>
        <w:tc>
          <w:tcPr>
            <w:tcW w:w="130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Exhibit Index.</w:t>
              </w:r>
            </w:hyperlink>
          </w:p>
        </w:tc>
        <w:tc>
          <w:tcPr>
            <w:tcW w:w="280" w:type="dxa"/>
            <w:vAlign w:val="bottom"/>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7080" w:type="dxa"/>
            <w:vAlign w:val="bottom"/>
          </w:tcPr>
          <w:p>
            <w:pPr>
              <w:spacing w:after="0"/>
              <w:rPr>
                <w:sz w:val="24"/>
                <w:szCs w:val="24"/>
                <w:color w:val="auto"/>
              </w:rPr>
            </w:pPr>
          </w:p>
        </w:tc>
        <w:tc>
          <w:tcPr>
            <w:tcW w:w="94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98</w:t>
              </w:r>
            </w:hyperlink>
          </w:p>
        </w:tc>
      </w:tr>
      <w:tr>
        <w:trPr>
          <w:trHeight w:val="270"/>
        </w:trPr>
        <w:tc>
          <w:tcPr>
            <w:tcW w:w="1300" w:type="dxa"/>
            <w:vAlign w:val="bottom"/>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Signatures.</w:t>
              </w:r>
            </w:hyperlink>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94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102</w:t>
              </w:r>
            </w:hyperlink>
          </w:p>
        </w:tc>
      </w:tr>
      <w:tr>
        <w:trPr>
          <w:trHeight w:val="459"/>
        </w:trPr>
        <w:tc>
          <w:tcPr>
            <w:tcW w:w="1300" w:type="dxa"/>
            <w:vAlign w:val="bottom"/>
          </w:tcPr>
          <w:p>
            <w:pPr>
              <w:spacing w:after="0"/>
              <w:rPr>
                <w:sz w:val="24"/>
                <w:szCs w:val="24"/>
                <w:color w:val="auto"/>
              </w:rPr>
            </w:pPr>
          </w:p>
        </w:tc>
        <w:tc>
          <w:tcPr>
            <w:tcW w:w="8940" w:type="dxa"/>
            <w:vAlign w:val="bottom"/>
            <w:gridSpan w:val="3"/>
          </w:tcPr>
          <w:p>
            <w:pPr>
              <w:ind w:left="424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4"/>
                <w:szCs w:val="24"/>
                <w:color w:val="auto"/>
              </w:rPr>
            </w:pPr>
          </w:p>
        </w:tc>
      </w:tr>
    </w:tbl>
    <w:p>
      <w:pPr>
        <w:sectPr>
          <w:pgSz w:w="11900" w:h="16838" w:orient="portrait"/>
          <w:cols w:equalWidth="0" w:num="1">
            <w:col w:w="11220"/>
          </w:cols>
          <w:pgMar w:left="320" w:top="130" w:right="3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includes "forward-looking statements" within the meaning of the safe harbor provisions of the Private Securities Litigation Reform Act of 1995, including, but not limited to, certain disclosures contained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including due to the numerous risks and uncertainties summarized in Item 1A, "Risk Factors" in this report. We do not intend to update any of these forward-looking statements or publicly announce the results of any revisions to these forward-looking statements, other than as is required under the federal securities laws.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Qorvo® is a leader in the development and commercialization of technologies and products for wireless and wired connectivity. We combine a broad portfolio of innovative radio frequency ("RF") solutions, highly differentiated semiconductor technologies, systems-level expertise and global manufacturing scale to supply a diverse set of customers a broad range of products that enable a more connected world.</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design expertise and manufacturing capabilities span multiple semiconductor process technologies. Our primary wafer fabrication facilities are in North Carolina, Oregon and Texas, and our primary assembly and test facilities are in China, Costa Rica, Germany and Texas. We also source multiple products and materials through external suppliers. We operate design, sales and other manufacturing facilities throughout Asia, Europe and North America.</w:t>
      </w:r>
    </w:p>
    <w:p>
      <w:pPr>
        <w:spacing w:after="0" w:line="1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two reportable segments: Mobile Products ("MP") and Infrastructure and Defense Products ("IDP"). MP is a global supplier of cellular, ultra-wide band ("UWB") and Wi-Fi solutions for a variety of high-volume markets, including smartphones, wearables, laptops, tablets and Internet of Things ("IoT") applications. IDP is a global supplier of RF, system-on-a-chip ("SoC") and power management solutions for wireless infrastructure, defense, smart home, automotive and other IoT applications. Our MP segment supplies consumer products with a shorter life cycle, to a small set of large global customers. Our IDP segment supplies a diverse portfolio of products, that generally have longer life cycles, to a broad base of customers.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fiscal 2020, we made the following strategic acquisitions to expand our product offerings and design capabilities and to extend our reach into new markets: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Active-Semi International, Inc. ("Active-Semi"), a fabless supplier of programmable power management solutions;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Cavendish Kinetics Limited ("Cavendish"), a supplier of high-performance RF microelectromechanical system ("MEMS") technology for RF switching applications;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 MMIC Design Services, Inc. ("Custom MMIC"), a fabless provider of gallium arsenide ("GaAs") and gallium nitride ("GaN") monolithic microwave integrated circuits ("MMICs") for defense and aerospace applications;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Decawave Limited ("Decawave"), a leader in UWB technology and provider of UWB solutions for mobile, automotive and IoT applications.</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Qorvo was incorporated in Delaware in 2013. Our principal executive office is located at 7628 Thorndike Road, Greensboro, North Carolina 27409-9421 and our telephone number is (336) 664-1233.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There is growing global demand for ubiquitous, always-on connectivity. Total mobile data traffic continues to grow as smartphones, laptops, and other mobile devices are used increasingly to access the internet, stream videos, interact on social media and access other services. 5G is expected to enhance how we connect, communicate and transact business. 5G will improve network capacity, increase data throughput, reduce signal latency and enable machine-to-machine connectivity on a massive scale. Existing applications will be transformed, and new applications will be developed.</w:t>
      </w:r>
    </w:p>
    <w:p>
      <w:pPr>
        <w:spacing w:after="0" w:line="1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With each application, demand is increasing for RF solutions that improve performance, reduce product footprint, enhance network efficiency and ensure data security. In mobile devices, the deployment of 5G, the addition of Multiple-Input/Multiple-Output ("MIMO") architectures and new carrier aggregation ("CA") band combinations increase device complexity. To address this, Qorvo is integrating a broad portfolio of technologies and advancing the state-of-the-art in functional integration. In consumer IoT, the increasing demand for secure and accurate location and data communication services is driving demand for our UWB technology, which enables real-time, highly accurate and reliable local area precision-location services. In infrastructure, the deployment of 5G networks is driving demand for Qorvo’s high performance communications infrastructure solutions, including our GaN high power amplifiers and GaAs front-end modules ("FEMs"). In defense and aerospace, the trend toward phased array radar, the shift to higher frequencies and the sharing of existing frequency bands with cellular communications are expanding the demand for Qorvo’s capabilities.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business is diversified primarily across the following end markets: mobile devices; cellular base stations; defense and aerospace; Wi-Fi customer premises equipment; smart home; automotive connectivity; and various power management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Our largest market, mobile devices, includes smartphones, wearables, laptops, tablets and other devices. This market is characterized by increasing demand for data throughput, the transition to 5G cellular technology and the proliferation of new communication and location-based services.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transition to 5G involves advanced RF modulation across a wide range of frequency bands, including sub-6 GHz and millimeter wave. This introduces new challenges related to wider bandwidth, signal integrity, efficiency and overall system complexity.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enable secure precision-location services, mobile devices are adopting UWB technology, given its superior location accuracy, security, throughput, and latency versus other short-range technologies.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Mobile device customers increasingly need compact RF solutions that improve signal quality, extend battery life and enhance the end-user experience. By leveraging our technology leadership, systems-level expertise and advanced packaging capabilities, we deliver high-performance discrete and highly integrated RF solutions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support top-tier global cellular base station original equipment manufacturers ("OEMs") with a broad portfolio of RF solutions across frequency bands. Requirements for higher throughput and broader coverage are fueling the expansion of the global base station network, including the migration to 5G networks. OEMs are deploying 5G frequency bands (referred to as sub-6 GHz and millimeter wave) that have wider channel bandwidths, and they are architecting radios that utilize massive MIMO active antenna array technology, increasing the number of RF transmit and receive channels by factors of 16 times, up to 256 times. These 5G networks require highly efficient RF solutions that increase capacity and expand coverage in a compact form factor.</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30" w:right="3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Within the defense and aerospace markets, we focus primarily on high-power phased array radar, electronic warfare (EW) and communications systems. We engage directly with the U.S. government to develop next-generation semi-conductor and packaging technologies. We are a leading supplier of RF products and compound semiconductor foundry services to defense primes and other global defense and aerospace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Wi-Fi Customer Premises Equipment</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Wi-Fi customer premises equipment ("CPE") includes routers, gateways and enterprise infrastructure. In this market, consumer and enterprise customers want broader coverage and faster and more reliable connectivity enabling video streaming, augmented/virtual reality and other services, often in high density user environments. The Wi-Fi industry is migrating from 802.11ac to 802.11ax, also known as Wi-Fi 6. Wi-Fi is adopting higher order MIMO architectures, up to 8x8, to maximize range and capacity. With each new standard and architecture, there is a corresponding increase in the requirements for more complex RF front end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Smart home systems can be connected wirelessly allowing remote access and control of various household functions, enhancing convenience, entertainment, security and comfort. Smart home devices can be controlled through a computer, smartphone or through a direct peer-to-peer connection such as a voice-enabled remote control. They use industry-standard technologies, such as Bluetooth® Low Energy, Zigbee, Thread and Connected Home over IP, or CHIP, to link to a central gateway that accesses the internet via Wi-Fi. Smart home customers prefer standards-agnostic, multi-protocol products that extend battery life and enable coexistence of multiple radios in a compact form factor.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Next-generation wireless technologies are enabling new use cases in automotive wireless connectivity, including vehicle-to-vehicle communications and autonomous driving. These new use cases require complex RF solutions spanning multiple protocols, including GPS, satellite radio, Long-Term Evolution ("LTE"), Wi-Fi, 5G (sub-6 GHz and millimeter wave) and UWB. In automotive applications, UWB enables more secure access than current technologies.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Management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Power efficiency is a core requirement in electronics. To enhance efficiency, extend battery life and protect the environment, power tools are moving from gasoline and brushed DC motors to battery powered brushless motors. Also, data storage is transitioning from hard drives to solid state drives. Power management solutions provide customers digital control of analog power, whether controlling brushless DC motors or managing power delivery for end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Qorvo competes in several smaller markets, including broadband cable, point-to-point radio and Very Small Aperture Terminal ("VSAT") applications. In broadband cable, we increase the bandwidth to the home by supporting DOCSIS 3.1 and the evolving DOCSIS 4.0 standard. Qorvo’s UWB technology offers secure precision-location services, enabling association, navigation and location for a range of IoT applications across markets.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Qorvo’s products improve performance, reduce complexity, shrink form factors and solve our customers' most critical RF challenges.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products include highly integrated modules incorporating switches, power amplifiers ("PAs"), filters and duplexers ("S-PADs"), antenna tuners, RF power management integrated circuits, multimode/multi-band PAs and transmit modules, antenna-plexers, discrete filters and duplexers, discrete switches and UWB system solutions.</w:t>
      </w:r>
    </w:p>
    <w:p>
      <w:pPr>
        <w:spacing w:after="0" w:line="1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most highly integrated products utilize sophisticated packaging capabilities to integrate high-performance components, including bulk acoustic wave ("BAW") filters, temperature-compensated surface acoustic wave ("TC-SAW") filters, silicon on insulator ("SOI") switches and low noise amplifiers ("LNAs"), and advanced GaAs PAs.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30" w:right="3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offer envelope tracking power management solutions, antenna control solutions and UWB system solutions supporting secure, low power, location and communication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integrated solutions for massive MIMO systems include switch-LNA modules, variable gain amplifiers and integrated PA Doherty modules. Our GaAs and SOI solutions offer differentiated low noise performance, while our GaN PAs target higher frequency bands and combine high linearity and efficiency with low power consumption.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products for defense radar applications bring new capabilities to detect and neutralize threats against infantry, aircrew and shipboard forces. Our PAs power phased array radars and our premium filters enable interference-free connections and optimize frequency spectrum to expand network capacity and extend coverage. Our Spatium® line of solid-state, high-power products provide highly reliable, efficient broadband solutions for complex EW applications across a broad frequency spectrum. Our recent acquisition of Custom MMIC combines their portfolio of low noise amplifiers, mixers, phase shifters, switches, multipliers and attenuators with our product offerings.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Wi-Fi Customer Premises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Wi-Fi, we offer PAs, switches, LNAs and BAW filters. We integrate combinations of these into RF front end modules.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Qorvo offers multi-standard SOCs (Zigbee, Bluetooth® Low Energy, Thread) consisting of SoC hardware, firmware and application software. To augment the SoC, we also offer various configurations of advanced filtering and amplification as well as Wi-Fi 6 FEMs.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23"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We provide a variety of automotive RF connectivity products, including BAW filters, LNAs, switches, PAs and LTE front end solutions. We also supply complementary metal oxide semiconductor ("CMOS")-based UWB chip and module system solutions. Our products meet or exceed automotive AEC-Q100 quality and reliability standards, and we supply the leading automotive OEMs, tier-1 suppliers and chipset vendors.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Management</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We supply Power Application Controllers (PACs®) and programmable analog power ICs that significantly reduce solution size and cost, improve system reliability, and shorten system development time. Our products manage voltages from 1.8V to 600V and power up to 4,000 Watts.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invest in research and development ("R&amp;D") to develop advanced technologies and products necessary to serve our markets. Our R&amp;D activities focus primarily on large, competitive design win opportunities for major programs at key customers, which typically requires us to improve the functional density, performance, size and cost of our products. We also have R&amp;D resources associated with the development of new products for broader market applications. Our R&amp;D efforts require us to focus on both continuous improvement in our processes for design and manufacture as well as new innovation in fundamental areas like materials, software and firmware, semiconductor process technologies, simulation and modeling, systems architecture, circuit design, device packaging, module integration and test.</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developed several generations of GaAs, GaN, BAW and surface acoustic wave ("SAW") process technologies that we manufacture internally. We invest in these technologies to improve device performance, reduce die size and reduce manufacturing costs. We also help develop and qualify technologies in cooperation with key suppliers, including SOI for switches and tuners, silicon germanium (SiGe) for amplifiers, and CMOS for power management devices and SoC solutions. We combine these technologies with our proprietary design methods, intellectual property ("IP") and other expertise to improve performance, increase integration and reduce the size and cost of our products.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develop and qualify advanced packaging technologies to reduce component size, improve performance and reduce package costs. We are also investing in large scale module assembly and test capabilities to bring these technologies to market in very high volumes.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purchase numerous raw materials, passive components and substrates for our products and manufacturing processes. The industry has experienced isolated shortages for various components in the past 12 months, including capacitors. These shortages are being addressed by suppliers adding additional capacity as we build in flexibility to our supply chain by adding suppliers and by designing in alternate capacitors to use in our products.</w:t>
      </w:r>
    </w:p>
    <w:p>
      <w:pPr>
        <w:spacing w:after="0" w:line="1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our GaAs and GaN manufacturing operations, we use several raw materials, including GaAs and GaN on silicon carbide wafers. For our acoustic filter manufacturing operations, we use several raw materials, including wafers made from silicon, lithium niobate or lithium tantalate.</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our silicon-based products, we use third-party foundries. High demand for silicon wafers and wafer starting materials has led to supply constraints from time-to-time, and we have attempted to address this by qualifying multiple silicon foundries and by obtaining supply commitments, in some cases in exchange for purchase or capital commitments by us.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and test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We believe we have adequate sources for the supply of raw materials, passive components and substrates for our products and manufacturing needs.</w:t>
      </w:r>
    </w:p>
    <w:p>
      <w:pPr>
        <w:spacing w:after="0" w:line="17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Qorvo is currently experiencing isolated supply-chain issues caused by the recent novel coronavirus (COVID-19) outbreak. While this is a dynamic situation impacting the entire industry, we have a broadly diversified supply base and our operations are not currently materially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a manufacturer of BAW, GaN, GaAs, SAW, TC-SAW and silicon products. The majority of our products are multi-chip modules utilizing multiple semiconductor and acoustic material processing technologies. These products have varying degrees of complexity and contain semiconductors and other components that are manufactured internally or outsourced.</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operate wafer fabrication facilities for the production of BAW, GaN, GaAs, SAW and TC-SAW wafers in Greensboro, North Carolina; Hillsboro, Oregon; and Richardson, Texas. We also use multiple silicon-based process technologies, including SOI, SiGe and CMOS, which are principally sourced from leading silicon foundries located throughout the world. We have a global supply chain and ship millions of units per day.</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our own flip chip, wire bond and wafer-level packaging ("WLP") technologies. Additionally, we use external suppliers for these and other packaging technologies.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end of the semiconductor manufacturing process, we regularly conduct wafer level tests to verify individual circuit performance. These tests could include electrical validation, RF testing through designed frequency bands, as well as visual defect inspection. The wafers are then separated into individual components called die. For module products, the next step is assembly, during which the die and other components are placed on high-density interconnect substrates to provide connectivity between the die and the components. This populated substrate is formed into a module. Next, the products are tested for RF performance and prepared for shipment through a tape and reel process. We primarily use internal assembly facilities in China, Costa Rica, Germany, and the U.S., and we also utilize external suppliers. We also manufacture large volumes of WLP die and discrete filters that our customers directly assemble into their products.</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Our internal manufacturing facilities require a high level of fixed costs, consisting primarily of occupancy costs, maintenance, repair, equipment depreciation, and fixed labor costs related to manufacturing and process engineering.</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Integrated circuits and filter products are highly complex and sensitive to contaminants, and semiconductor fabrication requires highly controlled, clean environments. Wafers can be rejected or die on a wafer can be found to be nonfunctional as a result of minute impurities, variances in the fabrication process or defects in the masks used to transfer circuit patterns onto the wafers.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manufacturing facilities worldwide are certified to the ISO 9001 quality standard, and select locations are certified to additional automotive (IATF 16949), aerospace (AS 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We require that all of our key vendors and suppliers be compliant with select standards, as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design, develop, manufacture and market products for leading U.S. and international OEMs and original design manufacturers ("ODMs"). We also collaborate with leading reference design partners.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our products to our largest end customer, Apple Inc. ("Apple"), through sales to multiple contract manufacturers, which in the aggregate accounted for 33%, 32%, and 36% of total revenue in fiscal years 2020, 2019 and 2018, respectively. Huawei Technologies Co., Ltd. and affiliates ("Huawei") accounted for 10%, 15% and 8% of our total revenue in fiscal years 2020, 2019 and 2018, respectively. These customers primarily purchase RF solutions for a variety of mobile devices.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Some of our sales to overseas customers are subject to export licenses or other restrictions imposed by the U.S. Department of Commerce (see Risk Factors in Part I, Item 1A set forth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products worldwide directly to customers as well as through a network of U.S. and foreign sales representative firms and distributors. We select our domestic and foreign sales representatives based on technical skills and sales experience, the presence of complementary product lines and the customer base served. We provide ongoing training to our internal and external sales representatives and distributors to keep them educated about our products.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website contains extensive product information and includes an online store where customers can learn about our products, download product catalogs, order product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platform providers and provide them strong technical support to help anticipate future product needs and enhance their customer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and Seasonality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sales are the result of standard purchase orders or specific agreements with customers.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we have experienced seasonal fluctuations in the sale of mobile products, with revenue typically strongest in our second and third fiscal quarters.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in a competitive industry characterized by rapid advances in technology and new product introductions. Our customers’ product life cycles are often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their cost limitations. The selection process for our products to be included in our customers’ products is highly competitive, and our customers provide no guarantees that our products will be included in the next-generation of products introduced.</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MP competes primarily with Broadcom Limited; Murata Manufacturing Co., Ltd.; Qualcomm Technologies, Inc.; and Skyworks Solutions, Inc. IDP competes primarily with Analog Devices, Inc.; Cree, Inc.; M/A-COM Technology Solutions, Inc.; NXP Semiconductors N.V.; Silicon Laboratories, Inc.; STMicroelectronics N.V.; Skyworks Solutions, Inc.; and Sumitomo Electric Device Innovations.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IP and substantial technological capabilities. In some cases, our competitors are also our customers or suppliers. Additionally, many of our competitors may have significantly greater financial, technical, manufacturing and marketing resources than we do, which may allow them to implement new technologies and develop new products more quickly than we can.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our IP, including patents, copyrights, trademarks and trade secrets, is important to our business, and we actively seek opportunities to leverage our IP portfolio to promote our business interests. We also actively seek to monitor and protect our global IP rights and to deter unauthorized use of our IP and other assets. Such efforts can be difficult because of the absence of consistent international standards and laws. Moreover, we respect the IP rights of others and have implemented policies and procedures to mitigate the risk of infringing or misappropriating third-party IP.</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IP rights to the same extent as U.S. laws. We have approximately 1,973 patents that expire from 2020 to 2040.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178"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On March 28, 2020, we had more than 7,900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Some of our employees in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130" w:right="3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Germany and the Netherlands are represented by internal works councils and some of our employees in China are represented by a labor union. As of March 28, 2020, approximately 12% of our global workforce was represented by a works council or labor union. We have never experienced any work stoppage, and we believe that our current employee relations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pretreat and dispose of our wastewater from our manufacturing facilities to meet or exceed regulatory requirements. Our hazardous waste is sent to only licensed and permitted disposal facilities. State agencies require us to report storage and emissions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6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ISO 14001:2015 certified manufacturer with a comprehensive Environmental Management System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actively monitor the hazardous materials that are used in the manufacture, assembly and test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Historically, the costs to comply with applicable environmental regulations have not been material, and we currently do not expect the costs of complying with existing environmental regulations to have a material adverse effect on our liquidity, capital resources or financial condition in fiscal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130" w:right="3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to present significant risks to our business at this time, may impair our business operations,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184" w:lineRule="exact"/>
        <w:rPr>
          <w:sz w:val="20"/>
          <w:szCs w:val="20"/>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disputes and recession or slowing growth in the semiconductor industry and the overall global economy;</w:t>
      </w:r>
    </w:p>
    <w:p>
      <w:pPr>
        <w:spacing w:after="0" w:line="170"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customers’ and distributors’ ability to manage the inventory that they hold and to forecast accurately their demand for our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into our business, and realize the expected benefits of, our recent and any future acquisitions and strategic investments;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additional capacity in response to customer demand.</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 as our industry’s product life cycles are short and our customers' requirements change rapidly.</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largest markets are characterized by short product life cycles and the frequent introduction of new products in response to evolving product requirements, driven by end user demand for more functionality, improved performance, lower costs and a variety of form factors. Our largest MP customers typically refresh some or all of their product portfolios by releasing new models each year. In some cases, product designs we pursue represent either opportunities to substantially increase our revenue by winning a new design or a risk of a substantial revenue loss by losing an incumbent product in a customer's device.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success is dependent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30" w:right="3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qualified product design engineers;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timely completion of product designs and ramp up of new products according to our customers’ needs with acceptable manufacturing yields;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performing product. If we are unsuccessful in achieving design wins, our revenue and operating results will be adversely affected.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substantial portion of our MP revenue comes from large purchases by a small number of customers. Our future operating results depend on both the success of our largest customers and on our success in diversifying our products and customer base. Collectively, our two largest end customers accounted for an aggregate of approximately 43%, 47% and 44% of our revenue for fiscal years 2020, 2019 and 2018, respectively.</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concentration of our revenue with a relatively small number of customers makes us particularly dependent on factors, both positive and negative, affecting those customers.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outbreak could materially adversely affect our financial condition and results of operations.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COVID-19 has spread globally and has resulted in authorities implementing numerous measures to try to contain the virus, such as travel bans and restrictions, quarantines, shelter in place orders, and shutdowns. These measures have impacted and may further impact our workforce and operations, the operations of our customers, and those of our respective vendors and suppliers. We have significant manufacturing operations in the U.S. and China and both of these countries have been affected by the outbreak and have taken measures to try to contain it. There is considerable uncertainty regarding such measures and potential future measures, and restrictions on our access to our manufacturing facilities or on our support operations or workforce, or similar limitations for our vendors and suppliers, and restrictions or disruptions of transportation, such as reduced availability of air transport, port closures, and increased border controls or closures, could limit our capacity to meet customer demand and have a material adverse effect on our financial condition and results of operations.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outbreak has significantly increased economic and demand uncertainty. The outbreak and continued spread of COVID-19 will cause an economic slowdown, and it is possible that the global economy worsens further. The spread of COVID-19 has caused us to modify our business practices (including employee travel, employee work locations, and cancellation of events and conferences), and we may take further actions as may be required by government authorities or that we determine are in the best interests of our employees, customers, partners, and suppliers. There is no certainty that such measures will be sufficient to mitigate the risks posed by the virus, and our ability to perform critical functions could be harmed.</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degree to which COVID-19 impacts our results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 Furthermore, the COVID-19 outbreak has created heightened risk that external suppliers may be unable to perform their obligations to us or suffer financial distress due to the economic impact of the outbreak and the regulatory measures that have been enacted by governments to contain the virus.</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sales through distributors.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operate wafer fabrication facilities in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related to our facilities will affect our business and financial results, including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factory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political, regulatory and economic risks associated with our international manufacturing operations;</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applicable environmental and other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worldwide operations and business could be disrupted by natural disasters, industrial accidents, cybersecurity incidents, telecommunications failures, power or water shortages, extreme weather conditions, public health issues (including the COVID-19 outbreak), military actions, acts of terrorism,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cannot timely resume their own operations due to a business disruption, natural disaster or catastrophic event, they may reduce or cancel their orders, which may adversely affect our results of operations.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30" w:right="3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products have unique designs and are fabricated using multiple semiconductor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minute impurities and variations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substrates and packaging.</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deviations from required specifications include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writing off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scrapping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accepting returns of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product replacements at no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reimbursement of direct and indirect costs incurred by our customers in recalling or reworking their products due to defects in our products;</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and personnel costs to investigate potential product quality issues and to identify or confirm the failure mechanism or root cause of product defects;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130" w:right="3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build our products based on forecasts provided by customers before receiving purchase orders for the products.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ensure availability of our products for some of our largest end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 off inventory, which would have a negative impact on our gross margin and other operating results.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Platform providers are typically large companies that provide system reference designs for OEMs and ODMs that include the platform provider’s baseband and other complementary products. A platform provider may own or control IP that gives it a strong market position for its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as platform providers have worked to develop more fully integrated solutions that include their own RF technologies and components.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and local economic, social and political conditions and uncertainty;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controls and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formal or informal imposition of export, import or doing-business regulations, including trade sanctions, tariffs and other related restrictions;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market conditions and workers’ rights affecting our manufacturing operations or those of our customers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capital and securities and commodities trading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occurrences of geopolitical crises such as terrorist activity, armed conflict, civil or military unrest or political instability, which may disrupt manufacturing, assembly, logistics, security and communications and result in reduced demand for our products;</w:t>
      </w:r>
    </w:p>
    <w:p>
      <w:pPr>
        <w:spacing w:after="0" w:line="17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spacing w:after="0" w:line="183"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pandemics and similar major health concerns, including the COVID-19 outbreak, which could adversely affect our business and our customer order patterns.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Sales to customers located outside the U.S. accounted for approximately 55% of our revenue in fiscal 2020, of which approximately 34% and 5% were attributable to sales to customers located in China and Taiwan, respectively.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Chinese customers, could increase our manufacturing costs and reduce our product sales in China and other markets.</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significant portion of our assembly and testing capacity in China. 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foster the emergence of Chinese-based competitors, decrease the demand for our products in China, or reduce the supply of critical materials for our products, which could have a material adverse effect on our business and results of operations.</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U.S. or foreign governments may take administrative, legislative or regulatory action that could materially interfere with our ability to sell products in certain countries, particularly in China. For example, between July 2018 and June 2019, the Office of the United States Trade Representative imposed 25% tariffs on specified product lists, including certain electronic components and equipment, totaling approximately $250 billion in Chinese imports. In response, China imposed or proposed new or higher tariffs on U.S. products. The U.S. government also imposed 15% tariffs on an additional $120 billion of Chinese imports, with China imposing retaliatory tariffs. While the imposition of these tariffs did not have a direct, material adverse impact on our business during fiscal year 2020, the direct and indirect effects of tariffs and other restrictive trade policies are difficult to measure and are only one part of a larger U.S./China economic and trade policy disagreement. For example, imposition of tariffs on our customers’ products that are imported from China to the U.S. could harm sales of such products, which would harm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We cannot predict what further actions may ultimately be taken with respect to tariffs or trade relations between the U.S. and China or other countries, what products may be subject to such actions, or what actions may be taken by the other countries in retaliation.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have experienced restrictions on our ability to sell products to certain foreign customers where sales of products require export licenses or are prohibited by government action. The U.S. government has in the past issued export restrictions that effectively banned American companies from selling products to ZTE Corporation, one of our customers, and in May 2019, the Bureau of Industry (BIS) and Security of the U.S. Department of Commerce added Huawei Technologies Co., Ltd. and over 100 of its affiliates to the “Entity List” maintained by the Department. Huawei accounted for 10%, 15% and 8% of our total revenue during fiscal years 2020, 2019 and 2018, respectively. While we subsequently restarted shipments to Huawei of certain products from outside the U.S. that are not subject to the Export Administration Regulations (EAR), and while we have also applied for a license to ship other products that are subject to the EAR, as required by the rules governing the Entity List, our sales to Huawei will continue to be impacted by trade restrictions.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the date of this report, we are unable to predict the scope and duration of the export restrictions imposed on Huawei and the corresponding future effects on our business. Even if such restrictions are lifted, any financial or other penalties or continuing export restrictions imposed on Huawei could have a continuing negative impact on our future revenue and results of operations. In addition, Huawei or other foreign customers affected by future U.S. government sanctions or threats of sanctions may respond by developing their own solutions to replace our products or by adopting our foreign competitors’ solutions.</w:t>
      </w:r>
    </w:p>
    <w:p>
      <w:pPr>
        <w:spacing w:after="0" w:line="18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Moreover, U.S. government actions targeting exports of certain technologies to China are becoming more pervasive. For example, in 2018, the U.S. adopted new laws designed to address concerns about the export of emerging and foundational technologies to China. In addition, in May 2019, an executive order was issued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customers.</w:t>
      </w:r>
    </w:p>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loss or temporary loss of Huawei or other foreign customers or the imposition of restrictions on our ability to sell products to such customers as a result of tariffs, export restrictions or other U.S. regulatory actions could materially adversely affect our sales, business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We compete with several companies primarily engaged in the business of designing, manufacturing and selling RF solutions, as well as suppliers of discrete integrated circuits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1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It is difficult to predict future demand for our products, which makes it difficult to estimate future requirements for production capacity and avoid periods of overcapacity. Fluctuations in the growth rate of industry capacity relative to the growth rate in demand for our products also can lead to overcapacity and contribute to cyclicality in the semiconductor market.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in the third quarter of fiscal 2019 we commenced a phased closure of a SAW filter manufacturing facility in Florida and a transfer of production to our North Carolina facility, which was completed in fiscal 2020. Also, in the fourth quarter of fiscal 2019, we announced the temporary idling of a BAW manufacturing facility in Texas. These actions resulted in impairment charges, accelerated depreciation and other restructuring related charges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December 5, 2017, we entered into a five-year unsecured senior credit facility pursuant to a credit agreement with Bank of America, N.A., as administrative agent, swing line lender and L/C issuer, and a syndicate of lenders (as amended, the "Credit Agreement"). The Credit Agreement includes a $300.0 million revolving credit facility, which is available for working capital, capital expenditures and other corporate purposes. The Credit Agreement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debt, including our Notes, or to fund capital expenditures and may be forced to take other actions to satisfy our debt obligations and financing requirements, which may not be successful or on terms favorable to us.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Credit Agreement includes a $400.0 million senior delayed draw term loan (the "Term Loan"), of which $100.0 million was funded at closing and then subsequently repaid during March 2018. On June 17, 2019, the Company drew $100.0 million of the Term Loan. The delayed draw availability period for the remaining $200.0 million of the Term Loan expired on December 31, 2019. We may request one or more additional tranches of term loans or increases in the revolving credit facility, up to an aggregate of $300.0 million and subject to securing additional funding commitments from the existing or new lenders.</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November 2015, we issued $550.0 million aggregate principal amount of 7.00% Senior Notes due 2025 (the "2025 Notes") pursuant to an indenture dated as of November 19, 2015 (as supplemented, the "2015 Indenture"). We subsequently completed the repurchase of all but $23.4 million of the 2025 Notes. Additionally, in July 2018, August 2018 and March 2019, we issued $500.0 million, $130.0 million and $270.0 million, respectively, aggregate principal amount of 5.50% Senior Notes due 2026 (the "2026 Notes") pursuant to an indenture dated as of July 16, 2018 (as supplemented, the “2018 Indenture”). In September 2019 and December 2019, we issued $350.0 million and $200.0 million, respectively, aggregate principal amount of 4.375% Senior Notes due 2029 (the “2029 Notes” and together with the 2025 Notes and the 2026 Notes, the “Notes”) pursuant to an indenture dated as of September 30, 2019 (as supplemented, the “2019 Indenture” and together with the 2015 Indenture and the 2018 Indenture, the “Indentures”).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ability to make scheduled payments on or to refinance our debt obligations, including the Term Loan and the Notes,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including the Term Loan and the Notes. If our cash flows and capital resources are insufficient to fund our debt service obligations, we may face liquidity issues and be forced to reduce or delay investments and capital expenditures, or to sell assets, seek additional capital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or restructure or refinance our debt. These alternative measures may not be successful and may not permit us to meet our scheduled debt service and other obligations. Additionally, the Credit Agreement and the Indentures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Credit Agreement governing our revolving credit facility and the Term Loan and the Indentures governing the Notes contain a number of significant restrictions and covenants that limit our ability to:</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covenants could have the effect of limiting our flexibility in planning for or reacting to changes in our business and the markets in which we compete. In addition, the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credit facility. If we violate covenants under the Credit Agreement and are unable to obtain a waiver from our lenders, our debt under our revolving credit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and economic and political conditions, including market conditions in the semiconductor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30" w:right="3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and similar major health concerns, including the COVID-19 outbreak;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operations and stock performance of competitors and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 and restructuring;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acquisitions, strategic alliances, capital commitments, or new products announced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reputation is a critical factor in our relationships with customers, employees, governments, suppliers and other stakeholders. If we fail to address issues that give rise to reputational risk, including those described throughout this “Risk Factors” section, we could significantly harm our reputation and our brand. Our reputation may also be damaged by how we respond to corporate crises. Corporate crises can arise from catastrophic events as well as from incidents involving product quality, security, or safety issues; allegations of unethical behavior or misconduct or legal noncompliance; internal control failures; corporate governance issues; data or privacy breaches; workplace safety incidents; environmental incidents; the use of our products for illegal or objectionable applications; media statements; the conduct of our suppliers or representatives; and other issues or incidents that, whether actual or perceived, result in adverse publicity. If we fail to respond quickly and effectively to address such crises, the ensuing negative public reaction could significantly harm our reputation and our brands and could lead to litigation or subject us to regulatory actions or restrictions. Damage to our reputation could harm customer relations, reduce demand for our products, reduce investor confidence in us, adversely affect our stock price, and may also limit our ability to be seen as an employer of choice when competing for highly skilled employees. Moreover, repairing our reputation and brands may be difficult, time-consuming and expensive.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fluctuations in the amount and frequency of our stock repurchases.</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are not obligated to make repurchases under our stock repurchase program and the program may be modified, suspended or terminated at any time without notice. The amount and timing of our stock repurchases may vary based on a number of factors, including our priorities regarding the use of our cash such as capital investments and acquisitions, restrictions under securities laws and existing debt agreements, the availability of attractive financing sources and the optimization of our capital structure, as well as changes in our cash flows, tax laws and the market price of our common stock.</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recent and future acquisitions and other strategic investments, could fail to achieve our financial or strategic objectives, disrupt our ongoing business, and adversely impact our results of operations.</w:t>
      </w:r>
    </w:p>
    <w:p>
      <w:pPr>
        <w:spacing w:after="0" w:line="170"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As part of our business strategy and as demonstrated in our recent acquisitions, we expect to continue to review potential acquisitions and strategic investments that could complement our current product offerings, augment our market coverage or enhance our technical capabilities, or that may otherwise offer growth or margin improvement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187"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controls, processes, and procedures of an acquired business may not adequately ensure compliance with laws and regulations, and we may fail to identify compliance issues or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employees from a company we acquire or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our ongoing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dissynergies or other harm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or impairment of investments from unsuccessful research and development by companies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1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In order to compete, we must attract, retain, and motivate key employees, and our failure to do so could harm our business and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effectively, we must: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 and filter design, and technical marketing and support, is limited. In addition, existing or new immigration laws, policies or regulations in the U.S. may limit the pool of available talent. Travel bans, difficulties obtaining visas and other restrictions on international travel could make it more difficult to effectively manage our international operations, operate as a global company or service our international customer base. Changes in the interpretation and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130" w:right="4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application of employment-related laws to our workforce practices may also result in increased operating costs and less flexibility in how we meet our changing workforce needs. We cannot be sure that we will be able to attract and retain skilled personnel in the future, which could harm our business and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our intellectual property portfolio and may not be able to successfully protect against the use of our intellectual property by third parties.</w:t>
      </w:r>
    </w:p>
    <w:p>
      <w:pPr>
        <w:spacing w:after="0" w:line="2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laws of some countries in which our products are developed, manufactured or sold may not protect our products or intellectual property rights to the same extent as U.S. laws. This increases the possibility of misappropriation or infringement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finding could adversely affect the demand for our products.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networks and implement various procedures to restrict unauthorized access to dissemination of our proprietary information.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As a 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costs related to cyber-attacks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product development delays, or diversion of the attention of management and key information technology and other resources, or otherwise adversely affect our internal operations and reputation or degrade our financial results and stock price.</w:t>
      </w:r>
    </w:p>
    <w:p>
      <w:pPr>
        <w:spacing w:after="0" w:line="1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environmental, health and safety regulations and climate change.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a broad array of U.S. and foreign environmental, health and safety laws and regulations. These laws and regulations include those related to the use, transportation, storage, handling, emission, discharge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30" w:right="3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recycling or disposal of hazardous materials used in our manufacturing, assembly and testing processes. Our failure to comply with any of these existing or future laws or regulations could result in:</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penalties and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liabilities, including financial responsibility for remedial measures if our properties are contaminated;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to secure required permits and governmental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curtailment of our manufacturing, assembly and test processes; and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7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Compliance with these policies increases our operating expenses, and non-compliance can adversely affect customer relationships and harm our business.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Various jurisdictions are developing other climate change-based regulations that also may increase our expenses and adversely affect our operating results. We expect increased worldwide regulatory activity relating to climate change in the future. Future compliance with these laws and regulations may adversely affect our business and results of operations.</w:t>
      </w:r>
    </w:p>
    <w:p>
      <w:pPr>
        <w:spacing w:after="0" w:line="18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 free.</w:t>
      </w:r>
    </w:p>
    <w:p>
      <w:pPr>
        <w:spacing w:after="0" w:line="1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84" w:lineRule="exact"/>
        <w:rPr>
          <w:sz w:val="20"/>
          <w:szCs w:val="20"/>
          <w:color w:val="auto"/>
        </w:rPr>
      </w:pPr>
    </w:p>
    <w:p>
      <w:pPr>
        <w:ind w:left="660" w:right="2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30" w:right="3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(see "Critical Accounting Policies and Estimates" in Part II, Item 7 of this report). Such methods, estimates and judgments are, by their nature, subject to substantial risks, uncertainties and assumptions, and factors may arise over time that lead us to change our methods, estimates and judgments that could significantly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we make about the scope of our future operations could affect our future financial results.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From time to time, changes in the business environment have led us to change the scope of our operations or business, which has resulted in restructuring and asset impairment charges, and this could occur in the future. The amount and timing of such charges can be difficult to predict. Factors that contribute to the amount and timing of such charges include:</w:t>
      </w:r>
    </w:p>
    <w:p>
      <w:pPr>
        <w:spacing w:after="0" w:line="184" w:lineRule="exact"/>
        <w:rPr>
          <w:sz w:val="20"/>
          <w:szCs w:val="20"/>
          <w:color w:val="auto"/>
        </w:rPr>
      </w:pPr>
    </w:p>
    <w:p>
      <w:pPr>
        <w:ind w:left="660" w:right="3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execution of plans and programs that are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future divestitures and the amount and type of proceeds realized from such divestitures;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impact our results of operations.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subject to taxation in China, Germany, Singapore, the U.S.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overall profitability and the amount of profit determined to be earned and taxed in jurisdictions with differing statutory tax rates;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 including those described in Note 13 of the Notes to the Consolidated Financial Statements set forth in Part II, Item 8 of this report;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available tax credits;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laws, domestic and foreign, or the interpretation of such tax laws, and changes in generally accepted accounting principles.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tax rates could reduce net income for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favorable tax status of our subsidiaries in Singapore and Costa Rica would have an adverse impact on our operating results.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subsidiaries in Singapore and Costa Rica have been granted tax holidays that effectively minimize our tax expense and that are expected to be effective through December 2021 and December 2027,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In February 2017, Singapore enacted legislation that will exclude from our existing Development and Expansion Incentive grant the benefit of the reduced tax rate for intellectual property income earned after June 30, 2021. Future changes in the status of either tax holiday could have a negative effect on our net income in future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enactment of international or domestic tax legislation, or changes in regulatory guidance, may adversely impact our results of operations.</w:t>
      </w:r>
    </w:p>
    <w:p>
      <w:pPr>
        <w:spacing w:after="0" w:line="24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(the “Tax Act”), which included a number of changes to U.S. tax laws that impacted us, including the one-time transition tax on certain unrepatriated earnings of foreign subsidiaries (the “Transitional Repatriation Tax”) and the Global Intangible Low-Taxed Income (“GILTI”) provisions. In addition, other countries are beginning to implement legislation and other guidance to align their international tax rules with the Organisation for Economic Co-operation and Development’s Base Erosion and Profit Shifting recommendations and action plan, which aim to standardize and modernize global corporate tax policy, including changes to cross-border tax, transfer pricing documentations rules, and nexus-based tax incentive practices. Legislative changes, interpretations and guidance, and changes in prior tax rulings and decisions by tax authorities regarding treatments and positions of corporate income taxes resulting from these initiatives, could increase our effective tax rate and result in taxes we previously paid being subject to change, which may adversely impact our financial position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corporate headquarters (leased) and our MP headquarters (owned) are in Greensboro, North Carolina, and our IDP headquarters (owned) is in Richardson, Texas. In the U.S., we have the following production facilities: (1) a wafer fabrication facility (owned) in Greensboro, North Carolina, (2) a wafer fabrication facility (leased) in Bend, Oregon, (3) a wafer fabrication facility (owned) in Hillsboro, Oregon, and (4) a facility (owned) in Richardson, Texas for wafer fabrication, assembly and test. During fiscal 2020, our wafer fabrication facility (owned) in Farmers Branch, Texas, was idled and the wafer fabrication operations in our Apopka, Florida facility (owned) were consolidated into our Greensboro, North Carolina facility. The Apopka, Florida facility has been repurposed solely as a research and development center.</w:t>
      </w:r>
    </w:p>
    <w:p>
      <w:pPr>
        <w:spacing w:after="0" w:line="17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Outside of the U.S., we have the following primary production facilities: (1) a module assembly and test facility (the building is owned and we hold a land-use right for the land), in Beijing, China, (2) a module assembly and test facility (the building is leased and we hold a land-use right for the land) in Dezhou, China, (3) a filter assembly and test facility (owned) in Heredia, Costa Rica, and (4) a packaging and test facility (leased) in Nuremberg, Germany.</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fourth quarter of fiscal 2018, we signed a definitive lease for an assembly and test facility in Beijing, China, which we expect to start utilizing in fiscal 2021. This lease will allow us to consolidate several leased facilities in Beijing, China.</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our properties have been well-maintained, are in sound operating condition and contain all equipment and facilities necessary to operate at present levels. While we believe all our facilities are suitable and adequate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30" w:right="3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present purposes, we continually evaluate our business and facilities and may decide to expand, add or dispose of facilities in the future. The majority of our production facilities are shared by our operating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the information under the heading "Legal Matters" in Note 11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"QRVO." As of May 12, 2020, there were 685 holders of record of our common stock.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130" w:right="4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829300" cy="453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29300" cy="453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March 28,</w:t>
            </w: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April 2,</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April 1,</w:t>
            </w:r>
          </w:p>
        </w:tc>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March 31,</w:t>
            </w:r>
          </w:p>
        </w:tc>
        <w:tc>
          <w:tcPr>
            <w:tcW w:w="1300" w:type="dxa"/>
            <w:vAlign w:val="bottom"/>
          </w:tcPr>
          <w:p>
            <w:pPr>
              <w:ind w:left="340"/>
              <w:spacing w:after="0"/>
              <w:rPr>
                <w:sz w:val="20"/>
                <w:szCs w:val="20"/>
                <w:color w:val="auto"/>
              </w:rPr>
            </w:pPr>
            <w:r>
              <w:rPr>
                <w:rFonts w:ascii="Arial" w:cs="Arial" w:eastAsia="Arial" w:hAnsi="Arial"/>
                <w:sz w:val="14"/>
                <w:szCs w:val="14"/>
                <w:b w:val="1"/>
                <w:bCs w:val="1"/>
                <w:color w:val="auto"/>
              </w:rPr>
              <w:t>March 30,</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21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58"/>
        </w:trPr>
        <w:tc>
          <w:tcPr>
            <w:tcW w:w="2160" w:type="dxa"/>
            <w:vAlign w:val="bottom"/>
          </w:tcPr>
          <w:p>
            <w:pPr>
              <w:spacing w:after="0"/>
              <w:rPr>
                <w:sz w:val="20"/>
                <w:szCs w:val="20"/>
                <w:color w:val="auto"/>
              </w:rPr>
            </w:pPr>
            <w:r>
              <w:rPr>
                <w:rFonts w:ascii="Arial" w:cs="Arial" w:eastAsia="Arial" w:hAnsi="Arial"/>
                <w:sz w:val="14"/>
                <w:szCs w:val="14"/>
                <w:b w:val="1"/>
                <w:bCs w:val="1"/>
                <w:color w:val="auto"/>
              </w:rPr>
              <w:t>Total Return Index for:</w:t>
            </w: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Qorvo, Inc.</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64.10</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86.48</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w w:val="91"/>
              </w:rPr>
              <w:t>88.86</w:t>
            </w: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90.48</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101.78</w:t>
            </w: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Nasdaq Composite</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100.55</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123.56</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w w:val="93"/>
              </w:rPr>
              <w:t>149.21</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165.07</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166.22</w:t>
            </w: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S&amp;P 500</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101.78</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119.26</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w w:val="93"/>
              </w:rPr>
              <w:t>135.95</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148.86</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138.47</w:t>
            </w: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Nasdaq Electronic Components</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97.64</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139.98</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w w:val="93"/>
              </w:rPr>
              <w:t>191.49</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191.98</w:t>
            </w: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201.16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The index level for all series assumes that $100.00 was invested in our common stock and each index on March 28, 2015.</w:t>
      </w:r>
    </w:p>
    <w:p>
      <w:pPr>
        <w:spacing w:after="0" w:line="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Qorvo, Inc. was added to the S&amp;P 500 Index on June 12, 2015.</w:t>
      </w:r>
    </w:p>
    <w:p>
      <w:pPr>
        <w:spacing w:after="0" w:line="200" w:lineRule="exact"/>
        <w:rPr>
          <w:sz w:val="20"/>
          <w:szCs w:val="20"/>
          <w:color w:val="auto"/>
        </w:rPr>
      </w:pPr>
    </w:p>
    <w:p>
      <w:pPr>
        <w:spacing w:after="0" w:line="3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00"/>
          </w:cols>
          <w:pgMar w:left="320" w:top="130" w:right="9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74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December 29, 2019 to January 25, 2020</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26, 2020 to February 22, 2020</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February 23, 2020 to March 28, 2020</w:t>
      </w:r>
    </w:p>
    <w:p>
      <w:pPr>
        <w:spacing w:after="0" w:line="121"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35"/>
        </w:trPr>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w:t>
            </w:r>
          </w:p>
        </w:tc>
        <w:tc>
          <w:tcPr>
            <w:tcW w:w="2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shares that may yet be purchased</w:t>
            </w:r>
          </w:p>
        </w:tc>
        <w:tc>
          <w:tcPr>
            <w:tcW w:w="0" w:type="dxa"/>
            <w:vAlign w:val="bottom"/>
          </w:tcPr>
          <w:p>
            <w:pPr>
              <w:spacing w:after="0"/>
              <w:rPr>
                <w:sz w:val="1"/>
                <w:szCs w:val="1"/>
                <w:color w:val="auto"/>
              </w:rPr>
            </w:pPr>
          </w:p>
        </w:tc>
      </w:tr>
      <w:tr>
        <w:trPr>
          <w:trHeight w:val="135"/>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paid per share</w:t>
            </w:r>
          </w:p>
        </w:tc>
        <w:tc>
          <w:tcPr>
            <w:tcW w:w="2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under the plans or programs</w:t>
            </w:r>
          </w:p>
        </w:tc>
        <w:tc>
          <w:tcPr>
            <w:tcW w:w="0" w:type="dxa"/>
            <w:vAlign w:val="bottom"/>
          </w:tcPr>
          <w:p>
            <w:pPr>
              <w:spacing w:after="0"/>
              <w:rPr>
                <w:sz w:val="1"/>
                <w:szCs w:val="1"/>
                <w:color w:val="auto"/>
              </w:rPr>
            </w:pPr>
          </w:p>
        </w:tc>
      </w:tr>
      <w:tr>
        <w:trPr>
          <w:trHeight w:val="174"/>
        </w:trPr>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thousands)</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w w:val="82"/>
              </w:rPr>
              <w:t>thousands)</w:t>
            </w:r>
          </w:p>
        </w:tc>
        <w:tc>
          <w:tcPr>
            <w:tcW w:w="10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46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color w:val="auto"/>
              </w:rPr>
              <w:t>114.61</w:t>
            </w:r>
          </w:p>
        </w:tc>
        <w:tc>
          <w:tcPr>
            <w:tcW w:w="120" w:type="dxa"/>
            <w:vAlign w:val="bottom"/>
          </w:tcPr>
          <w:p>
            <w:pPr>
              <w:spacing w:after="0"/>
              <w:rPr>
                <w:sz w:val="21"/>
                <w:szCs w:val="21"/>
                <w:color w:val="auto"/>
              </w:rPr>
            </w:pPr>
          </w:p>
        </w:tc>
        <w:tc>
          <w:tcPr>
            <w:tcW w:w="2340" w:type="dxa"/>
            <w:vAlign w:val="bottom"/>
            <w:tcBorders>
              <w:top w:val="single" w:sz="8" w:color="auto"/>
            </w:tcBorders>
          </w:tcPr>
          <w:p>
            <w:pPr>
              <w:jc w:val="right"/>
              <w:ind w:right="26"/>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480" w:type="dxa"/>
            <w:vAlign w:val="bottom"/>
            <w:tcBorders>
              <w:top w:val="single" w:sz="8" w:color="auto"/>
            </w:tcBorders>
          </w:tcPr>
          <w:p>
            <w:pPr>
              <w:ind w:left="1600"/>
              <w:spacing w:after="0"/>
              <w:rPr>
                <w:sz w:val="20"/>
                <w:szCs w:val="20"/>
                <w:color w:val="auto"/>
              </w:rPr>
            </w:pPr>
            <w:r>
              <w:rPr>
                <w:rFonts w:ascii="Arial" w:cs="Arial" w:eastAsia="Arial" w:hAnsi="Arial"/>
                <w:sz w:val="14"/>
                <w:szCs w:val="14"/>
                <w:color w:val="auto"/>
                <w:w w:val="99"/>
              </w:rPr>
              <w:t>$879.3 million</w:t>
            </w:r>
          </w:p>
        </w:tc>
        <w:tc>
          <w:tcPr>
            <w:tcW w:w="0" w:type="dxa"/>
            <w:vAlign w:val="bottom"/>
          </w:tcPr>
          <w:p>
            <w:pPr>
              <w:spacing w:after="0"/>
              <w:rPr>
                <w:sz w:val="1"/>
                <w:szCs w:val="1"/>
                <w:color w:val="auto"/>
              </w:rPr>
            </w:pPr>
          </w:p>
        </w:tc>
      </w:tr>
      <w:tr>
        <w:trPr>
          <w:trHeight w:val="270"/>
        </w:trPr>
        <w:tc>
          <w:tcPr>
            <w:tcW w:w="1460" w:type="dxa"/>
            <w:vAlign w:val="bottom"/>
          </w:tcPr>
          <w:p>
            <w:pPr>
              <w:jc w:val="right"/>
              <w:ind w:right="47"/>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
              <w:spacing w:after="0"/>
              <w:rPr>
                <w:sz w:val="20"/>
                <w:szCs w:val="20"/>
                <w:color w:val="auto"/>
              </w:rPr>
            </w:pPr>
            <w:r>
              <w:rPr>
                <w:rFonts w:ascii="Arial" w:cs="Arial" w:eastAsia="Arial" w:hAnsi="Arial"/>
                <w:sz w:val="14"/>
                <w:szCs w:val="14"/>
                <w:color w:val="auto"/>
              </w:rPr>
              <w:t>109.21</w:t>
            </w:r>
          </w:p>
        </w:tc>
        <w:tc>
          <w:tcPr>
            <w:tcW w:w="120" w:type="dxa"/>
            <w:vAlign w:val="bottom"/>
          </w:tcPr>
          <w:p>
            <w:pPr>
              <w:spacing w:after="0"/>
              <w:rPr>
                <w:sz w:val="23"/>
                <w:szCs w:val="23"/>
                <w:color w:val="auto"/>
              </w:rPr>
            </w:pPr>
          </w:p>
        </w:tc>
        <w:tc>
          <w:tcPr>
            <w:tcW w:w="2340" w:type="dxa"/>
            <w:vAlign w:val="bottom"/>
          </w:tcPr>
          <w:p>
            <w:pPr>
              <w:jc w:val="right"/>
              <w:ind w:right="26"/>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2480" w:type="dxa"/>
            <w:vAlign w:val="bottom"/>
          </w:tcPr>
          <w:p>
            <w:pPr>
              <w:ind w:left="1600"/>
              <w:spacing w:after="0"/>
              <w:rPr>
                <w:sz w:val="20"/>
                <w:szCs w:val="20"/>
                <w:color w:val="auto"/>
              </w:rPr>
            </w:pPr>
            <w:r>
              <w:rPr>
                <w:rFonts w:ascii="Arial" w:cs="Arial" w:eastAsia="Arial" w:hAnsi="Arial"/>
                <w:sz w:val="14"/>
                <w:szCs w:val="14"/>
                <w:color w:val="auto"/>
                <w:w w:val="99"/>
              </w:rPr>
              <w:t>$867.0 million</w:t>
            </w:r>
          </w:p>
        </w:tc>
        <w:tc>
          <w:tcPr>
            <w:tcW w:w="0" w:type="dxa"/>
            <w:vAlign w:val="bottom"/>
          </w:tcPr>
          <w:p>
            <w:pPr>
              <w:spacing w:after="0"/>
              <w:rPr>
                <w:sz w:val="1"/>
                <w:szCs w:val="1"/>
                <w:color w:val="auto"/>
              </w:rPr>
            </w:pPr>
          </w:p>
        </w:tc>
      </w:tr>
      <w:tr>
        <w:trPr>
          <w:trHeight w:val="276"/>
        </w:trPr>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90.04</w:t>
            </w:r>
          </w:p>
        </w:tc>
        <w:tc>
          <w:tcPr>
            <w:tcW w:w="120" w:type="dxa"/>
            <w:vAlign w:val="bottom"/>
          </w:tcPr>
          <w:p>
            <w:pPr>
              <w:spacing w:after="0"/>
              <w:rPr>
                <w:sz w:val="24"/>
                <w:szCs w:val="24"/>
                <w:color w:val="auto"/>
              </w:rPr>
            </w:pPr>
          </w:p>
        </w:tc>
        <w:tc>
          <w:tcPr>
            <w:tcW w:w="23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24"/>
                <w:szCs w:val="24"/>
                <w:color w:val="auto"/>
              </w:rPr>
            </w:pPr>
          </w:p>
        </w:tc>
        <w:tc>
          <w:tcPr>
            <w:tcW w:w="2480" w:type="dxa"/>
            <w:vAlign w:val="bottom"/>
          </w:tcPr>
          <w:p>
            <w:pPr>
              <w:ind w:left="1600"/>
              <w:spacing w:after="0"/>
              <w:rPr>
                <w:sz w:val="20"/>
                <w:szCs w:val="20"/>
                <w:color w:val="auto"/>
              </w:rPr>
            </w:pPr>
            <w:r>
              <w:rPr>
                <w:rFonts w:ascii="Arial" w:cs="Arial" w:eastAsia="Arial" w:hAnsi="Arial"/>
                <w:sz w:val="14"/>
                <w:szCs w:val="14"/>
                <w:color w:val="auto"/>
                <w:w w:val="99"/>
              </w:rPr>
              <w:t>$765.9 million</w:t>
            </w: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93.51</w:t>
            </w:r>
          </w:p>
        </w:tc>
        <w:tc>
          <w:tcPr>
            <w:tcW w:w="120" w:type="dxa"/>
            <w:vAlign w:val="bottom"/>
          </w:tcPr>
          <w:p>
            <w:pPr>
              <w:spacing w:after="0"/>
              <w:rPr>
                <w:sz w:val="21"/>
                <w:szCs w:val="21"/>
                <w:color w:val="auto"/>
              </w:rPr>
            </w:pPr>
          </w:p>
        </w:tc>
        <w:tc>
          <w:tcPr>
            <w:tcW w:w="23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21"/>
                <w:szCs w:val="21"/>
                <w:color w:val="auto"/>
              </w:rPr>
            </w:pPr>
          </w:p>
        </w:tc>
        <w:tc>
          <w:tcPr>
            <w:tcW w:w="2480" w:type="dxa"/>
            <w:vAlign w:val="bottom"/>
          </w:tcPr>
          <w:p>
            <w:pPr>
              <w:ind w:left="1600"/>
              <w:spacing w:after="0"/>
              <w:rPr>
                <w:sz w:val="20"/>
                <w:szCs w:val="20"/>
                <w:color w:val="auto"/>
              </w:rPr>
            </w:pPr>
            <w:r>
              <w:rPr>
                <w:rFonts w:ascii="Arial" w:cs="Arial" w:eastAsia="Arial" w:hAnsi="Arial"/>
                <w:sz w:val="14"/>
                <w:szCs w:val="14"/>
                <w:color w:val="auto"/>
                <w:w w:val="99"/>
              </w:rPr>
              <w:t>$765.9 million</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680" w:space="720"/>
            <w:col w:w="7840"/>
          </w:cols>
          <w:pgMar w:left="320" w:top="130" w:right="339" w:bottom="1440" w:gutter="0" w:footer="0" w:header="0"/>
        </w:sectPr>
      </w:pP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31, 2019, the Company announced that its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See Note 16 of the Notes to the Consolidated Financial Statements set forth in Part II, Item 8 of this report for a further discussion of our share repurchase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Fiscal Year</w:t>
            </w: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3,239,141</w:t>
            </w:r>
          </w:p>
        </w:tc>
        <w:tc>
          <w:tcPr>
            <w:tcW w:w="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3,090,325</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2,973,536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3,032,574</w:t>
            </w:r>
          </w:p>
        </w:tc>
        <w:tc>
          <w:tcPr>
            <w:tcW w:w="6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2,610,726</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1,917,378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1,895,142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1,826,570</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1,897,062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1,561,173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484,414</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450,482</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445,103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470,836</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448,763</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343,569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476,074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527,751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545,588</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534,099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70,564</w:t>
            </w:r>
          </w:p>
        </w:tc>
        <w:tc>
          <w:tcPr>
            <w:tcW w:w="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3"/>
                <w:szCs w:val="13"/>
                <w:color w:val="auto"/>
                <w:w w:val="86"/>
              </w:rPr>
              <w:t>(16)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52,161</w:t>
            </w:r>
          </w:p>
        </w:tc>
        <w:tc>
          <w:tcPr>
            <w:tcW w:w="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3"/>
                <w:szCs w:val="13"/>
                <w:color w:val="auto"/>
                <w:w w:val="94"/>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103,830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(8)</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31,029</w:t>
            </w:r>
          </w:p>
        </w:tc>
        <w:tc>
          <w:tcPr>
            <w:tcW w:w="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54,723</w:t>
            </w: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2,815,925</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2,873,859</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2,903,254</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2,944,515</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2,598,758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423,216</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216,466</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70,282</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88,059</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11,968</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320" w:type="dxa"/>
            <w:vAlign w:val="bottom"/>
            <w:shd w:val="clear" w:color="auto" w:fill="CCEEFF"/>
          </w:tcPr>
          <w:p>
            <w:pPr>
              <w:jc w:val="right"/>
              <w:ind w:right="27"/>
              <w:spacing w:after="0"/>
              <w:rPr>
                <w:sz w:val="20"/>
                <w:szCs w:val="20"/>
                <w:color w:val="auto"/>
              </w:rPr>
            </w:pPr>
            <w:r>
              <w:rPr>
                <w:rFonts w:ascii="Arial" w:cs="Arial" w:eastAsia="Arial" w:hAnsi="Arial"/>
                <w:sz w:val="13"/>
                <w:szCs w:val="13"/>
                <w:color w:val="auto"/>
                <w:w w:val="86"/>
              </w:rPr>
              <w:t>(17)</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4"/>
              <w:spacing w:after="0" w:line="270" w:lineRule="exact"/>
              <w:rPr>
                <w:sz w:val="20"/>
                <w:szCs w:val="20"/>
                <w:color w:val="auto"/>
              </w:rPr>
            </w:pPr>
            <w:r>
              <w:rPr>
                <w:rFonts w:ascii="Arial" w:cs="Arial" w:eastAsia="Arial" w:hAnsi="Arial"/>
                <w:sz w:val="18"/>
                <w:szCs w:val="18"/>
                <w:color w:val="auto"/>
              </w:rPr>
              <w:t xml:space="preserve">(43,963) </w:t>
            </w:r>
            <w:r>
              <w:rPr>
                <w:rFonts w:ascii="Arial" w:cs="Arial" w:eastAsia="Arial" w:hAnsi="Arial"/>
                <w:sz w:val="25"/>
                <w:szCs w:val="25"/>
                <w:color w:val="auto"/>
                <w:vertAlign w:val="superscript"/>
              </w:rPr>
              <w:t>(12)</w:t>
            </w: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17"/>
              <w:spacing w:after="0" w:line="270" w:lineRule="exact"/>
              <w:rPr>
                <w:sz w:val="20"/>
                <w:szCs w:val="20"/>
                <w:color w:val="auto"/>
              </w:rPr>
            </w:pPr>
            <w:r>
              <w:rPr>
                <w:rFonts w:ascii="Arial" w:cs="Arial" w:eastAsia="Arial" w:hAnsi="Arial"/>
                <w:sz w:val="18"/>
                <w:szCs w:val="18"/>
                <w:color w:val="auto"/>
              </w:rPr>
              <w:t xml:space="preserve">(59,548) </w:t>
            </w:r>
            <w:r>
              <w:rPr>
                <w:rFonts w:ascii="Arial" w:cs="Arial" w:eastAsia="Arial" w:hAnsi="Arial"/>
                <w:sz w:val="25"/>
                <w:szCs w:val="25"/>
                <w:color w:val="auto"/>
                <w:vertAlign w:val="superscript"/>
              </w:rPr>
              <w:t>(9)</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77"/>
              <w:spacing w:after="0" w:line="270" w:lineRule="exact"/>
              <w:rPr>
                <w:sz w:val="20"/>
                <w:szCs w:val="20"/>
                <w:color w:val="auto"/>
              </w:rPr>
            </w:pPr>
            <w:r>
              <w:rPr>
                <w:rFonts w:ascii="Arial" w:cs="Arial" w:eastAsia="Arial" w:hAnsi="Arial"/>
                <w:sz w:val="18"/>
                <w:szCs w:val="18"/>
                <w:color w:val="auto"/>
              </w:rPr>
              <w:t xml:space="preserve">(58,879) </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77"/>
              <w:spacing w:after="0" w:line="270" w:lineRule="exact"/>
              <w:rPr>
                <w:sz w:val="20"/>
                <w:szCs w:val="20"/>
                <w:color w:val="auto"/>
              </w:rPr>
            </w:pPr>
            <w:r>
              <w:rPr>
                <w:rFonts w:ascii="Arial" w:cs="Arial" w:eastAsia="Arial" w:hAnsi="Arial"/>
                <w:sz w:val="18"/>
                <w:szCs w:val="18"/>
                <w:color w:val="auto"/>
              </w:rPr>
              <w:t xml:space="preserve">(23,316)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12,066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10,971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7,017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20,199</w:t>
            </w:r>
          </w:p>
        </w:tc>
        <w:tc>
          <w:tcPr>
            <w:tcW w:w="320" w:type="dxa"/>
            <w:vAlign w:val="bottom"/>
            <w:shd w:val="clear" w:color="auto" w:fill="CCEEFF"/>
          </w:tcPr>
          <w:p>
            <w:pPr>
              <w:jc w:val="right"/>
              <w:ind w:right="27"/>
              <w:spacing w:after="0"/>
              <w:rPr>
                <w:sz w:val="20"/>
                <w:szCs w:val="20"/>
                <w:color w:val="auto"/>
              </w:rPr>
            </w:pPr>
            <w:r>
              <w:rPr>
                <w:rFonts w:ascii="Arial" w:cs="Arial" w:eastAsia="Arial" w:hAnsi="Arial"/>
                <w:sz w:val="13"/>
                <w:szCs w:val="13"/>
                <w:color w:val="auto"/>
                <w:w w:val="86"/>
              </w:rPr>
              <w:t>(18)</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4"/>
              <w:spacing w:after="0" w:line="270" w:lineRule="exact"/>
              <w:rPr>
                <w:sz w:val="20"/>
                <w:szCs w:val="20"/>
                <w:color w:val="auto"/>
              </w:rPr>
            </w:pPr>
            <w:r>
              <w:rPr>
                <w:rFonts w:ascii="Arial" w:cs="Arial" w:eastAsia="Arial" w:hAnsi="Arial"/>
                <w:sz w:val="18"/>
                <w:szCs w:val="18"/>
                <w:color w:val="auto"/>
              </w:rPr>
              <w:t xml:space="preserve">(91,682) </w:t>
            </w:r>
            <w:r>
              <w:rPr>
                <w:rFonts w:ascii="Arial" w:cs="Arial" w:eastAsia="Arial" w:hAnsi="Arial"/>
                <w:sz w:val="25"/>
                <w:szCs w:val="25"/>
                <w:color w:val="auto"/>
                <w:vertAlign w:val="superscript"/>
              </w:rPr>
              <w:t>(13)</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6,418</w:t>
            </w: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395,089</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91,792</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17,145</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27,305</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(60,764)</w:t>
            </w:r>
          </w:p>
        </w:tc>
        <w:tc>
          <w:tcPr>
            <w:tcW w:w="320" w:type="dxa"/>
            <w:vAlign w:val="bottom"/>
            <w:shd w:val="clear" w:color="auto" w:fill="CCEEFF"/>
          </w:tcPr>
          <w:p>
            <w:pPr>
              <w:jc w:val="right"/>
              <w:ind w:right="27"/>
              <w:spacing w:after="0"/>
              <w:rPr>
                <w:sz w:val="20"/>
                <w:szCs w:val="20"/>
                <w:color w:val="auto"/>
              </w:rPr>
            </w:pPr>
            <w:r>
              <w:rPr>
                <w:rFonts w:ascii="Arial" w:cs="Arial" w:eastAsia="Arial" w:hAnsi="Arial"/>
                <w:sz w:val="13"/>
                <w:szCs w:val="13"/>
                <w:color w:val="auto"/>
                <w:w w:val="86"/>
              </w:rPr>
              <w:t>(19)</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41,333</w:t>
            </w: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w w:val="94"/>
              </w:rPr>
              <w:t>(14)</w:t>
            </w: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37"/>
              <w:spacing w:after="0" w:line="270" w:lineRule="exact"/>
              <w:rPr>
                <w:sz w:val="20"/>
                <w:szCs w:val="20"/>
                <w:color w:val="auto"/>
              </w:rPr>
            </w:pPr>
            <w:r>
              <w:rPr>
                <w:rFonts w:ascii="Arial" w:cs="Arial" w:eastAsia="Arial" w:hAnsi="Arial"/>
                <w:sz w:val="18"/>
                <w:szCs w:val="18"/>
                <w:color w:val="auto"/>
              </w:rPr>
              <w:t xml:space="preserve">(57,433) </w:t>
            </w:r>
            <w:r>
              <w:rPr>
                <w:rFonts w:ascii="Arial" w:cs="Arial" w:eastAsia="Arial" w:hAnsi="Arial"/>
                <w:sz w:val="25"/>
                <w:szCs w:val="25"/>
                <w:color w:val="auto"/>
                <w:vertAlign w:val="superscript"/>
              </w:rPr>
              <w:t>(10)</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77"/>
              <w:spacing w:after="0" w:line="270" w:lineRule="exact"/>
              <w:rPr>
                <w:sz w:val="20"/>
                <w:szCs w:val="20"/>
                <w:color w:val="auto"/>
              </w:rPr>
            </w:pPr>
            <w:r>
              <w:rPr>
                <w:rFonts w:ascii="Arial" w:cs="Arial" w:eastAsia="Arial" w:hAnsi="Arial"/>
                <w:sz w:val="18"/>
                <w:szCs w:val="18"/>
                <w:color w:val="auto"/>
              </w:rPr>
              <w:t xml:space="preserve">(43,863) </w:t>
            </w:r>
            <w:r>
              <w:rPr>
                <w:rFonts w:ascii="Arial" w:cs="Arial" w:eastAsia="Arial" w:hAnsi="Arial"/>
                <w:sz w:val="25"/>
                <w:szCs w:val="25"/>
                <w:color w:val="auto"/>
                <w:vertAlign w:val="superscript"/>
              </w:rPr>
              <w:t>(7)</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77"/>
              <w:spacing w:after="0" w:line="270" w:lineRule="exact"/>
              <w:rPr>
                <w:sz w:val="20"/>
                <w:szCs w:val="20"/>
                <w:color w:val="auto"/>
              </w:rPr>
            </w:pPr>
            <w:r>
              <w:rPr>
                <w:rFonts w:ascii="Arial" w:cs="Arial" w:eastAsia="Arial" w:hAnsi="Arial"/>
                <w:sz w:val="18"/>
                <w:szCs w:val="18"/>
                <w:color w:val="auto"/>
              </w:rPr>
              <w:t xml:space="preserve">(25,983)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334,325</w:t>
            </w:r>
          </w:p>
        </w:tc>
        <w:tc>
          <w:tcPr>
            <w:tcW w:w="3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133,125</w:t>
            </w:r>
          </w:p>
        </w:tc>
        <w:tc>
          <w:tcPr>
            <w:tcW w:w="3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4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3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2.86</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Weighted average shares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117,007</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124,534</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126,946</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127,121</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141,937</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119,293</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127,356</w:t>
            </w: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126,946</w:t>
            </w: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127,121</w:t>
            </w: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141,937</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Fiscal Year End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3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3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2018</w:t>
            </w:r>
          </w:p>
        </w:tc>
        <w:tc>
          <w:tcPr>
            <w:tcW w:w="4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714,939</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711,035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926,037</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545,463</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425,881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459</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186,808</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1,151,499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1,249,227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1,402,526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1,042,777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1,135,409</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6,560,682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6,381,519</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6,522,323</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6,596,819</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rPr>
              <w:t>Long-term debt and finance lease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obligations, less current portion</w:t>
            </w:r>
          </w:p>
        </w:tc>
        <w:tc>
          <w:tcPr>
            <w:tcW w:w="28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1,567,231</w:t>
            </w:r>
          </w:p>
        </w:tc>
        <w:tc>
          <w:tcPr>
            <w:tcW w:w="320" w:type="dxa"/>
            <w:vAlign w:val="bottom"/>
          </w:tcPr>
          <w:p>
            <w:pPr>
              <w:jc w:val="right"/>
              <w:ind w:right="27"/>
              <w:spacing w:after="0"/>
              <w:rPr>
                <w:sz w:val="20"/>
                <w:szCs w:val="20"/>
                <w:color w:val="auto"/>
              </w:rPr>
            </w:pPr>
            <w:r>
              <w:rPr>
                <w:rFonts w:ascii="Arial" w:cs="Arial" w:eastAsia="Arial" w:hAnsi="Arial"/>
                <w:sz w:val="13"/>
                <w:szCs w:val="13"/>
                <w:color w:val="auto"/>
                <w:w w:val="86"/>
              </w:rPr>
              <w:t>(20)</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920,935</w:t>
            </w:r>
          </w:p>
        </w:tc>
        <w:tc>
          <w:tcPr>
            <w:tcW w:w="320" w:type="dxa"/>
            <w:vAlign w:val="bottom"/>
          </w:tcPr>
          <w:p>
            <w:pPr>
              <w:jc w:val="right"/>
              <w:ind w:right="4"/>
              <w:spacing w:after="0"/>
              <w:rPr>
                <w:sz w:val="20"/>
                <w:szCs w:val="20"/>
                <w:color w:val="auto"/>
              </w:rPr>
            </w:pPr>
            <w:r>
              <w:rPr>
                <w:rFonts w:ascii="Arial" w:cs="Arial" w:eastAsia="Arial" w:hAnsi="Arial"/>
                <w:sz w:val="13"/>
                <w:szCs w:val="13"/>
                <w:color w:val="auto"/>
                <w:w w:val="94"/>
              </w:rPr>
              <w:t>(15)</w:t>
            </w: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983,290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989,154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988,130</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4,292,665</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4,775,564</w:t>
            </w: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4,896,722</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4,999,672</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1 Other operating expense for fiscal 2016 includes integration related expenses of $26.5 million and restructuring related charges of $10.2 million.</w:t>
      </w:r>
    </w:p>
    <w:p>
      <w:pPr>
        <w:spacing w:after="0" w:line="9" w:lineRule="exact"/>
        <w:rPr>
          <w:sz w:val="20"/>
          <w:szCs w:val="20"/>
          <w:color w:val="auto"/>
        </w:rPr>
      </w:pPr>
    </w:p>
    <w:p>
      <w:pPr>
        <w:ind w:left="120" w:right="340" w:hanging="107"/>
        <w:spacing w:after="0" w:line="262" w:lineRule="auto"/>
        <w:rPr>
          <w:sz w:val="20"/>
          <w:szCs w:val="20"/>
          <w:color w:val="auto"/>
        </w:rPr>
      </w:pPr>
      <w:r>
        <w:rPr>
          <w:rFonts w:ascii="Arial" w:cs="Arial" w:eastAsia="Arial" w:hAnsi="Arial"/>
          <w:sz w:val="15"/>
          <w:szCs w:val="15"/>
          <w:color w:val="auto"/>
        </w:rPr>
        <w:t>2 During fiscal 2016, we issued $450.0 million aggregate principal amount of 6.75% Senior Notes due 2023 (the "2023 Notes") and the 2025 Notes. We recorded $28.5 million of interest expense primarily related to the 2023 Notes and the 2025 Notes, which was partially offset by $5.2 million of capitalized interest.</w:t>
      </w:r>
    </w:p>
    <w:p>
      <w:pPr>
        <w:spacing w:after="0" w:line="1" w:lineRule="exact"/>
        <w:rPr>
          <w:sz w:val="20"/>
          <w:szCs w:val="20"/>
          <w:color w:val="auto"/>
        </w:rPr>
      </w:pPr>
    </w:p>
    <w:p>
      <w:pPr>
        <w:ind w:left="120" w:right="80" w:hanging="107"/>
        <w:spacing w:after="0" w:line="246" w:lineRule="auto"/>
        <w:rPr>
          <w:sz w:val="20"/>
          <w:szCs w:val="20"/>
          <w:color w:val="auto"/>
        </w:rPr>
      </w:pPr>
      <w:r>
        <w:rPr>
          <w:rFonts w:ascii="Arial" w:cs="Arial" w:eastAsia="Arial" w:hAnsi="Arial"/>
          <w:sz w:val="16"/>
          <w:szCs w:val="16"/>
          <w:color w:val="auto"/>
        </w:rPr>
        <w:t>3 Income tax expense for fiscal 2016 includes the effects of the income tax expense generated by the increase in the valuation allowance against domestic state deferred tax assets.</w:t>
      </w:r>
    </w:p>
    <w:p>
      <w:pPr>
        <w:spacing w:after="0" w:line="1" w:lineRule="exact"/>
        <w:rPr>
          <w:sz w:val="20"/>
          <w:szCs w:val="20"/>
          <w:color w:val="auto"/>
        </w:rPr>
      </w:pPr>
    </w:p>
    <w:p>
      <w:pPr>
        <w:ind w:left="120" w:right="100" w:hanging="107"/>
        <w:spacing w:after="0" w:line="257" w:lineRule="auto"/>
        <w:rPr>
          <w:sz w:val="20"/>
          <w:szCs w:val="20"/>
          <w:color w:val="auto"/>
        </w:rPr>
      </w:pPr>
      <w:r>
        <w:rPr>
          <w:rFonts w:ascii="Arial" w:cs="Arial" w:eastAsia="Arial" w:hAnsi="Arial"/>
          <w:sz w:val="16"/>
          <w:szCs w:val="16"/>
          <w:color w:val="auto"/>
        </w:rPr>
        <w:t>4 Accounting Standards Update 2015-17, "Income Taxes (Topic 740): Balance Sheet Classification of Deferred Taxes," was adopted in fiscal 2016 which required deferred tax assets and deferred tax liabilities to be presented as non-current in a classified balance sheet.</w:t>
      </w:r>
    </w:p>
    <w:p>
      <w:pPr>
        <w:sectPr>
          <w:pgSz w:w="11900" w:h="16838" w:orient="portrait"/>
          <w:cols w:equalWidth="0" w:num="1">
            <w:col w:w="11220"/>
          </w:cols>
          <w:pgMar w:left="320" w:top="130" w:right="35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130" w:right="35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5 Other operating expense for fiscal 2017 includes integration related expenses of $16.9 million and restructuring related charges of $2.1 million.</w:t>
      </w:r>
    </w:p>
    <w:p>
      <w:pPr>
        <w:spacing w:after="0" w:line="19" w:lineRule="exact"/>
        <w:rPr>
          <w:sz w:val="20"/>
          <w:szCs w:val="20"/>
          <w:color w:val="auto"/>
        </w:rPr>
      </w:pPr>
    </w:p>
    <w:p>
      <w:pPr>
        <w:ind w:left="120" w:right="200" w:hanging="107"/>
        <w:spacing w:after="0" w:line="246" w:lineRule="auto"/>
        <w:rPr>
          <w:sz w:val="20"/>
          <w:szCs w:val="20"/>
          <w:color w:val="auto"/>
        </w:rPr>
      </w:pPr>
      <w:r>
        <w:rPr>
          <w:rFonts w:ascii="Arial" w:cs="Arial" w:eastAsia="Arial" w:hAnsi="Arial"/>
          <w:sz w:val="16"/>
          <w:szCs w:val="16"/>
          <w:color w:val="auto"/>
        </w:rPr>
        <w:t>6 During fiscal 2017, we recorded $72.5 million of interest expense primarily related to the 2023 Notes and the 2025 Notes, which was partially offset by $13.6 million of capitalized interest.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7 Income tax expense for fiscal 2017 includes the effects of the increase in our unrecognized tax benefits.</w:t>
      </w:r>
    </w:p>
    <w:p>
      <w:pPr>
        <w:spacing w:after="0" w:line="5" w:lineRule="exact"/>
        <w:rPr>
          <w:sz w:val="20"/>
          <w:szCs w:val="20"/>
          <w:color w:val="auto"/>
        </w:rPr>
      </w:pPr>
    </w:p>
    <w:p>
      <w:pPr>
        <w:ind w:left="120" w:hanging="107"/>
        <w:spacing w:after="0" w:line="246" w:lineRule="auto"/>
        <w:rPr>
          <w:sz w:val="20"/>
          <w:szCs w:val="20"/>
          <w:color w:val="auto"/>
        </w:rPr>
      </w:pPr>
      <w:r>
        <w:rPr>
          <w:rFonts w:ascii="Arial" w:cs="Arial" w:eastAsia="Arial" w:hAnsi="Arial"/>
          <w:sz w:val="16"/>
          <w:szCs w:val="16"/>
          <w:color w:val="auto"/>
        </w:rPr>
        <w:t>8 Other operating expense for fiscal 2018 includes integration related expenses of $6.2 million and restructuring related charges of $67.7 million (see Note 12 of the Notes to the Consolidated Financial Statements set forth in Part II, Item 8 of this report).</w:t>
      </w:r>
    </w:p>
    <w:p>
      <w:pPr>
        <w:spacing w:after="0" w:line="1" w:lineRule="exact"/>
        <w:rPr>
          <w:sz w:val="20"/>
          <w:szCs w:val="20"/>
          <w:color w:val="auto"/>
        </w:rPr>
      </w:pPr>
    </w:p>
    <w:p>
      <w:pPr>
        <w:ind w:left="120" w:right="200" w:hanging="107"/>
        <w:spacing w:after="0" w:line="246" w:lineRule="auto"/>
        <w:rPr>
          <w:sz w:val="20"/>
          <w:szCs w:val="20"/>
          <w:color w:val="auto"/>
        </w:rPr>
      </w:pPr>
      <w:r>
        <w:rPr>
          <w:rFonts w:ascii="Arial" w:cs="Arial" w:eastAsia="Arial" w:hAnsi="Arial"/>
          <w:sz w:val="16"/>
          <w:szCs w:val="16"/>
          <w:color w:val="auto"/>
        </w:rPr>
        <w:t>9 During fiscal 2018, we recorded $73.2 million of interest expense primarily related to the 2023 Notes and the 2025 Notes, which was partially offset by $13.6 million of capitalized interest (see Note 9 of the Notes to the Consolidated Financial Statements set forth in Part II, Item 8 of this report).</w:t>
      </w:r>
    </w:p>
    <w:p>
      <w:pPr>
        <w:spacing w:after="0" w:line="1" w:lineRule="exact"/>
        <w:rPr>
          <w:sz w:val="20"/>
          <w:szCs w:val="20"/>
          <w:color w:val="auto"/>
        </w:rPr>
      </w:pPr>
    </w:p>
    <w:p>
      <w:pPr>
        <w:ind w:left="120" w:right="360" w:hanging="107"/>
        <w:spacing w:after="0" w:line="246" w:lineRule="auto"/>
        <w:rPr>
          <w:sz w:val="20"/>
          <w:szCs w:val="20"/>
          <w:color w:val="auto"/>
        </w:rPr>
      </w:pPr>
      <w:r>
        <w:rPr>
          <w:rFonts w:ascii="Arial" w:cs="Arial" w:eastAsia="Arial" w:hAnsi="Arial"/>
          <w:sz w:val="16"/>
          <w:szCs w:val="16"/>
          <w:color w:val="auto"/>
        </w:rPr>
        <w:t>10 Income tax expense for fiscal 2018 includes the effects from the enactment of the Tax Act, including the one-time Transitional Repatriation Tax, which was partially offset by the benefit from remeasuring deferred taxes for the decrease in the U.S. corporate tax rate from 35% to 21% (see Note 13 of the Notes to the Consolidated Financial Statements set forth in Part II, Item 8 of this report).</w:t>
      </w:r>
    </w:p>
    <w:p>
      <w:pPr>
        <w:spacing w:after="0" w:line="1" w:lineRule="exact"/>
        <w:rPr>
          <w:sz w:val="20"/>
          <w:szCs w:val="20"/>
          <w:color w:val="auto"/>
        </w:rPr>
      </w:pPr>
    </w:p>
    <w:p>
      <w:pPr>
        <w:ind w:left="120" w:right="300" w:hanging="107"/>
        <w:spacing w:after="0" w:line="246" w:lineRule="auto"/>
        <w:rPr>
          <w:sz w:val="20"/>
          <w:szCs w:val="20"/>
          <w:color w:val="auto"/>
        </w:rPr>
      </w:pPr>
      <w:r>
        <w:rPr>
          <w:rFonts w:ascii="Arial" w:cs="Arial" w:eastAsia="Arial" w:hAnsi="Arial"/>
          <w:sz w:val="16"/>
          <w:szCs w:val="16"/>
          <w:color w:val="auto"/>
        </w:rPr>
        <w:t>11 Other operating expense for fiscal 2019 includes restructuring related charges of $29.4 million (see Note 12 of the Notes to the Consolidated Financial Statements set forth in Part II, Item 8 of this report).</w:t>
      </w:r>
    </w:p>
    <w:p>
      <w:pPr>
        <w:spacing w:after="0" w:line="1" w:lineRule="exact"/>
        <w:rPr>
          <w:sz w:val="20"/>
          <w:szCs w:val="20"/>
          <w:color w:val="auto"/>
        </w:rPr>
      </w:pPr>
    </w:p>
    <w:p>
      <w:pPr>
        <w:ind w:left="120" w:hanging="107"/>
        <w:spacing w:after="0" w:line="281" w:lineRule="auto"/>
        <w:rPr>
          <w:sz w:val="20"/>
          <w:szCs w:val="20"/>
          <w:color w:val="auto"/>
        </w:rPr>
      </w:pPr>
      <w:r>
        <w:rPr>
          <w:rFonts w:ascii="Arial" w:cs="Arial" w:eastAsia="Arial" w:hAnsi="Arial"/>
          <w:sz w:val="14"/>
          <w:szCs w:val="14"/>
          <w:color w:val="auto"/>
        </w:rPr>
        <w:t>12 During fiscal 2019, we issued the 2026 Notes and recorded $52.8 million of interest expense primarily related to the 2023 Notes, the 2025 Notes and the 2026 Notes, which was partially offset by $8.8 million of capitalized interest (see Note 9 of the Notes to the Consolidated Financial Statements set forth in Part II, Item 8 of this report).</w:t>
      </w:r>
    </w:p>
    <w:p>
      <w:pPr>
        <w:spacing w:after="0" w:line="1" w:lineRule="exact"/>
        <w:rPr>
          <w:sz w:val="20"/>
          <w:szCs w:val="20"/>
          <w:color w:val="auto"/>
        </w:rPr>
      </w:pPr>
    </w:p>
    <w:p>
      <w:pPr>
        <w:ind w:left="120" w:right="80" w:hanging="107"/>
        <w:spacing w:after="0" w:line="246" w:lineRule="auto"/>
        <w:rPr>
          <w:sz w:val="20"/>
          <w:szCs w:val="20"/>
          <w:color w:val="auto"/>
        </w:rPr>
      </w:pPr>
      <w:r>
        <w:rPr>
          <w:rFonts w:ascii="Arial" w:cs="Arial" w:eastAsia="Arial" w:hAnsi="Arial"/>
          <w:sz w:val="16"/>
          <w:szCs w:val="16"/>
          <w:color w:val="auto"/>
        </w:rPr>
        <w:t>13 During fiscal 2019, we recorded a loss on debt extinguishment of $90.2 million related to the repurchases of the 2023 Notes and the 2025 Notes (see Note 9 of the Notes to the Consolidated Financial Statements set forth in Part II, Item 8 of this report).</w:t>
      </w:r>
    </w:p>
    <w:p>
      <w:pPr>
        <w:spacing w:after="0" w:line="1" w:lineRule="exact"/>
        <w:rPr>
          <w:sz w:val="20"/>
          <w:szCs w:val="20"/>
          <w:color w:val="auto"/>
        </w:rPr>
      </w:pPr>
    </w:p>
    <w:p>
      <w:pPr>
        <w:jc w:val="both"/>
        <w:ind w:left="120" w:right="400" w:hanging="107"/>
        <w:spacing w:after="0" w:line="281" w:lineRule="auto"/>
        <w:rPr>
          <w:sz w:val="20"/>
          <w:szCs w:val="20"/>
          <w:color w:val="auto"/>
        </w:rPr>
      </w:pPr>
      <w:r>
        <w:rPr>
          <w:rFonts w:ascii="Arial" w:cs="Arial" w:eastAsia="Arial" w:hAnsi="Arial"/>
          <w:sz w:val="14"/>
          <w:szCs w:val="14"/>
          <w:color w:val="auto"/>
        </w:rPr>
        <w:t>14 Income tax benefit for fiscal 2019 includes the effects of the Tax Act measurement period adjustments, including revisions to the provisional one-time Transitional Repatriation Tax and the remeasurement of deferred tax assets, tax benefits associated with finalization of federal and international tax returns, and the recognition of previously unrecognized tax benefits (see Note 13 of the Notes to the Consolidated Financial Statements set forth in Part II, Item 8 of this report).</w:t>
      </w:r>
    </w:p>
    <w:p>
      <w:pPr>
        <w:spacing w:after="0" w:line="2" w:lineRule="exact"/>
        <w:rPr>
          <w:sz w:val="20"/>
          <w:szCs w:val="20"/>
          <w:color w:val="auto"/>
        </w:rPr>
      </w:pPr>
    </w:p>
    <w:p>
      <w:pPr>
        <w:ind w:left="120" w:right="440" w:hanging="107"/>
        <w:spacing w:after="0" w:line="262" w:lineRule="auto"/>
        <w:rPr>
          <w:sz w:val="20"/>
          <w:szCs w:val="20"/>
          <w:color w:val="auto"/>
        </w:rPr>
      </w:pPr>
      <w:r>
        <w:rPr>
          <w:rFonts w:ascii="Arial" w:cs="Arial" w:eastAsia="Arial" w:hAnsi="Arial"/>
          <w:sz w:val="15"/>
          <w:szCs w:val="15"/>
          <w:color w:val="auto"/>
        </w:rPr>
        <w:t>15 During fiscal 2019, we repurchased $444.5 million of the 2023 Notes and $525.1 million of the 2025 Notes and issued a total of $900.0 million aggregate principal amount of the 2026 Notes (see Note 9 of the Notes to the Consolidated Financial Statements set forth in Part II, Item 8 of this report).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16 Other operating expense for fiscal 2020 includes acquisition and integration related expenses of $50.9 million and restructuring related charges of $13.4 million (see Note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 and Note 12 of the Notes to the Consolidated Financial Statements set forth in Part II, Item 8 of this report).</w:t>
      </w:r>
    </w:p>
    <w:p>
      <w:pPr>
        <w:spacing w:after="0" w:line="5" w:lineRule="exact"/>
        <w:rPr>
          <w:sz w:val="20"/>
          <w:szCs w:val="20"/>
          <w:color w:val="auto"/>
        </w:rPr>
      </w:pPr>
    </w:p>
    <w:p>
      <w:pPr>
        <w:ind w:left="120" w:right="200" w:hanging="107"/>
        <w:spacing w:after="0" w:line="246" w:lineRule="auto"/>
        <w:rPr>
          <w:sz w:val="20"/>
          <w:szCs w:val="20"/>
          <w:color w:val="auto"/>
        </w:rPr>
      </w:pPr>
      <w:r>
        <w:rPr>
          <w:rFonts w:ascii="Arial" w:cs="Arial" w:eastAsia="Arial" w:hAnsi="Arial"/>
          <w:sz w:val="16"/>
          <w:szCs w:val="16"/>
          <w:color w:val="auto"/>
        </w:rPr>
        <w:t>17 During fiscal 2020, we recorded $66.0 million of interest expense primarily related to the 2026 Notes and the 2029 Notes, which was partially offset by $5.6 million of capitalized interest (see Note 9 of the Notes to the Consolidated Financial Statements set forth in Part II, Item 8 of this report).</w:t>
      </w:r>
    </w:p>
    <w:p>
      <w:pPr>
        <w:spacing w:after="0" w:line="1" w:lineRule="exact"/>
        <w:rPr>
          <w:sz w:val="20"/>
          <w:szCs w:val="20"/>
          <w:color w:val="auto"/>
        </w:rPr>
      </w:pPr>
    </w:p>
    <w:p>
      <w:pPr>
        <w:ind w:left="120" w:right="60" w:hanging="107"/>
        <w:spacing w:after="0" w:line="246" w:lineRule="auto"/>
        <w:rPr>
          <w:sz w:val="20"/>
          <w:szCs w:val="20"/>
          <w:color w:val="auto"/>
        </w:rPr>
      </w:pPr>
      <w:r>
        <w:rPr>
          <w:rFonts w:ascii="Arial" w:cs="Arial" w:eastAsia="Arial" w:hAnsi="Arial"/>
          <w:sz w:val="16"/>
          <w:szCs w:val="16"/>
          <w:color w:val="auto"/>
        </w:rPr>
        <w:t>18 During fiscal 2020, we recorded a gain of $43.0 million related to the remeasurement of our previously held equity interest in Cavendish in connection with our purchase of the remaining issued and outstanding capital of the entity (see Note 5 of the Notes to the Consolidated Financial Statements set forth in Part II, Item 8 of this report). During fiscal 2020, we recorded an impairment of $18.3 million on an equity investment without a readily determinable fair value (see Note 7 of the Notes to the Consolidated Financial Statements set forth in Part II, Item 8 of this report).</w:t>
      </w:r>
    </w:p>
    <w:p>
      <w:pPr>
        <w:spacing w:after="0" w:line="2" w:lineRule="exact"/>
        <w:rPr>
          <w:sz w:val="20"/>
          <w:szCs w:val="20"/>
          <w:color w:val="auto"/>
        </w:rPr>
      </w:pPr>
    </w:p>
    <w:p>
      <w:pPr>
        <w:ind w:left="120" w:right="380" w:hanging="107"/>
        <w:spacing w:after="0" w:line="262" w:lineRule="auto"/>
        <w:rPr>
          <w:sz w:val="20"/>
          <w:szCs w:val="20"/>
          <w:color w:val="auto"/>
        </w:rPr>
      </w:pPr>
      <w:r>
        <w:rPr>
          <w:rFonts w:ascii="Arial" w:cs="Arial" w:eastAsia="Arial" w:hAnsi="Arial"/>
          <w:sz w:val="15"/>
          <w:szCs w:val="15"/>
          <w:color w:val="auto"/>
        </w:rPr>
        <w:t>19 Income tax expense for fiscal 2020 includes the effects associated with the release of our permanent reinvestment assertion on certain unrepatriated foreign earnings previously subject to U.S. federal taxation (see Note 13 of the Notes to the Consolidated Financial Statements set forth in Part II, Item 8 of this report).</w:t>
      </w:r>
    </w:p>
    <w:p>
      <w:pPr>
        <w:spacing w:after="0" w:line="1" w:lineRule="exact"/>
        <w:rPr>
          <w:sz w:val="20"/>
          <w:szCs w:val="20"/>
          <w:color w:val="auto"/>
        </w:rPr>
      </w:pPr>
    </w:p>
    <w:p>
      <w:pPr>
        <w:ind w:left="120" w:right="280" w:hanging="107"/>
        <w:spacing w:after="0" w:line="257" w:lineRule="auto"/>
        <w:rPr>
          <w:sz w:val="20"/>
          <w:szCs w:val="20"/>
          <w:color w:val="auto"/>
        </w:rPr>
      </w:pPr>
      <w:r>
        <w:rPr>
          <w:rFonts w:ascii="Arial" w:cs="Arial" w:eastAsia="Arial" w:hAnsi="Arial"/>
          <w:sz w:val="16"/>
          <w:szCs w:val="16"/>
          <w:color w:val="auto"/>
        </w:rPr>
        <w:t>20 During fiscal 2020, we issued $550.0 million aggregate principal amount of the 2029 Notes and drew $100.0 million of the Term Loan (see Note 9 of the Notes to the Consolidated Financial Statements set forth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Qorvo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leader in the development and commercialization of technologies and products for wireless and wired connectivity. We combine a broad portfolio of innovative RF solutions, highly differentiated semiconductor technologies, systems-level expertise and global manufacturing scale to supply a diverse set of customers a broad range of products that enable a more connected world.</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fourth quarter of fiscal 2020, our customer demand, supply chain and global operations were modestly impacted by the COVID-19 outbreak. However, the potential duration and future impact of the outbreak on the global economy and on our business are difficult to predict and cannot be estimated with any degree of certainty; the outbreak has resulted in significant disruption of global financial markets, increases in levels of unemployment, and economic uncertainty, which may adversely affect our business, and may lead to significant negative impacts on customer spending, demand for our products, the ability of our customers to pay, our financial condition and the financial condition of our suppliers, and our access to external sources of financing to fund our operations and capital expenditures.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remain committed to protecting the health and safety of our employees in all locations, and we are working to ensure our compliance with government-imposed restrictions while also maintaining business continuity. Qorvo has implemented multiple protocols in its facilities worldwide, including increased cleaning and sanitation procedures, pre-shift temperature screenings, and enhanced use of personal protective equipment. In addition, Qorvo has taken steps to effectively implement social distancing, including rotating shifts and remote-work options whenever possible.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design, develop, manufacture and market our products to U.S. and international OEMs and ODMs in two operating segments, which are also our reportable segments: Mobile Products ("MP") and Infrastructure and Defense Products ("IDP").</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MP is a global supplier of cellular, UWB and Wi-Fi solutions for a variety of high-volume markets, including smartphones, wearables, laptops, tablets and IoT applications.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IDP is a global supplier of RF, SoC and power management solutions for wireless infrastructure, defense, smart home, automotive and other IoT applications.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reportable segment primarily based on non-GAAP operating income. For financial information about the results of our reportable operating segments for each of the last three fiscal years, see Note 17 of the Notes to the Consolidated Financial Statements set forth in Part II, Item 8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Management Summary</w:t>
      </w:r>
    </w:p>
    <w:p>
      <w:pPr>
        <w:spacing w:after="0" w:line="225" w:lineRule="exact"/>
        <w:rPr>
          <w:sz w:val="20"/>
          <w:szCs w:val="20"/>
          <w:color w:val="auto"/>
        </w:rPr>
      </w:pPr>
    </w:p>
    <w:p>
      <w:pPr>
        <w:jc w:val="both"/>
        <w:ind w:left="660" w:right="1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increased 4.8% in fiscal 2020 to $3,239.1 million, compared to $3,090.3 million in fiscal 2019, primarily due to higher demand for our mobile products in support of customers based in China, a Korea-based customer and our largest end customer, partially offset by lower demand for our base station products as a result of trade restrictions.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30" w:right="3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10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for fiscal 2020 was 40.8%, compared to 38.7% in fiscal 2019. This increase was primarily due to favorable changes in product mix, lower intangible amortization expense and lower manufacturing costs, partially offset by average selling price erosion and lower factory utilization.</w:t>
      </w:r>
    </w:p>
    <w:p>
      <w:pPr>
        <w:spacing w:after="0" w:line="183" w:lineRule="exact"/>
        <w:rPr>
          <w:rFonts w:ascii="Arial" w:cs="Arial" w:eastAsia="Arial" w:hAnsi="Arial"/>
          <w:sz w:val="18"/>
          <w:szCs w:val="18"/>
          <w:color w:val="auto"/>
        </w:rPr>
      </w:pPr>
    </w:p>
    <w:p>
      <w:pPr>
        <w:ind w:left="660" w:right="7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income was $423.2 million in fiscal 2020, compared to $216.5 million in fiscal 2019. This increase was primarily due to lower intangible amortization expense, higher gross margin and higher revenue, partially offset by higher acquisition and integration costs.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per diluted share was $2.80 for fiscal 2020, compared to net income per diluted share of $1.05 for fiscal 2019.</w:t>
      </w:r>
    </w:p>
    <w:p>
      <w:pPr>
        <w:spacing w:after="0" w:line="225"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 from operations was $945.6 million for fiscal 2020, compared to $810.4 million for fiscal 2019. This year-over-year increase was primarily due to favorable changes in working capital driven by improvements in days sales outstanding and improved inventory management in fiscal 2020.</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$164.1 million in fiscal 2020, compared to $220.9 million in fiscal 2019. Our capital expenditures in fiscal 2020 included strategic investments in premium filter capacity and GaN technology capabilities.</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completed the acquisitions of Active-Semi, Cavendish, Custom MMIC and Decawave for a total of $946.0 million, net of cash acquired, and incurred acquisition and integration related charges of $55.1 million (primarily post-combination compensation expense and third-party fees). Upon our acquisition of Cavendish, our previously held equity interest was remeasured, which resulted in the recognition of a gain of $43.0 million.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recognized an impairment of $18.3 million on an equity investment without a readily determinable fair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issued $550.0 million aggregate principal amount of the 2029 Notes and drew $100.0 million of the Term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repurchased approximately 6.4 million shares of our common stock for approximately $515.1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table below presents a summary of our results of operations for fiscal years 2020 and 2019. See Part II, Item 7, "Management's Discussion and Analysis of Financial Condition and Results of Operations" of our Annual Report on Form 10-K for the fiscal year ended March 30, 2019, filed with the SEC on May 17, 2019, for a summary of our results of operations for the fiscal year ended March 31, 2018, which is incorporated by reference herein.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Dollars</w:t>
            </w:r>
          </w:p>
        </w:tc>
        <w:tc>
          <w:tcPr>
            <w:tcW w:w="120" w:type="dxa"/>
            <w:vAlign w:val="bottom"/>
            <w:vMerge w:val="restart"/>
          </w:tcPr>
          <w:p>
            <w:pPr>
              <w:spacing w:after="0"/>
              <w:rPr>
                <w:sz w:val="13"/>
                <w:szCs w:val="13"/>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 of Revenue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Dollars</w:t>
            </w: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 of Revenue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3,239,141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3,090,325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148,816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1,917,378</w:t>
            </w:r>
          </w:p>
        </w:tc>
        <w:tc>
          <w:tcPr>
            <w:tcW w:w="1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1,895,142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22,236</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1,321,763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1,195,183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126,580</w:t>
            </w:r>
          </w:p>
        </w:tc>
        <w:tc>
          <w:tcPr>
            <w:tcW w:w="12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484,414</w:t>
            </w:r>
          </w:p>
        </w:tc>
        <w:tc>
          <w:tcPr>
            <w:tcW w:w="1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450,482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33,932</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343,569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476,074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(132,505)</w:t>
            </w:r>
          </w:p>
        </w:tc>
        <w:tc>
          <w:tcPr>
            <w:tcW w:w="12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70,564</w:t>
            </w:r>
          </w:p>
        </w:tc>
        <w:tc>
          <w:tcPr>
            <w:tcW w:w="1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18,403</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423,216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216,466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206,750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increased primarily due to higher demand for our mobile products in support of customers based in China, a Korea-based customer and our largest end customer, partially offset by lower demand for our base station products as a result of trade restrictions.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provided our products to our largest end customer (Apple) through sales to multiple contract manufacturers, which in the aggregate accounted for 33% and 32% of total revenue in fiscal years 2020 and 2019, respectively. Huawei accounted for approximately 10% and 15% of total revenue in fiscal years 2020 and 2019, respectively. These customers primarily purchase RF solutions for a variety of mobile devices.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sales to Huawei have been and will continue to be impacted by trade restrictions (see Note 2 of the Notes to the Consolidated Financial Statements set forth in Part II, Item 8 of this report).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International shipments amounted to $1,770.8 million in fiscal 2020 (approximately 55% of revenue) compared to $1,710.8 million in fiscal 2019 (approximately 55% of revenue). Shipments to Asia totaled $1,616.4 million in fiscal 2020 (approximately 50% of revenue) compared to $1,554.6 million in fiscal 2019 (approximately 50%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Gross margin increased primarily due to favorable changes in product mix, lower intangible amortization expense and lower manufacturing costs, partially offset by average selling price erosion and lower factory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R&amp;D spending increased primarily due to higher personnel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decreased primarily due to lower intangible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fiscal 2020, we recognized $50.9 million of expense related to the acquisitions of Active-Semi, Cavendish, Custom MMIC and Decawave (see Note 5 of the Notes to the Consolidated Financial Statements set forth in Part II, Item 8 of this report for information on business acquisitions). In fiscal 2020, we also recorded restructuring related charges of $13.4 million related to employee termination benefits and other exit costs as a result of restructuring actions (see Note 12 of the Notes to the Consolidated Financial Statements set forth in Part II, Item 8 of this report for information on restructuring actions).</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2019, we recognized $15.9 million of asset impairment charges (to adjust the carrying value of certain property and equipment to reflect fair value) and $13.5 million of restructuring related charges (primarily employee termination benefits) as a result of restructuring actions (see Note 12 of the Notes to the Consolidated Financial Statements set forth in Part II, Item 8 of this report for information on restructuring actions). In fiscal 2019, we also recorded $18.0 million of start-up costs related to new processes and operations in existing facilities.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1"/>
              </w:rPr>
              <w:t>Increase</w:t>
            </w:r>
          </w:p>
        </w:tc>
        <w:tc>
          <w:tcPr>
            <w:tcW w:w="1460" w:type="dxa"/>
            <w:vAlign w:val="bottom"/>
            <w:tcBorders>
              <w:bottom w:val="single" w:sz="8" w:color="auto"/>
            </w:tcBorders>
          </w:tcPr>
          <w:p>
            <w:pPr>
              <w:spacing w:after="0"/>
              <w:rPr>
                <w:sz w:val="16"/>
                <w:szCs w:val="16"/>
                <w:color w:val="auto"/>
              </w:rPr>
            </w:pPr>
          </w:p>
        </w:tc>
      </w:tr>
      <w:tr>
        <w:trPr>
          <w:trHeight w:val="263"/>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Dollars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8"/>
              </w:rPr>
              <w:t>Percentage Change</w:t>
            </w: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2,397,740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2,197,660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715,514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558,990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156,524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28.0</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MP revenue increased primarily due to higher demand for our mobile products in support of customers based in China, a Korea-based customer and our largest end customer, partially offset by lower shipments to Huawei.</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MP operating income increased primarily due to higher revenue and higher gross margin. Gross margin was positively impacted by favorable changes in product mix and lower manufacturing costs, partially offset by average selling price erosion and lower factory utilization.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and Defense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Year</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86"/>
              </w:rPr>
              <w:t>Decrease</w:t>
            </w:r>
          </w:p>
        </w:tc>
        <w:tc>
          <w:tcPr>
            <w:tcW w:w="1480" w:type="dxa"/>
            <w:vAlign w:val="bottom"/>
            <w:tcBorders>
              <w:bottom w:val="single" w:sz="8" w:color="auto"/>
            </w:tcBorders>
          </w:tcPr>
          <w:p>
            <w:pPr>
              <w:spacing w:after="0"/>
              <w:rPr>
                <w:sz w:val="16"/>
                <w:szCs w:val="16"/>
                <w:color w:val="auto"/>
              </w:rPr>
            </w:pPr>
          </w:p>
        </w:tc>
      </w:tr>
      <w:tr>
        <w:trPr>
          <w:trHeight w:val="26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Dollars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88"/>
              </w:rPr>
              <w:t>Percentage Change</w:t>
            </w: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841,401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892,665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145,295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267,304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(122,009)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(45.6)</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IDP revenue decreased primarily due to lower demand for our base station products as a result of trade restrictions and lower demand for our Wi-Fi products, partially offset by sales of our programmable power management products as a result of the acquisition of Active-Semi.</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IDP operating income decreased primarily due to higher operating expenses, lower gross margin and lower revenue. The increase in operating expenses was primarily due to higher personnel costs and the addition of Active-Semi expenses. Gross margin was negatively impacted by lower factory utilization, inventory charges and average selling price erosion.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17 of the Notes to the Consolidated Financial Statements set forth in Part II, Item 8 of this report for a reconciliation of segment operating income to the consolidated operating income for fiscal years 2020,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Borders>
              <w:bottom w:val="single" w:sz="8" w:color="auto"/>
            </w:tcBorders>
          </w:tcPr>
          <w:p>
            <w:pPr>
              <w:spacing w:after="0"/>
              <w:rPr>
                <w:sz w:val="16"/>
                <w:szCs w:val="16"/>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10,971</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41,333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recognized $66.0 million of interest expense in fiscal 2020 primarily related to the 2026 Notes and the 2029 Notes. We recognized $52.8 million of interest expense in fiscal 2019 primarily related to the 2023 Notes, the 2025 Notes and the 2026 Notes. Interest expense in the preceding table for fiscal years 2020 and 2019 is net of capitalized interest of $5.6 million and $8.8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2020 we recorded a gain of $43.0 million related to the remeasurement of our previously held equity interest in Cavendish in connection with our purchase of the remaining issued and outstanding capital of the entity (see Note 5 of the Notes to the Consolidated Financial Statements set forth in Part II, Item 8 for additional information regarding the Cavendish acquisition). During fiscal 2020 we recorded an impairment of $18.3 million on an equity investment without a readily determinable fair value (see Note 7 of the Notes to the Consolidated Financial Statements set forth in Part II, Item 8 for additional information regarding our investments).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fiscal 2019 we recorded a loss on debt extinguishment of $90.2 million (see Note 9 of the Notes to the Consolidated Financial Statements set forth in Part II, Item 8 for additional information regarding our debt extinguishment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Income tax expense for fiscal 2020 was $60.8 million. This was primarily comprised of tax expense related to international operations generating pre-tax book income, the impact of the Tax Act's GILTI provisions, the reversal of the permanent reinvestment assertion with regards to certain unrepatriated foreign earnings, and an increase in gross unrecognized tax benefits, offset by a tax benefit related to domestic and international operations generating pre-tax book losses and domestic tax credits. For fiscal 2020, this resulted in an annual effective tax rate of 15.4%.</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benefit for fiscal 2019 was $41.3 million. This was primarily comprised of tax benefits related to domestic and international operations generating pre-tax book losses, tax credits, adjustments related to provisional estimates for the impact of the Tax Act, and a decrease in gross unrecognized tax benefits, offset by tax expenses related to international operations generating pre-tax book income and tax expense related to the GILTI inclusions. For fiscal 2019, this resulted in an annual effective tax rate of (45.0)%.</w:t>
      </w:r>
    </w:p>
    <w:p>
      <w:pPr>
        <w:spacing w:after="0" w:line="14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2020 and 2019, the valuation allowance against domestic and foreign deferred tax assets was $35.3 million and $40.4 million, respectively.</w:t>
      </w:r>
    </w:p>
    <w:p>
      <w:pPr>
        <w:spacing w:after="0" w:line="1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13 of the Notes to the Consolidated Financial Statements set forth in Part II, Item 8 of this report for additional information regarding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Under Financial Accounting Standards Board Accounting Standards Codification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28, 2020, total remaining unearned compensation cost related to unvested restricted stock units was $87.4 million, which will be amortized over the weighted-average remaining service period of approximately 1.3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Cash generated by operations is our primary source of liquidity. As of March 28, 2020, we had working capital of approximately $1,151.5 million, including $714.9 million in cash and cash equivalents, compared to working capital of $1,249.2 million, including $711.0 million in cash and cash equivalents, as of March 30, 2019.</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$714.9 million of total cash and cash equivalents as of March 28, 2020, includes approximately $345.3 million held by our foreign subsidiaries, of which $266.4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At this time, we are not able to estimate the long-term impact of the COVID-19 outbreak on our business, financial condition, results of operations, and/or cash flow. We believe we have sufficient liquidity available from operating cash flow, cash on hand, and availability under our revolving credit facility. However, as the situation evolves, we will continue to assess our liquidity needs, evaluate available alternatives and take appropriate 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December 5, 2017, we and certain of our material domestic subsidiaries (the "Guarantors") entered into the Credit Agreement with Bank of America, N.A., as administrative agent (in such capacity, the "Administrative Agent"). The Credit Agreement included the Term Loan and a $300.0 million senior revolving line of credit (the "Revolving Facility"). In addition, we may request one or more additional tranches of term loans or increases in the Revolving Facility, up to an aggregate of $300.0 million and subject to securing additional funding commitments from the existing or new lenders (the "Incremental Facility", and collectively with the Term Loan and the Revolving Facility, the "Credit Facility"). On the closing date, $100.0 million of the Term Loan was funded (and was subsequently repaid in March 2018). On June 17, 2019, we drew $100.0 million of the Term Loan. The delayed draw availability period for the remaining $200.0 million of the Term Loan expired on December 31, 2019. The Revolving Facility includes a $25.0 million sublimit for the issuance of standby letters of credit and a $10.0 million sublimit for swing line loans.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fiscal 2020, there were no borrowings under the Revolving Facility.</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Note 9 of the Notes to the Consolidated Financial Statements set forth in Part II, Item 8 of this report for further information about the Credit Agreement, including applicable interest rates and financial covenants. As of March 28, 2020, we were in compliance with all the financial covenants under the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October 31, 2019, we announced that our Board of Directors authorized a new share repurchase program to repurchase up to $1.0 billion of our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repurchased 6.4 million shares, 9.1 million shares and 2.9 million shares of our common stock during fiscal years 2020, 2019 and 2018, respectively, at an aggregate cost of $515.1 million, $638.1 million and $219.9 million, respectively, in accordance with the current and prior share repurchase programs. As of March 28, 2020, $765.9 million remains available for future repurchases under our current share repurchase program.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Operating activities in fiscal 2020 provided cash of $945.6 million, compared to $810.4 million in fiscal 2019. This year-over-year increase was primarily due to favorable changes in working capital driven by improvements in days sales outstanding and improved inventory management in fiscal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used in investing activities in fiscal 2020 was $1,105.7 million, compared to $247.6 million in fiscal 2019. This year-over-year increase was primarily due to the acquisitions of Active-Semi, Cavendish, Custom MMIC and Decawave in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in fiscal 2020 was $165.6 million, compared to net cash used in financing activities of $776.7 million in fiscal 2019. In fiscal 2019, cash disbursed in connection with the retirement of all of the 2023 Notes and a majority of the 2025 Notes was partially offset by cash proceeds received from the issuance of the 2026 Notes. During fiscal 2020, we received cash proceeds of $559.0 million from the issuance of the 2029 Notes and $100.0 million from the draw on the Term Loan.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equity or debt financing could be dilutive to holders of our common stock. Further, we cannot be sure that additional equity or debt financing, if required, will be available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do not believe that the effects of inflation had a significant impact on our revenue or operating income during fiscal years 2020 and 2019. However, there can be no assurance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2020, we had no off-balance sheet arrangements as defined in Item 303(a)(4)(ii) of SEC Regulation S-K.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March 28, 2020, and the effect such obligations are expected to have on our liquidity and cash flows in future periods.</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Payments Due By Period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80"/>
        </w:trPr>
        <w:tc>
          <w:tcPr>
            <w:tcW w:w="3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r>
      <w:tr>
        <w:trPr>
          <w:trHeight w:val="257"/>
        </w:trPr>
        <w:tc>
          <w:tcPr>
            <w:tcW w:w="3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Total Payments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Fiscal 2021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Fiscal 2022-2023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Fiscal 2024-2025</w:t>
            </w: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Fiscal 2026 and thereafter</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Capital commitments </w:t>
            </w:r>
            <w:r>
              <w:rPr>
                <w:rFonts w:ascii="Arial" w:cs="Arial" w:eastAsia="Arial" w:hAnsi="Arial"/>
                <w:sz w:val="14"/>
                <w:szCs w:val="14"/>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4"/>
                <w:szCs w:val="14"/>
                <w:color w:val="auto"/>
              </w:rPr>
              <w:t>(2)</w:t>
            </w:r>
          </w:p>
        </w:tc>
        <w:tc>
          <w:tcPr>
            <w:tcW w:w="1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2,152,023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84,610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247,269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150,402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1,669,742</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14"/>
                <w:szCs w:val="14"/>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23,891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27,194</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4"/>
                <w:szCs w:val="14"/>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 xml:space="preserve">Cross-licensing liability </w:t>
            </w:r>
            <w:r>
              <w:rPr>
                <w:rFonts w:ascii="Arial" w:cs="Arial" w:eastAsia="Arial" w:hAnsi="Arial"/>
                <w:sz w:val="14"/>
                <w:szCs w:val="14"/>
                <w:color w:val="auto"/>
              </w:rPr>
              <w:t>(5)</w:t>
            </w:r>
          </w:p>
        </w:tc>
        <w:tc>
          <w:tcPr>
            <w:tcW w:w="1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4"/>
                <w:szCs w:val="14"/>
                <w:color w:val="auto"/>
              </w:rPr>
              <w:t>(6)</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w:t>
            </w: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2,641,152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410,351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293,290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170,609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1,766,902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17145</wp:posOffset>
            </wp:positionV>
            <wp:extent cx="5040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pacing w:after="0" w:line="38" w:lineRule="exact"/>
        <w:rPr>
          <w:sz w:val="20"/>
          <w:szCs w:val="20"/>
          <w:color w:val="auto"/>
        </w:rPr>
      </w:pPr>
    </w:p>
    <w:p>
      <w:pPr>
        <w:ind w:right="60" w:firstLine="8"/>
        <w:spacing w:after="0" w:line="255"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Capital commitments represent obligations for the purchase of property and equipment, a majority of which are not recorded as liabilities on our Consolidated Balance Sheet because we had not received the related goods or services as of March 28, 2020.</w:t>
      </w:r>
    </w:p>
    <w:p>
      <w:pPr>
        <w:spacing w:after="0" w:line="1" w:lineRule="exact"/>
        <w:rPr>
          <w:rFonts w:ascii="Arial" w:cs="Arial" w:eastAsia="Arial" w:hAnsi="Arial"/>
          <w:sz w:val="16"/>
          <w:szCs w:val="16"/>
          <w:color w:val="auto"/>
        </w:rPr>
      </w:pPr>
    </w:p>
    <w:p>
      <w:pPr>
        <w:ind w:right="20" w:firstLine="8"/>
        <w:spacing w:after="0" w:line="246"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Long-term debt obligations represent future cash payments of principal and interest over the life of the 2025 Notes, the 2026 Notes, the 2029 Notes and the Term Loan, including anticipated interest payments not recorded as liabilities on our Consolidated Balance Sheet as of March 28, 2020. Debt obligations are classified based on their stated maturity date, and any future redemptions would impact our cash payments. See Note 9 of the Notes to the Consolidated Financial Statements set forth in Part II, Item 8 of this report for further information.</w:t>
      </w:r>
    </w:p>
    <w:p>
      <w:pPr>
        <w:spacing w:after="0" w:line="1" w:lineRule="exact"/>
        <w:rPr>
          <w:rFonts w:ascii="Arial" w:cs="Arial" w:eastAsia="Arial" w:hAnsi="Arial"/>
          <w:sz w:val="16"/>
          <w:szCs w:val="16"/>
          <w:color w:val="auto"/>
        </w:rPr>
      </w:pPr>
    </w:p>
    <w:p>
      <w:pPr>
        <w:jc w:val="both"/>
        <w:ind w:right="300" w:firstLine="8"/>
        <w:spacing w:after="0" w:line="246"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finance lease obligation primarily relates to a lease that was signed in fiscal 2018 for an assembly and test facility in Beijing, China. This lease will allow us to consolidate several leased facilities in Beijing, China. The lease is not recorded on our Consolidated Balance Sheet as of March 28, 2020 because the lease term is not expected to commence until fiscal 2021.</w:t>
      </w:r>
    </w:p>
    <w:p>
      <w:pPr>
        <w:spacing w:after="0" w:line="1" w:lineRule="exact"/>
        <w:rPr>
          <w:rFonts w:ascii="Arial" w:cs="Arial" w:eastAsia="Arial" w:hAnsi="Arial"/>
          <w:sz w:val="16"/>
          <w:szCs w:val="16"/>
          <w:color w:val="auto"/>
        </w:rPr>
      </w:pPr>
    </w:p>
    <w:p>
      <w:pPr>
        <w:ind w:right="100" w:firstLine="8"/>
        <w:spacing w:after="0" w:line="246"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Purchase obligations represent payments due related to the purchase of materials and manufacturing services, a majority of which are not recorded as liabilities on our Consolidated Balance Sheet because we had not received the related goods or services as of March 28, 2020.</w:t>
      </w:r>
    </w:p>
    <w:p>
      <w:pPr>
        <w:ind w:right="340" w:firstLine="8"/>
        <w:spacing w:after="0" w:line="246"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cross-licensing liability represents payables under a cross-licensing agreement and are included in "Accrued liabilities" and "Other long-term liabilities" in the Consolidated Balance Sheet as of March 28, 2020.</w:t>
      </w:r>
    </w:p>
    <w:p>
      <w:pPr>
        <w:ind w:right="220" w:firstLine="8"/>
        <w:spacing w:after="0" w:line="257"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Commitments for deferred compensation represent the liability under our Non-Qualified Deferred Compensation Plan. See Note 10 of the Notes to the Consolidated Financial Statements set forth in Part II, Item 8 of this report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Obligations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28, 2020, in addition to the amounts shown in the contractual obligations table above, we have $124.6 million of unrecognized income tax benefits and accrued interest and penalties, of which $19.4 million has been recorded as a liability. We are uncertain as to if, or when, such amounts may be settled. We also have an obligation related to the Transitional Repatriation Tax. We have elected to pay the remaining obligation of $5.6 million, which has been recorded as a liability, over eight years.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in Note 10 of the Notes to the Consolidated Financial Statements set forth in Part II, Item 8 of this report, we have two pension plans in Germany with a combined benefit obligation of approximately $12.3 million as of March 28, 2020. Pension benefit payments are not included in the schedule above because they are not available for all periods presented. Pension benefit payments were approximately $0.2 million in fiscal 2020 and are expected to be approximately $0.3 million in fiscal 2021.</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130" w:right="4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the Indentures, our obligations under the Notes are fully and unconditionally guaranteed on a joint and several unsecured basis by the Guarantors, each of which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28, 2020</w:t>
            </w: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1,112,828</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2,346,759</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9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253,324</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14"/>
                <w:szCs w:val="14"/>
                <w:color w:val="auto"/>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1,901,756</w:t>
            </w:r>
          </w:p>
        </w:tc>
      </w:tr>
      <w:tr>
        <w:trPr>
          <w:trHeight w:val="27"/>
        </w:trPr>
        <w:tc>
          <w:tcPr>
            <w:tcW w:w="9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current receivable from Non-Guarantors of $484.2 million.</w:t>
      </w:r>
    </w:p>
    <w:p>
      <w:pPr>
        <w:spacing w:after="0" w:line="9"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non-current payable to Non-Guarantors of $249.9 million.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Summarized Statement of Operations</w:t>
            </w:r>
          </w:p>
        </w:tc>
        <w:tc>
          <w:tcPr>
            <w:tcW w:w="340" w:type="dxa"/>
            <w:vAlign w:val="bottom"/>
          </w:tcPr>
          <w:p>
            <w:pPr>
              <w:spacing w:after="0"/>
              <w:rPr>
                <w:sz w:val="18"/>
                <w:szCs w:val="18"/>
                <w:color w:val="auto"/>
              </w:rPr>
            </w:pPr>
          </w:p>
        </w:tc>
        <w:tc>
          <w:tcPr>
            <w:tcW w:w="1460" w:type="dxa"/>
            <w:vAlign w:val="bottom"/>
          </w:tcPr>
          <w:p>
            <w:pPr>
              <w:jc w:val="right"/>
              <w:ind w:right="477"/>
              <w:spacing w:after="0"/>
              <w:rPr>
                <w:sz w:val="20"/>
                <w:szCs w:val="20"/>
                <w:color w:val="auto"/>
              </w:rPr>
            </w:pPr>
            <w:r>
              <w:rPr>
                <w:rFonts w:ascii="Arial" w:cs="Arial" w:eastAsia="Arial" w:hAnsi="Arial"/>
                <w:sz w:val="14"/>
                <w:szCs w:val="14"/>
                <w:b w:val="1"/>
                <w:bCs w:val="1"/>
                <w:color w:val="auto"/>
              </w:rPr>
              <w:t>Fiscal Year</w:t>
            </w:r>
          </w:p>
        </w:tc>
      </w:tr>
      <w:tr>
        <w:trPr>
          <w:trHeight w:val="192"/>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981,845</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108,096</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(254,769)</w:t>
            </w:r>
          </w:p>
        </w:tc>
      </w:tr>
      <w:tr>
        <w:trPr>
          <w:trHeight w:val="27"/>
        </w:trPr>
        <w:tc>
          <w:tcPr>
            <w:tcW w:w="9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set forth in Part II, Item 8 of this report).</w:t>
      </w:r>
    </w:p>
    <w:p>
      <w:pPr>
        <w:spacing w:after="0" w:line="177" w:lineRule="exact"/>
        <w:rPr>
          <w:sz w:val="20"/>
          <w:szCs w:val="20"/>
          <w:color w:val="auto"/>
        </w:rPr>
      </w:pPr>
    </w:p>
    <w:p>
      <w:pPr>
        <w:ind w:left="660" w:right="140"/>
        <w:spacing w:after="0" w:line="293" w:lineRule="auto"/>
        <w:rPr>
          <w:sz w:val="20"/>
          <w:szCs w:val="20"/>
          <w:color w:val="auto"/>
        </w:rPr>
      </w:pPr>
      <w:r>
        <w:rPr>
          <w:rFonts w:ascii="Arial" w:cs="Arial" w:eastAsia="Arial" w:hAnsi="Arial"/>
          <w:sz w:val="16"/>
          <w:szCs w:val="16"/>
          <w:b w:val="1"/>
          <w:bCs w:val="1"/>
          <w:i w:val="1"/>
          <w:iCs w:val="1"/>
          <w:color w:val="auto"/>
        </w:rPr>
        <w:t xml:space="preserve">Inventory Reserves. </w:t>
      </w:r>
      <w:r>
        <w:rPr>
          <w:rFonts w:ascii="Arial" w:cs="Arial" w:eastAsia="Arial" w:hAnsi="Arial"/>
          <w:sz w:val="16"/>
          <w:szCs w:val="16"/>
          <w:color w:val="auto"/>
        </w:rPr>
        <w:t>The valuation of inventory requires us to estimate obsolete or excess inventory. The determination of obsolete or excess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164"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an impact on margins of less than 2% in fiscal years 2020 and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340"/>
        <w:spacing w:after="0" w:line="279"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Periodically, we evaluate the period over which we expect to recover the economic value of our property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considering factors such as changes in machinery and equipment technology, our ability to re-use equipment across generations of process technology and historical usage trends. When we determine that the useful lives of assets are shorter or longer than we had originally estimated, we adjust the rate of depreciation to reflect the revised useful lives of the assets.</w:t>
      </w:r>
    </w:p>
    <w:p>
      <w:pPr>
        <w:spacing w:after="0" w:line="171"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The process of evaluating property and equipment for impairment is highly subjective and requires significant judgment as we are required to make assumptions about items such as future demand for our products and industry trends.</w:t>
      </w:r>
    </w:p>
    <w:p>
      <w:pPr>
        <w:spacing w:after="0" w:line="178" w:lineRule="exact"/>
        <w:rPr>
          <w:sz w:val="20"/>
          <w:szCs w:val="20"/>
          <w:color w:val="auto"/>
        </w:rPr>
      </w:pPr>
    </w:p>
    <w:p>
      <w:pPr>
        <w:ind w:left="660" w:right="220"/>
        <w:spacing w:after="0" w:line="263" w:lineRule="auto"/>
        <w:rPr>
          <w:sz w:val="20"/>
          <w:szCs w:val="20"/>
          <w:color w:val="auto"/>
        </w:rPr>
      </w:pPr>
      <w:r>
        <w:rPr>
          <w:rFonts w:ascii="Arial" w:cs="Arial" w:eastAsia="Arial" w:hAnsi="Arial"/>
          <w:sz w:val="18"/>
          <w:szCs w:val="18"/>
          <w:b w:val="1"/>
          <w:bCs w:val="1"/>
          <w:i w:val="1"/>
          <w:iCs w:val="1"/>
          <w:color w:val="auto"/>
        </w:rPr>
        <w:t xml:space="preserve">Business Acquisitions. </w:t>
      </w:r>
      <w:r>
        <w:rPr>
          <w:rFonts w:ascii="Arial" w:cs="Arial" w:eastAsia="Arial" w:hAnsi="Arial"/>
          <w:sz w:val="18"/>
          <w:szCs w:val="18"/>
          <w:color w:val="auto"/>
        </w:rPr>
        <w:t>We record goodwill when the consideration paid for a business acquisition exceeds the estimated fair value of the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tangible and intangible assets acquired. Goodwill is assigned to our reporting unit that is expected to benefit from the synergies of the business combination.</w:t>
      </w:r>
    </w:p>
    <w:p>
      <w:pPr>
        <w:spacing w:after="0" w:line="184"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A number of assumptions, estimates and judgments are used in determining the fair value of acquired assets and liabilities, particularly with respect to the intangible assets acquired. The valuation of intangible assets requires our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71" w:lineRule="exact"/>
        <w:rPr>
          <w:sz w:val="20"/>
          <w:szCs w:val="20"/>
          <w:color w:val="auto"/>
        </w:rPr>
      </w:pPr>
    </w:p>
    <w:p>
      <w:pPr>
        <w:jc w:val="both"/>
        <w:ind w:left="660" w:right="220"/>
        <w:spacing w:after="0" w:line="263" w:lineRule="auto"/>
        <w:rPr>
          <w:sz w:val="20"/>
          <w:szCs w:val="20"/>
          <w:color w:val="auto"/>
        </w:rPr>
      </w:pPr>
      <w:r>
        <w:rPr>
          <w:rFonts w:ascii="Arial" w:cs="Arial" w:eastAsia="Arial" w:hAnsi="Arial"/>
          <w:sz w:val="18"/>
          <w:szCs w:val="18"/>
          <w:color w:val="auto"/>
        </w:rPr>
        <w:t>Further judgment is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184" w:lineRule="exact"/>
        <w:rPr>
          <w:sz w:val="20"/>
          <w:szCs w:val="20"/>
          <w:color w:val="auto"/>
        </w:rPr>
      </w:pPr>
    </w:p>
    <w:p>
      <w:pPr>
        <w:ind w:left="660" w:right="120"/>
        <w:spacing w:after="0" w:line="296" w:lineRule="auto"/>
        <w:rPr>
          <w:sz w:val="20"/>
          <w:szCs w:val="20"/>
          <w:color w:val="auto"/>
        </w:rPr>
      </w:pPr>
      <w:r>
        <w:rPr>
          <w:rFonts w:ascii="Arial" w:cs="Arial" w:eastAsia="Arial" w:hAnsi="Arial"/>
          <w:sz w:val="16"/>
          <w:szCs w:val="16"/>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w:t>
      </w:r>
    </w:p>
    <w:p>
      <w:pPr>
        <w:spacing w:after="0" w:line="16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We perform an annual impairment assessment of goodwill at the reporting unit level on the first day of the fourth quarter in each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or more frequently if indicators of potential impairment exist. Reporting units, as defined by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may be operating segments as a whole or an operation one level below an operating segment, referred to as a component. We have determined that our reporting units are our two operating and reportable segments, MP and IDP.</w:t>
      </w:r>
    </w:p>
    <w:p>
      <w:pPr>
        <w:spacing w:after="0" w:line="187"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 accordance with ASC 350, we may assess qualitative factors to determine whether it is more likely than not that the fair value of a reporting unit is less than its carrying value, including goodwill.</w:t>
      </w:r>
    </w:p>
    <w:p>
      <w:pPr>
        <w:spacing w:after="0" w:line="17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In performing a qualitative assessment, we consider (i) our overall historical and projected future operating results, (ii) if there was a significant decline in our stock price for a sustained period, (iii) if there was a significant change in our market capitalization relative to our net book value, and (iv) if there was a prolonged or more significant slowdown in the worldwide economy of the semiconductor industry, as well as other relevant events and factors affecting the reporting unit. If we assess these qualitative factors and conclude that it is more likely than not that the fair value of a reporting unit is less than its carrying amount, or if we decide not to perform a qualitative assessment, then a quantitative impairment test is performed.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400"/>
        <w:spacing w:after="0" w:line="342" w:lineRule="auto"/>
        <w:rPr>
          <w:sz w:val="20"/>
          <w:szCs w:val="20"/>
          <w:color w:val="auto"/>
        </w:rPr>
      </w:pPr>
      <w:r>
        <w:rPr>
          <w:rFonts w:ascii="Arial" w:cs="Arial" w:eastAsia="Arial" w:hAnsi="Arial"/>
          <w:sz w:val="16"/>
          <w:szCs w:val="16"/>
          <w:color w:val="auto"/>
        </w:rPr>
        <w:t>In fiscal years 2019 and 2018, we completed qualitative assessments and concluded that based on the relevant facts and circumstances, it was more likely than not that each reporting unit’s fair value exceeded its related carrying value and no further impairment testing was required.</w:t>
      </w:r>
    </w:p>
    <w:p>
      <w:pPr>
        <w:spacing w:after="0" w:line="124"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In fiscal 2020, we performed a quantitative impairment test. Our quantitative impairment test considered both the income approach and the market approach to estimate each reporting unit’s fair value. Under the income approach, the fair value of each reporting unit is based on the present value of estimated future cash flows. Cash flow projections are based on our estimates of revenue growth rates and operating margins, taking into consideration industry and market conditions. The discount rate used to determine the present value of future cash flows is based on the weighted-average cost of capital adjusted for the relevant risk associated with business-specific characteristics and the uncertainty related to the business's ability to execute on the projected cash flows. The market approach estimates fair value based on market multiples of revenue and earnings derived from comparable publicly traded companies with similar operating and investment characteristics. The resulting fair value, based on the income and market approaches, is then compared to the carrying value to determine if impairment is necessary.</w:t>
      </w:r>
    </w:p>
    <w:p>
      <w:pPr>
        <w:spacing w:after="0" w:line="165"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color w:val="auto"/>
        </w:rPr>
        <w:t>As a result of the quantitative analysis performed in fiscal 2020, it was determined that the fair value of each of our reporting units substantially exceeded their carrying values. As the assumptions used in the income approach and market approach can have a material impact on the fair value determinations, we performed a sensitivity analysis of key assumptions used in the assessment and determined that a one percentage point increase in the discount rate along with a one percentage point decrease in the long-term growth rate would not result in an impairment of goodwill for either reporting unit and their fair values substantially exceeded their carrying values.</w:t>
      </w:r>
    </w:p>
    <w:p>
      <w:pPr>
        <w:spacing w:after="0" w:line="176" w:lineRule="exact"/>
        <w:rPr>
          <w:sz w:val="20"/>
          <w:szCs w:val="20"/>
          <w:color w:val="auto"/>
        </w:rPr>
      </w:pPr>
    </w:p>
    <w:p>
      <w:pPr>
        <w:ind w:left="660" w:right="80"/>
        <w:spacing w:after="0" w:line="269" w:lineRule="auto"/>
        <w:rPr>
          <w:sz w:val="20"/>
          <w:szCs w:val="20"/>
          <w:color w:val="auto"/>
        </w:rPr>
      </w:pPr>
      <w:r>
        <w:rPr>
          <w:rFonts w:ascii="Arial" w:cs="Arial" w:eastAsia="Arial" w:hAnsi="Arial"/>
          <w:sz w:val="17"/>
          <w:szCs w:val="17"/>
          <w:b w:val="1"/>
          <w:bCs w:val="1"/>
          <w:i w:val="1"/>
          <w:iCs w:val="1"/>
          <w:color w:val="auto"/>
        </w:rPr>
        <w:t xml:space="preserve">Identified Intangible Assets. </w:t>
      </w:r>
      <w:r>
        <w:rPr>
          <w:rFonts w:ascii="Arial" w:cs="Arial" w:eastAsia="Arial" w:hAnsi="Arial"/>
          <w:sz w:val="17"/>
          <w:szCs w:val="17"/>
          <w:color w:val="auto"/>
        </w:rPr>
        <w:t>We amortize finite-lived intangible assets (including developed technology, customer relationships, trade names,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licenses and backlog) over their estimated useful life. In-process research and development ("IPRD") assets represent the fair value of incomplete R&amp;D projects that had not reached technological feasibility as of the date of the acquisition; initially, these are classified as IPRD and are not subject to amortization. Upon completion of development, IPRD assets are transferred to developed technology and are amortized over their useful lives. The asset balances relating to abandoned projects are impaired and expensed to R&amp;D. We perform a quarterly review of significant intangible assets to determine whether facts and circumstances (including external factors such as industry and economic trends and internal factors such as changes in our business strategy and forecasts)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182"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generate revenue primarily from the sale of semiconductor products, either directly to a customer or to a distributor,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completion of a consignment process. Revenue is recognized when control of the promised goods or services is transferred to our customers, in an amount that reflects the consideration we expect to be entitled in exchange for those goods or services. A majority of our revenue is recognized at a point in time, either on shipment or delivery of the product, depending on individual customer terms and conditions. Revenue from sales to our distributors is recognized upon shipment of the product to the distributors (sell-in). Revenue is recognized from our consignment programs at a point in time when the products are pulled from consignment inventory by the customer. Revenue recognized for products and services over-time is immaterial (less than 2% of overall revenue). We apply a five-step approach as defined in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in determining the amount and timing of revenue to be recognized: (1) identifying the contract with a customer; (2) identifying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68"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our standard terms and conditions apply. We consider a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order, which is governed by a sales agreement or our standard terms and conditions, to be the contract with the customer.</w:t>
      </w:r>
    </w:p>
    <w:p>
      <w:pPr>
        <w:spacing w:after="0" w:line="225"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a refund or adjustment to determine the net consideration to which we expect to be entitled. Variable consideration in the form of rebate programs is offered to certain customers, including distributors. A majority of these rebates are accrued and classified as a contra accounts receivable and represent less than 5% of net revenue. We determine variable consideration by estimating the most likely amount of consideration we expect to receive from the customer. Our terms and conditions do not give our customers a right of return associated with the original sale of our products. However, we may authorize sales returns under certain circumstances, which include courtesy returns and like-kind exchanges. Sales returns are classified as a refund liability. We reduce revenue and record reserves for product returns and allowances, rebate programs and scrap allowance based on historical experience or specific identification depending on the contractual terms of the arrangement.</w:t>
      </w:r>
    </w:p>
    <w:p>
      <w:pPr>
        <w:spacing w:after="0" w:line="165" w:lineRule="exact"/>
        <w:rPr>
          <w:sz w:val="20"/>
          <w:szCs w:val="20"/>
          <w:color w:val="auto"/>
        </w:rPr>
      </w:pPr>
    </w:p>
    <w:p>
      <w:pPr>
        <w:ind w:left="660" w:right="220"/>
        <w:spacing w:after="0" w:line="257"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our customers. Payments are due upon completion of the performance obligation and subsequent invoicing. Substantially all payments are collected within our standard terms, which do not include any financing components. To date, there have been no material impairment losses on accounts receivable. Contract assets and contract liabilities recorded on the Consolidated Balance Sheets were immaterial as of March 28, 2020 and March 30, 2019.</w:t>
      </w:r>
    </w:p>
    <w:p>
      <w:pPr>
        <w:spacing w:after="0" w:line="188" w:lineRule="exact"/>
        <w:rPr>
          <w:sz w:val="20"/>
          <w:szCs w:val="20"/>
          <w:color w:val="auto"/>
        </w:rPr>
      </w:pPr>
    </w:p>
    <w:p>
      <w:pPr>
        <w:jc w:val="both"/>
        <w:ind w:left="660" w:right="120"/>
        <w:spacing w:after="0" w:line="263" w:lineRule="auto"/>
        <w:rPr>
          <w:sz w:val="20"/>
          <w:szCs w:val="20"/>
          <w:color w:val="auto"/>
        </w:rPr>
      </w:pPr>
      <w:r>
        <w:rPr>
          <w:rFonts w:ascii="Arial" w:cs="Arial" w:eastAsia="Arial" w:hAnsi="Arial"/>
          <w:sz w:val="18"/>
          <w:szCs w:val="18"/>
          <w:color w:val="auto"/>
        </w:rPr>
        <w:t>We invoice customers upon shipment and recognize revenues in accordance with delivery terms. As of March 28, 2020, we had $37.8 million in remaining unsatisfied performance obligations with an original duration greater than one year, of which the majority is expected to be recognized as income over the next 12 months.</w:t>
      </w:r>
    </w:p>
    <w:p>
      <w:pPr>
        <w:spacing w:after="0" w:line="184" w:lineRule="exact"/>
        <w:rPr>
          <w:sz w:val="20"/>
          <w:szCs w:val="20"/>
          <w:color w:val="auto"/>
        </w:rPr>
      </w:pPr>
    </w:p>
    <w:p>
      <w:pPr>
        <w:jc w:val="both"/>
        <w:ind w:left="660" w:right="120"/>
        <w:spacing w:after="0" w:line="263" w:lineRule="auto"/>
        <w:rPr>
          <w:sz w:val="20"/>
          <w:szCs w:val="20"/>
          <w:color w:val="auto"/>
        </w:rPr>
      </w:pPr>
      <w:r>
        <w:rPr>
          <w:rFonts w:ascii="Arial" w:cs="Arial" w:eastAsia="Arial" w:hAnsi="Arial"/>
          <w:sz w:val="18"/>
          <w:szCs w:val="18"/>
          <w:color w:val="auto"/>
        </w:rPr>
        <w:t>We include shipping charges billed to customers in "Revenue" and include the related shipping costs in "Cost of goods sold" in the Consolidated Statements of Operations. Taxes assessed by government authorities on revenue-producing transactions, including tariffs, value-added and excise taxes, are excluded from revenue in the Consolidated Statements of Operations.</w:t>
      </w:r>
    </w:p>
    <w:p>
      <w:pPr>
        <w:spacing w:after="0" w:line="184"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87"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the recoverability of deferred tax assets that arise from temporary differences between the tax and financial statement recognition of revenue and expense.</w:t>
      </w:r>
    </w:p>
    <w:p>
      <w:pPr>
        <w:spacing w:after="0" w:line="184" w:lineRule="exact"/>
        <w:rPr>
          <w:sz w:val="20"/>
          <w:szCs w:val="20"/>
          <w:color w:val="auto"/>
        </w:rPr>
      </w:pPr>
    </w:p>
    <w:p>
      <w:pPr>
        <w:ind w:left="660" w:right="100"/>
        <w:spacing w:after="0" w:line="269" w:lineRule="auto"/>
        <w:rPr>
          <w:sz w:val="20"/>
          <w:szCs w:val="20"/>
          <w:color w:val="auto"/>
        </w:rPr>
      </w:pPr>
      <w:r>
        <w:rPr>
          <w:rFonts w:ascii="Arial" w:cs="Arial" w:eastAsia="Arial" w:hAnsi="Arial"/>
          <w:sz w:val="17"/>
          <w:szCs w:val="17"/>
          <w:color w:val="auto"/>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13 of the Notes to the Consolidated Financial Statements set forth in Part II, Item 8 of this report for additional information regarding changes in the valuation allowance and net deferred tax assets.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13 of the Notes to the Consolidated Financial Statements set forth in Part II, Item 8 of this report for additional information regarding our uncertain tax positions and the amount of unrecognized tax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description of recent accounting pronouncements, including those recently adopted and not yet effective, see Note 1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exposed to financial market risks, including changes in interest rates, foreign currency exchange rates, equity prices and certain commodity prices. The overall objective of our financial risk management program is to seek a reduction in the potential negative earnings effects from changes in interest rates, foreign currency exchange rates, equity prices, and commodity prices arising from our business activities. We manage these financial exposures through operational means and by using various financial instruments, when deemed appropriate. These practices may change as economic conditions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are exposed to interest rate risk via the terms of our Credit Facility, which is comprised of a Term Loan and Revolving Facility with interest rates (see Note 9 of the Notes to the Consolidated Financial Statements set forth in Part II, Item 8 of this report). The outstanding balance related to the Credit Facility as of March 28, 2020 was $100.0 million. A potential change in the associated interest rates would be immaterial to the results of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fiscal 2020, we incurred a foreign currency loss of $2.2 million as compared to a loss of $2.1 million in fiscal 2019, which is recorded in “Other income (expense).”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financial instrument holdings, including foreign receivables, cash and payables at March 28, 2020,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$2.8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30" w:right="3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million. If the U.S. dollar increased in value 10% in relation to the re-measured foreign currency instruments, our net income would have increased by approximately $2.3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marketable equity investments in publicly traded companies are subject to equity market price risk. Accordingly, a fluctuation in the price of each equity security could have an adverse impact on the fair value of our investments. As of March 28, 2020, our equity investments were immaterial (see Note 7 of the Notes to the Consolidated Financial Statements set forth in Part II, Item 8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6"/>
        </w:trPr>
        <w:tc>
          <w:tcPr>
            <w:tcW w:w="8260" w:type="dxa"/>
            <w:vAlign w:val="bottom"/>
            <w:gridSpan w:val="3"/>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tc>
        <w:tc>
          <w:tcPr>
            <w:tcW w:w="2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86"/>
        </w:trPr>
        <w:tc>
          <w:tcPr>
            <w:tcW w:w="826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8260" w:type="dxa"/>
            <w:vAlign w:val="bottom"/>
            <w:gridSpan w:val="3"/>
          </w:tcPr>
          <w:p>
            <w:pPr>
              <w:ind w:left="40"/>
              <w:spacing w:after="0"/>
              <w:rPr>
                <w:sz w:val="20"/>
                <w:szCs w:val="20"/>
                <w:color w:val="auto"/>
              </w:rPr>
            </w:pPr>
            <w:r>
              <w:rPr>
                <w:rFonts w:ascii="Arial" w:cs="Arial" w:eastAsia="Arial" w:hAnsi="Arial"/>
                <w:sz w:val="18"/>
                <w:szCs w:val="18"/>
                <w:b w:val="1"/>
                <w:bCs w:val="1"/>
                <w:color w:val="auto"/>
              </w:rPr>
              <w:t>INDEX TO CONSOLIDATED FINANCIAL STATEMENTS</w:t>
            </w:r>
          </w:p>
        </w:tc>
        <w:tc>
          <w:tcPr>
            <w:tcW w:w="26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9"/>
        </w:trPr>
        <w:tc>
          <w:tcPr>
            <w:tcW w:w="2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291"/>
        </w:trPr>
        <w:tc>
          <w:tcPr>
            <w:tcW w:w="8260" w:type="dxa"/>
            <w:vAlign w:val="bottom"/>
            <w:gridSpan w:val="3"/>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Balance Sheets</w:t>
              </w:r>
            </w:hyperlink>
          </w:p>
        </w:tc>
        <w:tc>
          <w:tcPr>
            <w:tcW w:w="2960" w:type="dxa"/>
            <w:vAlign w:val="bottom"/>
            <w:gridSpan w:val="2"/>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70"/>
        </w:trPr>
        <w:tc>
          <w:tcPr>
            <w:tcW w:w="8260" w:type="dxa"/>
            <w:vAlign w:val="bottom"/>
            <w:gridSpan w:val="3"/>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Operations</w:t>
              </w:r>
            </w:hyperlink>
          </w:p>
        </w:tc>
        <w:tc>
          <w:tcPr>
            <w:tcW w:w="2960" w:type="dxa"/>
            <w:vAlign w:val="bottom"/>
            <w:gridSpan w:val="2"/>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70"/>
        </w:trPr>
        <w:tc>
          <w:tcPr>
            <w:tcW w:w="8260" w:type="dxa"/>
            <w:vAlign w:val="bottom"/>
            <w:gridSpan w:val="3"/>
          </w:tcPr>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Comprehensive Income (Loss)</w:t>
              </w:r>
            </w:hyperlink>
          </w:p>
        </w:tc>
        <w:tc>
          <w:tcPr>
            <w:tcW w:w="2960" w:type="dxa"/>
            <w:vAlign w:val="bottom"/>
            <w:gridSpan w:val="2"/>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29"/>
        </w:trPr>
        <w:tc>
          <w:tcPr>
            <w:tcW w:w="8260" w:type="dxa"/>
            <w:vAlign w:val="bottom"/>
            <w:gridSpan w:val="3"/>
          </w:tcPr>
          <w:p>
            <w:pPr>
              <w:ind w:left="40"/>
              <w:spacing w:after="0"/>
              <w:rPr>
                <w:rFonts w:ascii="Arial" w:cs="Arial" w:eastAsia="Arial" w:hAnsi="Arial"/>
                <w:sz w:val="18"/>
                <w:szCs w:val="18"/>
                <w:color w:val="0000FF"/>
              </w:rPr>
            </w:pPr>
            <w:hyperlink w:anchor="page52">
              <w:r>
                <w:rPr>
                  <w:rFonts w:ascii="Arial" w:cs="Arial" w:eastAsia="Arial" w:hAnsi="Arial"/>
                  <w:sz w:val="18"/>
                  <w:szCs w:val="18"/>
                  <w:u w:val="single" w:color="auto"/>
                  <w:color w:val="0000FF"/>
                </w:rPr>
                <w:t>Consolidated Statements of</w:t>
              </w:r>
              <w:r>
                <w:rPr>
                  <w:rFonts w:ascii="Arial" w:cs="Arial" w:eastAsia="Arial" w:hAnsi="Arial"/>
                  <w:sz w:val="18"/>
                  <w:szCs w:val="18"/>
                  <w:color w:val="0000FF"/>
                </w:rPr>
                <w:t xml:space="preserve"> S</w:t>
              </w:r>
            </w:hyperlink>
            <w:r>
              <w:rPr>
                <w:rFonts w:ascii="Arial" w:cs="Arial" w:eastAsia="Arial" w:hAnsi="Arial"/>
                <w:sz w:val="18"/>
                <w:szCs w:val="18"/>
                <w:color w:val="0000FF"/>
              </w:rPr>
              <w:t>tockholders' Equity</w:t>
            </w:r>
          </w:p>
        </w:tc>
        <w:tc>
          <w:tcPr>
            <w:tcW w:w="2960" w:type="dxa"/>
            <w:vAlign w:val="bottom"/>
            <w:gridSpan w:val="2"/>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0"/>
        </w:trPr>
        <w:tc>
          <w:tcPr>
            <w:tcW w:w="21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91"/>
        </w:trPr>
        <w:tc>
          <w:tcPr>
            <w:tcW w:w="8260" w:type="dxa"/>
            <w:vAlign w:val="bottom"/>
            <w:gridSpan w:val="3"/>
          </w:tcPr>
          <w:p>
            <w:pPr>
              <w:ind w:left="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w:t>
              </w:r>
            </w:hyperlink>
          </w:p>
        </w:tc>
        <w:tc>
          <w:tcPr>
            <w:tcW w:w="2960" w:type="dxa"/>
            <w:vAlign w:val="bottom"/>
            <w:gridSpan w:val="2"/>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70"/>
        </w:trPr>
        <w:tc>
          <w:tcPr>
            <w:tcW w:w="8260" w:type="dxa"/>
            <w:vAlign w:val="bottom"/>
            <w:gridSpan w:val="3"/>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Notes to Consolidated Financial Statements</w:t>
              </w:r>
            </w:hyperlink>
          </w:p>
        </w:tc>
        <w:tc>
          <w:tcPr>
            <w:tcW w:w="2960" w:type="dxa"/>
            <w:vAlign w:val="bottom"/>
            <w:gridSpan w:val="2"/>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70"/>
        </w:trPr>
        <w:tc>
          <w:tcPr>
            <w:tcW w:w="8260" w:type="dxa"/>
            <w:vAlign w:val="bottom"/>
            <w:gridSpan w:val="3"/>
          </w:tcPr>
          <w:p>
            <w:pPr>
              <w:ind w:left="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Reports of Independent Registered Public Accounting Firms</w:t>
              </w:r>
            </w:hyperlink>
          </w:p>
        </w:tc>
        <w:tc>
          <w:tcPr>
            <w:tcW w:w="2960" w:type="dxa"/>
            <w:vAlign w:val="bottom"/>
            <w:gridSpan w:val="2"/>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30" w:right="3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Qorvo, Inc. and Subsidiaries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 2020</w:t>
            </w:r>
          </w:p>
        </w:tc>
        <w:tc>
          <w:tcPr>
            <w:tcW w:w="30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49"/>
        </w:trPr>
        <w:tc>
          <w:tcPr>
            <w:tcW w:w="7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714,939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w w:val="94"/>
              </w:rPr>
              <w:t>Accounts receivable, less allowance of $55 and $40 as of March 28, 2020 and March 30,</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20"/>
              <w:spacing w:after="0"/>
              <w:rPr>
                <w:sz w:val="20"/>
                <w:szCs w:val="20"/>
                <w:color w:val="auto"/>
              </w:rPr>
            </w:pPr>
            <w:r>
              <w:rPr>
                <w:rFonts w:ascii="Arial" w:cs="Arial" w:eastAsia="Arial" w:hAnsi="Arial"/>
                <w:sz w:val="18"/>
                <w:szCs w:val="18"/>
                <w:color w:val="auto"/>
              </w:rPr>
              <w:t>2019, respectively</w:t>
            </w:r>
          </w:p>
        </w:tc>
        <w:tc>
          <w:tcPr>
            <w:tcW w:w="30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367,172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517,198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37,872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38,305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1,690,502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1,259,203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2,614,274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808,892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165,296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6,560,682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246,954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217,801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6,893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539,003</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1,567,231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161,783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91,796</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2,268,017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w w:val="89"/>
              </w:rPr>
              <w:t>Preferred stock, $.0001 par value; 5,000 shares authorized; no shares issued and outstanding</w:t>
            </w:r>
          </w:p>
        </w:tc>
        <w:tc>
          <w:tcPr>
            <w:tcW w:w="300" w:type="dxa"/>
            <w:vAlign w:val="bottom"/>
          </w:tcPr>
          <w:p>
            <w:pPr>
              <w:spacing w:after="0"/>
              <w:rPr>
                <w:sz w:val="21"/>
                <w:szCs w:val="21"/>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Common stock and additional paid-in capital, $.0001 par value; 405,000 shares authorized;</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114,625 and 119,063 shares issued and outstanding at March 28, 2020 and March 30,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4,290,377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4,687,455</w:t>
            </w:r>
          </w:p>
        </w:tc>
        <w:tc>
          <w:tcPr>
            <w:tcW w:w="0" w:type="dxa"/>
            <w:vAlign w:val="bottom"/>
          </w:tcPr>
          <w:p>
            <w:pPr>
              <w:spacing w:after="0"/>
              <w:rPr>
                <w:sz w:val="1"/>
                <w:szCs w:val="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 net of tax</w:t>
            </w:r>
          </w:p>
        </w:tc>
        <w:tc>
          <w:tcPr>
            <w:tcW w:w="3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0" w:type="dxa"/>
            <w:vAlign w:val="bottom"/>
          </w:tcPr>
          <w:p>
            <w:pPr>
              <w:spacing w:after="0"/>
              <w:rPr>
                <w:sz w:val="1"/>
                <w:szCs w:val="1"/>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4,292,665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6,560,682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122" w:right="4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3"/>
        </w:trPr>
        <w:tc>
          <w:tcPr>
            <w:tcW w:w="6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83"/>
        </w:trPr>
        <w:tc>
          <w:tcPr>
            <w:tcW w:w="6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3,239,141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3,090,325</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2,973,536</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1,917,378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1,895,142</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1,826,570</w:t>
            </w:r>
          </w:p>
        </w:tc>
      </w:tr>
      <w:tr>
        <w:trPr>
          <w:trHeight w:val="237"/>
        </w:trPr>
        <w:tc>
          <w:tcPr>
            <w:tcW w:w="630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1,321,763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1,195,183</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1,146,966</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450,482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445,103</w:t>
            </w:r>
          </w:p>
        </w:tc>
      </w:tr>
      <w:tr>
        <w:trPr>
          <w:trHeight w:val="243"/>
        </w:trPr>
        <w:tc>
          <w:tcPr>
            <w:tcW w:w="6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343,569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476,074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527,751</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operating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52,161</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103,830</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898,547</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978,717</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1,076,684</w:t>
            </w:r>
          </w:p>
        </w:tc>
      </w:tr>
      <w:tr>
        <w:trPr>
          <w:trHeight w:val="27"/>
        </w:trPr>
        <w:tc>
          <w:tcPr>
            <w:tcW w:w="6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216,466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70,282</w:t>
            </w:r>
          </w:p>
        </w:tc>
      </w:tr>
      <w:tr>
        <w:trPr>
          <w:trHeight w:val="297"/>
        </w:trPr>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10,971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7,017</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395,089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91,792</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17,145</w:t>
            </w:r>
          </w:p>
        </w:tc>
      </w:tr>
      <w:tr>
        <w:trPr>
          <w:trHeight w:val="27"/>
        </w:trPr>
        <w:tc>
          <w:tcPr>
            <w:tcW w:w="6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6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41,333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(57,433)</w:t>
            </w:r>
          </w:p>
        </w:tc>
      </w:tr>
      <w:tr>
        <w:trPr>
          <w:trHeight w:val="27"/>
        </w:trPr>
        <w:tc>
          <w:tcPr>
            <w:tcW w:w="6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334,325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133,125</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8"/>
                <w:szCs w:val="18"/>
                <w:i w:val="1"/>
                <w:i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3"/>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of common stock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3"/>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117,007</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7"/>
                <w:szCs w:val="17"/>
                <w:color w:val="auto"/>
              </w:rPr>
              <w:t>124,534</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7"/>
                <w:szCs w:val="17"/>
                <w:color w:val="auto"/>
              </w:rPr>
              <w:t>126,946</w:t>
            </w: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119,293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7"/>
                <w:szCs w:val="17"/>
                <w:color w:val="auto"/>
              </w:rPr>
              <w:t>127,356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7"/>
                <w:szCs w:val="17"/>
                <w:color w:val="auto"/>
              </w:rPr>
              <w:t>126,946</w:t>
            </w: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125" w:right="4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334,325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133,125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r>
      <w:tr>
        <w:trPr>
          <w:trHeight w:val="223"/>
        </w:trPr>
        <w:tc>
          <w:tcPr>
            <w:tcW w:w="66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0"/>
        </w:trPr>
        <w:tc>
          <w:tcPr>
            <w:tcW w:w="6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debt securities,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including intra-entity foreign currency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loss (gain) recognized and included in 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1,554</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343,237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129,253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(38,734)</w:t>
            </w: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60" w:type="dxa"/>
            <w:vAlign w:val="bottom"/>
            <w:gridSpan w:val="5"/>
          </w:tcPr>
          <w:p>
            <w:pPr>
              <w:ind w:left="92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00" w:type="dxa"/>
            <w:vAlign w:val="bottom"/>
          </w:tcPr>
          <w:p>
            <w:pPr>
              <w:spacing w:after="0"/>
              <w:rPr>
                <w:sz w:val="5"/>
                <w:szCs w:val="5"/>
                <w:color w:val="auto"/>
              </w:rPr>
            </w:pPr>
          </w:p>
        </w:tc>
        <w:tc>
          <w:tcPr>
            <w:tcW w:w="1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5"/>
                <w:szCs w:val="5"/>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20" w:type="dxa"/>
            <w:vAlign w:val="bottom"/>
          </w:tcPr>
          <w:p>
            <w:pPr>
              <w:spacing w:after="0"/>
              <w:rPr>
                <w:sz w:val="5"/>
                <w:szCs w:val="5"/>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April 1, 2017</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5,357,394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w w:val="91"/>
              </w:rPr>
              <w:t>Exercise of stock options and vesting of restricted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520"/>
              <w:spacing w:after="0"/>
              <w:rPr>
                <w:sz w:val="20"/>
                <w:szCs w:val="20"/>
                <w:color w:val="auto"/>
              </w:rPr>
            </w:pPr>
            <w:r>
              <w:rPr>
                <w:rFonts w:ascii="Arial" w:cs="Arial" w:eastAsia="Arial" w:hAnsi="Arial"/>
                <w:sz w:val="18"/>
                <w:szCs w:val="18"/>
                <w:color w:val="auto"/>
              </w:rPr>
              <w:t>stock units, net of shares withheld for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employee taxes</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28,064</w:t>
            </w:r>
          </w:p>
        </w:tc>
        <w:tc>
          <w:tcPr>
            <w:tcW w:w="0" w:type="dxa"/>
            <w:vAlign w:val="bottom"/>
          </w:tcPr>
          <w:p>
            <w:pPr>
              <w:spacing w:after="0"/>
              <w:rPr>
                <w:sz w:val="1"/>
                <w:szCs w:val="1"/>
                <w:color w:val="auto"/>
              </w:rPr>
            </w:pP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Cumulative-effect adoption of ASU 2016-09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36,684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2016-16</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(219,907)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66,799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Balance, March 31, 2018</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126,322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5,237,085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(458,769)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133,125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266"/>
        </w:trPr>
        <w:tc>
          <w:tcPr>
            <w:tcW w:w="400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Exercise of stock options and vesting of restricted</w:t>
            </w: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units, net of shares withheld for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taxes</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(638,074)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72,460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Balance, March 30, 2019</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119,063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4,687,455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(321,152)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334,325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334,325</w:t>
            </w:r>
          </w:p>
        </w:tc>
        <w:tc>
          <w:tcPr>
            <w:tcW w:w="0" w:type="dxa"/>
            <w:vAlign w:val="bottom"/>
          </w:tcPr>
          <w:p>
            <w:pPr>
              <w:spacing w:after="0"/>
              <w:rPr>
                <w:sz w:val="1"/>
                <w:szCs w:val="1"/>
                <w:color w:val="auto"/>
              </w:rPr>
            </w:pPr>
          </w:p>
        </w:tc>
      </w:tr>
      <w:tr>
        <w:trPr>
          <w:trHeight w:val="266"/>
        </w:trPr>
        <w:tc>
          <w:tcPr>
            <w:tcW w:w="400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Exercise of stock options and vesting of restricted</w:t>
            </w: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units, net of shares withheld for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taxes</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2016-02</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(515,131)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77,107</w:t>
            </w:r>
          </w:p>
        </w:tc>
        <w:tc>
          <w:tcPr>
            <w:tcW w:w="0" w:type="dxa"/>
            <w:vAlign w:val="bottom"/>
          </w:tcPr>
          <w:p>
            <w:pPr>
              <w:spacing w:after="0"/>
              <w:rPr>
                <w:sz w:val="1"/>
                <w:szCs w:val="1"/>
                <w:color w:val="auto"/>
              </w:rPr>
            </w:pP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28, 2020</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4,290,377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125" w:right="4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334,325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133,125</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221,632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208,646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174,425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assets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454,451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539,790</w:t>
            </w: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90,201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(32,248)</w:t>
            </w: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Foreign currency adjustments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Cavendish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Loss on impairment of equity investment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Asset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46,315</w:t>
            </w: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75,978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71,580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68,158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(39,590)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(41,887)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and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28,310</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15,167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38,952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12,935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(38,206)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50,801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945,646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810,364</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852,520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(220,937)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(269,835)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available-for-sale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(132,732)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Proceeds from sales and maturities of available-for-sale debt securities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133,132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Other investing</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(27,017)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(1,105,742)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(247,554)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(277,409)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Repurchase and payment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(1,050,680)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Proceeds from borrowings and debt issuances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659,000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905,350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 transaction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50,198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41,289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Other financing</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(776,664)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380,623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711,382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926,402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715,612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711,382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 for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54,445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64,853</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70,208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year for 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55,513</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69,453</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41,478</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and financing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22,904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37,728</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31,769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240"/>
          </w:cols>
          <w:pgMar w:left="320" w:top="122" w:right="339" w:bottom="979"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22" w:right="339" w:bottom="979"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28,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ITS SIGNIFICANT ACCOUNTING POLICIES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Qorvo, Inc. was formed as the result of a business combination (the "Business Combination") of RF Micro Devices, Inc. ("RFMD") and TriQuint Semiconductor, Inc. ("TriQuint"), which closed on January 1, 2015.</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a leader in the development and commercialization of technologies and products for wireless and wired connectivity. The Company combines a broad portfolio of innovative radio frequency ("RF") solutions, highly differentiated semiconductor technologies, systems-level expertise and global manufacturing scale to supply diverse customers a broad range of products that enable a more connected world.</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design expertise and manufacturing capabilities span multiple semiconductor process technologies. The Company's primary wafer fabrication facilities are located in North Carolina, Oregon and Texas and its primary assembly and test facilities are located in China, Costa Rica, Germany and Texas. The Company also sources multiple products and materials through external suppliers. The Company operates design, sales and other manufacturing facilities throughout Asia, Europe and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 Certain items in the fiscal years 2019 and 2018 financial statements have been reclassified to conform to the fiscal 2020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most recent three fiscal years ended on March 28, 2020, March 30, 2019 and March 31, 2018. Fiscal years 2020, 2019 and 2018 were 52-week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 related contingencies, valuation of long-lived and intangible assets, other contingencies and litigation, among others. The Company generally bases its estimates on historical experience, expected future conditions and third-party evaluations. Accounting estimates require difficult and subjective judgments and actual results may differ from the Company’s estimates, particularly in light of the uncertainty relating to the impact of the recent novel coronavirus (COVID-19) outbreak. Certain accounting estimates that generally require consideration of expected future conditions were assessed by taking into account anticipated impacts from the COVID-19 outbreak as of March 28, 2020 and through the date of this Annual Report on Form 10-K using reasonably available information as of those 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available-for-sale debt securities (consisting of auction rate securities in fiscal 2019) are carried at fair value with the changes in unrealized gains and losses, net of tax, reported in "Other comprehensive income (loss)." The cost of securities sold is based on the specific identification method and any realized gain or loss is included in "Other income (expense)."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current investments. Available-for-sale debt securities with an original maturity date exceeding one year are classified as long-term.</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Marketable equity securities consist of common stock in publicly-traded companies and are carried at fair value with both the realized and unrealized gains and losses reported in "Other income (expense)." Fair values of publicly-traded equity securities are determined using quoted prices in active markets. The marketable equity securities are classified as short-term based on their highly liquid nature and are recorded in "Other current assets" in the Consolidated Balance Sheets.</w:t>
      </w:r>
    </w:p>
    <w:p>
      <w:pPr>
        <w:spacing w:after="0" w:line="10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invests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(expense)" in the Company's Consolidated Statements of Operations.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invests in privately-held companies for which the fair value of the investment is not readily determinable. These equity investments without a readily determinable fair value are measured at cost less impairment, adjusted for any changes in observable prices, and are classified as "Long-term investments" in the Consolidated Balance Sheets. The Company assesses these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187" w:lineRule="exact"/>
        <w:rPr>
          <w:sz w:val="20"/>
          <w:szCs w:val="20"/>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1 - includes instruments for which inputs are quoted prices in active markets for identical assets or liabilities that the Company has the ability to access.</w:t>
      </w:r>
    </w:p>
    <w:p>
      <w:pPr>
        <w:spacing w:after="0" w:line="170"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2 - includes instruments for which the inputs are other than quoted prices that are observable for the asset or liability, either directly or indirectly, and fair value can be determined through the use of models or other valuation methodologies that do not require significant judgment since the inputs are corroborated by readily observable data.</w:t>
      </w:r>
    </w:p>
    <w:p>
      <w:pPr>
        <w:spacing w:after="0" w:line="183" w:lineRule="exact"/>
        <w:rPr>
          <w:rFonts w:ascii="Arial" w:cs="Arial" w:eastAsia="Arial" w:hAnsi="Arial"/>
          <w:sz w:val="18"/>
          <w:szCs w:val="18"/>
          <w:color w:val="auto"/>
        </w:rPr>
      </w:pPr>
    </w:p>
    <w:p>
      <w:pPr>
        <w:ind w:left="660" w:right="7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See Note 7 for further information on equity investments without a readily determinable fair value and Note 12 for further information on impairment of property and equipment.</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carrying values of cash and cash equivalents, accounts receivable, accounts payable and other accrued liabilities approximate fair values because of the relatively short-term maturities of these instruments. See Note 9 for further disclosures related to the fair value of the Company's long-term debt.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30"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Inventories are stated at the lower of cost or net realizable value (cost is based on standard cost, which approximates actual average cost).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"Cost of goods sold" in the period incurred rather than as a portion of inventory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was also not significant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computed using the straight-line method over the estimated useful lives of the assets, ranging from one year to 39 years. The Company capitalizes interest on borrowings related to eligible capital expenditures. Capitalized interest is added to the cost of qualified assets and depreciated together with that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w:t>
      </w:r>
      <w:r>
        <w:rPr>
          <w:rFonts w:ascii="Arial" w:cs="Arial" w:eastAsia="Arial" w:hAnsi="Arial"/>
          <w:sz w:val="17"/>
          <w:szCs w:val="17"/>
          <w:color w:val="333333"/>
        </w:rPr>
        <w:t>Impairment, if any, is based on the excess of the carrying amount over the fair value of those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records goodwill when the consideration paid for a business acquisition exceeds the estimated fair value of the net identified tangible and intangible assets acquired. Goodwill is assigned to the Company's reporting unit that is expected to benefit from the synergies of the business combination.</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performs an annual impairment assessment of goodwill at the reporting unit level on the first day of the fourth quarter in each fiscal year, or more frequently if indicators of potential impairment exist. Reporting units, as defined by Financial Accounting Standards Board ("FASB") Accounting Standards Codification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may be operating segments as a whole or an operation one level below an operating segment, referred to as a component. The Company has determined that its reporting units are its two operating and reportable segments, Mobile Products ("MP") and Infrastructure and Defense Products ("IDP").</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accordance with ASC 350, the Company may assess qualitative factors to determine whether it is more likely than not that the fair value of a reporting unit is less than its carrying value, including goodwill.</w:t>
      </w:r>
    </w:p>
    <w:p>
      <w:pPr>
        <w:spacing w:after="0" w:line="170"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performing a qualitative assessment, the Company considers (i) its overall historical and projected future operating results, (ii) if there was a significant decline in the Company’s stock price for a sustained period, (iii) if there was a significant change in the Company’s market capitalization relative to its net book value, and (iv) if there was a prolonged or more significant slowdown in the worldwide economy of the semiconductor industry, as well as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30" w:right="3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other relevant events and factors affecting the reporting unit. If the Company assesses these qualitative factors and concludes that it is more likely than not that the fair value of a reporting unit is less than its carrying amount, or if the Company decides not to perform a qualitative assessment, then a quantitative impairment test is performed.</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fiscal years 2019 and 2018, the Company completed qualitative assessments and concluded that based on the relevant facts and circumstances, it was more likely than not that each reporting unit’s fair value exceeded its related carrying value and no further impairment testing was required.</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fiscal 2020, the Company performed a quantitative impairment test. The Company’s quantitative impairment test considered both the income approach and the market approach to estimate each reporting unit’s fair value. Under the income approach, the fair value of each reporting unit is based on the present value of estimated future cash flows. Cash flow projections are based on the Company's estimates of revenue growth rates and operating margins, taking into consideration industry and market conditions. The discount rate used to determine the present value of future cash flows is based on the weighted-average cost of capital adjusted for the relevant risk associated with business-specific characteristics and the uncertainty related to the business's ability to execute on the projected cash flows. The market approach estimates fair value based on market multiples of revenue and earnings derived from comparable publicly traded companies with similar operating and investment characteristics. The resulting fair value, based on the income and market approaches, is then compared to the carrying value to determine if impairment is necessary.</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result of the quantitative analysis performed in fiscal 2020, it was determined that the fair value of each of the Company’s reporting units substantially exceeded their carrying values. As the assumptions used in the income approach and market approach can have a material impact on the fair value determinations, the Company performed a sensitivity analysis of key assumptions used in the assessment and determined that a one percentage point increase in the discount rate along with a one percentage point decrease in the long-term growth rate would not result in an impairment of goodwill for either reporting unit and their fair values substantially exceeded their carrying values.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Identified Intangible Assets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amortizes finite-lived intangible assets (including developed technology, customer relationships, trade names, technology licenses and backlog) over their estimated useful life. In-process research and development ("IPRD") assets represent the fair value of incomplete research and development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 The Company performs a quarterly review of significant intangible assets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"Accrued liabilities" balance as of March 28, 2020 and March 30, 2019, includes accrued compensation and benefits of $126.1 million and $93.2 million, respectively, and interest payable of $22.8 million and $11.2 million, respectively.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30" w:right="37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immaterial (less than 2% of overall revenue). The Company applies a five-step approach as defined in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in determining the amount and timing of revenue to be recognized: (1) identifying the contract with a customer; (2) identifying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 majority of these rebates are accrued and classified as a contra accounts receivable and represent less than 5%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Sales returns are classified as a refund liability. The Company reduces revenue and records reserves for product returns and allowances, rebate programs and scrap allowance based on historical experience or specific identification depending on the contractual terms of the arrangement.</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To date, there have been no material impairment losses on accounts receivable. Contract assets and contract liabilities recorded on the Consolidated Balance Sheets were immaterial as of March 28, 2020 and March 30, 2019.</w:t>
      </w:r>
    </w:p>
    <w:p>
      <w:pPr>
        <w:spacing w:after="0" w:line="15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invoices customers upon shipment and recognizes revenues in accordance with delivery terms. As of March 28, 2020, the Company had $37.8 million in remaining unsatisfied performance obligations with an original duration greater than one year, of which the majority is expected to be recognized as income over the next 12 months.</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and excise taxes, are excluded from revenue in the Consolidated Statements of Operations.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incurs commission expense that is incremental to obtaining contracts with customers. Sales commissions (which are recorded in the "Selling, general and administrative"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 more likely than 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is the Company’s current intent and policy to repatriate certain previously taxed earnings of foreign subsidiaries from outside the U.S. Accordingly, the Company recognizes a deferred tax liability for income taxes on certain unremitted foreign earnings of foreign subsidiaries. For earnings which remain permanently reinvested, it is not practical to estimate the additional tax that would be incurred, if any, if the permanently reinvested earnings were repatriated.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28, 2020, total remaining unearned compensation cost related to unvested restricted stock units was $87.4 million, which will be amortized over the weighted-average remaining service period of approximately 1.3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income (loss)" within "Stockholders’ equity" in the Consolidated Balance Sheets. Foreign currency transaction gains or losses (transactions denominated in a currency other than the functional currency) are reported in "Other income (expense)" in the Consolidated Statements of Operations.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30" w:right="3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2016, the FASB issued Accounting Standards Update ("ASU")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which requires a current lifetime expected credit loss methodology to be used to measure impairments of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and other financial assets. Using this methodology will result in earlier recognition of losses than under the current incurred loss approach, which requires waiting to recognize a loss until it is probable of being incurred. This standard will be effective for the Company in the first quarter of fiscal 2021 and will be adopted using the modified retrospective transition method. Upon adoption, the standard is expected to only impact the Company's accounting for credit losses related to accounts receivable. In preparation for the adoption of the new standard, the Company has updated certain policies and related processes, but does not expect the adoption of this new guidance will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with multiple amendments subsequently issued. The new guidance required that lease arrangements be presented on the lessee's balance sheet by recording a right-of-use asset and a lease liability equal to the present value of the related future minimum lease payments. The Company adopted the standard in the first quarter of fiscal 2020, using the modified retrospective approach which permits lessees to recognize a cumulative-effect adjustment to the opening balance of accumulated deficit in the period of adoption. Upon adoption, the Company recorded a right-of-use asset of $70.7 million and a lease liability of $75.0 million. The difference between the right-of-use asset and lease liability is primarily attributed to a deferred rent liability which existed under ASC 840, </w:t>
      </w:r>
      <w:r>
        <w:rPr>
          <w:rFonts w:ascii="Arial" w:cs="Arial" w:eastAsia="Arial" w:hAnsi="Arial"/>
          <w:sz w:val="17"/>
          <w:szCs w:val="17"/>
          <w:i w:val="1"/>
          <w:iCs w:val="1"/>
          <w:color w:val="auto"/>
        </w:rPr>
        <w:t>"Leases."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elected the transition package of practical expedients, under which the Company did not have to reassess (1) whether any expired or existing contracts are leases, or contain leases, (2) the lease classification for any expired or existing leases, and (3) initial direct costs for any existing leases. Further,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adoption of this standard resulted in a cumulative-effect adjustment to accumulated deficit of less than $0.1 million. This standard did not have a material impact on the Consolidated Statements of Operations or Consolidated Statements of Cash Flows. See Note 8 for further disclosures resulting from the adoption of this new standard.</w:t>
      </w:r>
    </w:p>
    <w:p>
      <w:pPr>
        <w:spacing w:after="0" w:line="180"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revenue for the respective periods,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1680" w:type="dxa"/>
            <w:vAlign w:val="bottom"/>
          </w:tcPr>
          <w:p>
            <w:pPr>
              <w:spacing w:after="0"/>
              <w:rPr>
                <w:sz w:val="16"/>
                <w:szCs w:val="16"/>
                <w:color w:val="auto"/>
              </w:rPr>
            </w:pPr>
          </w:p>
        </w:tc>
      </w:tr>
      <w:tr>
        <w:trPr>
          <w:trHeight w:val="79"/>
        </w:trPr>
        <w:tc>
          <w:tcPr>
            <w:tcW w:w="5960" w:type="dxa"/>
            <w:vAlign w:val="bottom"/>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r>
        <w:trPr>
          <w:trHeight w:val="184"/>
        </w:trPr>
        <w:tc>
          <w:tcPr>
            <w:tcW w:w="5960" w:type="dxa"/>
            <w:vAlign w:val="bottom"/>
          </w:tcPr>
          <w:p>
            <w:pPr>
              <w:spacing w:after="0"/>
              <w:rPr>
                <w:sz w:val="16"/>
                <w:szCs w:val="16"/>
                <w:color w:val="auto"/>
              </w:rPr>
            </w:pPr>
          </w:p>
        </w:tc>
        <w:tc>
          <w:tcPr>
            <w:tcW w:w="1680" w:type="dxa"/>
            <w:vAlign w:val="bottom"/>
          </w:tcPr>
          <w:p>
            <w:pPr>
              <w:ind w:left="70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680" w:type="dxa"/>
            <w:vAlign w:val="bottom"/>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80"/>
        </w:trPr>
        <w:tc>
          <w:tcPr>
            <w:tcW w:w="596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Apple Inc. ("Apple") </w:t>
            </w:r>
            <w:r>
              <w:rPr>
                <w:rFonts w:ascii="Arial" w:cs="Arial" w:eastAsia="Arial" w:hAnsi="Arial"/>
                <w:sz w:val="14"/>
                <w:szCs w:val="14"/>
                <w:color w:val="auto"/>
              </w:rPr>
              <w:t>(1)</w:t>
            </w:r>
          </w:p>
        </w:tc>
        <w:tc>
          <w:tcPr>
            <w:tcW w:w="16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rPr>
              <w:t>36%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Huawei Technologies Co., Ltd. and affiliates ("Huawei")</w:t>
            </w:r>
          </w:p>
        </w:tc>
        <w:tc>
          <w:tcPr>
            <w:tcW w:w="1680" w:type="dxa"/>
            <w:vAlign w:val="bottom"/>
          </w:tcPr>
          <w:p>
            <w:pPr>
              <w:ind w:left="7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1"/>
                <w:szCs w:val="21"/>
                <w:color w:val="auto"/>
              </w:rPr>
            </w:pPr>
          </w:p>
        </w:tc>
        <w:tc>
          <w:tcPr>
            <w:tcW w:w="1680" w:type="dxa"/>
            <w:vAlign w:val="bottom"/>
          </w:tcPr>
          <w:p>
            <w:pPr>
              <w:jc w:val="right"/>
              <w:ind w:right="636"/>
              <w:spacing w:after="0"/>
              <w:rPr>
                <w:sz w:val="20"/>
                <w:szCs w:val="20"/>
                <w:color w:val="auto"/>
              </w:rPr>
            </w:pPr>
            <w:r>
              <w:rPr>
                <w:rFonts w:ascii="Arial" w:cs="Arial" w:eastAsia="Arial" w:hAnsi="Arial"/>
                <w:sz w:val="18"/>
                <w:szCs w:val="18"/>
                <w:color w:val="auto"/>
              </w:rPr>
              <w:t>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(1) The Company provided its products to Apple through sales to multiple contract manufacturers.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These customers primarily purchase RF solutions for a variety of mobile devices.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30" w:right="33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receivable related to these customers (which includes multiple contract manufacturers) accounted for 35%, 49% and 26% of the Company's total net accounts receivable balance as of March 28, 2020, March 30, 2019 and March 31, 2018, respectively.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16, 2019, the Company suspended shipments of products to Huawei after the Bureau of Industry and Security (BIS) of the U.S. Department of Commerce added Huawei Technologies Co., Ltd. and over 100 of its affiliates to the BIS's Entity List. Subsequently, the Company restarted shipments from outside the U.S. of certain products that are not subject to the Export Administration Regulations (EAR) to Huawei in compliance with the BIS order. The Company has also applied for a license to ship other products that are subject to the EAR, as required by the rules governing the Entity List. Sales to Huawei will continue to be impacted by trade restrictions.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The components of inventories, net of reserves, are as follows (in thousands):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15"/>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 2020</w:t>
            </w:r>
          </w:p>
        </w:tc>
        <w:tc>
          <w:tcPr>
            <w:tcW w:w="260" w:type="dxa"/>
            <w:vAlign w:val="bottom"/>
          </w:tcPr>
          <w:p>
            <w:pPr>
              <w:spacing w:after="0"/>
              <w:rPr>
                <w:sz w:val="24"/>
                <w:szCs w:val="24"/>
                <w:color w:val="auto"/>
              </w:rPr>
            </w:pP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118,608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291,028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272,469</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113,499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120,716</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517,198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511,793</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 2020</w:t>
            </w:r>
          </w:p>
        </w:tc>
        <w:tc>
          <w:tcPr>
            <w:tcW w:w="260" w:type="dxa"/>
            <w:vAlign w:val="bottom"/>
          </w:tcPr>
          <w:p>
            <w:pPr>
              <w:spacing w:after="0"/>
              <w:rPr>
                <w:sz w:val="16"/>
                <w:szCs w:val="16"/>
                <w:color w:val="auto"/>
              </w:rPr>
            </w:pPr>
          </w:p>
        </w:tc>
        <w:tc>
          <w:tcPr>
            <w:tcW w:w="154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30,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Building and leasehold improvements</w:t>
            </w:r>
          </w:p>
        </w:tc>
        <w:tc>
          <w:tcPr>
            <w:tcW w:w="26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404,075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416,209</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2,145,511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2,025,110</w:t>
            </w:r>
          </w:p>
        </w:tc>
      </w:tr>
      <w:tr>
        <w:trPr>
          <w:trHeight w:val="237"/>
        </w:trPr>
        <w:tc>
          <w:tcPr>
            <w:tcW w:w="7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2,575,428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2,467,315</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(1,415,397)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(1,218,507)</w:t>
            </w:r>
          </w:p>
        </w:tc>
      </w:tr>
      <w:tr>
        <w:trPr>
          <w:trHeight w:val="237"/>
        </w:trPr>
        <w:tc>
          <w:tcPr>
            <w:tcW w:w="7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1,160,031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1,248,808</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117,705</w:t>
            </w:r>
          </w:p>
        </w:tc>
      </w:tr>
      <w:tr>
        <w:trPr>
          <w:trHeight w:val="257"/>
        </w:trPr>
        <w:tc>
          <w:tcPr>
            <w:tcW w:w="754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1,259,203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1,366,513</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83"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color w:val="auto"/>
        </w:rPr>
        <w:t>During fiscal 2020, the Company completed the acquisitions of Active-Semi International, Inc. ("Active-Semi"), Cavendish Kinetics Limited ("Cavendish"), Custom MMIC Design Services, Inc. ("Custom MMIC") and Decawave Limited ("Decawave"). The goodwill resulting from these acquisitions is attributed to synergies and other benefits that are expected to be generated from these transactions.</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operating results of these companies, which were not material either individually or in the aggregate for fiscal 2020, have been included in the Company's consolidated financial statements as of their acquisition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Active-Semi International, Inc.</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6, 2019, the Company acquired all of the outstanding equity interests of Active-Semi, a private fabless supplier of programmable analog power management solutions, for a total purchase price of $307.9 million. The acquisition expanded the Company's product offerings for existing customers and new customers in power management markets.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based on the estimated fair values of the assets acquired and liabilities assumed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6"/>
                <w:szCs w:val="16"/>
                <w:color w:val="auto"/>
              </w:rPr>
              <w:t>(1)</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22,876</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158,400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130,802</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307,894</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(1) Includes cash acquired of $10.0 million.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more significant intangible assets acquired included developed technology of $76.7 million, customer relationships of $40.9 million and IPRD of $40.6 million.</w:t>
      </w:r>
    </w:p>
    <w:p>
      <w:pPr>
        <w:spacing w:after="0" w:line="17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fair values of the Active-Semi developed technology and IPRD acquired were determined based on an income approach using the "excess earnings method," which estimated the values of the intangible assets by discounting the future projected earnings of the asset to present value as of the valuation date. The acquired developed technology assets are being amortized on a straight-line basis over their estimated useful lives of 5 to 9 years.</w:t>
      </w:r>
    </w:p>
    <w:p>
      <w:pPr>
        <w:spacing w:after="0" w:line="1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fiscal 2020, $31.0 million of IPRD assets were completed, transferred to finite-lived intangible assets, and are being amortized over their estimated useful lives of 5 to 7 years. The IPRD remaining as of March 28, 2020 is expected to be completed during fiscal 2021 with remaining costs to complete of less than $2.0 million.</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Active-Semi customer relationships acquired was determined based on an income approach using the "with and without method," in which the value of the asset is determined by the difference in discounted cash flows of the profitability of the Company "with" the asset and the profitability of the Company "without" the asset. These customer relationships are being amortized on a straight-line basis over their estimated useful lives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evaluate certain assets, liabilities and tax estimates over the measurement period (up to one year from the acquisition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recognized from the acquisition of Active-Semi is not deductible for income tax purposes.</w:t>
      </w:r>
    </w:p>
    <w:p>
      <w:pPr>
        <w:spacing w:after="0" w:line="21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fiscal 2020, the Company recorded post-combination compensation expense as well as other acquisition and integration related costs associated with the acquisition of Active-Semi of $25.3 million and $4.2 million in "Other operating expense" and "Cost of goods sold," respectively, in the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September 28, 2019, the Company had an investment in preferred shares in Cavendish, a private supplier of high-performance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ASC 321, </w:t>
      </w:r>
      <w:r>
        <w:rPr>
          <w:rFonts w:ascii="Arial" w:cs="Arial" w:eastAsia="Arial" w:hAnsi="Arial"/>
          <w:sz w:val="18"/>
          <w:szCs w:val="18"/>
          <w:i w:val="1"/>
          <w:iCs w:val="1"/>
          <w:color w:val="auto"/>
        </w:rPr>
        <w:t>"Investments–Equity Securities."</w:t>
      </w:r>
    </w:p>
    <w:p>
      <w:pPr>
        <w:spacing w:after="0" w:line="18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October 4, 2019, the Company acquired the remaining issued and outstanding capital of Cavendish for cash consideration of $198.4 million. The acquisition advances RF MEMS technology for applications across the Company's products and the technology will be transitioned into high-volume manufacturing for mobile devices and other markets.</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This resulted in recognition of a gain of $43.0 million in fiscal 2020, which is recorded in "Other income (expense)" in the Consolidated Statement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The purchase price was calculated as follows (in thousands):</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9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 paid to Cavendish</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198,385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Fair value of equity interest previously held by the Company</w:t>
            </w:r>
          </w:p>
        </w:tc>
        <w:tc>
          <w:tcPr>
            <w:tcW w:w="7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102,383</w:t>
            </w: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300,768</w:t>
            </w:r>
          </w:p>
        </w:tc>
      </w:tr>
      <w:tr>
        <w:trPr>
          <w:trHeight w:val="20"/>
        </w:trPr>
        <w:tc>
          <w:tcPr>
            <w:tcW w:w="9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based on the estimated fair values of the assets acquired and liabilities assumed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6"/>
                <w:szCs w:val="16"/>
                <w:color w:val="auto"/>
              </w:rPr>
              <w:t>(1)</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206,350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100,845</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300,768</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(1) Includes cash acquired of $1.8 million.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most significant intangible asset acquired was developed technology of $206.0 million. The fair value of the Cavendish developed technology acquired was determined based on an income approach using the "excess earnings method," which estimated the value of the intangible asset by discounting the future projected earnings of the asset to present value as of the valuation date. This developed technology is being amortized on a straight-line basis over its estimated useful life of 9 years.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October 4, 2019 acquisition date). Goodwill recognized from the acquisition of Cavendish is not deductible for income tax purposes.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fiscal 2020, the Company recorded post-combination compensation expense as well as other acquisition and integration related costs associated with the acquisition of Cavendish totaling $3.8 million in "Other operating expense" in the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MMIC Design Services, Inc.</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6, 2020, the Company acquired all of the outstanding equity interests of Custom MMIC, a supplier of high-performance gallium arsenide ("GaAs") and gallium nitride ("GaN") monolithic microwave integrated circuits ("MMICs") for defense, aerospace and commercial applications, for a total purchase price of $91.7 million. The acquisition expands the Company's millimeter wave ("mmWave") capabilities for product offerings in defense and commercial markets.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purchase price was comprised of cash consideration of $86.0 million and contingent consideration of up to $10.0 million which is payable to the sellers in the first quarter of fiscal 2022 if certain revenue targets are achieved over a one-year period from the acquisition date. The estimated fair value of the contingent consideration was $5.7 million at both the acquisition date and at March 28, 2020 (and is included in "Other long-term liabilities" in the Consolidated Balance Sheet). In subsequent reporting periods, the contingent consideration liability will be remeasured at fair value with changes recognized in "Other operating expense."</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addition to the purchase price consideration, an installment agreement was entered into for $15.5 million which is payable to certain key employees of Custom MMIC and is subject to their continued employment over a three-year period from the acquisition date. This amount is being recognized as post-combination compensation expense over the requisite service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based on the estimated fair values of the assets acquired and liabilities assumed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6"/>
                <w:szCs w:val="16"/>
                <w:color w:val="auto"/>
              </w:rPr>
              <w:t>(1)</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55,654</w:t>
            </w:r>
          </w:p>
        </w:tc>
        <w:tc>
          <w:tcPr>
            <w:tcW w:w="0" w:type="dxa"/>
            <w:vAlign w:val="bottom"/>
          </w:tcPr>
          <w:p>
            <w:pPr>
              <w:spacing w:after="0"/>
              <w:rPr>
                <w:sz w:val="1"/>
                <w:szCs w:val="1"/>
                <w:color w:val="auto"/>
              </w:rPr>
            </w:pPr>
          </w:p>
        </w:tc>
      </w:tr>
      <w:tr>
        <w:trPr>
          <w:trHeight w:val="237"/>
        </w:trPr>
        <w:tc>
          <w:tcPr>
            <w:tcW w:w="9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91,742</w:t>
            </w:r>
          </w:p>
        </w:tc>
        <w:tc>
          <w:tcPr>
            <w:tcW w:w="0" w:type="dxa"/>
            <w:vAlign w:val="bottom"/>
          </w:tcPr>
          <w:p>
            <w:pPr>
              <w:spacing w:after="0"/>
              <w:rPr>
                <w:sz w:val="1"/>
                <w:szCs w:val="1"/>
                <w:color w:val="auto"/>
              </w:rPr>
            </w:pPr>
          </w:p>
        </w:tc>
      </w:tr>
      <w:tr>
        <w:trPr>
          <w:trHeight w:val="27"/>
        </w:trPr>
        <w:tc>
          <w:tcPr>
            <w:tcW w:w="9100" w:type="dxa"/>
            <w:vAlign w:val="bottom"/>
            <w:vMerge w:val="restart"/>
          </w:tcPr>
          <w:p>
            <w:pPr>
              <w:spacing w:after="0"/>
              <w:rPr>
                <w:sz w:val="20"/>
                <w:szCs w:val="20"/>
                <w:color w:val="auto"/>
              </w:rPr>
            </w:pPr>
            <w:r>
              <w:rPr>
                <w:rFonts w:ascii="Arial" w:cs="Arial" w:eastAsia="Arial" w:hAnsi="Arial"/>
                <w:sz w:val="16"/>
                <w:szCs w:val="16"/>
                <w:color w:val="auto"/>
              </w:rPr>
              <w:t>(1) Includes cash acquired of $2.3 million.</w:t>
            </w: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0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more significant intangible assets acquired were customer relationships of $26.9 million. The fair value of Custom MMIC customer relationship intangibles acquired was determined based on an income approach using the "excess earnings method," which estimated the values of the intangible assets by discounting the future projected earnings of the asset to present value as of the valuation date. These customer relationships are being amortized on a straight-line basis over their estimated useful lives of 10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evaluate certain assets, liabilities and tax estimates over the measurement period (up to one year from the acquisition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goodwill recognized from the acquisition of Custom MMIC is deductible for income tax purposes.</w:t>
      </w:r>
    </w:p>
    <w:p>
      <w:pPr>
        <w:spacing w:after="0" w:line="2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fiscal 2020, the Company recorded post-combination compensation expense as well as other acquisition and integration related costs associated with the acquisition of Custom MMIC totaling $9.4 million in "Other operating expense" in the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Decawave Limited</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February 21, 2020, the Company acquired all of the outstanding equity interests of Decawave, a pioneer in ultra-wide band ("UWB") technology and provider of UWB solutions for mobile, automotive and Internet of Things ("IoT") applications, for a total purchase price of $374.7 million (of which $372.8 million was paid in cash as of year-end). The acquisition expands the Company's product offerings of technology that enables real-time, highly accurate and reliable local area precision-location services.</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to the purchase price consideration, the Company agreed to pay employees of Decawave total compensation of $23.1 million, primarily subject to their continued employment. This amount will be recognized as post-combination compensation expense over the period the employees provide the required services. In fiscal 2020, $5.4 million was recorded in "Other operating expense" in the Consolidated Statement of Operations and $8.1 million and $9.6 million was recorded in "Prepaid expenses" and "Other non-current assets", respectively,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based on the estimated fair values of the assets acquired and liabilities assumed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6"/>
                <w:szCs w:val="16"/>
                <w:color w:val="auto"/>
              </w:rPr>
              <w:t>(1)</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246,060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149,703</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374,740</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(1) Includes cash acquired of $5.0 million.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$235.0 million and customer relationships of $10.0 million.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Decawave developed technology acquired was determined based on an income approach using the "excess earnings method," which estimated the values of the intangible asset by discounting the future projected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earnings of the asset to present value as of the valuation date. The acquired developed technology asset is being amortized on a straight-line basis over its estimated useful life of 7 years.</w:t>
      </w:r>
    </w:p>
    <w:p>
      <w:pPr>
        <w:spacing w:after="0" w:line="17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fair value of Decawave customer relationships acquired was determined based on an income approach using the "with and without method," in which the value of the asset is determined by the difference in discounted cash flows of the profitability of the Company "with" the asset and the profitability of the Company "without" the asset. These customer relationships are being amortized on a straight-line basis over their estimated useful lives of 3 years.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evaluate certain assets, liabilities and tax estimates over the measurement period (up to one year from the acquisition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recognized from the acquisition of Decawave is not deductible for income tax purposes.</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fiscal 2020, the Company recorded post-combination compensation expense of $5.4 million (as discussed above) as well as other acquisition and integration related costs associated with the acquisition of Decawave of $7.0 million in "Other operating expense" in the Consolidated Statement of Operations.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2020 are as follows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 and</w:t>
            </w:r>
          </w:p>
        </w:tc>
        <w:tc>
          <w:tcPr>
            <w:tcW w:w="360" w:type="dxa"/>
            <w:vAlign w:val="bottom"/>
          </w:tcPr>
          <w:p>
            <w:pPr>
              <w:spacing w:after="0"/>
              <w:rPr>
                <w:sz w:val="14"/>
                <w:szCs w:val="14"/>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Defense Products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March 30, 2019 </w:t>
            </w:r>
            <w:r>
              <w:rPr>
                <w:rFonts w:ascii="Arial" w:cs="Arial" w:eastAsia="Arial" w:hAnsi="Arial"/>
                <w:sz w:val="16"/>
                <w:szCs w:val="16"/>
                <w:color w:val="auto"/>
              </w:rPr>
              <w:t>(1)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Active-Semi acquisition</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130,802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130,802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Cavendish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100,845</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Custom MMIC acquisition</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55,654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55,654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Decawave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149,703</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Effect of changes in foreign currency exchange rates </w:t>
            </w:r>
            <w:r>
              <w:rPr>
                <w:rFonts w:ascii="Arial" w:cs="Arial" w:eastAsia="Arial" w:hAnsi="Arial"/>
                <w:sz w:val="16"/>
                <w:szCs w:val="16"/>
                <w:color w:val="auto"/>
              </w:rPr>
              <w:t>(2)</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March 28, 2020 </w:t>
            </w: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2,005,432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608,842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of $621.6 million.</w:t>
      </w:r>
    </w:p>
    <w:p>
      <w:pPr>
        <w:spacing w:after="0" w:line="9"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impact of foreign currency translation when goodwill is recorded in foreign entities whose functional currency is also their local currency.</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Goodwill is allocated to the reporting units that are expected to benefit from the synergies of the business combinations generating the underlying goodwill.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28, 2020</w:t>
            </w:r>
          </w:p>
        </w:tc>
        <w:tc>
          <w:tcPr>
            <w:tcW w:w="11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2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49"/>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1,325,472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652,400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1,246,335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960,793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463,772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346,799</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1,272,725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1,161,735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licenses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2,327</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Backlog</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29,391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Non-compete agreement</w:t>
            </w:r>
          </w:p>
        </w:tc>
        <w:tc>
          <w:tcPr>
            <w:tcW w:w="34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9,600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w w:val="92"/>
              </w:rPr>
              <w:t xml:space="preserve">Effect of changes in foreign currency exchange rates </w:t>
            </w:r>
            <w:r>
              <w:rPr>
                <w:rFonts w:ascii="Arial" w:cs="Arial" w:eastAsia="Arial" w:hAnsi="Arial"/>
                <w:sz w:val="16"/>
                <w:szCs w:val="16"/>
                <w:color w:val="auto"/>
                <w:w w:val="92"/>
              </w:rPr>
              <w:t>(1)</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6,064</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1,810,979</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1,002,087</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2,574,181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2,165,971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(1) Represents the impact of foreign currency translation when intangibles are recorded in foreign entities whose functional currency is also their local currency.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$247.3 million, $454.5 million and $539.8 million in fiscal years 2020, 2019 and 2018, respectively.</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2"/>
                <w:szCs w:val="12"/>
                <w:color w:val="auto"/>
              </w:rPr>
            </w:pPr>
          </w:p>
        </w:tc>
        <w:tc>
          <w:tcPr>
            <w:tcW w:w="166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92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248,000</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7"/>
        </w:trPr>
        <w:tc>
          <w:tcPr>
            <w:tcW w:w="9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Without a Readily Determinable Fair Value</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On October 4, 2019, the Company completed its acquisition of the remaining issued and outstanding capital of Cavendish. Prior to the acquisition date, the Company had accounted for its investment in Cavendish as an equity investment without a readily determinable fair value and the investment was classified in "Long-term investments" in the Consolidated Balance Sheets. See Note 5 for disclosures related to the acquisition of Cavendish.</w:t>
      </w:r>
    </w:p>
    <w:p>
      <w:pPr>
        <w:spacing w:after="0" w:line="14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fiscal 2020, the Company recorded an impairment of $18.3 million on an equity investment without a readily determinable fair value based on recent observable price changes present at the time. This amount is recorded in "Other income (expense)" in the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the financial assets and liabilities measured on a recurring basis was determined using the following levels of inputs as of March 28, 2020 and March 30,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6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300" w:type="dxa"/>
            <w:vAlign w:val="bottom"/>
          </w:tcPr>
          <w:p>
            <w:pPr>
              <w:spacing w:after="0"/>
              <w:rPr>
                <w:sz w:val="14"/>
                <w:szCs w:val="14"/>
                <w:color w:val="auto"/>
              </w:rPr>
            </w:pPr>
          </w:p>
        </w:tc>
        <w:tc>
          <w:tcPr>
            <w:tcW w:w="150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00" w:type="dxa"/>
            <w:vAlign w:val="bottom"/>
          </w:tcPr>
          <w:p>
            <w:pPr>
              <w:spacing w:after="0"/>
              <w:rPr>
                <w:sz w:val="12"/>
                <w:szCs w:val="12"/>
                <w:color w:val="auto"/>
              </w:rPr>
            </w:pPr>
          </w:p>
        </w:tc>
        <w:tc>
          <w:tcPr>
            <w:tcW w:w="15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50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28, 2020</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6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equity securities</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tcPr>
          <w:p>
            <w:pPr>
              <w:ind w:left="380"/>
              <w:spacing w:after="0"/>
              <w:rPr>
                <w:sz w:val="20"/>
                <w:szCs w:val="20"/>
                <w:color w:val="auto"/>
              </w:rPr>
            </w:pPr>
            <w:r>
              <w:rPr>
                <w:rFonts w:ascii="Arial" w:cs="Arial" w:eastAsia="Arial" w:hAnsi="Arial"/>
                <w:sz w:val="18"/>
                <w:szCs w:val="18"/>
                <w:color w:val="auto"/>
                <w:w w:val="91"/>
              </w:rPr>
              <w:t>Invested funds in deferred compensation plan</w:t>
            </w:r>
          </w:p>
        </w:tc>
        <w:tc>
          <w:tcPr>
            <w:tcW w:w="1120" w:type="dxa"/>
            <w:vAlign w:val="bottom"/>
          </w:tcPr>
          <w:p>
            <w:pPr>
              <w:spacing w:after="0"/>
              <w:rPr>
                <w:sz w:val="19"/>
                <w:szCs w:val="19"/>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19,398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vMerge w:val="restart"/>
          </w:tcPr>
          <w:p>
            <w:pPr>
              <w:jc w:val="right"/>
              <w:ind w:right="34"/>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(1)</w:t>
            </w:r>
          </w:p>
        </w:tc>
        <w:tc>
          <w:tcPr>
            <w:tcW w:w="1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6"/>
              </w:rPr>
              <w:t>Total assets measured at fair value</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19,857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14"/>
                <w:szCs w:val="14"/>
                <w:color w:val="auto"/>
              </w:rPr>
              <w:t>(2)</w:t>
            </w: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840"/>
              <w:spacing w:after="0" w:line="205" w:lineRule="exact"/>
              <w:rPr>
                <w:sz w:val="20"/>
                <w:szCs w:val="20"/>
                <w:color w:val="auto"/>
              </w:rPr>
            </w:pPr>
            <w:r>
              <w:rPr>
                <w:rFonts w:ascii="Arial" w:cs="Arial" w:eastAsia="Arial" w:hAnsi="Arial"/>
                <w:sz w:val="18"/>
                <w:szCs w:val="18"/>
                <w:b w:val="1"/>
                <w:bCs w:val="1"/>
                <w:color w:val="auto"/>
              </w:rPr>
              <w:t>Total liabilities measured at fair</w:t>
            </w:r>
          </w:p>
        </w:tc>
        <w:tc>
          <w:tcPr>
            <w:tcW w:w="1120" w:type="dxa"/>
            <w:vAlign w:val="bottom"/>
            <w:vMerge w:val="restart"/>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25,098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41"/>
        </w:trPr>
        <w:tc>
          <w:tcPr>
            <w:tcW w:w="37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value</w:t>
            </w:r>
          </w:p>
        </w:tc>
        <w:tc>
          <w:tcPr>
            <w:tcW w:w="112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30, 2019</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6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Marketable equity securities</w:t>
            </w: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(3)</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tcPr>
          <w:p>
            <w:pPr>
              <w:ind w:left="380"/>
              <w:spacing w:after="0"/>
              <w:rPr>
                <w:sz w:val="20"/>
                <w:szCs w:val="20"/>
                <w:color w:val="auto"/>
              </w:rPr>
            </w:pPr>
            <w:r>
              <w:rPr>
                <w:rFonts w:ascii="Arial" w:cs="Arial" w:eastAsia="Arial" w:hAnsi="Arial"/>
                <w:sz w:val="18"/>
                <w:szCs w:val="18"/>
                <w:color w:val="auto"/>
                <w:w w:val="91"/>
              </w:rPr>
              <w:t>Invested funds in deferred compensation plan</w:t>
            </w:r>
          </w:p>
        </w:tc>
        <w:tc>
          <w:tcPr>
            <w:tcW w:w="1120" w:type="dxa"/>
            <w:vAlign w:val="bottom"/>
          </w:tcPr>
          <w:p>
            <w:pPr>
              <w:spacing w:after="0"/>
              <w:rPr>
                <w:sz w:val="19"/>
                <w:szCs w:val="19"/>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18,737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vMerge w:val="restart"/>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740" w:type="dxa"/>
            <w:vAlign w:val="bottom"/>
          </w:tcPr>
          <w:p>
            <w:pPr>
              <w:ind w:left="380"/>
              <w:spacing w:after="0"/>
              <w:rPr>
                <w:sz w:val="20"/>
                <w:szCs w:val="20"/>
                <w:color w:val="auto"/>
              </w:rPr>
            </w:pPr>
            <w:r>
              <w:rPr>
                <w:rFonts w:ascii="Arial" w:cs="Arial" w:eastAsia="Arial" w:hAnsi="Arial"/>
                <w:sz w:val="14"/>
                <w:szCs w:val="14"/>
                <w:color w:val="auto"/>
              </w:rPr>
              <w:t>(1)</w:t>
            </w:r>
          </w:p>
        </w:tc>
        <w:tc>
          <w:tcPr>
            <w:tcW w:w="1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74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6"/>
              </w:rPr>
              <w:t>Total assets measured at fair value</w:t>
            </w:r>
          </w:p>
        </w:tc>
        <w:tc>
          <w:tcPr>
            <w:tcW w:w="1120" w:type="dxa"/>
            <w:vAlign w:val="bottom"/>
            <w:tcBorders>
              <w:top w:val="single" w:sz="8" w:color="auto"/>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21,601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18,737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740" w:type="dxa"/>
            <w:vAlign w:val="bottom"/>
          </w:tcPr>
          <w:p>
            <w:pPr>
              <w:ind w:left="840"/>
              <w:spacing w:after="0" w:line="205" w:lineRule="exact"/>
              <w:rPr>
                <w:sz w:val="20"/>
                <w:szCs w:val="20"/>
                <w:color w:val="auto"/>
              </w:rPr>
            </w:pPr>
            <w:r>
              <w:rPr>
                <w:rFonts w:ascii="Arial" w:cs="Arial" w:eastAsia="Arial" w:hAnsi="Arial"/>
                <w:sz w:val="18"/>
                <w:szCs w:val="18"/>
                <w:b w:val="1"/>
                <w:bCs w:val="1"/>
                <w:color w:val="auto"/>
              </w:rPr>
              <w:t>Total liabilities measured at fair</w:t>
            </w:r>
          </w:p>
        </w:tc>
        <w:tc>
          <w:tcPr>
            <w:tcW w:w="1120" w:type="dxa"/>
            <w:vAlign w:val="bottom"/>
            <w:tcBorders>
              <w:top w:val="single" w:sz="8" w:color="auto"/>
            </w:tcBorders>
            <w:vMerge w:val="restart"/>
          </w:tcPr>
          <w:p>
            <w:pPr>
              <w:jc w:val="right"/>
              <w:ind w:right="91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8"/>
              </w:rPr>
              <w:t>18,737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tcPr>
          <w:p>
            <w:pPr>
              <w:ind w:left="840"/>
              <w:spacing w:after="0"/>
              <w:rPr>
                <w:sz w:val="20"/>
                <w:szCs w:val="20"/>
                <w:color w:val="auto"/>
              </w:rPr>
            </w:pPr>
            <w:r>
              <w:rPr>
                <w:rFonts w:ascii="Arial" w:cs="Arial" w:eastAsia="Arial" w:hAnsi="Arial"/>
                <w:sz w:val="18"/>
                <w:szCs w:val="18"/>
                <w:b w:val="1"/>
                <w:bCs w:val="1"/>
                <w:color w:val="auto"/>
              </w:rPr>
              <w:t>value</w:t>
            </w:r>
          </w:p>
        </w:tc>
        <w:tc>
          <w:tcPr>
            <w:tcW w:w="1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8255</wp:posOffset>
            </wp:positionV>
            <wp:extent cx="47663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66310" cy="25400"/>
                    </a:xfrm>
                    <a:prstGeom prst="rect">
                      <a:avLst/>
                    </a:prstGeom>
                    <a:noFill/>
                  </pic:spPr>
                </pic:pic>
              </a:graphicData>
            </a:graphic>
          </wp:anchor>
        </w:drawing>
      </w:r>
    </w:p>
    <w:p>
      <w:pPr>
        <w:spacing w:after="0" w:line="24" w:lineRule="exact"/>
        <w:rPr>
          <w:sz w:val="20"/>
          <w:szCs w:val="20"/>
          <w:color w:val="auto"/>
        </w:rPr>
      </w:pPr>
    </w:p>
    <w:p>
      <w:pPr>
        <w:jc w:val="both"/>
        <w:ind w:right="80" w:firstLine="8"/>
        <w:spacing w:after="0" w:line="251"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non-qualified deferred compensation plan provides eligible employees and members of the Board of Directors with the opportunity to defer a specified percentage of their cash compensation. The Company includes the assets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ind w:right="180" w:firstLine="8"/>
        <w:spacing w:after="0" w:line="246"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recorded a contingent earn-out liability in conjunction with a recent acquisition (see Note 5 for disclosures related to acquisitions). The fair value of this liability was estimated using an option pricing model.</w:t>
      </w:r>
    </w:p>
    <w:p>
      <w:pPr>
        <w:ind w:right="40" w:firstLine="8"/>
        <w:spacing w:after="0" w:line="290" w:lineRule="auto"/>
        <w:tabs>
          <w:tab w:leader="none" w:pos="229"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Company's Level 2 auction rate securities were debt instruments with interest rates that reset through periodic short-term auctions and valued based on quoted prices for identical or similar instruments in markets that were not active. The Company sold its auction rate securities at par value during fiscal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ind w:left="4500"/>
              <w:spacing w:after="0"/>
              <w:rPr>
                <w:sz w:val="20"/>
                <w:szCs w:val="20"/>
                <w:color w:val="auto"/>
              </w:rPr>
            </w:pPr>
            <w:r>
              <w:rPr>
                <w:rFonts w:ascii="Arial" w:cs="Arial" w:eastAsia="Arial" w:hAnsi="Arial"/>
                <w:sz w:val="18"/>
                <w:szCs w:val="18"/>
                <w:b w:val="1"/>
                <w:bCs w:val="1"/>
                <w:color w:val="auto"/>
              </w:rPr>
              <w:t>Qorvo, Inc. and Subsidiaries</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8440" w:type="dxa"/>
            <w:vAlign w:val="bottom"/>
          </w:tcPr>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81"/>
        </w:trPr>
        <w:tc>
          <w:tcPr>
            <w:tcW w:w="8440" w:type="dxa"/>
            <w:vAlign w:val="bottom"/>
          </w:tcPr>
          <w:p>
            <w:pPr>
              <w:spacing w:after="0"/>
              <w:rPr>
                <w:sz w:val="20"/>
                <w:szCs w:val="20"/>
                <w:color w:val="auto"/>
              </w:rPr>
            </w:pPr>
            <w:r>
              <w:rPr>
                <w:rFonts w:ascii="Arial" w:cs="Arial" w:eastAsia="Arial" w:hAnsi="Arial"/>
                <w:sz w:val="18"/>
                <w:szCs w:val="18"/>
                <w:color w:val="auto"/>
              </w:rPr>
              <w:t>Operating leases as of March 28, 2020 are classified as follows (in thousands):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48"/>
        </w:trPr>
        <w:tc>
          <w:tcPr>
            <w:tcW w:w="8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65,107</w:t>
            </w:r>
          </w:p>
        </w:tc>
      </w:tr>
      <w:tr>
        <w:trPr>
          <w:trHeight w:val="270"/>
        </w:trPr>
        <w:tc>
          <w:tcPr>
            <w:tcW w:w="8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5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58,077</w:t>
            </w: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Details of operating leases for fiscal 2020 are as follows (in thousands):</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35"/>
        </w:trPr>
        <w:tc>
          <w:tcPr>
            <w:tcW w:w="8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46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15,184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6,878</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146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3,098</w:t>
            </w:r>
          </w:p>
        </w:tc>
      </w:tr>
      <w:tr>
        <w:trPr>
          <w:trHeight w:val="270"/>
        </w:trPr>
        <w:tc>
          <w:tcPr>
            <w:tcW w:w="8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16,504</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8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13,201</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8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7.8</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756"/>
        </w:trPr>
        <w:tc>
          <w:tcPr>
            <w:tcW w:w="8440" w:type="dxa"/>
            <w:vAlign w:val="bottom"/>
          </w:tcPr>
          <w:p>
            <w:pPr>
              <w:spacing w:after="0"/>
              <w:rPr>
                <w:sz w:val="20"/>
                <w:szCs w:val="20"/>
                <w:color w:val="auto"/>
              </w:rPr>
            </w:pPr>
            <w:r>
              <w:rPr>
                <w:rFonts w:ascii="Arial" w:cs="Arial" w:eastAsia="Arial" w:hAnsi="Arial"/>
                <w:sz w:val="18"/>
                <w:szCs w:val="18"/>
                <w:color w:val="auto"/>
                <w:w w:val="96"/>
              </w:rPr>
              <w:t>The aggregate future lease payments for operating leases as of March 28, 2020 are as follows (in thousands):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5"/>
        </w:trPr>
        <w:tc>
          <w:tcPr>
            <w:tcW w:w="8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6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14,201</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7,449</w:t>
            </w:r>
          </w:p>
        </w:tc>
      </w:tr>
      <w:tr>
        <w:trPr>
          <w:trHeight w:val="27"/>
        </w:trPr>
        <w:tc>
          <w:tcPr>
            <w:tcW w:w="8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27,194</w:t>
            </w:r>
          </w:p>
        </w:tc>
      </w:tr>
      <w:tr>
        <w:trPr>
          <w:trHeight w:val="27"/>
        </w:trPr>
        <w:tc>
          <w:tcPr>
            <w:tcW w:w="8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86,126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(12,132)</w:t>
            </w:r>
          </w:p>
        </w:tc>
      </w:tr>
      <w:tr>
        <w:trPr>
          <w:trHeight w:val="27"/>
        </w:trPr>
        <w:tc>
          <w:tcPr>
            <w:tcW w:w="8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Present value of lease liabilities</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73,994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2018, the Company entered into a finance lease for a facility in Beijing, China that will allow the Company to consolidate several leased facilities as well as provide additional manufacturing space. The lease term is expected to commence in fiscal 2021 and therefore is not recorded on the Consolidated Balance Sheets as of March 28, 2020 and March 30, 2019. The lease has an initial term of five years and includes multiple renewal options, with the maximum lease term not to exceed 30 years. The total amount expected to be paid over the lease term is $56.2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Fiscal Year Disclosures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previously disclosed in the Company's Annual Report on Form 10-K for the fiscal year ended March 30, 2019 and under the previous lease accounting standard, the aggregate future non-cancelable minimum lease payments of the Company's operating leases as of March 30, 2019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13,382</w:t>
            </w:r>
          </w:p>
        </w:tc>
      </w:tr>
      <w:tr>
        <w:trPr>
          <w:trHeight w:val="27"/>
        </w:trPr>
        <w:tc>
          <w:tcPr>
            <w:tcW w:w="9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8,224</w:t>
            </w:r>
          </w:p>
        </w:tc>
      </w:tr>
      <w:tr>
        <w:trPr>
          <w:trHeight w:val="27"/>
        </w:trPr>
        <w:tc>
          <w:tcPr>
            <w:tcW w:w="9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31,598</w:t>
            </w:r>
          </w:p>
        </w:tc>
      </w:tr>
      <w:tr>
        <w:trPr>
          <w:trHeight w:val="27"/>
        </w:trPr>
        <w:tc>
          <w:tcPr>
            <w:tcW w:w="9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payments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92,881</w:t>
            </w:r>
          </w:p>
        </w:tc>
      </w:tr>
      <w:tr>
        <w:trPr>
          <w:trHeight w:val="20"/>
        </w:trPr>
        <w:tc>
          <w:tcPr>
            <w:tcW w:w="9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Rent expense under operating leases, covering facilities and equipment, was approximately $19.3 million and $16.3 million for fiscal years 2019 and 2018, respectively, prior to the adoption of the new lease accounting standard.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as of March 28, 2020 and March 30, 2019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 2020</w:t>
            </w:r>
          </w:p>
        </w:tc>
        <w:tc>
          <w:tcPr>
            <w:tcW w:w="280" w:type="dxa"/>
            <w:vAlign w:val="bottom"/>
          </w:tcPr>
          <w:p>
            <w:pPr>
              <w:spacing w:after="0"/>
              <w:rPr>
                <w:sz w:val="16"/>
                <w:szCs w:val="16"/>
                <w:color w:val="auto"/>
              </w:rPr>
            </w:pPr>
          </w:p>
        </w:tc>
        <w:tc>
          <w:tcPr>
            <w:tcW w:w="152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23,404</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4.375% senior notes due 2029</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unamortized premium and issuance costs, net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(4,134)</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75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1,567,231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920,935</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included a senior delayed draw term loan of up to $400.0 million (the "Term Loan") and a $300.0 million senior revolving line of credit (the "Revolving Facility"). In addition, the Company may request one or more additional tranches of term loans or increases in the Revolving Facility, up to an aggregate of $300.0 million and subject to securing additional funding commitments from the existing or new lenders (the "Incremental Facility", and collectively with the Term Loan and the Revolving Facility, the "Credit Facility"). On the closing date, $100.0 million of the Term Loan was funded (and was subsequently repaid in March 2018). On June 17, 2019, the Company drew $100.0 million of the Term Loan. The delayed draw availability period for the remaining $200.0 million of the Term Loan expired on December 31, 2019. The Revolving Facility includes a $25.0 million sublimit for the issuance of standby letters of credit and a $10.0 million sublimit for swing line loans.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fiscal 2020, there were no borrowings under the Revolving Facility. Interest paid on the Term Loan during fiscal 2020 was $2.4 million.</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the Company’s option, loans under the Credit Agreement bear interest at (i) the Applicable Rate (as defined in the Credit Agreement) plus the Eurodollar Rate (as defined in the Credit Agreement) or (ii) the Applicable Rate plus a rate equal to the highest of (a) the federal funds rate plus 0.50%, (b) the prime rate of the Administrative Agent,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40" w:firstLine="8"/>
        <w:spacing w:after="0" w:line="25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Eurodollar Base Rate plus 1.0% (the "Base Rate"). All swingline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six or twelve months, as selected by the Company. The Applicable Rate for Eurodollar Rate loans ranges from 1.125% per annum to 1.375% per annum. The Applicable Rate for Base Rate loans ranges from 0.125% per annum to 0.375%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9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comply in order to borrow funds and to avoid an event of default, including the following financial covenants that the Company must maintain: (i) a consolidated leverage ratio not to exceed 3.0 to 1.0 as of the end of any fiscal quarter of the Company, provided that in connection with a permitted acquisition in excess of $300.0 million, the Company's maximum consolidated leverage ratio may increase on two occasions during the term of the Credit Facility to 3.5 to 1.0 for four consecutive fiscal quarters, beginning with the fiscal quarter in which such acquisition occurs and (ii) an interest coverage ratio not to be less than 3.0 to 1.0 as of the end of any fiscal quarter of the Company. As of March 28, 2020, the Company was in compliance with these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annual maturities of the Term Loan as of March 28, 2020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Maturities</w:t>
            </w:r>
          </w:p>
        </w:tc>
      </w:tr>
      <w:tr>
        <w:trPr>
          <w:trHeight w:val="250"/>
        </w:trPr>
        <w:tc>
          <w:tcPr>
            <w:tcW w:w="9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6,250</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5,000</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88,750</w:t>
            </w:r>
          </w:p>
        </w:tc>
      </w:tr>
      <w:tr>
        <w:trPr>
          <w:trHeight w:val="237"/>
        </w:trPr>
        <w:tc>
          <w:tcPr>
            <w:tcW w:w="9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100,000</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November 19, 2015, the Company issued $450.0 million aggregate principal amount of its 6.75% senior notes due December 1, 2023 (the "2023 Notes") and $550.0 million aggregate principal amount of its 7.00% senior notes due December 1, 2025 (the "2025 Notes"). The 2023 Notes were, and the 2025 Notes are, senior unsecured obligations of the Company and guaranteed, jointly and severally, by certain of the Company's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years 2018 and 2019, the Company retired all of the issued and outstanding 2023 Notes and $526.6 million of the 2025 Notes. During fiscal 2019, the Company recognized a loss on debt extinguishment of $90.2 million (related to the retirements of the 2023 Notes and the 2025 Notes) as "Other expense" in the Company’s Consolidated Statement of Operations. As of March 28, 2020, an aggregate principal amount of $23.4 million of the 2025 Notes remained outstanding.</w:t>
      </w:r>
    </w:p>
    <w:p>
      <w:pPr>
        <w:spacing w:after="0" w:line="18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"make-whole" premium as of the redemption date, and accrued and unpaid interest. In addition, at any time on or after December 1, 2020, the Company may redeem the 2025 Notes, in whole or in part, at the redemption prices specified in the 2015 Indenture, plus accrued and unpaid interest.</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2025 Notes during fiscal 2020 was $1.6 million and the total interest paid on the 2023 Notes and the 2025 Notes during fiscal years 2019 and 2018 was $46.5 million and $68.9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16, 2018, the Company issued $500.0 million aggregate principal amount of its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The 2026 Notes will mature on July 15, 2026, unless earlier redeemed in accordance with their terms. The 2026 Notes are senior unsecured obligations of the Company and are initially guaranteed, jointly and severally, by the Guarantors.</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respectively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any time prior to July 15, 2021, the Company may redeem all or part of the 2026 Notes, at a redemption price equal to their principal amount, plus a “make-whole” premium as of the redemption date, and accrued and unpaid interest. In addition, at any time prior to July 15, 2021, the Company may redeem up to 35% of the original aggregate principal amount of the 2026 Notes with the proceeds of one or more equity offerings, at a redemption price equal to 105.50% of the principal amount of the 2026 Notes redeemed, plus accrued and unpaid interest. Furthermore, at any time on or after July 15, 2021, the Company may redeem the 2026 Notes, in whole or in part, at the redemption prices specified in the 2018 Indenture, plus accrued and unpaid interest.</w:t>
      </w:r>
    </w:p>
    <w:p>
      <w:pPr>
        <w:spacing w:after="0" w:line="16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connection with the offering of the 2026 Notes, the Company agreed to provide the holders of the 2026 Notes with an opportunity to exchange the 2026 Notes for registered notes having terms substantially identical to the 2026 Notes. On June 25, 2019, the Company completed the exchange offer, in which all of the privately placed 2026 Notes were exchanged for new notes that have been registered under the Securities Act of 1933, as amended.</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is payable on the 2026 Notes on January 15 and July 15 of each year at a rate of 5.50% per annum. Interest paid on the 2026 Notes during fiscal years 2020 and 2019 was $49.5 million and $17.2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September 30, 2019, the Company issued $350.0 million aggregate principal amount of its 4.375% senior notes due 2029 (the "Initial 2029 Notes"). On December 20, 2019, the Company issued an additional $200.0 million aggregate principal amount of such notes (the "Additional 2029 Notes", and together with the Initial 2029 Notes, the "2029 Notes"). The 2029 Notes will mature on October 15, 2029, unless earlier redeemed in accordance with their terms. The 2029 Notes are senior unsecured obligations of the Company and are initially guaranteed, jointly and severally, by the Guarantors.</w:t>
      </w:r>
    </w:p>
    <w:p>
      <w:pPr>
        <w:spacing w:after="0" w:line="15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a supplemental indenture, dated as of December 20, 2019 (such indenture and supplemental indenture, together, the "2019 Indenture"). The 2019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At any time prior to October 15, 2024, the Company may redeem all or part of the 2029 Notes, at a redemption price equal to their principal amount, plus a "make-whole" premium as of the redemption date, and accrued and 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30" w:right="35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2029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offering of the Initial 2029 Notes, the Company entered into a registration rights agreement, dated as of September 30, 2019, by and among the Company and the Guarantors, on the one hand, and BofA Securities, Inc., as representative of the initial purchasers of the Initial 2029 Notes, on the other hand, and a substantially similar agreement, dated as of December 20, 2019, with respect to the Additional 2029 Notes (together, the "Registration Rights Agreements").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Registration Rights Agreements, the Company and the Guarantors have agreed to use their commercially reasonable efforts to (i) file with the SEC a registration statement (the "Exchange Offer Registration Statement") relating to the registered exchange offer (the "Exchange Offer") to exchange the 2029 Notes for a new series of the Company’s exchange notes having terms substantially identical in all material respects to, and in the same aggregate principal amount as, the 2029 Notes; (ii) cause the Exchange Offer Registration Statement to be declared effective by the SEC; and (iii) cause the Exchange Offer to be consummated no later than the 360th day after September 30, 2019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2029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2029 Notes covered thereby have been sold pursuant thereto).</w:t>
      </w:r>
    </w:p>
    <w:p>
      <w:pPr>
        <w:spacing w:after="0" w:line="18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If the Company fails to meet any of these targets, the annual interest rate on the 2029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2029 Notes will revert to the original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Interest is payable on the 2029 Notes on April 15 and October 15 of each year at a rate of 4.375% per annum, commencing April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long-term debt is carried at amortized cost and is measured at fair value quarterly for disclosure purposes. The estimated fair value of the 2025 Notes as of March 28, 2020 and March 30, 2019 was $23.9 million and $25.8 million, respectively (compared to a carrying value of $23.4 million). The estimated fair value of the 2026 Notes as of March 28, 2020 and March 30, 2019 was $962.8 million and $929.3 million, respectively (compared to a carrying value of $900.0 million). The estimated fair value of the 2029 Notes as of March 28, 2020 was $489.5 million (compared to a carrying value of $550.0 million). The Company considers its long-term debt to be Level 2 in the fair value hierarchy. Fair values are estimated based on quoted market prices for identical or similar instruments. The 2025 Notes, the 2026 Notes and the 2029 Notes trade over the counter, and their fair values were estimated based upon the value of their last trade at the end of the period.</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Since the Term Loan carries a variable interest rate set at current market rates, the fair value of the Term Loan approximated book value as of March 28,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fiscal 2020, the Company recognized $66.0 million of interest expense primarily related to the 2026 Notes and the 2029 Notes, which was partially offset by $5.6 million of interest capitalized to property and equipment. During fiscal 2019, the Company recognized $52.8 million of interest expense primarily related to the 2023 Notes, the 2025 Notes and the 2026 Notes, which was partially offset by $8.8 million of interest capitalized to property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equipment. During fiscal 2018, the Company recognized $73.2 million of interest expense, primarily related to the 2023 Notes and the 2025 Notes, which was partially offset by $13.6 million of interest capitalized to property and equipment.</w:t>
      </w:r>
    </w:p>
    <w:p>
      <w:pPr>
        <w:spacing w:after="0" w:line="16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U.S. employees are eligible to participate in the Company's fully qualified 401(k) plan 30 days after their date of hire. An employee may invest pretax earnings in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total, the Company contributed $14.4 million, $14.0 million and $14.0 million to its domestic and foreign defined contribution plans during fiscal years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maintains two qualified defined benefit pension plans for its subsidiaries located in Germany. One of the plans is funded through a self-paid reinsurance program with assets valued at $3.6 million as of March 28, 2020 and March 30, 2019 (included in "Other non-current assets" in the Consolidated Balance Sheets). The pension benefit obligations of both plans were $12.3 million and $12.9 million as of March 28, 2020 and March 30, 2019, respectively, which is included in "Accrued liabilities" and "Other long-term liabilities" in the Consolidated Balance Sheets. The assumptions used in calculating the benefit obligations for the plans are dependent on the local economic conditions and were measured as of March 28, 2020 and March 30, 2019. The net periodic benefit costs were approximately $0.6 million, $0.5 million and $0.7 million for fiscal years 2020, 2019 and 2018,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$19.4 million and $18.7 million as of March 28, 2020 and March 30, 2019, respectively. The current portion of the deferred compensation obligation and fair value of the assets held in the rabbi trust were $0.9 million and $1.1 million as of March 28, 2020 and March 30, 2019, respectively, and are included in "Other current assets" and "Accrued liabilities" in the Consolidated Balance Sheets. The non-current portion of the deferred compensation obligation and fair value of the assets held in the rabbi trust were $18.5 million and $17.6 million as of March 28, 2020 and March 30, 2019, respectively, and are included in "Other non-current assets" and "Other long-term liabilities" in the Consolidated Balance Sheets.</w:t>
      </w:r>
    </w:p>
    <w:p>
      <w:pPr>
        <w:spacing w:after="0" w:line="162"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purchase commitments total approximately $318.3 million, a substantial majority of which will be due within the next 12 months. Purchase commitments include payments due for materials and manufacturing services and commitments for the purchase of property and equipment.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30" w:right="3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disclosures related to lease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RESTRUCTURING</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fiscal years 2020, 2019 and 2018, the Company recorded restructuring related charges totaling approximately $47.9 million, $50.7 million and $67.7 million, respectively, related primarily to (1) fiscal 2019 actions to reduce operating expenses and improve manufacturing cost structure, (2) fiscal 2018 actions to improve operating efficiencies, and (3) actions resulting from the Business Combination.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actions, the Company recorded cumulative restructuring related charges of $92.0 million during fiscal years 2020 and 2019, including accelerated depreciation of $47.4 million (to reflect changes in estimated useful lives of certain property and equipment), impairment charges of $15.9 million (to adjust the carrying value of certain property and equipment to reflect its fair value), employee termination benefits of $13.7 million and other exit costs of $15.0 million. The Company expects to record additional expenses of approximately $1.0 million for employee termination benefits and other exit costs as a result of these actions.</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of the real property was derived based upon a market approach with substantial input from market participants, including brokers, investors, developers and appraisers. The fair value of the personal property was determined using a market approach based upon quoted market prices from auction data for comparable assets. Factors such as age, condition, capacity and manufacturer were considered to adjust the auction price and determine an orderly liquidation value of the personal property assets. The significant inputs related to valuing these assets are classified as Level 2 in the fair value measurement hierarchy.</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fiscal 2018, the Company initiated restructuring actions to improve operating efficiencies. As a result of these actions (which are substantially complete), in fiscal years 2020, 2019 and 2018, the Company recorded cumulative restructuring related charges of $46.3 million, $23.5 million and $0.2 million for asset impairments, employee termination benefits and other exit costs,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30" w:right="3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Primarily as a result of the Business Combination (see Note 1), during fiscal years 2020, 2019 and 2018, the Company recorded restructuring related charges (including employee termination benefits and ongoing expenses related to exited leased facilities) of approximately $0.3 million, $1.3 million and $2.7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charges primarily resulting from these restructuring events (in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Fiscal 2020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4"/>
              </w:rPr>
              <w:t>Cost of Goods Sold</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Operating Expense</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termination and other associated costs</w:t>
            </w:r>
          </w:p>
        </w:tc>
        <w:tc>
          <w:tcPr>
            <w:tcW w:w="20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15,519</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26,061</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34,426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47,869</w:t>
            </w: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67"/>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Fiscal 2019</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4"/>
              </w:rPr>
              <w:t>Cost of Goods Sold</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Operating Expense</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termination and other associated costs</w:t>
            </w: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641</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accelerated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37,247</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29,368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50,714</w:t>
            </w: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67"/>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Fiscal 2018</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4"/>
              </w:rPr>
              <w:t>Cost of Goods Sold</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Operating Expense</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termination and other associated costs</w:t>
            </w: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2,174</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46,315</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67,721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67,721</w:t>
            </w: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restructuring liabilities for fiscal years 2019 and 2020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One-Time Employee</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Asset Impairment and</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Contract Termination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Accelerated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and Other Associated</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Termination Benefits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37,247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50,714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Non-cash activity</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(37,247)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47,869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Transfer to right-of-use asset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activity</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36"/>
        </w:trPr>
        <w:tc>
          <w:tcPr>
            <w:tcW w:w="4620" w:type="dxa"/>
            <w:vAlign w:val="bottom"/>
          </w:tcPr>
          <w:p>
            <w:pPr>
              <w:ind w:left="40"/>
              <w:spacing w:after="0"/>
              <w:rPr>
                <w:sz w:val="20"/>
                <w:szCs w:val="20"/>
                <w:color w:val="auto"/>
              </w:rPr>
            </w:pPr>
            <w:r>
              <w:rPr>
                <w:rFonts w:ascii="Arial" w:cs="Arial" w:eastAsia="Arial" w:hAnsi="Arial"/>
                <w:sz w:val="18"/>
                <w:szCs w:val="18"/>
                <w:color w:val="auto"/>
              </w:rPr>
              <w:t>Accrued restructuring balance as of March 28,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4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consists of the following components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79"/>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(151,083)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621,094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389,767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168,228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395,089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17,222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(61,284)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(89,681)</w:t>
            </w:r>
          </w:p>
        </w:tc>
        <w:tc>
          <w:tcPr>
            <w:tcW w:w="0" w:type="dxa"/>
            <w:vAlign w:val="bottom"/>
          </w:tcPr>
          <w:p>
            <w:pPr>
              <w:spacing w:after="0"/>
              <w:rPr>
                <w:sz w:val="1"/>
                <w:szCs w:val="1"/>
                <w:color w:val="auto"/>
              </w:rPr>
            </w:pPr>
          </w:p>
        </w:tc>
      </w:tr>
      <w:tr>
        <w:trPr>
          <w:trHeight w:val="223"/>
        </w:trPr>
        <w:tc>
          <w:tcPr>
            <w:tcW w:w="6640" w:type="dxa"/>
            <w:vAlign w:val="bottom"/>
          </w:tcPr>
          <w:p>
            <w:pPr>
              <w:ind w:left="40"/>
              <w:spacing w:after="0"/>
              <w:rPr>
                <w:sz w:val="20"/>
                <w:szCs w:val="20"/>
                <w:color w:val="auto"/>
              </w:rPr>
            </w:pPr>
            <w:r>
              <w:rPr>
                <w:rFonts w:ascii="Arial" w:cs="Arial" w:eastAsia="Arial" w:hAnsi="Arial"/>
                <w:sz w:val="18"/>
                <w:szCs w:val="18"/>
                <w:color w:val="auto"/>
              </w:rPr>
              <w:t>Deferred benefit (expense):</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20,178</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70,169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32,248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22, 2017, the Tax Cuts and Jobs Act ("Tax Act") was signed into law in the U.S., lowering the U.S. corporate income tax rate to 21% from 35%, instituting a one-time transition tax on unrepatriated foreign earnings (the "Transitional Repatriation Tax"), and implementing a territorial tax system. During fiscal 2018, the Company recorded a net provisional tax expense of $77.3 million for the estimated effects of the Tax Act. In accordance with Staff Accounting Bulletin No. 118, the Company completed its analysis of the impact of the Tax Act during fiscal 2019 and recorded a net discrete income tax benefit adjustment of $17.0 million to the prior year provisional estimates. The Global Intangible Low-Taxed Income ("GILTI") provisions became effective for the Company in fiscal 2019, at which time the Company elected to treat taxes due on future GILTI inclusions in U.S. taxable income as current-period expense (the "period cost method").</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On March 27, 2020, the U.S. enacted the Coronavirus Aid, Relief, and Economic Security Act ("CARES Act") to help provide relief as a result of the COVID-19 outbreak. Similarly, governments around the world have enacted or implemented various forms of tax relief to assist with the economic disruption in the wake of COVID-19. The measures vary by jurisdiction, but often include the ability to delay certain income tax payments. As of March 28, 2020, the COVID-19 relief measures did not have a material impact on the Company's effective tax rate or other income tax accounts.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reconciliation of the provision for income taxes to income tax expense computed by applying the statutory federal income tax rate to pre-tax income (loss) for fiscal years 2020, 2019 and 2018 is as follows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ind w:left="76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80"/>
        </w:trPr>
        <w:tc>
          <w:tcPr>
            <w:tcW w:w="3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right"/>
              <w:ind w:right="107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jc w:val="right"/>
              <w:ind w:right="10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right"/>
              <w:ind w:right="1072"/>
              <w:spacing w:after="0"/>
              <w:rPr>
                <w:sz w:val="20"/>
                <w:szCs w:val="20"/>
                <w:color w:val="auto"/>
              </w:rPr>
            </w:pPr>
            <w:r>
              <w:rPr>
                <w:rFonts w:ascii="Arial" w:cs="Arial" w:eastAsia="Arial" w:hAnsi="Arial"/>
                <w:sz w:val="14"/>
                <w:szCs w:val="14"/>
                <w:b w:val="1"/>
                <w:bCs w:val="1"/>
                <w:color w:val="auto"/>
                <w:w w:val="89"/>
              </w:rPr>
              <w:t>2018</w:t>
            </w:r>
          </w:p>
        </w:tc>
      </w:tr>
      <w:tr>
        <w:trPr>
          <w:trHeight w:val="80"/>
        </w:trPr>
        <w:tc>
          <w:tcPr>
            <w:tcW w:w="3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6"/>
                <w:szCs w:val="16"/>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6"/>
                <w:szCs w:val="16"/>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Percentage</w:t>
            </w:r>
          </w:p>
        </w:tc>
      </w:tr>
      <w:tr>
        <w:trPr>
          <w:trHeight w:val="66"/>
        </w:trPr>
        <w:tc>
          <w:tcPr>
            <w:tcW w:w="3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0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tax expense at statutory federal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(Increase) decrease resulting from:</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benefit, net of federal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64,017</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69,856</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38,054</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(221.9)</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changes in income tax rate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applied to net deferred tax assets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39,168</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(228.4)</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Foreign tax rate difference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75,247</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41,672</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21,829</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(127.3)</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Foreign permanent differences and related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items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6,438</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2,353</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(1,632)</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state attributes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(7,694)</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9,924</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(57.9)</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reserve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(29,188)</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170.2</w:t>
            </w: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U.S. tax on foreign earnings, including</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GILTI</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(81,916)</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(76,215)</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(5,098)</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29.7</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Transitional Repatriation Tax</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(116,419)</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679.0</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Intra-entity transfer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3,935</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(6,873)</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40.1</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reinvestment assertion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Acquisition related adjustments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(7,257)</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37"/>
        </w:trPr>
        <w:tc>
          <w:tcPr>
            <w:tcW w:w="3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(60,764)</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41,333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(57,433)</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335.0 %</w:t>
            </w:r>
          </w:p>
        </w:tc>
      </w:tr>
      <w:tr>
        <w:trPr>
          <w:trHeight w:val="27"/>
        </w:trPr>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2020</w:t>
            </w:r>
          </w:p>
        </w:tc>
        <w:tc>
          <w:tcPr>
            <w:tcW w:w="180" w:type="dxa"/>
            <w:vAlign w:val="bottom"/>
          </w:tcPr>
          <w:p>
            <w:pPr>
              <w:spacing w:after="0"/>
              <w:rPr>
                <w:sz w:val="16"/>
                <w:szCs w:val="16"/>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30, 2019</w:t>
            </w: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8,588</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27,380</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71,928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13,744</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other credits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95,640</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13,070</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Other deferred assets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19,457</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177,879</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(40,433)</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137,446</w:t>
            </w:r>
          </w:p>
        </w:tc>
      </w:tr>
      <w:tr>
        <w:trPr>
          <w:trHeight w:val="291"/>
        </w:trPr>
        <w:tc>
          <w:tcPr>
            <w:tcW w:w="8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(107,517)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(45,665)</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(62,097)</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Accrued tax on unremitted foreign earnings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Other deferred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(107,762)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deferred income tax asset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29,684</w:t>
            </w:r>
          </w:p>
        </w:tc>
      </w:tr>
      <w:tr>
        <w:trPr>
          <w:trHeight w:val="67"/>
        </w:trPr>
        <w:tc>
          <w:tcPr>
            <w:tcW w:w="8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305"/>
        </w:trPr>
        <w:tc>
          <w:tcPr>
            <w:tcW w:w="8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Amounts included in the Consolidated Balance Sheets: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30,017</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has recorded a valuation allowance against certain U.S. and foreign deferred tax assets as of March 28, 2020 and March 30, 2019. These valuation allowances were established based upon management's opinion that it is more likely than not (a likelihood of more than 50 percent) that the benefit of these deferred tax assets may not be realized.</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valuation allowance against deferred tax assets decreased by approximately $5.2 million in fiscal 2020. The decrease was comprised of a $7.9 million decrease in the valuation allowance against state deferred tax assets for net operating losses and credits and a $2.7 million increase for the valuation allowance against deferred tax assets for net operating losses at foreign subsidiaries, $2.1 million of which was due to purchase accounting related adjustments. At the end of fiscal 2020, a $3.8 million valuation allowance remained against deferred assets at foreign subsidiaries and a $31.5 million valuation allowance remained against state deferred tax assets.</w:t>
      </w:r>
    </w:p>
    <w:p>
      <w:pPr>
        <w:spacing w:after="0" w:line="188"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valuation allowance against deferred tax assets decreased by $2.4 million in fiscal 2019. The decrease was comprised of a $1.5 million decrease in the valuation allowance against state deferred tax assets for net operating losses and tax credits and a $0.9 million decrease for the valuation allowance against deferred tax assets for net operating losses at foreign subsidiaries. At the end of fiscal 2019, a $1.1 million valuation allowance remained against deferred tax assets at foreign subsidiaries and a $39.3 million valuation allowance remained against state deferred tax assets.</w:t>
      </w:r>
    </w:p>
    <w:p>
      <w:pPr>
        <w:spacing w:after="0" w:line="1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valuation allowance against deferred tax assets increased by $9.7 million in fiscal 2018. The increase was comprised of a $6.8 million increase resulting from tax rate changes, primarily the federal rate enacted in the Tax Act, a $1.9 million increase in the valuation allowance against state deferred tax assets for net operating losses and tax credits, a $1.0 million increase for the valuation allowance against deferred tax assets for net operating losses at foreign subsidiaries and a $0.5 million increase in the valuation allowance for state tax credits due to the adoption of</w:t>
      </w:r>
    </w:p>
    <w:p>
      <w:pPr>
        <w:sectPr>
          <w:pgSz w:w="11900" w:h="16838" w:orient="portrait"/>
          <w:cols w:equalWidth="0" w:num="1">
            <w:col w:w="11240"/>
          </w:cols>
          <w:pgMar w:left="320" w:top="130"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130" w:right="3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ASU 2016-09, </w:t>
      </w:r>
      <w:r>
        <w:rPr>
          <w:rFonts w:ascii="Arial" w:cs="Arial" w:eastAsia="Arial" w:hAnsi="Arial"/>
          <w:sz w:val="18"/>
          <w:szCs w:val="18"/>
          <w:i w:val="1"/>
          <w:iCs w:val="1"/>
          <w:color w:val="auto"/>
        </w:rPr>
        <w:t>"Compensation - Stock Compensation (Topic 718): Improvements to Employee Share-Based Payment Accounting."</w:t>
      </w:r>
      <w:r>
        <w:rPr>
          <w:rFonts w:ascii="Arial" w:cs="Arial" w:eastAsia="Arial" w:hAnsi="Arial"/>
          <w:sz w:val="18"/>
          <w:szCs w:val="18"/>
          <w:color w:val="auto"/>
        </w:rPr>
        <w:t xml:space="preserve"> It was partially offset by a $0.5 million decrease in valuation allowance for federal deferred tax assets for foreign tax credits. At the end of fiscal 2018, a $2.0 million valuation allowance remained against deferred tax assets at foreign subsidiaries and a $40.8 million valuation allowance remained against domestic deferred tax assets.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28, 2020, the Company had federal loss carryovers of approximately $190.4 million that expire in fiscal years 2021 to 2040 if unused and state losses of approximately $281.1 million that expire in fiscal years 2021 to 2040 if unused. Federal research credits of $143.0 million, and state credits of $64.1 million may expire in fiscal years 2030 to 2040 and 2021 to 2040, respectively. The Company had foreign losses of $107.5 million, some of which may expire in fiscal years 2021 to 2030 if unused. Included in the amounts above are $397.5 million of federal, state and foreign losses and $7.5 million of tax credits related to acquisitions in the current year. The utilization of acquired domestic assets is subject to certain annual limitations as required under Section 382 of the Internal Revenue Code of 1986, as amended (the "Code") and similar state income tax provisions.</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has continued to expand its operations and increase its investments in numerous international jurisdictions. These activities expose the Company to taxation in multiple foreign jurisdictions. Management has concluded that it can no longer support an assertion that certain earnings which have been subject to U.S. federal taxation at its foreign subsidiaries are permanently reinvested. During the second quarter of fiscal 2020, the Company updated forecasts of cash balances and cash flow outside the U.S. and began to implement a more centralized approach to cash management. As a result, the Company recorded $6.8 million of tax expense during fiscal 2020. In the third quarter of fiscal 2018, the Company had previously released its permanent reinvestment assertion on its largest operating subsidiary in Singapore, Qorvo International Pte. Ltd. The remainder of the Company's foreign earnings and historic investments will continue to be permanently reinvested to fund working capital requirements and operations abroad. It is not practical to estimate the additional tax that would be incurred, if any, if the remainder of the permanently reinvested earnings were repatriated.</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foreign subsidiaries with tax holiday agreements in Singapore and Costa Rica. These tax holiday agreements have varying rates and expire in December 2021 and December 2027, respectively. Incentives from these countries are subject to the Company meeting certain employment and investment requirements. The Company does not expect that the Singapore legislation enacted in February 2017, which will exclude from the Company's existing Development and Expansion Incentive grant the benefit of the reduced tax rate for intellectual property income earned after June 30, 2021, will have an impact on the Company. Income tax expense decreased by $62.9 million (an impact of approximately $0.54 and $0.53 per basic and diluted share, respectively) in fiscal 2020 and $34.6 million (an impact of approximately $0.28 and $0.27 per basic and diluted share, respectively) in fiscal 2019 as a result of these agreements.</w:t>
      </w:r>
    </w:p>
    <w:p>
      <w:pPr>
        <w:spacing w:after="0" w:line="19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gross unrecognized tax benefits totaled $119.2 million as of March 28, 2020, $103.2 million as of March 30, 2019, and $122.8 million as of March 31, 2018. Of these amounts, $114.8 million (net of federal benefit of state taxes), $99.1 million (net of federal benefit of state taxes) and $118.7 million (net of federal benefit of state taxes) as of March 28, 2020, March 30, 2019, and March 31, 2018, respectively, represent the amounts of unrecognized tax benefits that, if recognized, would impact the effective tax rate in each of the fiscal years.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gross unrecognized tax benefits increased from $103.2 million as of March 30, 2019 to $119.2 million as of March 28, 2020, primarily due to increases related to current year tax positions, the effect of provision-to-return adjustments on prior year positions, and increases related to business combinations recognized as part of purchase accounting.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30" w:right="3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fiscal 2018 through fiscal 2020 beginning and ending amount of gross unrecognized tax benefits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80"/>
        </w:trPr>
        <w:tc>
          <w:tcPr>
            <w:tcW w:w="66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84"/>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80"/>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90,615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26,431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122,823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2020, 2019 and 2018, the Company recognized $0.7 million, $(0.2) million and $(2.5) million, respectively, of interest and penalties related to uncertain tax positions. Accrued interest and penalties related to unrecognized tax benefits totaled $5.4 million, $4.4 million and $4.6 million as of March 28, 2020, March 30, 2019 and March 31, 2018, respectively.</w:t>
      </w:r>
    </w:p>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unrecognized tax benefits of $119.2 million and accrued interest and penalties of $5.4 million at the end of fiscal 2020 are recorded on the Consolidated Balance Sheet as a $19.4 million other long-term liability, with the balance reducing the carrying value of the gross deferred tax assets.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it is not reasonably possible to estimate the amount by which unrecognized tax benefits may increase or decrease within the next 12 months due to uncertainties regarding the timing of examinations and the amount of settlements that may be paid, if any, to tax authorities, the Company currently believes it is reasonably possible that only a minimal amount of gross unrecognized tax benefits will be reduced for tax positions taken in prior years within the next 12 months.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Income taxes payable of $50.8 million and $41.6 million as of March 28, 2020 and March 30, 2019, respectively, are included in "Other current liabilities" in the Consolidated Balance Sheets. Income taxes receivable of $5.4 million and $6.2 million as of March 28, 2020 and March 30, 2019, respectively, are included in “Other current assets” in the Consolidated Balance Sheets. Long-term income taxes payable of $5.6 million and $5.7 million as of March 28, 2020 and March 30, 2019, respectively, which relates to the Transitional Repatriation Tax which the Company has elected to pay over eight years, is included in "Other long-term liabilities" in the Consolidated Balance Sheets.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Qorvo files a consolidated U.S. federal income tax return, as well as separate and combined income tax returns in numerous state and international jurisdictions. Qorvo’s fiscal 2017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80"/>
              <w:spacing w:after="0"/>
              <w:rPr>
                <w:sz w:val="20"/>
                <w:szCs w:val="20"/>
                <w:color w:val="auto"/>
              </w:rPr>
            </w:pPr>
            <w:r>
              <w:rPr>
                <w:rFonts w:ascii="Arial" w:cs="Arial" w:eastAsia="Arial" w:hAnsi="Arial"/>
                <w:sz w:val="18"/>
                <w:szCs w:val="18"/>
                <w:color w:val="auto"/>
                <w:w w:val="97"/>
              </w:rPr>
              <w:t>Numerator for basic and diluted net income (loss) per share — net income (loss)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334,325</w:t>
            </w: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5"/>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77"/>
        </w:trPr>
        <w:tc>
          <w:tcPr>
            <w:tcW w:w="66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available to common stockholders</w:t>
            </w:r>
          </w:p>
        </w:tc>
        <w:tc>
          <w:tcPr>
            <w:tcW w:w="3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w w:val="99"/>
              </w:rPr>
              <w:t>Denominator for basic net income (loss) per share — weighted average shares</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117,007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124,534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126,946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Stock-based awards</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Denominator for diluted net income (loss) per share — adjusted weighted average shares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119,293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127,356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126,946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assumed conversions</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Basic net income (loss) per share</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67"/>
        </w:trPr>
        <w:tc>
          <w:tcPr>
            <w:tcW w:w="6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computation of diluted net income (loss) per share for fiscal years 2020, 2019 and 2018, approximately 0.1 million shares, 0.3 million shares and 3.7 million shares, respectively, were excluded because the effect of their inclusion would have been anti-dilutive.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such as stock appreciation rights, restricted stock awards, performance shares and performance units, under the 2003 Plan.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non-employee directors were entitled to receive options to acquire shares of common stock. No further awards can be granted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and 2012 Incentive Plans - TriQuint Semiconductor, Inc.</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2009 Incentive Plan and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Qorvo, Inc.</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currently grants stock options and restricted stock units to employees and directors under the 2012 Stock Incentive Plan (the "2012 Plan"), which was approved by the Company's stockholders on August 16, 2012, assumed by the Company in connection with the Business Combination and reapproved by the Company's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0" w:right="3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on August 8, 2017 for purposes of Section 162(m) of the Code.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March 28, 2020, 2.9 million shares were available for issuance under the 2012 Plan. The aggregate number of shares subject to performance-based restricted stock units awarded for fiscal 2020 under the 2012 Plan was 0.2 million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Qorvo,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March 28, 2020, 1.3 million shares were available for issuance under the 2013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2020, 2019 and 2018. As of March 28, 2020, 0.3 million shares were available for issuance under the 2015 Inducement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March 28, 2020, 3.7 million shares were available for future issuance under this plan. The Company makes no cash contributions to the ESPP, but bears the expenses of its administration. The Company issued 0.5 million shares under the ESPP in fiscal years 2020,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2020, 2019 and 2018, the primary stock-based awards and their general terms and conditions are as follows: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Restricted stock units granted by the Company in fiscal years 2020, 2019 and 2018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Restricted stock units granted to non-employee directors generally vest over a one-year period from the grant date. In fiscal 2020, each non-employee director was eligible to receive an annual grant of restricted stock units.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2020, stock-based compensation of $24.1 million was recognized upon the grant of 0.3 million restricted share units to certain officers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$76.0 million, $71.6 million and $68.2 million, for fiscal years 2020, 2019 and 2018, respectively, net of expense capitalized into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under the Company’s director and employee stock option plans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4"/>
                <w:szCs w:val="14"/>
                <w:color w:val="auto"/>
              </w:rPr>
            </w:pPr>
          </w:p>
        </w:tc>
        <w:tc>
          <w:tcPr>
            <w:tcW w:w="1500" w:type="dxa"/>
            <w:vAlign w:val="bottom"/>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300" w:type="dxa"/>
            <w:vAlign w:val="bottom"/>
          </w:tcPr>
          <w:p>
            <w:pPr>
              <w:spacing w:after="0"/>
              <w:rPr>
                <w:sz w:val="12"/>
                <w:szCs w:val="12"/>
                <w:color w:val="auto"/>
              </w:rPr>
            </w:pPr>
          </w:p>
        </w:tc>
        <w:tc>
          <w:tcPr>
            <w:tcW w:w="15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(in years)</w:t>
            </w:r>
          </w:p>
        </w:tc>
        <w:tc>
          <w:tcPr>
            <w:tcW w:w="300" w:type="dxa"/>
            <w:vAlign w:val="bottom"/>
          </w:tcPr>
          <w:p>
            <w:pPr>
              <w:spacing w:after="0"/>
              <w:rPr>
                <w:sz w:val="16"/>
                <w:szCs w:val="16"/>
                <w:color w:val="auto"/>
              </w:rPr>
            </w:pPr>
          </w:p>
        </w:tc>
        <w:tc>
          <w:tcPr>
            <w:tcW w:w="150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30, 2019</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Outstanding as of March 28, 2020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60,529</w:t>
            </w:r>
          </w:p>
        </w:tc>
        <w:tc>
          <w:tcPr>
            <w:tcW w:w="0" w:type="dxa"/>
            <w:vAlign w:val="bottom"/>
          </w:tcPr>
          <w:p>
            <w:pPr>
              <w:spacing w:after="0"/>
              <w:rPr>
                <w:sz w:val="1"/>
                <w:szCs w:val="1"/>
                <w:color w:val="auto"/>
              </w:rPr>
            </w:pPr>
          </w:p>
        </w:tc>
      </w:tr>
      <w:tr>
        <w:trPr>
          <w:trHeight w:val="67"/>
        </w:trPr>
        <w:tc>
          <w:tcPr>
            <w:tcW w:w="45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as of March 28, 2020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60,529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as of March 28, 2020</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60,529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based upon the Company’s closing stock price of $80.69 as of March 27, 2020 (the last business day prior to the fiscal year end on March 28, 2020), that would have been received by the option holders had all option holders with in-the-money options exercised their options as of that date. As of March 28, 2020, there was no remaining unearned compensation cost related to unvested option awards.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expected volatility, dividend yield, term and risk-free interest rate. There were no options granted during fiscal years 2020,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fiscal years 2020, 2019 and 2018 was $65.1 million, $37.9 million and $87.8 million, respectively.</w:t>
      </w:r>
    </w:p>
    <w:p>
      <w:pPr>
        <w:spacing w:after="0" w:line="23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Cash received from the exercise of stock options and from participation in the employee stock purchase plan (excluding accrued unremitted employee funds) was approximately $49.5 million for fiscal 2020 and is reflected in cash flows from financing activities in the Consolidated Statements of Cash Flows. The Company settles employee stock options with newly issued shares of the Company's common stock.</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5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1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43"/>
        </w:trPr>
        <w:tc>
          <w:tcPr>
            <w:tcW w:w="77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77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2020</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28, 2020, total remaining unearned compensation cost related to unvested restricted stock units was $87.4 million, which will be amortized over the weighted-average remaining service period of approximately 1.3 years.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total intrinsic value of restricted stock units that vested during fiscal years 2020, 2019 and 2018 was $67.7 million, $77.5 million and $73.2 million, respectively, based upon the fair market value of the Company’s common stock on the vesting date.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31, 2019, the Company announced that its Board of Directors authorized a new share repurchase program to repurchase up to $1.0 billion of the Company's outstanding common stock, which included approximately $117.0 million authorized under a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9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repurchased 6.4 million shares, 9.1 million shares and 2.9 million shares of its common stock during fiscal years 2020, 2019 and 2018, respectively, at an aggregate cost of $515.1 million, $638.1 million and $219.9 million, respectively, in accordance with the current and prior share repurchase programs. As of March 28, 2020, $765.9 million remains available for future repurchases under the Company's current share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28, 2020, the Company had reserved a total of approximately 11.2 million of its authorized 405.0 million shares of common stock for future issuance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Possible future issuance under Company stock incentive plans</w:t>
            </w:r>
          </w:p>
        </w:tc>
        <w:tc>
          <w:tcPr>
            <w:tcW w:w="16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Restricted stock-based units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85</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5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OPERATING SEGMENT AND GEOGRAPHIC INFORMATION</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Company's operating and reportable segments as of March 28, 2020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MP is a global supplier of cellular, UWB and Wi-Fi solutions for a variety of high-volume markets, including smartphones, wearables, laptops, tablets and IoT applications.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wireless infrastructure, defense, smart home, automotive and other IoT applications.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restructuring related charges,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MP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2,397,740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2,197,660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2,181,161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788,495</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6"/>
                <w:szCs w:val="16"/>
                <w:color w:val="auto"/>
              </w:rPr>
              <w:t>(1)</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3,239,141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3,090,325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2,973,536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549,574</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267,304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235,719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(715,011)</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423,216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70,282</w:t>
            </w:r>
          </w:p>
        </w:tc>
        <w:tc>
          <w:tcPr>
            <w:tcW w:w="0" w:type="dxa"/>
            <w:vAlign w:val="bottom"/>
          </w:tcPr>
          <w:p>
            <w:pPr>
              <w:spacing w:after="0"/>
              <w:rPr>
                <w:sz w:val="1"/>
                <w:szCs w:val="1"/>
                <w:color w:val="auto"/>
              </w:rPr>
            </w:pPr>
          </w:p>
        </w:tc>
      </w:tr>
      <w:tr>
        <w:trPr>
          <w:trHeight w:val="67"/>
        </w:trPr>
        <w:tc>
          <w:tcPr>
            <w:tcW w:w="6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395,089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91,792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firstLine="8"/>
        <w:spacing w:after="0" w:line="261" w:lineRule="auto"/>
        <w:tabs>
          <w:tab w:leader="none" w:pos="2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"All other" revenue relates to royalty income that was not allocated to MP or IDP for fiscal 2018. As a result of the adoption of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income related to a right-to-use license of intellectual property was recognized at a point-in-time and, therefore, was included as a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impacting retained earnings.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30" w:right="3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(75,978)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(71,580)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(68,158)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(539,362)</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(21,406)</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(24,271)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accelerated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w w:val="96"/>
              </w:rPr>
              <w:t>Other (including (loss) gain on assets and other miscellaneous corporate overhead)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(13,253)</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(715,011)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9"/>
        </w:trPr>
        <w:tc>
          <w:tcPr>
            <w:tcW w:w="66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58"/>
        </w:trPr>
        <w:tc>
          <w:tcPr>
            <w:tcW w:w="6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1,468,358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1,379,528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1,463,594</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1,094,061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890,969</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Asia</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340,400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271,797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327,158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161,479</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154,367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156,194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130,336</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3,239,141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3,090,325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2,973,536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first quarter of fiscal 2020, the Company changed its presentation of net revenue based on the "sold to" address of the customer to the above presentation of net revenue based on the location of the customers' headquarters. The information above for fiscal years 2019 and 2018 has been reclassified to reflect this change. The Company believes that the disaggregation of revenue based on the location of the customers' headquarters is more representative of how its revenue and cash flows are impacted by geographically-sensitive changes in economic factors.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 2020</w:t>
            </w:r>
          </w:p>
        </w:tc>
        <w:tc>
          <w:tcPr>
            <w:tcW w:w="280" w:type="dxa"/>
            <w:vAlign w:val="bottom"/>
          </w:tcPr>
          <w:p>
            <w:pPr>
              <w:spacing w:after="0"/>
              <w:rPr>
                <w:sz w:val="16"/>
                <w:szCs w:val="16"/>
                <w:color w:val="auto"/>
              </w:rPr>
            </w:pPr>
          </w:p>
        </w:tc>
        <w:tc>
          <w:tcPr>
            <w:tcW w:w="162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30, 2019</w:t>
            </w:r>
          </w:p>
        </w:tc>
      </w:tr>
      <w:tr>
        <w:trPr>
          <w:trHeight w:val="249"/>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1,042,587</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1,106,705</w:t>
            </w:r>
          </w:p>
        </w:tc>
      </w:tr>
      <w:tr>
        <w:trPr>
          <w:trHeight w:val="27"/>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166,524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216,342</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50,092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43,466</w:t>
            </w:r>
          </w:p>
        </w:tc>
      </w:tr>
      <w:tr>
        <w:trPr>
          <w:trHeight w:val="891"/>
        </w:trPr>
        <w:tc>
          <w:tcPr>
            <w:tcW w:w="3800" w:type="dxa"/>
            <w:vAlign w:val="bottom"/>
          </w:tcPr>
          <w:p>
            <w:pPr>
              <w:spacing w:after="0"/>
              <w:rPr>
                <w:sz w:val="24"/>
                <w:szCs w:val="24"/>
                <w:color w:val="auto"/>
              </w:rPr>
            </w:pPr>
          </w:p>
        </w:tc>
        <w:tc>
          <w:tcPr>
            <w:tcW w:w="3400" w:type="dxa"/>
            <w:vAlign w:val="bottom"/>
          </w:tcPr>
          <w:p>
            <w:pPr>
              <w:jc w:val="right"/>
              <w:ind w:right="139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QUARTERLY FINANCIAL SUMMARY (UNAUDITED):</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w w:val="94"/>
              </w:rPr>
              <w:t>Fiscal 2020 Quarter</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00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data)</w:t>
            </w: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Third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775,598</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806,698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869,073</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787,772</w:t>
            </w: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294,289</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323,582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368,111</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335,781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39,541</w:t>
            </w: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83,038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161,356</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50,390</w:t>
            </w: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(1),(3)</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(3),(4)</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0.33</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0.33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0.43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w w:val="94"/>
              </w:rPr>
              <w:t>Fiscal 2019 Quarter</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0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data)</w:t>
            </w: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Third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692,670</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884,443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832,330</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680,882</w:t>
            </w: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236,733</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353,514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338,363</w:t>
            </w:r>
          </w:p>
        </w:tc>
        <w:tc>
          <w:tcPr>
            <w:tcW w:w="540" w:type="dxa"/>
            <w:vAlign w:val="bottom"/>
          </w:tcPr>
          <w:p>
            <w:pPr>
              <w:ind w:left="40"/>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266,573</w:t>
            </w:r>
          </w:p>
        </w:tc>
        <w:tc>
          <w:tcPr>
            <w:tcW w:w="540" w:type="dxa"/>
            <w:vAlign w:val="bottom"/>
          </w:tcPr>
          <w:p>
            <w:pPr>
              <w:ind w:lef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(1),(2),</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19"/>
              <w:spacing w:after="0" w:line="257" w:lineRule="exact"/>
              <w:rPr>
                <w:sz w:val="20"/>
                <w:szCs w:val="20"/>
                <w:color w:val="auto"/>
              </w:rPr>
            </w:pPr>
            <w:r>
              <w:rPr>
                <w:rFonts w:ascii="Arial" w:cs="Arial" w:eastAsia="Arial" w:hAnsi="Arial"/>
                <w:sz w:val="18"/>
                <w:szCs w:val="18"/>
                <w:color w:val="auto"/>
              </w:rPr>
              <w:t xml:space="preserve">(29,993) </w:t>
            </w:r>
            <w:r>
              <w:rPr>
                <w:rFonts w:ascii="Arial" w:cs="Arial" w:eastAsia="Arial" w:hAnsi="Arial"/>
                <w:sz w:val="25"/>
                <w:szCs w:val="25"/>
                <w:color w:val="auto"/>
                <w:vertAlign w:val="superscript"/>
              </w:rPr>
              <w:t>(6),(7)</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69,517</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61,517</w:t>
            </w: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5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0.50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80" w:hanging="161"/>
        <w:spacing w:after="0" w:line="251" w:lineRule="auto"/>
        <w:rPr>
          <w:sz w:val="20"/>
          <w:szCs w:val="20"/>
          <w:color w:val="auto"/>
        </w:rPr>
      </w:pPr>
      <w:r>
        <w:rPr>
          <w:rFonts w:ascii="Arial" w:cs="Arial" w:eastAsia="Arial" w:hAnsi="Arial"/>
          <w:sz w:val="16"/>
          <w:szCs w:val="16"/>
          <w:color w:val="auto"/>
        </w:rPr>
        <w:t>1 The Company recorded restructuring related charges, including accelerated depreciation on certain property and equipment, of $24.0 million, $9.5 million, $10.3 million and $4.1 million in the first, second, third and fourth quarters of fiscal 2020, respectively. The Company recorded restructuring related charges, including accelerated depreciation and impairment charges on certain property and equipment, of $2.8 million, $0.5 million, $19.5 million and $27.9 million in the first, second, third and fourth quarters of fiscal 2019, respectively (Note 12).</w:t>
      </w:r>
    </w:p>
    <w:p>
      <w:pPr>
        <w:ind w:left="180" w:right="280" w:hanging="161"/>
        <w:spacing w:after="0" w:line="246" w:lineRule="auto"/>
        <w:rPr>
          <w:sz w:val="20"/>
          <w:szCs w:val="20"/>
          <w:color w:val="auto"/>
        </w:rPr>
      </w:pPr>
      <w:r>
        <w:rPr>
          <w:rFonts w:ascii="Arial" w:cs="Arial" w:eastAsia="Arial" w:hAnsi="Arial"/>
          <w:sz w:val="16"/>
          <w:szCs w:val="16"/>
          <w:color w:val="auto"/>
        </w:rPr>
        <w:t>2 The Company recorded start-up expenses of $0.1 million, $0.4 million and $0.2 million in the first, third and fourth quarters of fiscal 2020, respectively. The Company recorded start-up expenses of $5.3 million, $5.9 million and $6.8 million in the first, second and third quarters of fiscal 2019, respectively.</w:t>
      </w:r>
    </w:p>
    <w:p>
      <w:pPr>
        <w:spacing w:after="0" w:line="1" w:lineRule="exact"/>
        <w:rPr>
          <w:sz w:val="20"/>
          <w:szCs w:val="20"/>
          <w:color w:val="auto"/>
        </w:rPr>
      </w:pPr>
    </w:p>
    <w:p>
      <w:pPr>
        <w:ind w:left="180" w:right="340" w:hanging="161"/>
        <w:spacing w:after="0" w:line="262" w:lineRule="auto"/>
        <w:rPr>
          <w:sz w:val="20"/>
          <w:szCs w:val="20"/>
          <w:color w:val="auto"/>
        </w:rPr>
      </w:pPr>
      <w:r>
        <w:rPr>
          <w:rFonts w:ascii="Arial" w:cs="Arial" w:eastAsia="Arial" w:hAnsi="Arial"/>
          <w:sz w:val="15"/>
          <w:szCs w:val="15"/>
          <w:color w:val="auto"/>
        </w:rPr>
        <w:t>3 The Company recorded acquisition and integration related expenses of $23.1 million, $7.6 million, $7.2 million and $24.0 million in the first, second, third and fourth quarters of fiscal 2020, respectively, primarily associated with the acquisitions of Active-Semi, Cavendish, Custom MMIC and Decawave (Note 5).</w:t>
      </w:r>
    </w:p>
    <w:p>
      <w:pPr>
        <w:spacing w:after="0" w:line="1" w:lineRule="exact"/>
        <w:rPr>
          <w:sz w:val="20"/>
          <w:szCs w:val="20"/>
          <w:color w:val="auto"/>
        </w:rPr>
      </w:pPr>
    </w:p>
    <w:p>
      <w:pPr>
        <w:ind w:left="180" w:right="520" w:hanging="161"/>
        <w:spacing w:after="0" w:line="246" w:lineRule="auto"/>
        <w:rPr>
          <w:sz w:val="20"/>
          <w:szCs w:val="20"/>
          <w:color w:val="auto"/>
        </w:rPr>
      </w:pPr>
      <w:r>
        <w:rPr>
          <w:rFonts w:ascii="Arial" w:cs="Arial" w:eastAsia="Arial" w:hAnsi="Arial"/>
          <w:sz w:val="16"/>
          <w:szCs w:val="16"/>
          <w:color w:val="auto"/>
        </w:rPr>
        <w:t>4 The Company recorded a gain of $43.0 million in the third quarter of fiscal 2020 related to the remeasurement of its previously held equity interest in Cavendish in connection with the purchase of the remaining issued and outstanding capital of the entity (Note 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5 The Company recorded an impairment of $18.3 million in the fourth quarter of fiscal 2020 on an equity investment without a readily determinable fair value (Note 7).</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6 The Company recorded losses on debt extinguishment of $33.4 million, $48.8 million, $1.8 million and $6.2 million in the first, second, third and fourth quarters of fiscal</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2019, respectively.</w:t>
      </w:r>
    </w:p>
    <w:p>
      <w:pPr>
        <w:spacing w:after="0" w:line="5" w:lineRule="exact"/>
        <w:rPr>
          <w:sz w:val="20"/>
          <w:szCs w:val="20"/>
          <w:color w:val="auto"/>
        </w:rPr>
      </w:pPr>
    </w:p>
    <w:p>
      <w:pPr>
        <w:ind w:left="180" w:right="500" w:hanging="161"/>
        <w:spacing w:after="0" w:line="246" w:lineRule="auto"/>
        <w:rPr>
          <w:sz w:val="20"/>
          <w:szCs w:val="20"/>
          <w:color w:val="auto"/>
        </w:rPr>
      </w:pPr>
      <w:r>
        <w:rPr>
          <w:rFonts w:ascii="Arial" w:cs="Arial" w:eastAsia="Arial" w:hAnsi="Arial"/>
          <w:sz w:val="16"/>
          <w:szCs w:val="16"/>
          <w:color w:val="auto"/>
        </w:rPr>
        <w:t>7 Income tax benefit of $32.1 million for the first quarter of fiscal 2019 relates primarily to a discrete provisional benefit for adjustments to a third quarter fiscal 2018 provisional estimate of the impact of the Tax Act (Note 13).</w:t>
      </w:r>
    </w:p>
    <w:p>
      <w:pPr>
        <w:spacing w:after="0" w:line="1" w:lineRule="exact"/>
        <w:rPr>
          <w:sz w:val="20"/>
          <w:szCs w:val="20"/>
          <w:color w:val="auto"/>
        </w:rPr>
      </w:pPr>
    </w:p>
    <w:p>
      <w:pPr>
        <w:ind w:left="180" w:right="160" w:hanging="161"/>
        <w:spacing w:after="0" w:line="257" w:lineRule="auto"/>
        <w:rPr>
          <w:sz w:val="20"/>
          <w:szCs w:val="20"/>
          <w:color w:val="auto"/>
        </w:rPr>
      </w:pPr>
      <w:r>
        <w:rPr>
          <w:rFonts w:ascii="Arial" w:cs="Arial" w:eastAsia="Arial" w:hAnsi="Arial"/>
          <w:sz w:val="16"/>
          <w:szCs w:val="16"/>
          <w:color w:val="auto"/>
        </w:rPr>
        <w:t>8 Income tax benefit of $11.3 million for the fourth quarter of fiscal 2019 relates primarily to a discrete benefit for the recognition of a previously unrecognized tax benefit as a result of legislative guidance issued during the year (Note 13).</w:t>
      </w:r>
    </w:p>
    <w:p>
      <w:pPr>
        <w:spacing w:after="0" w:line="12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Each quarter of fiscal 2020 and fiscal 2019 contained a comparable number of weeks (13 weeks).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30"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360" w:firstLine="3364"/>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Qorvo,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Qorvo, Inc. and subsidiaries (the Company) as of March 28, 2020 and March 30, 2019, the related consolidated statements of operations, comprehensive income, stockholders’ equity and cash flows for each of the two years in the period ended March 28, 2020, and the related notes (collectively referred to as the “consolidated financial statements”). In our opinion, the consolidated financial statements present fairly, in all material respects, the financial position of the Company at March 28, 2020 and March 30, 2019, and the results of its operations and its cash flows for each of the two years in the period ended March 28, 2020, in conformity with U.S. generally accepted accounting principles.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28, 2020, based on criteria established in Internal Control-Integrated Framework issued by the Committee of Sponsoring Organizations of the Treadway Commission (2013 framework) and our report dated May 20,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Valuation</w:t>
      </w:r>
    </w:p>
    <w:p>
      <w:pPr>
        <w:spacing w:after="0" w:line="171" w:lineRule="exact"/>
        <w:rPr>
          <w:sz w:val="20"/>
          <w:szCs w:val="20"/>
          <w:color w:val="auto"/>
        </w:rPr>
      </w:pPr>
    </w:p>
    <w:p>
      <w:pPr>
        <w:jc w:val="both"/>
        <w:ind w:left="1960" w:hanging="1916"/>
        <w:spacing w:after="0" w:line="257" w:lineRule="auto"/>
        <w:rPr>
          <w:sz w:val="20"/>
          <w:szCs w:val="20"/>
          <w:color w:val="auto"/>
        </w:rPr>
      </w:pPr>
      <w:r>
        <w:rPr>
          <w:rFonts w:ascii="Arial" w:cs="Arial" w:eastAsia="Arial" w:hAnsi="Arial"/>
          <w:sz w:val="18"/>
          <w:szCs w:val="18"/>
          <w:i w:val="1"/>
          <w:iCs w:val="1"/>
          <w:color w:val="auto"/>
        </w:rPr>
        <w:t xml:space="preserve">Description of the Matter </w:t>
      </w:r>
      <w:r>
        <w:rPr>
          <w:rFonts w:ascii="Arial" w:cs="Arial" w:eastAsia="Arial" w:hAnsi="Arial"/>
          <w:sz w:val="18"/>
          <w:szCs w:val="18"/>
          <w:color w:val="auto"/>
        </w:rPr>
        <w:t>The Company’s inventory, net totaled $517.2 million as of March 28, 2020, representing approximately 8% of total assets.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in Note 1 to the consolidated financial statements, the Company assesses the valuation of all inventories including manufacturing raw materials, work-in-process, and finished goods each reporting period. Obsolete inventory or inventory in excess of management’s estimated demand forecasts is written down to its estimated net realizable value if less than cost by recording an inventory reserve at each reporting period.</w:t>
      </w:r>
    </w:p>
    <w:p>
      <w:pPr>
        <w:spacing w:after="0" w:line="188"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Auditing management’s estimates for inventory reserves involved subjective auditor judgment because the assessment considers a number of factors, including estimated customer demand forecasts, technological obsolescence risks, and possible alternative uses that are affected at least partially by market and economic conditions outside the Company’s control.</w:t>
      </w:r>
    </w:p>
    <w:p>
      <w:pPr>
        <w:spacing w:after="0" w:line="311" w:lineRule="exact"/>
        <w:rPr>
          <w:sz w:val="20"/>
          <w:szCs w:val="20"/>
          <w:color w:val="auto"/>
        </w:rPr>
      </w:pPr>
    </w:p>
    <w:p>
      <w:pPr>
        <w:ind w:left="40"/>
        <w:spacing w:after="0"/>
        <w:tabs>
          <w:tab w:leader="none" w:pos="19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jc w:val="both"/>
        <w:ind w:left="1960" w:right="20" w:hanging="1916"/>
        <w:spacing w:after="0" w:line="255" w:lineRule="auto"/>
        <w:tabs>
          <w:tab w:leader="none" w:pos="19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inventory reserve process. This included testing controls over management's review of the assumptions and data underlying the inventory reserves, such as demand forecasts and consideration of how factors outside of the Company’s control might affect the valuation of obsolete and excess inventory.</w:t>
      </w:r>
    </w:p>
    <w:p>
      <w:pPr>
        <w:spacing w:after="0" w:line="190" w:lineRule="exact"/>
        <w:rPr>
          <w:sz w:val="20"/>
          <w:szCs w:val="20"/>
          <w:color w:val="auto"/>
        </w:rPr>
      </w:pPr>
    </w:p>
    <w:p>
      <w:pPr>
        <w:ind w:left="1960" w:right="20"/>
        <w:spacing w:after="0" w:line="257" w:lineRule="auto"/>
        <w:rPr>
          <w:sz w:val="20"/>
          <w:szCs w:val="20"/>
          <w:color w:val="auto"/>
        </w:rPr>
      </w:pPr>
      <w:r>
        <w:rPr>
          <w:rFonts w:ascii="Arial" w:cs="Arial" w:eastAsia="Arial" w:hAnsi="Arial"/>
          <w:sz w:val="18"/>
          <w:szCs w:val="18"/>
          <w:color w:val="auto"/>
        </w:rPr>
        <w:t>Our audit procedures included, among others, evaluating the significant assumptions (e.g., customer demand forecasts, technological and/or market obsolescence, and possible alternative uses) and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forecast assumptions and the reserve estimate.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left="1960" w:hanging="1916"/>
        <w:spacing w:after="0" w:line="254" w:lineRule="auto"/>
        <w:rPr>
          <w:sz w:val="20"/>
          <w:szCs w:val="20"/>
          <w:color w:val="auto"/>
        </w:rPr>
      </w:pPr>
      <w:r>
        <w:rPr>
          <w:rFonts w:ascii="Arial" w:cs="Arial" w:eastAsia="Arial" w:hAnsi="Arial"/>
          <w:sz w:val="18"/>
          <w:szCs w:val="18"/>
          <w:i w:val="1"/>
          <w:iCs w:val="1"/>
          <w:color w:val="auto"/>
        </w:rPr>
        <w:t xml:space="preserve">Description of the Matter </w:t>
      </w:r>
      <w:r>
        <w:rPr>
          <w:rFonts w:ascii="Arial" w:cs="Arial" w:eastAsia="Arial" w:hAnsi="Arial"/>
          <w:sz w:val="18"/>
          <w:szCs w:val="18"/>
          <w:color w:val="auto"/>
        </w:rPr>
        <w:t>As explained in Note 5 to the consolidated financial statements, the Company completed acquisitions of Active-Semi</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Inc. (“Active-Semi”), Cavendish Kinetics Limited (“Cavendish”), Custom MMIC Design Services, Inc. (“Custom MMIC”), and Decawave Limited (“Decawave”) during the fiscal year ended March 28, 2020. The acquisitions were each accounted for as business combinations. The Company recorded intangible assets from these acquisitions, primarily consisting of customer relationships and developed technology. The Company used the income approach to estimate the preliminary fair values of the customer relationships and developed technology, each of which are based on management’s estimates and assumptions.</w:t>
      </w:r>
    </w:p>
    <w:p>
      <w:pPr>
        <w:spacing w:after="0" w:line="195" w:lineRule="exact"/>
        <w:rPr>
          <w:sz w:val="20"/>
          <w:szCs w:val="20"/>
          <w:color w:val="auto"/>
        </w:rPr>
      </w:pPr>
    </w:p>
    <w:p>
      <w:pPr>
        <w:jc w:val="both"/>
        <w:ind w:left="1960"/>
        <w:spacing w:after="0" w:line="253" w:lineRule="auto"/>
        <w:rPr>
          <w:sz w:val="20"/>
          <w:szCs w:val="20"/>
          <w:color w:val="auto"/>
        </w:rPr>
      </w:pPr>
      <w:r>
        <w:rPr>
          <w:rFonts w:ascii="Arial" w:cs="Arial" w:eastAsia="Arial" w:hAnsi="Arial"/>
          <w:sz w:val="18"/>
          <w:szCs w:val="18"/>
          <w:color w:val="auto"/>
        </w:rPr>
        <w:t>Auditing the Company's accounting for its acquisitions of Active-Semi, Cavendish, Custom MMIC, and Decawave was complex and subjective due to the significant estimation uncertainty in determining the fair value of the above identified intangible assets, which was primarily due to the sensitivity of the respective fair values to underlying assumptions. The fair value estimate of the customer relationships intangible asset included significant assumptions in the prospective financial information (including revenue growth, EBITDA margin, and customer attrition) and the discount rate. The fair value estimate of the developed technology intangible asset included significant assumptions in the prospective financial information (including revenue growth, EBITDA margin, technology migration rates, royalty rates, and expected economic life) and the discount rate. These significant assumptions for each of the identified intangible assets are forward-looking and could be affected by future economic and market conditions.</w:t>
      </w:r>
    </w:p>
    <w:p>
      <w:pPr>
        <w:spacing w:after="0" w:line="358" w:lineRule="exact"/>
        <w:rPr>
          <w:sz w:val="20"/>
          <w:szCs w:val="20"/>
          <w:color w:val="auto"/>
        </w:rPr>
      </w:pPr>
    </w:p>
    <w:p>
      <w:pPr>
        <w:ind w:left="40"/>
        <w:spacing w:after="0"/>
        <w:tabs>
          <w:tab w:leader="none" w:pos="19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accounting for</w:t>
      </w:r>
    </w:p>
    <w:p>
      <w:pPr>
        <w:spacing w:after="0" w:line="23" w:lineRule="exact"/>
        <w:rPr>
          <w:sz w:val="20"/>
          <w:szCs w:val="20"/>
          <w:color w:val="auto"/>
        </w:rPr>
      </w:pPr>
    </w:p>
    <w:p>
      <w:pPr>
        <w:jc w:val="both"/>
        <w:ind w:left="1960" w:hanging="1916"/>
        <w:spacing w:after="0" w:line="255" w:lineRule="auto"/>
        <w:tabs>
          <w:tab w:leader="none" w:pos="19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the acquisitions. Our tests included controls over the estimation process and models to calculate the fair value estimates of the above identified intangible assets, as well as controls over management’s review of the valuation methodologies and significant assumptions discussed above.</w:t>
      </w:r>
    </w:p>
    <w:p>
      <w:pPr>
        <w:spacing w:after="0" w:line="190" w:lineRule="exact"/>
        <w:rPr>
          <w:sz w:val="20"/>
          <w:szCs w:val="20"/>
          <w:color w:val="auto"/>
        </w:rPr>
      </w:pPr>
    </w:p>
    <w:p>
      <w:pPr>
        <w:jc w:val="both"/>
        <w:ind w:left="1960"/>
        <w:spacing w:after="0" w:line="287" w:lineRule="auto"/>
        <w:rPr>
          <w:sz w:val="20"/>
          <w:szCs w:val="20"/>
          <w:color w:val="auto"/>
        </w:rPr>
      </w:pPr>
      <w:r>
        <w:rPr>
          <w:rFonts w:ascii="Arial" w:cs="Arial" w:eastAsia="Arial" w:hAnsi="Arial"/>
          <w:sz w:val="16"/>
          <w:szCs w:val="16"/>
          <w:color w:val="auto"/>
        </w:rPr>
        <w:t>To test the estimated fair values of the developed technology and customer relationship intangible assets, we performed audit procedures that included, among others, evaluating the Company's selection of the valuation methodologies, testing the significant assumptions and the completeness and accuracy of the underlying data. For example, we compared the significant assumptions in the prospective financial information, including, but not limited to, the forecasted revenue growth rates, EBITDA margin, expected annual customer attrition, technology migration rates, and the estimated economic life, as appropriate for each calculation to current industry trends, as well as to the historical performance of the acquired businesses. With the assistance of our valuation specialists, we evaluated the reasonableness of the valuation methodology, and significant assumptions, including royalty rates and discount rates. This included understanding and validating the source information underlying the determination of the royalty rates and discount rates and testing the mathematical accuracy of the calculations. In addition, we developed a range of independent estimates for the discount rates using publicly available market data for comparable entities and comparing those to the discount rates selected by management.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360" w:firstLine="3364"/>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Qorvo,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audited Qorvo, Inc. and subsidiaries’ internal control over financial reporting as of March 28, 2020,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28, 2020, based on the COSO criteria.</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28, 2020 and March 30, 2019, the related consolidated statements of operations, comprehensive income, stockholders’ equity and cash flows for each of the two years in the period ended March 28, 2020, and the related notes and our report dated May 20,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2119"/>
        <w:spacing w:after="0" w:line="296" w:lineRule="auto"/>
        <w:rPr>
          <w:sz w:val="20"/>
          <w:szCs w:val="20"/>
          <w:color w:val="auto"/>
        </w:rPr>
      </w:pPr>
      <w:r>
        <w:rPr>
          <w:rFonts w:ascii="Arial" w:cs="Arial" w:eastAsia="Arial" w:hAnsi="Arial"/>
          <w:sz w:val="16"/>
          <w:szCs w:val="16"/>
          <w:color w:val="auto"/>
        </w:rPr>
        <w:t>We have audited the accompanying consolidated statements of operations, comprehensive loss, stockholders’ equity, and cash flows of Qorvo, Inc. and subsidiaries (the Company) for the year ended March 31, 2018, and the related notes (collectively, the consolidated financial statements). In our opinion, the consolidated financial statements present fairly, in all material respects the results of operations of the Company and its cash flows for the year ended March 31, 2018, in conformity with U.S. generally accepted accounting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2199"/>
        <w:spacing w:after="0" w:line="27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2014 to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139"/>
          </w:cols>
          <w:pgMar w:left="320" w:top="125" w:right="1440" w:bottom="1440" w:gutter="0" w:footer="0" w:header="0"/>
        </w:sectPr>
      </w:pPr>
    </w:p>
    <w:bookmarkStart w:id="93" w:name="page94"/>
    <w:bookmarkEnd w:id="93"/>
    <w:p>
      <w:pPr>
        <w:ind w:left="6"/>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6" w:hanging="252"/>
        <w:spacing w:after="0"/>
        <w:tabs>
          <w:tab w:leader="none" w:pos="26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left="6"/>
        <w:spacing w:after="0" w:line="254"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195" w:lineRule="exact"/>
        <w:rPr>
          <w:sz w:val="20"/>
          <w:szCs w:val="20"/>
          <w:color w:val="auto"/>
        </w:rPr>
      </w:pPr>
    </w:p>
    <w:p>
      <w:pPr>
        <w:jc w:val="both"/>
        <w:ind w:left="6"/>
        <w:spacing w:after="0" w:line="290" w:lineRule="auto"/>
        <w:rPr>
          <w:sz w:val="20"/>
          <w:szCs w:val="20"/>
          <w:color w:val="auto"/>
        </w:rPr>
      </w:pPr>
      <w:r>
        <w:rPr>
          <w:rFonts w:ascii="Arial" w:cs="Arial" w:eastAsia="Arial" w:hAnsi="Arial"/>
          <w:sz w:val="16"/>
          <w:szCs w:val="16"/>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165" w:lineRule="exact"/>
        <w:rPr>
          <w:sz w:val="20"/>
          <w:szCs w:val="20"/>
          <w:color w:val="auto"/>
        </w:rPr>
      </w:pPr>
    </w:p>
    <w:p>
      <w:pPr>
        <w:ind w:left="246" w:hanging="246"/>
        <w:spacing w:after="0"/>
        <w:tabs>
          <w:tab w:leader="none" w:pos="24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25" w:lineRule="exact"/>
        <w:rPr>
          <w:sz w:val="20"/>
          <w:szCs w:val="20"/>
          <w:color w:val="auto"/>
        </w:rPr>
      </w:pPr>
    </w:p>
    <w:p>
      <w:pPr>
        <w:jc w:val="both"/>
        <w:ind w:left="6"/>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182"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28, 2020.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4"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was effective as of March 28, 2020, based on the criteria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COSO.</w:t>
      </w: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6"/>
          </w:cols>
          <w:pgMar w:left="314" w:top="130" w:right="339" w:bottom="1440" w:gutter="0" w:footer="0" w:header="0"/>
        </w:sectPr>
      </w:pPr>
    </w:p>
    <w:bookmarkStart w:id="94" w:name="page95"/>
    <w:bookmarkEnd w:id="94"/>
    <w:p>
      <w:pPr>
        <w:jc w:val="both"/>
        <w:ind w:left="6"/>
        <w:spacing w:after="0" w:line="263" w:lineRule="auto"/>
        <w:rPr>
          <w:sz w:val="20"/>
          <w:szCs w:val="20"/>
          <w:color w:val="auto"/>
        </w:rPr>
      </w:pPr>
      <w:r>
        <w:rPr>
          <w:rFonts w:ascii="Arial" w:cs="Arial" w:eastAsia="Arial" w:hAnsi="Arial"/>
          <w:sz w:val="18"/>
          <w:szCs w:val="18"/>
          <w:color w:val="auto"/>
        </w:rPr>
        <w:t>Ernst &amp; Young LLP, an independent registered public accounting firm, has issued an unqualified opinion on the effectiveness of the Company’s internal control over financial reporting, as of March 28, 2020, which is included in this Annual Report on Form 10-K under Part II, Item 8 "Financial Statements and Supplementary Data."</w:t>
      </w:r>
    </w:p>
    <w:p>
      <w:pPr>
        <w:spacing w:after="0" w:line="184" w:lineRule="exact"/>
        <w:rPr>
          <w:sz w:val="20"/>
          <w:szCs w:val="20"/>
          <w:color w:val="auto"/>
        </w:rPr>
      </w:pPr>
    </w:p>
    <w:p>
      <w:pPr>
        <w:ind w:left="246" w:hanging="246"/>
        <w:spacing w:after="0"/>
        <w:tabs>
          <w:tab w:leader="none" w:pos="24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There were no changes in our Company's internal control over financial reporting during the quarter ended March 28, 2020 that have materially affected, or are reasonably likely to materially affect, our internal control over financial reporting.</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2020 Annual Meeting of Stockholders under the captions "Corporate Governance," "Executive Officers," "Proposal 1 - Election of Directors" and "Delinquent Section 16(a) Reports" (to the extent reported therein), and the information therein is incorporated herein by reference.</w:t>
      </w:r>
    </w:p>
    <w:p>
      <w:pPr>
        <w:spacing w:after="0" w:line="184" w:lineRule="exact"/>
        <w:rPr>
          <w:sz w:val="20"/>
          <w:szCs w:val="20"/>
          <w:color w:val="auto"/>
        </w:rPr>
      </w:pPr>
    </w:p>
    <w:p>
      <w:pPr>
        <w:ind w:left="6" w:right="260"/>
        <w:spacing w:after="0" w:line="275" w:lineRule="auto"/>
        <w:rPr>
          <w:sz w:val="20"/>
          <w:szCs w:val="20"/>
          <w:color w:val="auto"/>
        </w:rPr>
      </w:pPr>
      <w:r>
        <w:rPr>
          <w:rFonts w:ascii="Arial" w:cs="Arial" w:eastAsia="Arial" w:hAnsi="Arial"/>
          <w:sz w:val="17"/>
          <w:szCs w:val="17"/>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 w:right="420"/>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2020 Annual Meeting of Stockholders under the captions "Executive Compensation" and "Compensation Committee Interlocks and Insider Participation," and the information therein is incorporated herein by reference.</w:t>
      </w:r>
    </w:p>
    <w:p>
      <w:pPr>
        <w:spacing w:after="0" w:line="180" w:lineRule="exact"/>
        <w:rPr>
          <w:sz w:val="20"/>
          <w:szCs w:val="20"/>
          <w:color w:val="auto"/>
        </w:rPr>
      </w:pPr>
    </w:p>
    <w:p>
      <w:pPr>
        <w:ind w:left="6"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6" w:right="660"/>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2020 Annual Meeting of Stockholders under the captions "Security Ownership of Certain Beneficial Owners and Management" and "Equity Compensation Plan Information," and the information therein is incorporated herein by reference.</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2020 Annual Meeting of Stockholders under the captions "Related Person Transactions" and "Corporate Governance," and the information therein is incorporated herein by reference.</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 w:right="20"/>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2020 Annual Meeting of Stockholders under the captions “Proposal 3 - Ratification of Appointment of Independent Registered Public Accounting Firm” and “Corporate Governance,” and the information therein is incorporated herein by reference.</w:t>
      </w:r>
    </w:p>
    <w:p>
      <w:pPr>
        <w:spacing w:after="0" w:line="40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6"/>
          </w:cols>
          <w:pgMar w:left="314" w:top="341" w:right="339" w:bottom="1440" w:gutter="0" w:footer="0" w:header="0"/>
        </w:sectPr>
      </w:pPr>
    </w:p>
    <w:bookmarkStart w:id="95" w:name="page96"/>
    <w:bookmarkEnd w:id="95"/>
    <w:p>
      <w:pPr>
        <w:jc w:val="center"/>
        <w:ind w:right="-3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Consolidated Balance Sheets as of March 28, 2020 and March 30,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2020, 2019 and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fiscal years 2020, 2019 and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2020, 2019 and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2020, 2019 and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8"/>
        <w:spacing w:after="0" w:line="277" w:lineRule="auto"/>
        <w:tabs>
          <w:tab w:leader="none" w:pos="7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ind w:left="340" w:right="7320" w:hanging="33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60"/>
          </w:cols>
          <w:pgMar w:left="320" w:top="121" w:right="7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139"/>
          </w:cols>
          <w:pgMar w:left="320" w:top="130" w:right="1440"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No.</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81" w:lineRule="exact"/>
        <w:rPr>
          <w:sz w:val="20"/>
          <w:szCs w:val="20"/>
          <w:color w:val="auto"/>
        </w:rPr>
      </w:pPr>
    </w:p>
    <w:p>
      <w:pPr>
        <w:ind w:right="100"/>
        <w:spacing w:after="0" w:line="263"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Contingent Acquisition Implementation Deed by and among TriQuint Semiconductor, Inc., Cavendish Kinetics Limited and</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Certain Cavendish Shareholders, dated as of August 4, 2015 (incorporated by reference to Exhibit 2.1 to the Company's Quarterly</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Report on Form 10-Q/A filed with the SEC on April 26, 2016)+</w:t>
        </w:r>
      </w:hyperlink>
    </w:p>
    <w:p>
      <w:pPr>
        <w:spacing w:after="0" w:line="22" w:lineRule="exact"/>
        <w:rPr>
          <w:rFonts w:ascii="Arial" w:cs="Arial" w:eastAsia="Arial" w:hAnsi="Arial"/>
          <w:sz w:val="18"/>
          <w:szCs w:val="18"/>
          <w:u w:val="single" w:color="auto"/>
          <w:color w:val="0000FF"/>
        </w:rPr>
      </w:pPr>
    </w:p>
    <w:p>
      <w:pPr>
        <w:jc w:val="both"/>
        <w:spacing w:after="0" w:line="263"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Deed of Amendment relating to the Contingent Acquisition Implementation Deed between Qorvo US, Inc. and Cavendish Kinetics</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Limited, dated July 31, 2017 (incorporated by reference to Exhibit 2.1 to the Company’s Quarterly Report on Form 10-Q filed with</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the SEC on November 3, 2017)+</w:t>
        </w:r>
      </w:hyperlink>
    </w:p>
    <w:p>
      <w:pPr>
        <w:spacing w:after="0" w:line="4" w:lineRule="exact"/>
        <w:rPr>
          <w:rFonts w:ascii="Arial" w:cs="Arial" w:eastAsia="Arial" w:hAnsi="Arial"/>
          <w:sz w:val="18"/>
          <w:szCs w:val="18"/>
          <w:u w:val="single" w:color="auto"/>
          <w:color w:val="0000FF"/>
        </w:rPr>
      </w:pPr>
    </w:p>
    <w:p>
      <w:pPr>
        <w:sectPr>
          <w:pgSz w:w="11900" w:h="16838" w:orient="portrait"/>
          <w:cols w:equalWidth="0" w:num="2">
            <w:col w:w="1160" w:space="200"/>
            <w:col w:w="9440"/>
          </w:cols>
          <w:pgMar w:left="320" w:top="130" w:right="779" w:bottom="1440" w:gutter="0" w:footer="0" w:header="0"/>
        </w:sectPr>
      </w:pPr>
    </w:p>
    <w:tbl>
      <w:tblPr>
        <w:tblLayout w:type="fixed"/>
        <w:tblInd w:w="40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9440" w:type="dxa"/>
            <w:vAlign w:val="bottom"/>
            <w:gridSpan w:val="26"/>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Amended and Restated Certificate of Incorporation of Qorvo, Inc., as amended (incorporated by reference to Exhibit 3.1 to the</w:t>
              </w:r>
            </w:hyperlink>
          </w:p>
        </w:tc>
      </w:tr>
      <w:tr>
        <w:trPr>
          <w:trHeight w:val="196"/>
        </w:trPr>
        <w:tc>
          <w:tcPr>
            <w:tcW w:w="960" w:type="dxa"/>
            <w:vAlign w:val="bottom"/>
          </w:tcPr>
          <w:p>
            <w:pPr>
              <w:spacing w:after="0"/>
              <w:rPr>
                <w:sz w:val="17"/>
                <w:szCs w:val="17"/>
                <w:color w:val="auto"/>
              </w:rPr>
            </w:pPr>
          </w:p>
        </w:tc>
        <w:tc>
          <w:tcPr>
            <w:tcW w:w="91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Company’s Quarterly Report on Form 10-Q filed with the SEC on February 3, 2015)</w:t>
              </w:r>
            </w:hyperlink>
          </w:p>
        </w:tc>
        <w:tc>
          <w:tcPr>
            <w:tcW w:w="320" w:type="dxa"/>
            <w:vAlign w:val="bottom"/>
            <w:gridSpan w:val="10"/>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9440" w:type="dxa"/>
            <w:vAlign w:val="bottom"/>
            <w:gridSpan w:val="26"/>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Amended and Restated Bylaws of Qorvo, Inc., effective as of May 13, 2016 (incorporated by reference to Exhibit 3.1 to the</w:t>
              </w:r>
            </w:hyperlink>
          </w:p>
        </w:tc>
      </w:tr>
      <w:tr>
        <w:trPr>
          <w:trHeight w:val="196"/>
        </w:trPr>
        <w:tc>
          <w:tcPr>
            <w:tcW w:w="960" w:type="dxa"/>
            <w:vAlign w:val="bottom"/>
          </w:tcPr>
          <w:p>
            <w:pPr>
              <w:spacing w:after="0"/>
              <w:rPr>
                <w:sz w:val="17"/>
                <w:szCs w:val="17"/>
                <w:color w:val="auto"/>
              </w:rPr>
            </w:pPr>
          </w:p>
        </w:tc>
        <w:tc>
          <w:tcPr>
            <w:tcW w:w="89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Company's Current Report on Form 8-K filed with the SEC on May 19, 2016)</w:t>
              </w:r>
            </w:hyperlink>
          </w:p>
        </w:tc>
        <w:tc>
          <w:tcPr>
            <w:tcW w:w="540" w:type="dxa"/>
            <w:vAlign w:val="bottom"/>
            <w:gridSpan w:val="13"/>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9440" w:type="dxa"/>
            <w:vAlign w:val="bottom"/>
            <w:gridSpan w:val="26"/>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Specimen Certificate of Common Stock of Qorvo, Inc. (incorporated by reference to Exhibit 4.1 to the Company's Annual Report</w:t>
              </w:r>
            </w:hyperlink>
          </w:p>
        </w:tc>
      </w:tr>
      <w:tr>
        <w:trPr>
          <w:trHeight w:val="196"/>
        </w:trPr>
        <w:tc>
          <w:tcPr>
            <w:tcW w:w="960" w:type="dxa"/>
            <w:vAlign w:val="bottom"/>
          </w:tcPr>
          <w:p>
            <w:pPr>
              <w:spacing w:after="0"/>
              <w:rPr>
                <w:sz w:val="17"/>
                <w:szCs w:val="17"/>
                <w:color w:val="auto"/>
              </w:rPr>
            </w:pPr>
          </w:p>
        </w:tc>
        <w:tc>
          <w:tcPr>
            <w:tcW w:w="93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on Form 10-K filed with the SEC on May 27, 2015)</w:t>
              </w:r>
            </w:hyperlink>
          </w:p>
        </w:tc>
        <w:tc>
          <w:tcPr>
            <w:tcW w:w="12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9100" w:type="dxa"/>
            <w:vAlign w:val="bottom"/>
            <w:tcBorders>
              <w:bottom w:val="single" w:sz="8" w:color="0000FF"/>
            </w:tcBorders>
            <w:gridSpan w:val="15"/>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November 19, 2015, among Qorvo, Inc., the Guarantors party thereto and MUFG Union Bank, N.A., as</w:t>
              </w:r>
            </w:hyperlink>
          </w:p>
        </w:tc>
        <w:tc>
          <w:tcPr>
            <w:tcW w:w="340" w:type="dxa"/>
            <w:vAlign w:val="bottom"/>
            <w:gridSpan w:val="11"/>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Trustee (incorporated by reference to Exhibit 4.1 to the Company's Current Report on Form 8-K filed with the SEC on November</w:t>
              </w:r>
            </w:hyperlink>
          </w:p>
        </w:tc>
      </w:tr>
      <w:tr>
        <w:trPr>
          <w:trHeight w:val="196"/>
        </w:trPr>
        <w:tc>
          <w:tcPr>
            <w:tcW w:w="96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1">
              <w:r>
                <w:rPr>
                  <w:rFonts w:ascii="Arial" w:cs="Arial" w:eastAsia="Arial" w:hAnsi="Arial"/>
                  <w:sz w:val="18"/>
                  <w:szCs w:val="18"/>
                  <w:color w:val="0000FF"/>
                  <w:w w:val="86"/>
                </w:rPr>
                <w:t>19, 2015)</w:t>
              </w:r>
            </w:hyperlink>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5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9440" w:type="dxa"/>
            <w:vAlign w:val="bottom"/>
            <w:tcBorders>
              <w:bottom w:val="single" w:sz="8" w:color="0000FF"/>
            </w:tcBorders>
            <w:gridSpan w:val="26"/>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Supplemental Indenture No. 1, dated as of June 29, 2018 among Qorvo, Inc., the Guarantors party thereto and MUFG Union Bank,</w:t>
              </w:r>
            </w:hyperlink>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N.A., as Trustee (incorporated by reference to Exhibit 4.1 to the Company’s Current Report on Form 8-K filed with the SEC on</w:t>
              </w:r>
            </w:hyperlink>
          </w:p>
        </w:tc>
      </w:tr>
      <w:tr>
        <w:trPr>
          <w:trHeight w:val="196"/>
        </w:trPr>
        <w:tc>
          <w:tcPr>
            <w:tcW w:w="960" w:type="dxa"/>
            <w:vAlign w:val="bottom"/>
          </w:tcPr>
          <w:p>
            <w:pPr>
              <w:spacing w:after="0"/>
              <w:rPr>
                <w:sz w:val="17"/>
                <w:szCs w:val="17"/>
                <w:color w:val="auto"/>
              </w:rPr>
            </w:pPr>
          </w:p>
        </w:tc>
        <w:tc>
          <w:tcPr>
            <w:tcW w:w="9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June 29, 2018)</w:t>
              </w:r>
            </w:hyperlink>
          </w:p>
        </w:tc>
        <w:tc>
          <w:tcPr>
            <w:tcW w:w="260" w:type="dxa"/>
            <w:vAlign w:val="bottom"/>
            <w:gridSpan w:val="8"/>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9220" w:type="dxa"/>
            <w:vAlign w:val="bottom"/>
            <w:tcBorders>
              <w:bottom w:val="single" w:sz="8" w:color="0000FF"/>
            </w:tcBorders>
            <w:gridSpan w:val="20"/>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Supplemental Indenture No. 2, dated as of August 28, 2018, among Qorvo, Inc., the Guarantors party thereto and MUFG Union</w:t>
              </w:r>
            </w:hyperlink>
          </w:p>
        </w:tc>
        <w:tc>
          <w:tcPr>
            <w:tcW w:w="220" w:type="dxa"/>
            <w:vAlign w:val="bottom"/>
            <w:gridSpan w:val="6"/>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Bank, N.A., as Trustee (incorporated by reference to Exhibit 4.3 to the Company’s Current Report on Form 8-K filed with the SEC</w:t>
              </w:r>
            </w:hyperlink>
          </w:p>
        </w:tc>
      </w:tr>
      <w:tr>
        <w:trPr>
          <w:trHeight w:val="196"/>
        </w:trPr>
        <w:tc>
          <w:tcPr>
            <w:tcW w:w="96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on August 28, 2018)</w:t>
              </w:r>
            </w:hyperlink>
          </w:p>
        </w:tc>
        <w:tc>
          <w:tcPr>
            <w:tcW w:w="792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9200" w:type="dxa"/>
            <w:vAlign w:val="bottom"/>
            <w:tcBorders>
              <w:bottom w:val="single" w:sz="8" w:color="0000FF"/>
            </w:tcBorders>
            <w:gridSpan w:val="19"/>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Indenture, dated as of July 16, 2018, among Qorvo, Inc., the Guarantors party thereto and MUFG Union Bank, N.A., as Trustee</w:t>
              </w:r>
            </w:hyperlink>
          </w:p>
        </w:tc>
        <w:tc>
          <w:tcPr>
            <w:tcW w:w="240" w:type="dxa"/>
            <w:vAlign w:val="bottom"/>
            <w:gridSpan w:val="7"/>
          </w:tcPr>
          <w:p>
            <w:pPr>
              <w:spacing w:after="0"/>
              <w:rPr>
                <w:sz w:val="21"/>
                <w:szCs w:val="21"/>
                <w:color w:val="auto"/>
              </w:rPr>
            </w:pPr>
          </w:p>
        </w:tc>
      </w:tr>
      <w:tr>
        <w:trPr>
          <w:trHeight w:val="237"/>
        </w:trPr>
        <w:tc>
          <w:tcPr>
            <w:tcW w:w="960" w:type="dxa"/>
            <w:vAlign w:val="bottom"/>
          </w:tcPr>
          <w:p>
            <w:pPr>
              <w:spacing w:after="0"/>
              <w:rPr>
                <w:sz w:val="20"/>
                <w:szCs w:val="20"/>
                <w:color w:val="auto"/>
              </w:rPr>
            </w:pPr>
          </w:p>
        </w:tc>
        <w:tc>
          <w:tcPr>
            <w:tcW w:w="9440" w:type="dxa"/>
            <w:vAlign w:val="bottom"/>
            <w:gridSpan w:val="26"/>
          </w:tcPr>
          <w:p>
            <w:pPr>
              <w:spacing w:after="0"/>
              <w:rPr>
                <w:rFonts w:ascii="Arial" w:cs="Arial" w:eastAsia="Arial" w:hAnsi="Arial"/>
                <w:sz w:val="18"/>
                <w:szCs w:val="18"/>
                <w:u w:val="single" w:color="auto"/>
                <w:color w:val="0000FF"/>
                <w:w w:val="95"/>
              </w:rPr>
            </w:pPr>
            <w:hyperlink r:id="rId24">
              <w:r>
                <w:rPr>
                  <w:rFonts w:ascii="Arial" w:cs="Arial" w:eastAsia="Arial" w:hAnsi="Arial"/>
                  <w:sz w:val="18"/>
                  <w:szCs w:val="18"/>
                  <w:u w:val="single" w:color="auto"/>
                  <w:color w:val="0000FF"/>
                  <w:w w:val="95"/>
                </w:rPr>
                <w:t>(incorporated by reference to Exhibit 4.1 to the Company’s Current Report on Form 8-K filed with the SEC on July 16, 2018)</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9440" w:type="dxa"/>
            <w:vAlign w:val="bottom"/>
            <w:gridSpan w:val="26"/>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Supplemental Indenture, dated as of August 28, 2018, among Qorvo, Inc., the Guarantors party thereto and MUFG Union Bank,</w:t>
              </w:r>
            </w:hyperlink>
          </w:p>
        </w:tc>
      </w:tr>
      <w:tr>
        <w:trPr>
          <w:trHeight w:val="196"/>
        </w:trPr>
        <w:tc>
          <w:tcPr>
            <w:tcW w:w="960" w:type="dxa"/>
            <w:vAlign w:val="bottom"/>
          </w:tcPr>
          <w:p>
            <w:pPr>
              <w:spacing w:after="0"/>
              <w:rPr>
                <w:sz w:val="17"/>
                <w:szCs w:val="17"/>
                <w:color w:val="auto"/>
              </w:rPr>
            </w:pPr>
          </w:p>
        </w:tc>
        <w:tc>
          <w:tcPr>
            <w:tcW w:w="9220" w:type="dxa"/>
            <w:vAlign w:val="bottom"/>
            <w:tcBorders>
              <w:top w:val="single" w:sz="8" w:color="0000FF"/>
            </w:tcBorders>
            <w:gridSpan w:val="20"/>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N.A., as Trustee (incorporated by reference to Exhibit 4.1 to the Company’s Current Report on Form 8-K filed with the SEC on</w:t>
              </w:r>
            </w:hyperlink>
          </w:p>
        </w:tc>
        <w:tc>
          <w:tcPr>
            <w:tcW w:w="22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August 28, 2018)</w:t>
              </w:r>
            </w:hyperlink>
          </w:p>
        </w:tc>
        <w:tc>
          <w:tcPr>
            <w:tcW w:w="7920" w:type="dxa"/>
            <w:vAlign w:val="bottom"/>
            <w:tcBorders>
              <w:top w:val="single" w:sz="8" w:color="0000FF"/>
            </w:tcBorders>
            <w:gridSpan w:val="14"/>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9200" w:type="dxa"/>
            <w:vAlign w:val="bottom"/>
            <w:tcBorders>
              <w:bottom w:val="single" w:sz="8" w:color="0000FF"/>
            </w:tcBorders>
            <w:gridSpan w:val="19"/>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Second Supplemental Indenture, dated as of March 5, 2019, among Qorvo, Inc., the Guarantors party thereto and MUFG Union</w:t>
              </w:r>
            </w:hyperlink>
          </w:p>
        </w:tc>
        <w:tc>
          <w:tcPr>
            <w:tcW w:w="240" w:type="dxa"/>
            <w:vAlign w:val="bottom"/>
            <w:gridSpan w:val="7"/>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Bank, N.A., as Trustee (incorporated by reference to Exhibit 4.1 to the Company’s Current Report on Form 8-K filed with the SEC</w:t>
              </w:r>
            </w:hyperlink>
          </w:p>
        </w:tc>
      </w:tr>
      <w:tr>
        <w:trPr>
          <w:trHeight w:val="196"/>
        </w:trPr>
        <w:tc>
          <w:tcPr>
            <w:tcW w:w="96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on March 5, 2019)</w:t>
              </w:r>
            </w:hyperlink>
          </w:p>
        </w:tc>
        <w:tc>
          <w:tcPr>
            <w:tcW w:w="808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9100" w:type="dxa"/>
            <w:vAlign w:val="bottom"/>
            <w:tcBorders>
              <w:bottom w:val="single" w:sz="8" w:color="0000FF"/>
            </w:tcBorders>
            <w:gridSpan w:val="15"/>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Indenture, dated as of September 30, 2019, among Qorvo, Inc., the Guarantors party thereto and MUFG Union Bank, N.A., as</w:t>
              </w:r>
            </w:hyperlink>
          </w:p>
        </w:tc>
        <w:tc>
          <w:tcPr>
            <w:tcW w:w="340" w:type="dxa"/>
            <w:vAlign w:val="bottom"/>
            <w:gridSpan w:val="11"/>
          </w:tcPr>
          <w:p>
            <w:pPr>
              <w:spacing w:after="0"/>
              <w:rPr>
                <w:sz w:val="21"/>
                <w:szCs w:val="21"/>
                <w:color w:val="auto"/>
              </w:rPr>
            </w:pPr>
          </w:p>
        </w:tc>
      </w:tr>
      <w:tr>
        <w:trPr>
          <w:trHeight w:val="237"/>
        </w:trPr>
        <w:tc>
          <w:tcPr>
            <w:tcW w:w="960" w:type="dxa"/>
            <w:vAlign w:val="bottom"/>
          </w:tcPr>
          <w:p>
            <w:pPr>
              <w:spacing w:after="0"/>
              <w:rPr>
                <w:sz w:val="20"/>
                <w:szCs w:val="20"/>
                <w:color w:val="auto"/>
              </w:rPr>
            </w:pPr>
          </w:p>
        </w:tc>
        <w:tc>
          <w:tcPr>
            <w:tcW w:w="9440" w:type="dxa"/>
            <w:vAlign w:val="bottom"/>
            <w:gridSpan w:val="26"/>
          </w:tcPr>
          <w:p>
            <w:pPr>
              <w:spacing w:after="0"/>
              <w:rPr>
                <w:rFonts w:ascii="Arial" w:cs="Arial" w:eastAsia="Arial" w:hAnsi="Arial"/>
                <w:sz w:val="18"/>
                <w:szCs w:val="18"/>
                <w:u w:val="single" w:color="auto"/>
                <w:color w:val="0000FF"/>
                <w:w w:val="96"/>
              </w:rPr>
            </w:pPr>
            <w:hyperlink r:id="rId27">
              <w:r>
                <w:rPr>
                  <w:rFonts w:ascii="Arial" w:cs="Arial" w:eastAsia="Arial" w:hAnsi="Arial"/>
                  <w:sz w:val="18"/>
                  <w:szCs w:val="18"/>
                  <w:u w:val="single" w:color="auto"/>
                  <w:color w:val="0000FF"/>
                  <w:w w:val="96"/>
                </w:rPr>
                <w:t>Trustee (incorporated by reference to Exhibit 4.1 to the Current Report on Form 8-K filed with the SEC on October 1, 2019)</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9440" w:type="dxa"/>
            <w:vAlign w:val="bottom"/>
            <w:tcBorders>
              <w:bottom w:val="single" w:sz="8" w:color="0000FF"/>
            </w:tcBorders>
            <w:gridSpan w:val="26"/>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Supplemental Indenture, dated as of December 20, 2019, among Qorvo, Inc., the Guarantors party thereto and MUFG Union Bank,</w:t>
              </w:r>
            </w:hyperlink>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N.A., as Trustee (incorporated by reference to Exhibit 4.1 to the Company’s Current Report on Form 8-K filed with the SEC on</w:t>
              </w:r>
            </w:hyperlink>
          </w:p>
        </w:tc>
      </w:tr>
      <w:tr>
        <w:trPr>
          <w:trHeight w:val="196"/>
        </w:trPr>
        <w:tc>
          <w:tcPr>
            <w:tcW w:w="9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December 20, 2019)</w:t>
              </w:r>
            </w:hyperlink>
          </w:p>
        </w:tc>
        <w:tc>
          <w:tcPr>
            <w:tcW w:w="7700" w:type="dxa"/>
            <w:vAlign w:val="bottom"/>
            <w:tcBorders>
              <w:top w:val="single" w:sz="8" w:color="0000FF"/>
            </w:tcBorders>
            <w:gridSpan w:val="12"/>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9440" w:type="dxa"/>
            <w:vAlign w:val="bottom"/>
            <w:gridSpan w:val="26"/>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Registration Rights Agreement, dated as of September 30, 2019, by and among Qorvo, Inc., the Guarantors named therein and</w:t>
              </w:r>
            </w:hyperlink>
          </w:p>
        </w:tc>
      </w:tr>
      <w:tr>
        <w:trPr>
          <w:trHeight w:val="20"/>
        </w:trPr>
        <w:tc>
          <w:tcPr>
            <w:tcW w:w="9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4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38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BofA Securities, Inc., as representative of the several Initial Purchasers named therein (incorporated by reference to Exhibit 4.2 to</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the Company’s Current Report on Form 8-K filed with the SEC on October 1, 2019)</w:t>
              </w:r>
            </w:hyperlink>
          </w:p>
        </w:tc>
      </w:tr>
      <w:tr>
        <w:trPr>
          <w:trHeight w:val="20"/>
        </w:trPr>
        <w:tc>
          <w:tcPr>
            <w:tcW w:w="9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44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9100" w:type="dxa"/>
            <w:vAlign w:val="bottom"/>
            <w:tcBorders>
              <w:bottom w:val="single" w:sz="8" w:color="0000FF"/>
            </w:tcBorders>
            <w:gridSpan w:val="15"/>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Registration Rights Agreement, dated as of December 20, 2019, by and among Qorvo, Inc., the Guarantors named therein and</w:t>
              </w:r>
            </w:hyperlink>
          </w:p>
        </w:tc>
        <w:tc>
          <w:tcPr>
            <w:tcW w:w="340" w:type="dxa"/>
            <w:vAlign w:val="bottom"/>
            <w:gridSpan w:val="11"/>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38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BofA Securities, Inc., as representative of the several Initial Purchasers named therein (incorporated by reference to Exhibit 4.2 to</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63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the Company’s Current Report on Form 8-K filed with the SEC on December 20, 2019)</w:t>
              </w:r>
            </w:hyperlink>
          </w:p>
        </w:tc>
        <w:tc>
          <w:tcPr>
            <w:tcW w:w="3120" w:type="dxa"/>
            <w:vAlign w:val="bottom"/>
            <w:gridSpan w:val="14"/>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9360" w:type="dxa"/>
            <w:vAlign w:val="bottom"/>
            <w:tcBorders>
              <w:bottom w:val="single" w:sz="8" w:color="0000FF"/>
            </w:tcBorders>
            <w:gridSpan w:val="23"/>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Description of Securities (incorporated by reference to Exhibit 4.11 to the Company’s Annual Report on Form 10-K filed with the</w:t>
              </w:r>
            </w:hyperlink>
          </w:p>
        </w:tc>
        <w:tc>
          <w:tcPr>
            <w:tcW w:w="80" w:type="dxa"/>
            <w:vAlign w:val="bottom"/>
            <w:gridSpan w:val="3"/>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9440" w:type="dxa"/>
            <w:vAlign w:val="bottom"/>
            <w:gridSpan w:val="26"/>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SEC on May 17, 2019)</w:t>
              </w:r>
            </w:hyperlink>
          </w:p>
        </w:tc>
      </w:tr>
      <w:tr>
        <w:trPr>
          <w:trHeight w:val="20"/>
        </w:trPr>
        <w:tc>
          <w:tcPr>
            <w:tcW w:w="9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9440" w:type="dxa"/>
            <w:vAlign w:val="bottom"/>
            <w:gridSpan w:val="26"/>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Qorvo, Inc. 2007 Employee Stock Purchase Plan (As Assumed and Amended by Qorvo, Inc., and as further amended, effective</w:t>
              </w:r>
            </w:hyperlink>
          </w:p>
        </w:tc>
      </w:tr>
      <w:tr>
        <w:trPr>
          <w:trHeight w:val="20"/>
        </w:trPr>
        <w:tc>
          <w:tcPr>
            <w:tcW w:w="9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900" w:type="dxa"/>
            <w:vAlign w:val="bottom"/>
            <w:gridSpan w:val="11"/>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4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February 8, 2017) (incorporated by reference to Exhibit 10.1 to the Company's Annual Report on Form 10-K filed with the SEC on</w:t>
              </w:r>
            </w:hyperlink>
          </w:p>
        </w:tc>
      </w:tr>
      <w:tr>
        <w:trPr>
          <w:trHeight w:val="196"/>
        </w:trPr>
        <w:tc>
          <w:tcPr>
            <w:tcW w:w="9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May 23, 2017)*</w:t>
              </w:r>
            </w:hyperlink>
          </w:p>
        </w:tc>
        <w:tc>
          <w:tcPr>
            <w:tcW w:w="8280" w:type="dxa"/>
            <w:vAlign w:val="bottom"/>
            <w:gridSpan w:val="23"/>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9060" w:type="dxa"/>
            <w:vAlign w:val="bottom"/>
            <w:tcBorders>
              <w:bottom w:val="single" w:sz="8" w:color="0000FF"/>
            </w:tcBorders>
            <w:gridSpan w:val="14"/>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Qorvo, Inc. 2013 Incentive Plan (As Assumed and Amended by Qorvo, Inc.) (incorporated by reference to Exhibit 99.2 to the</w:t>
              </w:r>
            </w:hyperlink>
          </w:p>
        </w:tc>
        <w:tc>
          <w:tcPr>
            <w:tcW w:w="380" w:type="dxa"/>
            <w:vAlign w:val="bottom"/>
            <w:gridSpan w:val="12"/>
          </w:tcPr>
          <w:p>
            <w:pPr>
              <w:spacing w:after="0"/>
              <w:rPr>
                <w:sz w:val="21"/>
                <w:szCs w:val="21"/>
                <w:color w:val="auto"/>
              </w:rPr>
            </w:pPr>
          </w:p>
        </w:tc>
      </w:tr>
      <w:tr>
        <w:trPr>
          <w:trHeight w:val="236"/>
        </w:trPr>
        <w:tc>
          <w:tcPr>
            <w:tcW w:w="960" w:type="dxa"/>
            <w:vAlign w:val="bottom"/>
          </w:tcPr>
          <w:p>
            <w:pPr>
              <w:spacing w:after="0"/>
              <w:rPr>
                <w:sz w:val="20"/>
                <w:szCs w:val="20"/>
                <w:color w:val="auto"/>
              </w:rPr>
            </w:pPr>
          </w:p>
        </w:tc>
        <w:tc>
          <w:tcPr>
            <w:tcW w:w="9440" w:type="dxa"/>
            <w:vAlign w:val="bottom"/>
            <w:gridSpan w:val="26"/>
          </w:tcPr>
          <w:p>
            <w:pPr>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Company’s Registration Statement on Form S-8 filed with the SEC on January 5, 2015 (File No. 333-201357))*</w:t>
              </w:r>
            </w:hyperlink>
          </w:p>
        </w:tc>
      </w:tr>
      <w:tr>
        <w:trPr>
          <w:trHeight w:val="459"/>
        </w:trPr>
        <w:tc>
          <w:tcPr>
            <w:tcW w:w="960" w:type="dxa"/>
            <w:vAlign w:val="bottom"/>
          </w:tcPr>
          <w:p>
            <w:pPr>
              <w:spacing w:after="0"/>
              <w:rPr>
                <w:sz w:val="24"/>
                <w:szCs w:val="24"/>
                <w:color w:val="auto"/>
              </w:rPr>
            </w:pPr>
          </w:p>
        </w:tc>
        <w:tc>
          <w:tcPr>
            <w:tcW w:w="5620" w:type="dxa"/>
            <w:vAlign w:val="bottom"/>
            <w:gridSpan w:val="10"/>
          </w:tcPr>
          <w:p>
            <w:pPr>
              <w:ind w:left="4180"/>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00"/>
          </w:cols>
          <w:pgMar w:left="320" w:top="130" w:right="779" w:bottom="1440" w:gutter="0" w:footer="0" w:header="0"/>
          <w:type w:val="continuous"/>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60" w:type="dxa"/>
            <w:vAlign w:val="bottom"/>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6"/>
        </w:trPr>
        <w:tc>
          <w:tcPr>
            <w:tcW w:w="1360" w:type="dxa"/>
            <w:vAlign w:val="bottom"/>
          </w:tcPr>
          <w:p>
            <w:pPr>
              <w:ind w:left="400"/>
              <w:spacing w:after="0"/>
              <w:rPr>
                <w:sz w:val="20"/>
                <w:szCs w:val="20"/>
                <w:color w:val="auto"/>
              </w:rPr>
            </w:pPr>
            <w:r>
              <w:rPr>
                <w:rFonts w:ascii="Arial" w:cs="Arial" w:eastAsia="Arial" w:hAnsi="Arial"/>
                <w:sz w:val="18"/>
                <w:szCs w:val="18"/>
                <w:color w:val="auto"/>
              </w:rPr>
              <w:t>10.3</w:t>
            </w:r>
          </w:p>
        </w:tc>
        <w:tc>
          <w:tcPr>
            <w:tcW w:w="8880" w:type="dxa"/>
            <w:vAlign w:val="bottom"/>
            <w:tcBorders>
              <w:bottom w:val="single" w:sz="8" w:color="0000FF"/>
            </w:tcBorders>
            <w:gridSpan w:val="15"/>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Qorvo, Inc. 2012 Incentive Plan (As Assumed by Qorvo, Inc.) (incorporated by reference to Exhibit 99.3 to the Company’s</w:t>
              </w:r>
            </w:hyperlink>
          </w:p>
        </w:tc>
        <w:tc>
          <w:tcPr>
            <w:tcW w:w="600" w:type="dxa"/>
            <w:vAlign w:val="bottom"/>
            <w:gridSpan w:val="1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Registration Statement on Form S-8 filed with the SEC on January 5, 2015 (File No. 333-201357))*</w:t>
              </w:r>
            </w:hyperlink>
          </w:p>
        </w:tc>
      </w:tr>
      <w:tr>
        <w:trPr>
          <w:trHeight w:val="20"/>
        </w:trPr>
        <w:tc>
          <w:tcPr>
            <w:tcW w:w="13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10.4</w:t>
            </w:r>
          </w:p>
        </w:tc>
        <w:tc>
          <w:tcPr>
            <w:tcW w:w="8880" w:type="dxa"/>
            <w:vAlign w:val="bottom"/>
            <w:tcBorders>
              <w:bottom w:val="single" w:sz="8" w:color="0000FF"/>
            </w:tcBorders>
            <w:gridSpan w:val="15"/>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Qorvo, Inc. 2009 Incentive Plan (As Assumed by Qorvo, Inc.) (incorporated by reference to Exhibit 99.4 to the Company’s</w:t>
              </w:r>
            </w:hyperlink>
          </w:p>
        </w:tc>
        <w:tc>
          <w:tcPr>
            <w:tcW w:w="600" w:type="dxa"/>
            <w:vAlign w:val="bottom"/>
            <w:gridSpan w:val="17"/>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72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Registration Statement on Form S-8 filed with the SEC on January 5, 2015 (File No. 333-201357))*</w:t>
              </w:r>
            </w:hyperlink>
          </w:p>
        </w:tc>
        <w:tc>
          <w:tcPr>
            <w:tcW w:w="2260" w:type="dxa"/>
            <w:vAlign w:val="bottom"/>
            <w:gridSpan w:val="22"/>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10.5</w:t>
            </w:r>
          </w:p>
        </w:tc>
        <w:tc>
          <w:tcPr>
            <w:tcW w:w="9480" w:type="dxa"/>
            <w:vAlign w:val="bottom"/>
            <w:gridSpan w:val="32"/>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Qorvo, Inc. 2008 Inducement Program (As Assumed by Qorvo, Inc.) (incorporated by reference to Exhibit 99.5 to the Company’s</w:t>
              </w:r>
            </w:hyperlink>
          </w:p>
        </w:tc>
      </w:tr>
      <w:tr>
        <w:trPr>
          <w:trHeight w:val="196"/>
        </w:trPr>
        <w:tc>
          <w:tcPr>
            <w:tcW w:w="1360" w:type="dxa"/>
            <w:vAlign w:val="bottom"/>
          </w:tcPr>
          <w:p>
            <w:pPr>
              <w:spacing w:after="0"/>
              <w:rPr>
                <w:sz w:val="17"/>
                <w:szCs w:val="17"/>
                <w:color w:val="auto"/>
              </w:rPr>
            </w:pPr>
          </w:p>
        </w:tc>
        <w:tc>
          <w:tcPr>
            <w:tcW w:w="93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Registration Statement on Form S-8 filed with the SEC on January 5, 2015 (File No. 333-201357))*</w:t>
              </w:r>
            </w:hyperlink>
          </w:p>
        </w:tc>
        <w:tc>
          <w:tcPr>
            <w:tcW w:w="14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10.6</w:t>
            </w:r>
          </w:p>
        </w:tc>
        <w:tc>
          <w:tcPr>
            <w:tcW w:w="8760" w:type="dxa"/>
            <w:vAlign w:val="bottom"/>
            <w:tcBorders>
              <w:bottom w:val="single" w:sz="8" w:color="0000FF"/>
            </w:tcBorders>
            <w:gridSpan w:val="1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Qorvo, Inc. 1996 Stock Incentive Program (As Assumed by Qorvo, Inc.) (incorporated by reference to Exhibit 99.6 to the</w:t>
              </w:r>
            </w:hyperlink>
          </w:p>
        </w:tc>
        <w:tc>
          <w:tcPr>
            <w:tcW w:w="720" w:type="dxa"/>
            <w:vAlign w:val="bottom"/>
            <w:gridSpan w:val="20"/>
          </w:tcPr>
          <w:p>
            <w:pPr>
              <w:spacing w:after="0"/>
              <w:rPr>
                <w:sz w:val="21"/>
                <w:szCs w:val="21"/>
                <w:color w:val="auto"/>
              </w:rPr>
            </w:pPr>
          </w:p>
        </w:tc>
      </w:tr>
      <w:tr>
        <w:trPr>
          <w:trHeight w:val="237"/>
        </w:trPr>
        <w:tc>
          <w:tcPr>
            <w:tcW w:w="1360" w:type="dxa"/>
            <w:vAlign w:val="bottom"/>
          </w:tcPr>
          <w:p>
            <w:pPr>
              <w:spacing w:after="0"/>
              <w:rPr>
                <w:sz w:val="20"/>
                <w:szCs w:val="20"/>
                <w:color w:val="auto"/>
              </w:rPr>
            </w:pPr>
          </w:p>
        </w:tc>
        <w:tc>
          <w:tcPr>
            <w:tcW w:w="9480" w:type="dxa"/>
            <w:vAlign w:val="bottom"/>
            <w:gridSpan w:val="32"/>
          </w:tcPr>
          <w:p>
            <w:pPr>
              <w:spacing w:after="0"/>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Company’s Registration Statement on Form S-8 filed with the SEC on January 5, 2015 (File No. 333-201357))*</w:t>
              </w:r>
            </w:hyperlink>
          </w:p>
        </w:tc>
      </w:tr>
      <w:tr>
        <w:trPr>
          <w:trHeight w:val="229"/>
        </w:trPr>
        <w:tc>
          <w:tcPr>
            <w:tcW w:w="1360" w:type="dxa"/>
            <w:vAlign w:val="bottom"/>
          </w:tcPr>
          <w:p>
            <w:pPr>
              <w:ind w:left="400"/>
              <w:spacing w:after="0"/>
              <w:rPr>
                <w:sz w:val="20"/>
                <w:szCs w:val="20"/>
                <w:color w:val="auto"/>
              </w:rPr>
            </w:pPr>
            <w:r>
              <w:rPr>
                <w:rFonts w:ascii="Arial" w:cs="Arial" w:eastAsia="Arial" w:hAnsi="Arial"/>
                <w:sz w:val="18"/>
                <w:szCs w:val="18"/>
                <w:color w:val="auto"/>
              </w:rPr>
              <w:t>10.7</w:t>
            </w:r>
          </w:p>
        </w:tc>
        <w:tc>
          <w:tcPr>
            <w:tcW w:w="9480" w:type="dxa"/>
            <w:vAlign w:val="bottom"/>
            <w:gridSpan w:val="32"/>
          </w:tcPr>
          <w:p>
            <w:pPr>
              <w:spacing w:after="0"/>
              <w:rPr>
                <w:rFonts w:ascii="Arial" w:cs="Arial" w:eastAsia="Arial" w:hAnsi="Arial"/>
                <w:sz w:val="18"/>
                <w:szCs w:val="18"/>
                <w:color w:val="0000FF"/>
                <w:w w:val="97"/>
              </w:rPr>
            </w:pPr>
            <w:hyperlink r:id="rId38">
              <w:r>
                <w:rPr>
                  <w:rFonts w:ascii="Arial" w:cs="Arial" w:eastAsia="Arial" w:hAnsi="Arial"/>
                  <w:sz w:val="18"/>
                  <w:szCs w:val="18"/>
                  <w:color w:val="0000FF"/>
                  <w:w w:val="97"/>
                </w:rPr>
                <w:t>Qorvo, Inc. 2012 Stock Incentive Plan (As Assumed by Qorvo, Inc. and Amended and Restated Effective January 1, 2015)</w:t>
              </w:r>
            </w:hyperlink>
          </w:p>
        </w:tc>
      </w:tr>
      <w:tr>
        <w:trPr>
          <w:trHeight w:val="20"/>
        </w:trPr>
        <w:tc>
          <w:tcPr>
            <w:tcW w:w="13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(incorporated by reference to Exhibit 99.1 to the Company’s Registration Statement on Form S-8 filed with the SEC on January 5,</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2015 (File No. 333-201358))*</w:t>
              </w:r>
            </w:hyperlink>
          </w:p>
        </w:tc>
        <w:tc>
          <w:tcPr>
            <w:tcW w:w="7300" w:type="dxa"/>
            <w:vAlign w:val="bottom"/>
            <w:gridSpan w:val="29"/>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10.8</w:t>
            </w:r>
          </w:p>
        </w:tc>
        <w:tc>
          <w:tcPr>
            <w:tcW w:w="9480" w:type="dxa"/>
            <w:vAlign w:val="bottom"/>
            <w:gridSpan w:val="32"/>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2003 Stock Incentive Plan of Qorvo, Inc. (As Assumed and Amended by Qorvo, Inc. Effective January 1, 2015) (incorporated by</w:t>
              </w:r>
            </w:hyperlink>
          </w:p>
        </w:tc>
      </w:tr>
      <w:tr>
        <w:trPr>
          <w:trHeight w:val="196"/>
        </w:trPr>
        <w:tc>
          <w:tcPr>
            <w:tcW w:w="1360" w:type="dxa"/>
            <w:vAlign w:val="bottom"/>
          </w:tcPr>
          <w:p>
            <w:pPr>
              <w:spacing w:after="0"/>
              <w:rPr>
                <w:sz w:val="17"/>
                <w:szCs w:val="17"/>
                <w:color w:val="auto"/>
              </w:rPr>
            </w:pPr>
          </w:p>
        </w:tc>
        <w:tc>
          <w:tcPr>
            <w:tcW w:w="9300" w:type="dxa"/>
            <w:vAlign w:val="bottom"/>
            <w:tcBorders>
              <w:top w:val="single" w:sz="8" w:color="0000FF"/>
            </w:tcBorders>
            <w:gridSpan w:val="23"/>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reference to Exhibit 99.2 to the Company’s Registration Statement on Form S-8 filed with the SEC on January 5, 2015 (File No.</w:t>
              </w:r>
            </w:hyperlink>
          </w:p>
        </w:tc>
        <w:tc>
          <w:tcPr>
            <w:tcW w:w="1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333-201358))*</w:t>
              </w:r>
            </w:hyperlink>
          </w:p>
        </w:tc>
        <w:tc>
          <w:tcPr>
            <w:tcW w:w="1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10.9</w:t>
            </w:r>
          </w:p>
        </w:tc>
        <w:tc>
          <w:tcPr>
            <w:tcW w:w="9440" w:type="dxa"/>
            <w:vAlign w:val="bottom"/>
            <w:tcBorders>
              <w:bottom w:val="single" w:sz="8" w:color="0000FF"/>
            </w:tcBorders>
            <w:gridSpan w:val="30"/>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Qorvo, Inc. 2006 Directors Stock Option Plan (As Assumed by Qorvo, Inc. and Amended Effective January 1, 2015) (incorporated</w:t>
              </w:r>
            </w:hyperlink>
          </w:p>
        </w:tc>
        <w:tc>
          <w:tcPr>
            <w:tcW w:w="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by reference to Exhibit 99.3 to the Company’s Registration Statement on Form S-8 filed with the SEC on January 5, 2015 (File No.</w:t>
              </w:r>
            </w:hyperlink>
          </w:p>
        </w:tc>
      </w:tr>
      <w:tr>
        <w:trPr>
          <w:trHeight w:val="196"/>
        </w:trPr>
        <w:tc>
          <w:tcPr>
            <w:tcW w:w="1360" w:type="dxa"/>
            <w:vAlign w:val="bottom"/>
          </w:tcPr>
          <w:p>
            <w:pPr>
              <w:spacing w:after="0"/>
              <w:rPr>
                <w:sz w:val="17"/>
                <w:szCs w:val="17"/>
                <w:color w:val="auto"/>
              </w:rPr>
            </w:pPr>
          </w:p>
        </w:tc>
        <w:tc>
          <w:tcPr>
            <w:tcW w:w="10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333-201358))*</w:t>
              </w:r>
            </w:hyperlink>
          </w:p>
        </w:tc>
        <w:tc>
          <w:tcPr>
            <w:tcW w:w="1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10.10</w:t>
            </w:r>
          </w:p>
        </w:tc>
        <w:tc>
          <w:tcPr>
            <w:tcW w:w="9480" w:type="dxa"/>
            <w:vAlign w:val="bottom"/>
            <w:gridSpan w:val="32"/>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Nonemployee Directors’ Stock Option Plan of Qorvo, Inc. (As Assumed by Qorvo, Inc. and Amended Effective January 1, 2015)</w:t>
              </w:r>
            </w:hyperlink>
          </w:p>
        </w:tc>
      </w:tr>
      <w:tr>
        <w:trPr>
          <w:trHeight w:val="20"/>
        </w:trPr>
        <w:tc>
          <w:tcPr>
            <w:tcW w:w="13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(incorporated by reference to Exhibit 99.4 to the Company’s Registration Statement on Form S-8 filed with the SEC on January 5,</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2015 (File No. 333-201358))*</w:t>
              </w:r>
            </w:hyperlink>
          </w:p>
        </w:tc>
        <w:tc>
          <w:tcPr>
            <w:tcW w:w="7300" w:type="dxa"/>
            <w:vAlign w:val="bottom"/>
            <w:gridSpan w:val="29"/>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10.11</w:t>
            </w:r>
          </w:p>
        </w:tc>
        <w:tc>
          <w:tcPr>
            <w:tcW w:w="9260" w:type="dxa"/>
            <w:vAlign w:val="bottom"/>
            <w:tcBorders>
              <w:bottom w:val="single" w:sz="8" w:color="0000FF"/>
            </w:tcBorders>
            <w:gridSpan w:val="22"/>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Qorvo, Inc. 2015 Inducement Stock Plan (incorporated by reference to Exhibit 99.5 to the Company’s Registration Statement on</w:t>
              </w:r>
            </w:hyperlink>
          </w:p>
        </w:tc>
        <w:tc>
          <w:tcPr>
            <w:tcW w:w="220" w:type="dxa"/>
            <w:vAlign w:val="bottom"/>
            <w:gridSpan w:val="10"/>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53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Form S-8 filed with the SEC on January 5, 2015 (File No. 333-201358))*</w:t>
              </w:r>
            </w:hyperlink>
          </w:p>
        </w:tc>
        <w:tc>
          <w:tcPr>
            <w:tcW w:w="4180" w:type="dxa"/>
            <w:vAlign w:val="bottom"/>
            <w:gridSpan w:val="24"/>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10.12</w:t>
            </w:r>
          </w:p>
        </w:tc>
        <w:tc>
          <w:tcPr>
            <w:tcW w:w="9240" w:type="dxa"/>
            <w:vAlign w:val="bottom"/>
            <w:tcBorders>
              <w:bottom w:val="single" w:sz="8" w:color="0000FF"/>
            </w:tcBorders>
            <w:gridSpan w:val="21"/>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Qorvo, Inc. Form of Indemnification Agreement (incorporated by reference to Exhibit 10.1 to the Company’s Current Report on</w:t>
              </w:r>
            </w:hyperlink>
          </w:p>
        </w:tc>
        <w:tc>
          <w:tcPr>
            <w:tcW w:w="240" w:type="dxa"/>
            <w:vAlign w:val="bottom"/>
            <w:gridSpan w:val="11"/>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Form 8-K filed with the SEC on January 5, 2015)*</w:t>
              </w:r>
            </w:hyperlink>
          </w:p>
        </w:tc>
        <w:tc>
          <w:tcPr>
            <w:tcW w:w="5820" w:type="dxa"/>
            <w:vAlign w:val="bottom"/>
            <w:gridSpan w:val="26"/>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10.13</w:t>
            </w:r>
          </w:p>
        </w:tc>
        <w:tc>
          <w:tcPr>
            <w:tcW w:w="9420" w:type="dxa"/>
            <w:vAlign w:val="bottom"/>
            <w:tcBorders>
              <w:bottom w:val="single" w:sz="8" w:color="0000FF"/>
            </w:tcBorders>
            <w:gridSpan w:val="29"/>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Qorvo, Inc. Form of Change in Control Agreement (incorporated by reference to Exhibit 10.1 to the Company’s Current Report on</w:t>
              </w:r>
            </w:hyperlink>
          </w:p>
        </w:tc>
        <w:tc>
          <w:tcPr>
            <w:tcW w:w="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38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Form 8-K filed with the SEC on February 10, 2015)*</w:t>
              </w:r>
            </w:hyperlink>
          </w:p>
        </w:tc>
        <w:tc>
          <w:tcPr>
            <w:tcW w:w="5640" w:type="dxa"/>
            <w:vAlign w:val="bottom"/>
            <w:gridSpan w:val="25"/>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10.14</w:t>
            </w:r>
          </w:p>
        </w:tc>
        <w:tc>
          <w:tcPr>
            <w:tcW w:w="8940" w:type="dxa"/>
            <w:vAlign w:val="bottom"/>
            <w:tcBorders>
              <w:bottom w:val="single" w:sz="8" w:color="0000FF"/>
            </w:tcBorders>
            <w:gridSpan w:val="17"/>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Qorvo, Inc. Nonqualified Deferred Compensation Plan (As Assumed and Amended and Restated Effective January 1, 2015)</w:t>
              </w:r>
            </w:hyperlink>
          </w:p>
        </w:tc>
        <w:tc>
          <w:tcPr>
            <w:tcW w:w="540" w:type="dxa"/>
            <w:vAlign w:val="bottom"/>
            <w:gridSpan w:val="15"/>
          </w:tcPr>
          <w:p>
            <w:pPr>
              <w:spacing w:after="0"/>
              <w:rPr>
                <w:sz w:val="21"/>
                <w:szCs w:val="21"/>
                <w:color w:val="auto"/>
              </w:rPr>
            </w:pPr>
          </w:p>
        </w:tc>
      </w:tr>
      <w:tr>
        <w:trPr>
          <w:trHeight w:val="237"/>
        </w:trPr>
        <w:tc>
          <w:tcPr>
            <w:tcW w:w="1360" w:type="dxa"/>
            <w:vAlign w:val="bottom"/>
          </w:tcPr>
          <w:p>
            <w:pPr>
              <w:spacing w:after="0"/>
              <w:rPr>
                <w:sz w:val="20"/>
                <w:szCs w:val="20"/>
                <w:color w:val="auto"/>
              </w:rPr>
            </w:pPr>
          </w:p>
        </w:tc>
        <w:tc>
          <w:tcPr>
            <w:tcW w:w="9480" w:type="dxa"/>
            <w:vAlign w:val="bottom"/>
            <w:gridSpan w:val="32"/>
          </w:tcPr>
          <w:p>
            <w:pPr>
              <w:spacing w:after="0"/>
              <w:rPr>
                <w:rFonts w:ascii="Arial" w:cs="Arial" w:eastAsia="Arial" w:hAnsi="Arial"/>
                <w:sz w:val="18"/>
                <w:szCs w:val="18"/>
                <w:u w:val="single" w:color="auto"/>
                <w:color w:val="0000FF"/>
                <w:w w:val="92"/>
              </w:rPr>
            </w:pPr>
            <w:hyperlink r:id="rId45">
              <w:r>
                <w:rPr>
                  <w:rFonts w:ascii="Arial" w:cs="Arial" w:eastAsia="Arial" w:hAnsi="Arial"/>
                  <w:sz w:val="18"/>
                  <w:szCs w:val="18"/>
                  <w:u w:val="single" w:color="auto"/>
                  <w:color w:val="0000FF"/>
                  <w:w w:val="92"/>
                </w:rPr>
                <w:t>(incorporated by reference to Exhibit 10.15 to the Company’s Annual Report on Form 10-K filed with the SEC on May 27, 2015)*</w:t>
              </w:r>
            </w:hyperlink>
          </w:p>
        </w:tc>
      </w:tr>
      <w:tr>
        <w:trPr>
          <w:trHeight w:val="229"/>
        </w:trPr>
        <w:tc>
          <w:tcPr>
            <w:tcW w:w="1360" w:type="dxa"/>
            <w:vAlign w:val="bottom"/>
          </w:tcPr>
          <w:p>
            <w:pPr>
              <w:ind w:left="400"/>
              <w:spacing w:after="0"/>
              <w:rPr>
                <w:sz w:val="20"/>
                <w:szCs w:val="20"/>
                <w:color w:val="auto"/>
              </w:rPr>
            </w:pPr>
            <w:r>
              <w:rPr>
                <w:rFonts w:ascii="Arial" w:cs="Arial" w:eastAsia="Arial" w:hAnsi="Arial"/>
                <w:sz w:val="18"/>
                <w:szCs w:val="18"/>
                <w:color w:val="auto"/>
              </w:rPr>
              <w:t>10.15</w:t>
            </w:r>
          </w:p>
        </w:tc>
        <w:tc>
          <w:tcPr>
            <w:tcW w:w="9480" w:type="dxa"/>
            <w:vAlign w:val="bottom"/>
            <w:gridSpan w:val="32"/>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Qorvo, Inc. Cash Bonus Plan (As Assumed and Amended and Restated Effective January 1, 2015) (incorporated by reference to</w:t>
              </w:r>
            </w:hyperlink>
          </w:p>
        </w:tc>
      </w:tr>
      <w:tr>
        <w:trPr>
          <w:trHeight w:val="196"/>
        </w:trPr>
        <w:tc>
          <w:tcPr>
            <w:tcW w:w="1360" w:type="dxa"/>
            <w:vAlign w:val="bottom"/>
          </w:tcPr>
          <w:p>
            <w:pPr>
              <w:spacing w:after="0"/>
              <w:rPr>
                <w:sz w:val="17"/>
                <w:szCs w:val="17"/>
                <w:color w:val="auto"/>
              </w:rPr>
            </w:pPr>
          </w:p>
        </w:tc>
        <w:tc>
          <w:tcPr>
            <w:tcW w:w="72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Exhibit 10.16 to the Company’s Annual Report on Form 10-K filed with the SEC on May 27, 2015)*</w:t>
              </w:r>
            </w:hyperlink>
          </w:p>
        </w:tc>
        <w:tc>
          <w:tcPr>
            <w:tcW w:w="1940" w:type="dxa"/>
            <w:vAlign w:val="bottom"/>
            <w:tcBorders>
              <w:top w:val="single" w:sz="8" w:color="0000FF"/>
            </w:tcBorders>
            <w:gridSpan w:val="9"/>
          </w:tcPr>
          <w:p>
            <w:pPr>
              <w:spacing w:after="0"/>
              <w:rPr>
                <w:sz w:val="17"/>
                <w:szCs w:val="17"/>
                <w:color w:val="auto"/>
              </w:rPr>
            </w:pPr>
          </w:p>
        </w:tc>
        <w:tc>
          <w:tcPr>
            <w:tcW w:w="260" w:type="dxa"/>
            <w:vAlign w:val="bottom"/>
            <w:gridSpan w:val="12"/>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10.16</w:t>
            </w:r>
          </w:p>
        </w:tc>
        <w:tc>
          <w:tcPr>
            <w:tcW w:w="9480" w:type="dxa"/>
            <w:vAlign w:val="bottom"/>
            <w:gridSpan w:val="32"/>
          </w:tcPr>
          <w:p>
            <w:pPr>
              <w:spacing w:after="0"/>
              <w:rPr>
                <w:rFonts w:ascii="Arial" w:cs="Arial" w:eastAsia="Arial" w:hAnsi="Arial"/>
                <w:sz w:val="18"/>
                <w:szCs w:val="18"/>
                <w:color w:val="0000FF"/>
                <w:w w:val="97"/>
              </w:rPr>
            </w:pPr>
            <w:hyperlink r:id="rId47">
              <w:r>
                <w:rPr>
                  <w:rFonts w:ascii="Arial" w:cs="Arial" w:eastAsia="Arial" w:hAnsi="Arial"/>
                  <w:sz w:val="18"/>
                  <w:szCs w:val="18"/>
                  <w:color w:val="0000FF"/>
                  <w:w w:val="97"/>
                </w:rPr>
                <w:t>Employment Agreement, dated as of November 12, 2008, between RF Micro Devices, Inc. and Robert A. Bruggeworth (As</w:t>
              </w:r>
            </w:hyperlink>
          </w:p>
        </w:tc>
      </w:tr>
      <w:tr>
        <w:trPr>
          <w:trHeight w:val="20"/>
        </w:trPr>
        <w:tc>
          <w:tcPr>
            <w:tcW w:w="13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700" w:type="dxa"/>
            <w:vAlign w:val="bottom"/>
            <w:gridSpan w:val="9"/>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48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Assumed by Qorvo, Inc.) (incorporated by reference to Exhibit 10.1 to RFMD’s Current Report on Form 8-K filed with the SEC on</w:t>
              </w:r>
            </w:hyperlink>
          </w:p>
        </w:tc>
      </w:tr>
      <w:tr>
        <w:trPr>
          <w:trHeight w:val="196"/>
        </w:trPr>
        <w:tc>
          <w:tcPr>
            <w:tcW w:w="1360" w:type="dxa"/>
            <w:vAlign w:val="bottom"/>
          </w:tcPr>
          <w:p>
            <w:pPr>
              <w:spacing w:after="0"/>
              <w:rPr>
                <w:sz w:val="17"/>
                <w:szCs w:val="17"/>
                <w:color w:val="auto"/>
              </w:rPr>
            </w:pPr>
          </w:p>
        </w:tc>
        <w:tc>
          <w:tcPr>
            <w:tcW w:w="31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November 14, 2008 (File No. 000-22511))*</w:t>
              </w:r>
            </w:hyperlink>
          </w:p>
        </w:tc>
        <w:tc>
          <w:tcPr>
            <w:tcW w:w="6320" w:type="dxa"/>
            <w:vAlign w:val="bottom"/>
            <w:gridSpan w:val="27"/>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10.17</w:t>
            </w:r>
          </w:p>
        </w:tc>
        <w:tc>
          <w:tcPr>
            <w:tcW w:w="8860" w:type="dxa"/>
            <w:vAlign w:val="bottom"/>
            <w:tcBorders>
              <w:bottom w:val="single" w:sz="8" w:color="0000FF"/>
            </w:tcBorders>
            <w:gridSpan w:val="14"/>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Wafer Supply Agreement, dated June 9, 2012, between RF Micro Devices, Inc. and IQE, Inc. (incorporated by reference to</w:t>
              </w:r>
            </w:hyperlink>
          </w:p>
        </w:tc>
        <w:tc>
          <w:tcPr>
            <w:tcW w:w="620" w:type="dxa"/>
            <w:vAlign w:val="bottom"/>
            <w:gridSpan w:val="18"/>
          </w:tcPr>
          <w:p>
            <w:pPr>
              <w:spacing w:after="0"/>
              <w:rPr>
                <w:sz w:val="21"/>
                <w:szCs w:val="21"/>
                <w:color w:val="auto"/>
              </w:rPr>
            </w:pPr>
          </w:p>
        </w:tc>
      </w:tr>
      <w:tr>
        <w:trPr>
          <w:trHeight w:val="237"/>
        </w:trPr>
        <w:tc>
          <w:tcPr>
            <w:tcW w:w="1360" w:type="dxa"/>
            <w:vAlign w:val="bottom"/>
          </w:tcPr>
          <w:p>
            <w:pPr>
              <w:spacing w:after="0"/>
              <w:rPr>
                <w:sz w:val="20"/>
                <w:szCs w:val="20"/>
                <w:color w:val="auto"/>
              </w:rPr>
            </w:pPr>
          </w:p>
        </w:tc>
        <w:tc>
          <w:tcPr>
            <w:tcW w:w="9480" w:type="dxa"/>
            <w:vAlign w:val="bottom"/>
            <w:gridSpan w:val="32"/>
          </w:tcPr>
          <w:p>
            <w:pPr>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Exhibit 10.1 to RFMD’s Quarterly Report on Form 10-Q/A filed with the SEC on January 3, 2013 (File No. 000-22511))</w:t>
              </w:r>
            </w:hyperlink>
          </w:p>
        </w:tc>
      </w:tr>
      <w:tr>
        <w:trPr>
          <w:trHeight w:val="230"/>
        </w:trPr>
        <w:tc>
          <w:tcPr>
            <w:tcW w:w="1360" w:type="dxa"/>
            <w:vAlign w:val="bottom"/>
          </w:tcPr>
          <w:p>
            <w:pPr>
              <w:ind w:left="400"/>
              <w:spacing w:after="0"/>
              <w:rPr>
                <w:sz w:val="20"/>
                <w:szCs w:val="20"/>
                <w:color w:val="auto"/>
              </w:rPr>
            </w:pPr>
            <w:r>
              <w:rPr>
                <w:rFonts w:ascii="Arial" w:cs="Arial" w:eastAsia="Arial" w:hAnsi="Arial"/>
                <w:sz w:val="18"/>
                <w:szCs w:val="18"/>
                <w:color w:val="auto"/>
              </w:rPr>
              <w:t>10.18</w:t>
            </w:r>
          </w:p>
        </w:tc>
        <w:tc>
          <w:tcPr>
            <w:tcW w:w="8860" w:type="dxa"/>
            <w:vAlign w:val="bottom"/>
            <w:tcBorders>
              <w:bottom w:val="single" w:sz="8" w:color="0000FF"/>
            </w:tcBorders>
            <w:gridSpan w:val="14"/>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Form of Stock Option Agreement (Senior Officers) pursuant to the Qorvo, Inc. 2012 Stock Incentive Plan (incorporated by</w:t>
              </w:r>
            </w:hyperlink>
          </w:p>
        </w:tc>
        <w:tc>
          <w:tcPr>
            <w:tcW w:w="620" w:type="dxa"/>
            <w:vAlign w:val="bottom"/>
            <w:gridSpan w:val="18"/>
          </w:tcPr>
          <w:p>
            <w:pPr>
              <w:spacing w:after="0"/>
              <w:rPr>
                <w:sz w:val="19"/>
                <w:szCs w:val="19"/>
                <w:color w:val="auto"/>
              </w:rPr>
            </w:pPr>
          </w:p>
        </w:tc>
      </w:tr>
      <w:tr>
        <w:trPr>
          <w:trHeight w:val="237"/>
        </w:trPr>
        <w:tc>
          <w:tcPr>
            <w:tcW w:w="1360" w:type="dxa"/>
            <w:vAlign w:val="bottom"/>
          </w:tcPr>
          <w:p>
            <w:pPr>
              <w:spacing w:after="0"/>
              <w:rPr>
                <w:sz w:val="20"/>
                <w:szCs w:val="20"/>
                <w:color w:val="auto"/>
              </w:rPr>
            </w:pPr>
          </w:p>
        </w:tc>
        <w:tc>
          <w:tcPr>
            <w:tcW w:w="9480" w:type="dxa"/>
            <w:vAlign w:val="bottom"/>
            <w:gridSpan w:val="32"/>
          </w:tcPr>
          <w:p>
            <w:pPr>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reference to Exhibit 10.3 to the Company’s Quarterly Report on Form 10-Q filed with the SEC on August 5, 2015)*</w:t>
              </w:r>
            </w:hyperlink>
          </w:p>
        </w:tc>
      </w:tr>
      <w:tr>
        <w:trPr>
          <w:trHeight w:val="229"/>
        </w:trPr>
        <w:tc>
          <w:tcPr>
            <w:tcW w:w="1360" w:type="dxa"/>
            <w:vAlign w:val="bottom"/>
          </w:tcPr>
          <w:p>
            <w:pPr>
              <w:ind w:left="400"/>
              <w:spacing w:after="0"/>
              <w:rPr>
                <w:sz w:val="20"/>
                <w:szCs w:val="20"/>
                <w:color w:val="auto"/>
              </w:rPr>
            </w:pPr>
            <w:r>
              <w:rPr>
                <w:rFonts w:ascii="Arial" w:cs="Arial" w:eastAsia="Arial" w:hAnsi="Arial"/>
                <w:sz w:val="18"/>
                <w:szCs w:val="18"/>
                <w:color w:val="auto"/>
              </w:rPr>
              <w:t>10.19</w:t>
            </w:r>
          </w:p>
        </w:tc>
        <w:tc>
          <w:tcPr>
            <w:tcW w:w="9480" w:type="dxa"/>
            <w:vAlign w:val="bottom"/>
            <w:gridSpan w:val="32"/>
          </w:tcPr>
          <w:p>
            <w:pPr>
              <w:spacing w:after="0"/>
              <w:rPr>
                <w:rFonts w:ascii="Arial" w:cs="Arial" w:eastAsia="Arial" w:hAnsi="Arial"/>
                <w:sz w:val="18"/>
                <w:szCs w:val="18"/>
                <w:color w:val="0000FF"/>
                <w:w w:val="96"/>
              </w:rPr>
            </w:pPr>
            <w:hyperlink r:id="rId50">
              <w:r>
                <w:rPr>
                  <w:rFonts w:ascii="Arial" w:cs="Arial" w:eastAsia="Arial" w:hAnsi="Arial"/>
                  <w:sz w:val="18"/>
                  <w:szCs w:val="18"/>
                  <w:color w:val="0000FF"/>
                  <w:w w:val="96"/>
                </w:rPr>
                <w:t>Form of Restricted Stock Unit Agreement (Service-Based Award for Senior Officers) pursuant to the Qorvo, Inc. 2012 Stock</w:t>
              </w:r>
            </w:hyperlink>
          </w:p>
        </w:tc>
      </w:tr>
      <w:tr>
        <w:trPr>
          <w:trHeight w:val="20"/>
        </w:trPr>
        <w:tc>
          <w:tcPr>
            <w:tcW w:w="13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5940" w:type="dxa"/>
            <w:vAlign w:val="bottom"/>
            <w:gridSpan w:val="1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3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Incentive Plan (incorporated by reference to Exhibit 10.4 to the Company’s Quarterly Report on Form 10-Q filed with the SEC on</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August 5, 2015)*</w:t>
              </w:r>
            </w:hyperlink>
          </w:p>
        </w:tc>
        <w:tc>
          <w:tcPr>
            <w:tcW w:w="8220" w:type="dxa"/>
            <w:vAlign w:val="bottom"/>
            <w:gridSpan w:val="30"/>
          </w:tcPr>
          <w:p>
            <w:pPr>
              <w:spacing w:after="0"/>
              <w:rPr>
                <w:sz w:val="17"/>
                <w:szCs w:val="17"/>
                <w:color w:val="auto"/>
              </w:rPr>
            </w:pPr>
          </w:p>
        </w:tc>
      </w:tr>
      <w:tr>
        <w:trPr>
          <w:trHeight w:val="250"/>
        </w:trPr>
        <w:tc>
          <w:tcPr>
            <w:tcW w:w="1360" w:type="dxa"/>
            <w:vAlign w:val="bottom"/>
          </w:tcPr>
          <w:p>
            <w:pPr>
              <w:ind w:left="400"/>
              <w:spacing w:after="0"/>
              <w:rPr>
                <w:sz w:val="20"/>
                <w:szCs w:val="20"/>
                <w:color w:val="auto"/>
              </w:rPr>
            </w:pPr>
            <w:r>
              <w:rPr>
                <w:rFonts w:ascii="Arial" w:cs="Arial" w:eastAsia="Arial" w:hAnsi="Arial"/>
                <w:sz w:val="18"/>
                <w:szCs w:val="18"/>
                <w:color w:val="auto"/>
              </w:rPr>
              <w:t>10.20</w:t>
            </w:r>
          </w:p>
        </w:tc>
        <w:tc>
          <w:tcPr>
            <w:tcW w:w="9480" w:type="dxa"/>
            <w:vAlign w:val="bottom"/>
            <w:gridSpan w:val="32"/>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Form of Restricted Stock Unit Agreement (Performance-Based and Service-Based Award for Senior Officers) pursuant to the</w:t>
              </w:r>
            </w:hyperlink>
          </w:p>
        </w:tc>
      </w:tr>
      <w:tr>
        <w:trPr>
          <w:trHeight w:val="20"/>
        </w:trPr>
        <w:tc>
          <w:tcPr>
            <w:tcW w:w="136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5980" w:type="dxa"/>
            <w:vAlign w:val="bottom"/>
            <w:gridSpan w:val="15"/>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Qorvo, Inc. 2012 Stock Incentive Plan (incorporated by reference to Exhibit 10.5 to the Company’s Quarterly Report on Form 10-</w:t>
              </w:r>
            </w:hyperlink>
          </w:p>
        </w:tc>
      </w:tr>
      <w:tr>
        <w:trPr>
          <w:trHeight w:val="196"/>
        </w:trPr>
        <w:tc>
          <w:tcPr>
            <w:tcW w:w="1360" w:type="dxa"/>
            <w:vAlign w:val="bottom"/>
          </w:tcPr>
          <w:p>
            <w:pPr>
              <w:spacing w:after="0"/>
              <w:rPr>
                <w:sz w:val="17"/>
                <w:szCs w:val="17"/>
                <w:color w:val="auto"/>
              </w:rPr>
            </w:pPr>
          </w:p>
        </w:tc>
        <w:tc>
          <w:tcPr>
            <w:tcW w:w="30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Q filed with the SEC on August 5, 2015)*</w:t>
              </w:r>
            </w:hyperlink>
          </w:p>
        </w:tc>
        <w:tc>
          <w:tcPr>
            <w:tcW w:w="6320" w:type="dxa"/>
            <w:vAlign w:val="bottom"/>
            <w:tcBorders>
              <w:top w:val="single" w:sz="8" w:color="0000FF"/>
            </w:tcBorders>
            <w:gridSpan w:val="2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480"/>
        </w:trPr>
        <w:tc>
          <w:tcPr>
            <w:tcW w:w="1360" w:type="dxa"/>
            <w:vAlign w:val="bottom"/>
          </w:tcPr>
          <w:p>
            <w:pPr>
              <w:spacing w:after="0"/>
              <w:rPr>
                <w:sz w:val="24"/>
                <w:szCs w:val="24"/>
                <w:color w:val="auto"/>
              </w:rPr>
            </w:pPr>
          </w:p>
        </w:tc>
        <w:tc>
          <w:tcPr>
            <w:tcW w:w="5300" w:type="dxa"/>
            <w:vAlign w:val="bottom"/>
            <w:gridSpan w:val="8"/>
          </w:tcPr>
          <w:p>
            <w:pPr>
              <w:ind w:left="4180"/>
              <w:spacing w:after="0"/>
              <w:rPr>
                <w:sz w:val="20"/>
                <w:szCs w:val="20"/>
                <w:color w:val="auto"/>
              </w:rPr>
            </w:pPr>
            <w:r>
              <w:rPr>
                <w:rFonts w:ascii="Arial" w:cs="Arial" w:eastAsia="Arial" w:hAnsi="Arial"/>
                <w:sz w:val="18"/>
                <w:szCs w:val="18"/>
                <w:color w:val="auto"/>
              </w:rPr>
              <w:t>99</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40"/>
          </w:cols>
          <w:pgMar w:left="320" w:top="130" w:right="7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360" w:right="6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2">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Stock Incentive Plan (incorporated by reference to Exhibit 10.6 to the Company’s Quarterly Report on Form 10-Q filed with the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SEC on August 5, 2015)*</w:t>
        </w:r>
      </w:hyperlink>
    </w:p>
    <w:p>
      <w:pPr>
        <w:spacing w:after="0" w:line="22" w:lineRule="exact"/>
        <w:rPr>
          <w:rFonts w:ascii="Arial" w:cs="Arial" w:eastAsia="Arial" w:hAnsi="Arial"/>
          <w:sz w:val="18"/>
          <w:szCs w:val="18"/>
          <w:u w:val="single" w:color="auto"/>
          <w:color w:val="0000FF"/>
        </w:rPr>
      </w:pPr>
    </w:p>
    <w:p>
      <w:pPr>
        <w:ind w:left="1360" w:right="160" w:hanging="958"/>
        <w:spacing w:after="0" w:line="277"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3">
        <w:r>
          <w:rPr>
            <w:rFonts w:ascii="Arial" w:cs="Arial" w:eastAsia="Arial" w:hAnsi="Arial"/>
            <w:sz w:val="18"/>
            <w:szCs w:val="18"/>
            <w:u w:val="single" w:color="auto"/>
            <w:color w:val="0000FF"/>
          </w:rPr>
          <w:t>Qorvo, Inc. Severance Benefits Plan and Summary Plan Description (incorporated by reference to Exhibit 10.8 to the Company’s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Quarterly Report on Form 10-Q filed with the SEC on August 5, 2015)*</w:t>
        </w:r>
      </w:hyperlink>
    </w:p>
    <w:p>
      <w:pPr>
        <w:spacing w:after="0" w:line="8" w:lineRule="exact"/>
        <w:rPr>
          <w:sz w:val="20"/>
          <w:szCs w:val="20"/>
          <w:color w:val="auto"/>
        </w:rPr>
      </w:pPr>
    </w:p>
    <w:p>
      <w:pPr>
        <w:ind w:left="1360" w:right="600" w:hanging="958"/>
        <w:spacing w:after="0" w:line="316"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54">
        <w:r>
          <w:rPr>
            <w:rFonts w:ascii="Arial" w:cs="Arial" w:eastAsia="Arial" w:hAnsi="Arial"/>
            <w:sz w:val="16"/>
            <w:szCs w:val="16"/>
            <w:u w:val="single" w:color="auto"/>
            <w:color w:val="0000FF"/>
          </w:rPr>
          <w:t>Form of Stock Option Agreement (Senior Officers) pursuant to the Qorvo, Inc. 2012 Stock Incentive Plan (incorporated by</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reference to Exhibit 10.30 to the Company’s Annual Report on Form 10-K filed with the SEC on May 31, 2016)*</w:t>
        </w:r>
      </w:hyperlink>
    </w:p>
    <w:p>
      <w:pPr>
        <w:spacing w:after="0" w:line="2" w:lineRule="exact"/>
        <w:rPr>
          <w:sz w:val="20"/>
          <w:szCs w:val="20"/>
          <w:color w:val="auto"/>
        </w:rPr>
      </w:pPr>
    </w:p>
    <w:p>
      <w:pPr>
        <w:ind w:left="1360" w:right="16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5">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Incentive Plan (incorporated by reference to Exhibit 10.31 to the Company’s Annual Report on Form 10-K filed with the SEC on</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May 31, 2016)*</w:t>
        </w:r>
      </w:hyperlink>
    </w:p>
    <w:p>
      <w:pPr>
        <w:spacing w:after="0" w:line="22" w:lineRule="exact"/>
        <w:rPr>
          <w:rFonts w:ascii="Arial" w:cs="Arial" w:eastAsia="Arial" w:hAnsi="Arial"/>
          <w:sz w:val="18"/>
          <w:szCs w:val="18"/>
          <w:u w:val="single" w:color="auto"/>
          <w:color w:val="0000FF"/>
        </w:rPr>
      </w:pPr>
    </w:p>
    <w:p>
      <w:pPr>
        <w:ind w:left="1360" w:right="4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6">
        <w:r>
          <w:rPr>
            <w:rFonts w:ascii="Arial" w:cs="Arial" w:eastAsia="Arial" w:hAnsi="Arial"/>
            <w:sz w:val="18"/>
            <w:szCs w:val="18"/>
            <w:u w:val="single" w:color="auto"/>
            <w:color w:val="0000FF"/>
          </w:rPr>
          <w:t>Form of Restricted Stock Unit Agreement (Performance-Based and Service-Based Award for Senior Officers) pursuant to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Qorvo, Inc. 2012 Stock Incentive Plan (incorporated by reference to Exhibit 10.32 to the Company’s Annual Report on Form 10-K</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filed with the SEC on May 31, 2016)*</w:t>
        </w:r>
      </w:hyperlink>
    </w:p>
    <w:p>
      <w:pPr>
        <w:spacing w:after="0" w:line="22" w:lineRule="exact"/>
        <w:rPr>
          <w:rFonts w:ascii="Arial" w:cs="Arial" w:eastAsia="Arial" w:hAnsi="Arial"/>
          <w:sz w:val="18"/>
          <w:szCs w:val="18"/>
          <w:u w:val="single" w:color="auto"/>
          <w:color w:val="0000FF"/>
        </w:rPr>
      </w:pPr>
    </w:p>
    <w:p>
      <w:pPr>
        <w:ind w:left="1360" w:right="6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7">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Stock Incentive Plan (incorporated by reference to Exhibit 10.33 to the Company’s Annual Report on Form 10-K filed with the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SEC on May 31, 2016)*</w:t>
        </w:r>
      </w:hyperlink>
    </w:p>
    <w:p>
      <w:pPr>
        <w:spacing w:after="0" w:line="22" w:lineRule="exact"/>
        <w:rPr>
          <w:rFonts w:ascii="Arial" w:cs="Arial" w:eastAsia="Arial" w:hAnsi="Arial"/>
          <w:sz w:val="18"/>
          <w:szCs w:val="18"/>
          <w:u w:val="single" w:color="auto"/>
          <w:color w:val="0000FF"/>
        </w:rPr>
      </w:pPr>
    </w:p>
    <w:p>
      <w:pPr>
        <w:ind w:left="1360" w:right="16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58">
        <w:r>
          <w:rPr>
            <w:rFonts w:ascii="Arial" w:cs="Arial" w:eastAsia="Arial" w:hAnsi="Arial"/>
            <w:sz w:val="18"/>
            <w:szCs w:val="18"/>
            <w:u w:val="single" w:color="auto"/>
            <w:color w:val="0000FF"/>
          </w:rPr>
          <w:t>Form of Restricted Stock Unit Award Agreement (Director Annual/Supplemental RSU) pursuant to the Qorvo, Inc. 2012 Stock</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Incentive Plan (incorporated by reference to Exhibit 10.34 to the Company’s Annual Report on Form 10-K filed with the SEC on</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May 31, 2016)*</w:t>
        </w:r>
      </w:hyperlink>
    </w:p>
    <w:p>
      <w:pPr>
        <w:spacing w:after="0" w:line="22" w:lineRule="exact"/>
        <w:rPr>
          <w:rFonts w:ascii="Arial" w:cs="Arial" w:eastAsia="Arial" w:hAnsi="Arial"/>
          <w:sz w:val="18"/>
          <w:szCs w:val="18"/>
          <w:u w:val="single" w:color="auto"/>
          <w:color w:val="0000FF"/>
        </w:rPr>
      </w:pPr>
    </w:p>
    <w:p>
      <w:pPr>
        <w:jc w:val="both"/>
        <w:ind w:left="1360" w:right="8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9">
        <w:r>
          <w:rPr>
            <w:rFonts w:ascii="Arial" w:cs="Arial" w:eastAsia="Arial" w:hAnsi="Arial"/>
            <w:sz w:val="18"/>
            <w:szCs w:val="18"/>
            <w:u w:val="single" w:color="auto"/>
            <w:color w:val="0000FF"/>
          </w:rPr>
          <w:t>Form of Restricted Stock Unit Award Agreement (Director Annual/Supplemental RSUs) (deferral election) pursuant to the Qorvo,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Inc. 2012 Stock Incentive Plan (incorporated by reference to Exhibit 10.1 to the Company’s Quarterly Report on Form 10-Q filed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with the SEC on August 5, 2016)*</w:t>
        </w:r>
      </w:hyperlink>
    </w:p>
    <w:p>
      <w:pPr>
        <w:spacing w:after="0" w:line="22" w:lineRule="exact"/>
        <w:rPr>
          <w:rFonts w:ascii="Arial" w:cs="Arial" w:eastAsia="Arial" w:hAnsi="Arial"/>
          <w:sz w:val="18"/>
          <w:szCs w:val="18"/>
          <w:u w:val="single" w:color="auto"/>
          <w:color w:val="0000FF"/>
        </w:rPr>
      </w:pPr>
    </w:p>
    <w:p>
      <w:pPr>
        <w:ind w:left="1360" w:right="140" w:hanging="958"/>
        <w:spacing w:after="0" w:line="277"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0">
        <w:r>
          <w:rPr>
            <w:rFonts w:ascii="Arial" w:cs="Arial" w:eastAsia="Arial" w:hAnsi="Arial"/>
            <w:sz w:val="18"/>
            <w:szCs w:val="18"/>
            <w:u w:val="single" w:color="auto"/>
            <w:color w:val="0000FF"/>
          </w:rPr>
          <w:t>Qorvo, Inc. Cash Bonus Plan (As Amended and Restated Through June 9, 2016) (incorporated by reference to Exhibit 10.1 to the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Company’s Quarterly Report on Form 10-Q filed with the SEC on November 7, 2016)*</w:t>
        </w:r>
      </w:hyperlink>
    </w:p>
    <w:p>
      <w:pPr>
        <w:spacing w:after="0" w:line="8" w:lineRule="exact"/>
        <w:rPr>
          <w:sz w:val="20"/>
          <w:szCs w:val="20"/>
          <w:color w:val="auto"/>
        </w:rPr>
      </w:pPr>
    </w:p>
    <w:p>
      <w:pPr>
        <w:jc w:val="both"/>
        <w:ind w:left="1360" w:hanging="958"/>
        <w:spacing w:after="0" w:line="277"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61">
        <w:r>
          <w:rPr>
            <w:rFonts w:ascii="Arial" w:cs="Arial" w:eastAsia="Arial" w:hAnsi="Arial"/>
            <w:sz w:val="18"/>
            <w:szCs w:val="18"/>
            <w:u w:val="single" w:color="auto"/>
            <w:color w:val="0000FF"/>
          </w:rPr>
          <w:t>Qorvo, Inc. Director Compensation Program, effective August 3, 2016 (incorporated by reference to Exhibit 10.4 to the Company’s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Quarterly Report on Form 10-Q filed with the SEC on November 7, 2016)*</w:t>
        </w:r>
      </w:hyperlink>
    </w:p>
    <w:p>
      <w:pPr>
        <w:spacing w:after="0" w:line="8" w:lineRule="exact"/>
        <w:rPr>
          <w:sz w:val="20"/>
          <w:szCs w:val="20"/>
          <w:color w:val="auto"/>
        </w:rPr>
      </w:pPr>
    </w:p>
    <w:p>
      <w:pPr>
        <w:ind w:left="40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62">
        <w:r>
          <w:rPr>
            <w:rFonts w:ascii="Arial" w:cs="Arial" w:eastAsia="Arial" w:hAnsi="Arial"/>
            <w:sz w:val="16"/>
            <w:szCs w:val="16"/>
            <w:u w:val="single" w:color="auto"/>
            <w:color w:val="0000FF"/>
          </w:rPr>
          <w:t>Qorvo, Inc. Short-Term Incentive Plan (As Amended and Restated Through May 11, 2017) (incorporated by reference to Exhibit</w:t>
        </w:r>
      </w:hyperlink>
    </w:p>
    <w:p>
      <w:pPr>
        <w:spacing w:after="0" w:line="23" w:lineRule="exact"/>
        <w:rPr>
          <w:sz w:val="20"/>
          <w:szCs w:val="20"/>
          <w:color w:val="auto"/>
        </w:rPr>
      </w:pPr>
    </w:p>
    <w:p>
      <w:pPr>
        <w:ind w:left="136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10.1 to the Company’s Current Report on Form 8-K filed with the SEC on May 17, 2017)*</w:t>
        </w:r>
      </w:hyperlink>
    </w:p>
    <w:p>
      <w:pPr>
        <w:spacing w:after="0" w:line="49" w:lineRule="exact"/>
        <w:rPr>
          <w:sz w:val="20"/>
          <w:szCs w:val="20"/>
          <w:color w:val="auto"/>
        </w:rPr>
      </w:pPr>
    </w:p>
    <w:p>
      <w:pPr>
        <w:jc w:val="both"/>
        <w:ind w:left="1360" w:hanging="958"/>
        <w:spacing w:after="0" w:line="295"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63">
        <w:r>
          <w:rPr>
            <w:rFonts w:ascii="Arial" w:cs="Arial" w:eastAsia="Arial" w:hAnsi="Arial"/>
            <w:sz w:val="16"/>
            <w:szCs w:val="16"/>
            <w:u w:val="single" w:color="auto"/>
            <w:color w:val="0000FF"/>
          </w:rPr>
          <w:t>Credit Agreement, dated as of December 5, 2017, by and among Qorvo, Inc., as the Borrower, certain subsidiaries of the Borrower</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identified therein, as the Guarantors, Bank of America, N.A. as Administrative Agent, Swing Line Lender and L/C Issuer, the other</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lenders party thereto, and Wells Fargo Bank, National Association, TD Bank, National Association, The Bank of Tokyo-Mitsubishi</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UFJ, Ltd., PNC Bank, National Association, and Bank of the West, as Co-Syndication Agents (incorporated by reference to Exhibit</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10.1 to the Company’s Current Report on Form 8-K filed with the SEC on December 6, 2017)</w:t>
        </w:r>
      </w:hyperlink>
    </w:p>
    <w:p>
      <w:pPr>
        <w:spacing w:after="0" w:line="3" w:lineRule="exact"/>
        <w:rPr>
          <w:rFonts w:ascii="Arial" w:cs="Arial" w:eastAsia="Arial" w:hAnsi="Arial"/>
          <w:sz w:val="16"/>
          <w:szCs w:val="16"/>
          <w:u w:val="single" w:color="auto"/>
          <w:color w:val="0000FF"/>
        </w:rPr>
      </w:pPr>
    </w:p>
    <w:p>
      <w:pPr>
        <w:ind w:left="1360" w:right="60" w:hanging="958"/>
        <w:spacing w:after="0" w:line="316"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64">
        <w:r>
          <w:rPr>
            <w:rFonts w:ascii="Arial" w:cs="Arial" w:eastAsia="Arial" w:hAnsi="Arial"/>
            <w:sz w:val="16"/>
            <w:szCs w:val="16"/>
            <w:u w:val="single" w:color="auto"/>
            <w:color w:val="0000FF"/>
          </w:rPr>
          <w:t>2018 Declaration of Amendment to Qorvo, Inc. Nonqualified Deferred Compensation Plan, effective as of April 1, 2018</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(incorporated by reference to Exhibit 10.37 to the Company's Annual Report on Form 10-K filed with the SEC on May 21, 2018)*</w:t>
        </w:r>
      </w:hyperlink>
    </w:p>
    <w:p>
      <w:pPr>
        <w:spacing w:after="0" w:line="2" w:lineRule="exact"/>
        <w:rPr>
          <w:sz w:val="20"/>
          <w:szCs w:val="20"/>
          <w:color w:val="auto"/>
        </w:rPr>
      </w:pPr>
    </w:p>
    <w:p>
      <w:pPr>
        <w:jc w:val="both"/>
        <w:ind w:left="1360" w:right="26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65">
        <w:r>
          <w:rPr>
            <w:rFonts w:ascii="Arial" w:cs="Arial" w:eastAsia="Arial" w:hAnsi="Arial"/>
            <w:sz w:val="18"/>
            <w:szCs w:val="18"/>
            <w:u w:val="single" w:color="auto"/>
            <w:color w:val="0000FF"/>
          </w:rPr>
          <w:t>Second 2018 Declaration of Amendment to Qorvo, Inc. Nonqualified Deferred Compensation Plan, dated as of October 8, 2018</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(incorporated by reference to Exhibit 10.1 to the Company’s Quarterly Report on Form 10-Q filed with the SEC on February 7,</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2019)*</w:t>
        </w:r>
      </w:hyperlink>
    </w:p>
    <w:p>
      <w:pPr>
        <w:spacing w:after="0" w:line="22" w:lineRule="exact"/>
        <w:rPr>
          <w:rFonts w:ascii="Arial" w:cs="Arial" w:eastAsia="Arial" w:hAnsi="Arial"/>
          <w:sz w:val="18"/>
          <w:szCs w:val="18"/>
          <w:u w:val="single" w:color="auto"/>
          <w:color w:val="0000FF"/>
        </w:rPr>
      </w:pPr>
    </w:p>
    <w:p>
      <w:pPr>
        <w:ind w:left="1360" w:right="24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6">
        <w:r>
          <w:rPr>
            <w:rFonts w:ascii="Arial" w:cs="Arial" w:eastAsia="Arial" w:hAnsi="Arial"/>
            <w:sz w:val="18"/>
            <w:szCs w:val="18"/>
            <w:u w:val="single" w:color="auto"/>
            <w:color w:val="0000FF"/>
          </w:rPr>
          <w:t>First Amendment to Credit Agreement, dated as of June 5, 2018, by and between Qorvo, Inc., certain of its material domestic</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subsidiaries, the lenders party thereto, and Bank of America, N.A., as administrative agent (incorporated by reference to Exhibit</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10.1 to the Company’s Current Report on Form 8-K filed with the SEC on June 6, 2018)</w:t>
        </w:r>
      </w:hyperlink>
    </w:p>
    <w:p>
      <w:pPr>
        <w:spacing w:after="0" w:line="22" w:lineRule="exact"/>
        <w:rPr>
          <w:rFonts w:ascii="Arial" w:cs="Arial" w:eastAsia="Arial" w:hAnsi="Arial"/>
          <w:sz w:val="18"/>
          <w:szCs w:val="18"/>
          <w:u w:val="single" w:color="auto"/>
          <w:color w:val="0000FF"/>
        </w:rPr>
      </w:pPr>
    </w:p>
    <w:p>
      <w:pPr>
        <w:ind w:left="1360" w:right="120" w:hanging="958"/>
        <w:spacing w:after="0" w:line="286" w:lineRule="auto"/>
        <w:tabs>
          <w:tab w:leader="none" w:pos="134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67">
        <w:r>
          <w:rPr>
            <w:rFonts w:ascii="Arial" w:cs="Arial" w:eastAsia="Arial" w:hAnsi="Arial"/>
            <w:sz w:val="17"/>
            <w:szCs w:val="17"/>
            <w:u w:val="single" w:color="auto"/>
            <w:color w:val="0000FF"/>
          </w:rPr>
          <w:t>Second Amendment to Credit Agreement, dated as of December 17, 2018, by and between Qorvo, Inc., certain of its material</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domestic subsidiaries, the lenders party thereto, and Bank of America, N.A., as administrative agent (incorporated by reference to</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Exhibit 10.1 to the Company’s Current Report on Form 8-K filed with the SEC on December 18, 2018)</w:t>
        </w:r>
      </w:hyperlink>
    </w:p>
    <w:p>
      <w:pPr>
        <w:spacing w:after="0" w:line="3" w:lineRule="exact"/>
        <w:rPr>
          <w:rFonts w:ascii="Arial" w:cs="Arial" w:eastAsia="Arial" w:hAnsi="Arial"/>
          <w:sz w:val="17"/>
          <w:szCs w:val="17"/>
          <w:u w:val="single" w:color="auto"/>
          <w:color w:val="0000FF"/>
        </w:rPr>
      </w:pPr>
    </w:p>
    <w:p>
      <w:pPr>
        <w:jc w:val="both"/>
        <w:ind w:left="1360" w:right="240" w:hanging="958"/>
        <w:spacing w:after="0" w:line="286" w:lineRule="auto"/>
        <w:tabs>
          <w:tab w:leader="none" w:pos="134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68">
        <w:r>
          <w:rPr>
            <w:rFonts w:ascii="Arial" w:cs="Arial" w:eastAsia="Arial" w:hAnsi="Arial"/>
            <w:sz w:val="17"/>
            <w:szCs w:val="17"/>
            <w:u w:val="single" w:color="auto"/>
            <w:color w:val="0000FF"/>
          </w:rPr>
          <w:t>Third Amendment to Credit Agreement, dated as of June 24, 2019, by and between Qorvo, Inc., certain of its material domestic</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subsidiaries, the lenders party thereto, and Bank of America, N.A., as administrative agent (incorporated by reference to Exhibit</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10.1 to the Company’s Current Report on Form 8-K filed with the SEC filed on June 25, 2019)</w:t>
        </w:r>
      </w:hyperlink>
    </w:p>
    <w:p>
      <w:pPr>
        <w:spacing w:after="0" w:line="200" w:lineRule="exact"/>
        <w:rPr>
          <w:rFonts w:ascii="Arial" w:cs="Arial" w:eastAsia="Arial" w:hAnsi="Arial"/>
          <w:sz w:val="17"/>
          <w:szCs w:val="17"/>
          <w:u w:val="single" w:color="auto"/>
          <w:color w:val="0000FF"/>
        </w:rPr>
      </w:pPr>
    </w:p>
    <w:p>
      <w:pPr>
        <w:spacing w:after="0" w:line="208" w:lineRule="exact"/>
        <w:rPr>
          <w:rFonts w:ascii="Arial" w:cs="Arial" w:eastAsia="Arial" w:hAnsi="Arial"/>
          <w:sz w:val="17"/>
          <w:szCs w:val="17"/>
          <w:u w:val="single" w:color="auto"/>
          <w:color w:val="0000FF"/>
        </w:rPr>
      </w:pPr>
    </w:p>
    <w:p>
      <w:pPr>
        <w:jc w:val="center"/>
        <w:ind w:right="-4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20"/>
          </w:cols>
          <w:pgMar w:left="320" w:top="130" w:right="7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360" w:right="560" w:hanging="958"/>
        <w:spacing w:after="0" w:line="316"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69">
        <w:r>
          <w:rPr>
            <w:rFonts w:ascii="Arial" w:cs="Arial" w:eastAsia="Arial" w:hAnsi="Arial"/>
            <w:sz w:val="16"/>
            <w:szCs w:val="16"/>
            <w:u w:val="single" w:color="auto"/>
            <w:color w:val="0000FF"/>
          </w:rPr>
          <w:t>2019 Declaration of Amendment to Qorvo, Inc. 2007 Employee Stock Purchase Plan, dated as of October 30, 2019 (incorporated</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by reference to Exhibit 10.1 to the Company’s Quarterly Report on Form 10-Q filed with the SEC on January 30, 2020)*</w:t>
        </w:r>
      </w:hyperlink>
    </w:p>
    <w:p>
      <w:pPr>
        <w:spacing w:after="0" w:line="2" w:lineRule="exact"/>
        <w:rPr>
          <w:sz w:val="20"/>
          <w:szCs w:val="20"/>
          <w:color w:val="auto"/>
        </w:rPr>
      </w:pPr>
    </w:p>
    <w:p>
      <w:pPr>
        <w:ind w:left="1360" w:right="700" w:hanging="958"/>
        <w:spacing w:after="0" w:line="263"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70">
        <w:r>
          <w:rPr>
            <w:rFonts w:ascii="Arial" w:cs="Arial" w:eastAsia="Arial" w:hAnsi="Arial"/>
            <w:sz w:val="18"/>
            <w:szCs w:val="18"/>
            <w:u w:val="single" w:color="auto"/>
            <w:color w:val="0000FF"/>
          </w:rPr>
          <w:t>2019 Declaration of Amendment to Qorvo, Inc. Nonqualified Deferred Compensation Plan, dated as of October 30, 2019</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(incorporated by reference to Exhibit 10.2 to the Company’s Quarterly Report on Form 10-Q filed with the SEC on January 30,</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2020)*</w:t>
        </w:r>
      </w:hyperlink>
    </w:p>
    <w:p>
      <w:pPr>
        <w:spacing w:after="0" w:line="22" w:lineRule="exact"/>
        <w:rPr>
          <w:rFonts w:ascii="Arial" w:cs="Arial" w:eastAsia="Arial" w:hAnsi="Arial"/>
          <w:sz w:val="18"/>
          <w:szCs w:val="18"/>
          <w:u w:val="single" w:color="auto"/>
          <w:color w:val="0000FF"/>
        </w:rPr>
      </w:pPr>
    </w:p>
    <w:p>
      <w:pPr>
        <w:ind w:left="1360" w:hanging="961"/>
        <w:spacing w:after="0"/>
        <w:tabs>
          <w:tab w:leader="none" w:pos="1360" w:val="left"/>
        </w:tabs>
        <w:numPr>
          <w:ilvl w:val="0"/>
          <w:numId w:val="44"/>
        </w:numPr>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Subsidiaries of Qorvo, Inc.</w:t>
        </w:r>
      </w:hyperlink>
    </w:p>
    <w:p>
      <w:pPr>
        <w:spacing w:after="0" w:line="63" w:lineRule="exact"/>
        <w:rPr>
          <w:rFonts w:ascii="Arial" w:cs="Arial" w:eastAsia="Arial" w:hAnsi="Arial"/>
          <w:sz w:val="18"/>
          <w:szCs w:val="18"/>
          <w:u w:val="single" w:color="auto"/>
          <w:color w:val="0000FF"/>
        </w:rPr>
      </w:pPr>
    </w:p>
    <w:tbl>
      <w:tblPr>
        <w:tblLayout w:type="fixed"/>
        <w:tblInd w:w="400" w:type="dxa"/>
        <w:tblCellMar>
          <w:top w:w="0" w:type="dxa"/>
          <w:left w:w="0" w:type="dxa"/>
          <w:bottom w:w="0" w:type="dxa"/>
          <w:right w:w="0" w:type="dxa"/>
        </w:tblCellMar>
      </w:tblPr>
      <w:tr>
        <w:trPr>
          <w:trHeight w:val="23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23.1</w:t>
            </w:r>
          </w:p>
        </w:tc>
        <w:tc>
          <w:tcPr>
            <w:tcW w:w="9420" w:type="dxa"/>
            <w:vAlign w:val="bottom"/>
            <w:gridSpan w:val="8"/>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Consent of Independent Registered Public Accounting Firm (Ernst &amp; Young LLP)</w:t>
              </w:r>
            </w:hyperlink>
          </w:p>
        </w:tc>
      </w:tr>
      <w:tr>
        <w:trPr>
          <w:trHeight w:val="27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23.2</w:t>
            </w:r>
          </w:p>
        </w:tc>
        <w:tc>
          <w:tcPr>
            <w:tcW w:w="9420" w:type="dxa"/>
            <w:vAlign w:val="bottom"/>
            <w:gridSpan w:val="8"/>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Consent of Independent Registered Public Accounting Firm (KPMG LLP)</w:t>
              </w:r>
            </w:hyperlink>
          </w:p>
        </w:tc>
      </w:tr>
      <w:tr>
        <w:trPr>
          <w:trHeight w:val="23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31.1</w:t>
            </w:r>
          </w:p>
        </w:tc>
        <w:tc>
          <w:tcPr>
            <w:tcW w:w="94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Certification of Periodic Report by Robert A. Bruggeworth, as Chief Executive Officer, pursuant to Rule 13a-14(a) or 15d-14(a) of</w:t>
              </w:r>
            </w:hyperlink>
          </w:p>
        </w:tc>
      </w:tr>
      <w:tr>
        <w:trPr>
          <w:trHeight w:val="196"/>
        </w:trPr>
        <w:tc>
          <w:tcPr>
            <w:tcW w:w="960" w:type="dxa"/>
            <w:vAlign w:val="bottom"/>
          </w:tcPr>
          <w:p>
            <w:pPr>
              <w:spacing w:after="0"/>
              <w:rPr>
                <w:sz w:val="17"/>
                <w:szCs w:val="17"/>
                <w:color w:val="auto"/>
              </w:rPr>
            </w:pPr>
          </w:p>
        </w:tc>
        <w:tc>
          <w:tcPr>
            <w:tcW w:w="64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108">
              <w:r>
                <w:rPr>
                  <w:rFonts w:ascii="Arial" w:cs="Arial" w:eastAsia="Arial" w:hAnsi="Arial"/>
                  <w:sz w:val="18"/>
                  <w:szCs w:val="18"/>
                  <w:color w:val="0000FF"/>
                  <w:w w:val="89"/>
                </w:rPr>
                <w:t>the Exchange Act, as adopted pursuant to Section 302 of the Sarbanes-Oxley Act of 2002</w:t>
              </w:r>
            </w:hyperlink>
          </w:p>
        </w:tc>
        <w:tc>
          <w:tcPr>
            <w:tcW w:w="2980" w:type="dxa"/>
            <w:vAlign w:val="bottom"/>
            <w:gridSpan w:val="4"/>
          </w:tcPr>
          <w:p>
            <w:pPr>
              <w:spacing w:after="0"/>
              <w:rPr>
                <w:sz w:val="17"/>
                <w:szCs w:val="17"/>
                <w:color w:val="auto"/>
              </w:rPr>
            </w:pPr>
          </w:p>
        </w:tc>
      </w:tr>
      <w:tr>
        <w:trPr>
          <w:trHeight w:val="25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31.2</w:t>
            </w:r>
          </w:p>
        </w:tc>
        <w:tc>
          <w:tcPr>
            <w:tcW w:w="91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Periodic Report by Mark J. Murphy, as Chief Financial Officer, pursuant to Rule 13a-14(a) or 15d-14(a) of the</w:t>
              </w:r>
            </w:hyperlink>
          </w:p>
        </w:tc>
        <w:tc>
          <w:tcPr>
            <w:tcW w:w="320" w:type="dxa"/>
            <w:vAlign w:val="bottom"/>
            <w:gridSpan w:val="3"/>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61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109">
              <w:r>
                <w:rPr>
                  <w:rFonts w:ascii="Arial" w:cs="Arial" w:eastAsia="Arial" w:hAnsi="Arial"/>
                  <w:sz w:val="18"/>
                  <w:szCs w:val="18"/>
                  <w:color w:val="0000FF"/>
                  <w:w w:val="89"/>
                </w:rPr>
                <w:t>Exchange Act, as adopted pursuant to Section 302 of the Sarbanes-Oxley Act of 2002</w:t>
              </w:r>
            </w:hyperlink>
          </w:p>
        </w:tc>
        <w:tc>
          <w:tcPr>
            <w:tcW w:w="3240" w:type="dxa"/>
            <w:vAlign w:val="bottom"/>
            <w:gridSpan w:val="5"/>
          </w:tcPr>
          <w:p>
            <w:pPr>
              <w:spacing w:after="0"/>
              <w:rPr>
                <w:sz w:val="17"/>
                <w:szCs w:val="17"/>
                <w:color w:val="auto"/>
              </w:rPr>
            </w:pPr>
          </w:p>
        </w:tc>
      </w:tr>
      <w:tr>
        <w:trPr>
          <w:trHeight w:val="25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32.1</w:t>
            </w:r>
          </w:p>
        </w:tc>
        <w:tc>
          <w:tcPr>
            <w:tcW w:w="91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Certification of Periodic Report by Robert A. Bruggeworth, as Chief Executive Officer, pursuant to 18 U.S.C. Section 1350, as</w:t>
              </w:r>
            </w:hyperlink>
          </w:p>
        </w:tc>
        <w:tc>
          <w:tcPr>
            <w:tcW w:w="280" w:type="dxa"/>
            <w:vAlign w:val="bottom"/>
            <w:gridSpan w:val="2"/>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48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110">
              <w:r>
                <w:rPr>
                  <w:rFonts w:ascii="Arial" w:cs="Arial" w:eastAsia="Arial" w:hAnsi="Arial"/>
                  <w:sz w:val="18"/>
                  <w:szCs w:val="18"/>
                  <w:color w:val="0000FF"/>
                  <w:w w:val="89"/>
                </w:rPr>
                <w:t>adopted pursuant to Section 906 of the Sarbanes-Oxley Act of 2002</w:t>
              </w:r>
            </w:hyperlink>
          </w:p>
        </w:tc>
        <w:tc>
          <w:tcPr>
            <w:tcW w:w="4540" w:type="dxa"/>
            <w:vAlign w:val="bottom"/>
            <w:gridSpan w:val="6"/>
          </w:tcPr>
          <w:p>
            <w:pPr>
              <w:spacing w:after="0"/>
              <w:rPr>
                <w:sz w:val="17"/>
                <w:szCs w:val="17"/>
                <w:color w:val="auto"/>
              </w:rPr>
            </w:pPr>
          </w:p>
        </w:tc>
      </w:tr>
      <w:tr>
        <w:trPr>
          <w:trHeight w:val="25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32.2</w:t>
            </w:r>
          </w:p>
        </w:tc>
        <w:tc>
          <w:tcPr>
            <w:tcW w:w="9420" w:type="dxa"/>
            <w:vAlign w:val="bottom"/>
            <w:gridSpan w:val="8"/>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Certification of Periodic Report by Mark J. Murphy, as Chief Financial Officer, pursuant to 18 U.S.C. Section 1350, as adopted</w:t>
              </w:r>
            </w:hyperlink>
          </w:p>
        </w:tc>
      </w:tr>
      <w:tr>
        <w:trPr>
          <w:trHeight w:val="196"/>
        </w:trPr>
        <w:tc>
          <w:tcPr>
            <w:tcW w:w="960" w:type="dxa"/>
            <w:vAlign w:val="bottom"/>
          </w:tcPr>
          <w:p>
            <w:pPr>
              <w:spacing w:after="0"/>
              <w:rPr>
                <w:sz w:val="17"/>
                <w:szCs w:val="17"/>
                <w:color w:val="auto"/>
              </w:rPr>
            </w:pPr>
          </w:p>
        </w:tc>
        <w:tc>
          <w:tcPr>
            <w:tcW w:w="91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pursuant to Section 906 of the Sarbanes-Oxley Act of 2002</w:t>
              </w:r>
            </w:hyperlink>
          </w:p>
        </w:tc>
        <w:tc>
          <w:tcPr>
            <w:tcW w:w="2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67" w:lineRule="exact"/>
        <w:rPr>
          <w:sz w:val="20"/>
          <w:szCs w:val="20"/>
          <w:color w:val="auto"/>
        </w:rPr>
      </w:pPr>
    </w:p>
    <w:p>
      <w:pPr>
        <w:ind w:left="1360" w:right="520" w:hanging="961"/>
        <w:spacing w:after="0" w:line="291" w:lineRule="auto"/>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materials from our Annual Report on Form 10-K for the fiscal year ended March 28, 2020, formatted in iXBRL (Inline eXtensible Business Reporting Language): (i) the Consolidated Balance Sheets as of March 28, 2020 and March 30, 2019,</w:t>
      </w:r>
    </w:p>
    <w:p>
      <w:pPr>
        <w:ind w:left="1620" w:hanging="262"/>
        <w:spacing w:after="0"/>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Consolidated Statements of Operations for the fiscal years ended March 28, 2020, March 30, 2019, and March 31, 2018,</w:t>
      </w:r>
    </w:p>
    <w:p>
      <w:pPr>
        <w:spacing w:after="0" w:line="20" w:lineRule="exact"/>
        <w:rPr>
          <w:rFonts w:ascii="Arial" w:cs="Arial" w:eastAsia="Arial" w:hAnsi="Arial"/>
          <w:sz w:val="17"/>
          <w:szCs w:val="17"/>
          <w:color w:val="auto"/>
        </w:rPr>
      </w:pPr>
    </w:p>
    <w:p>
      <w:pPr>
        <w:ind w:left="1360" w:right="420" w:hanging="2"/>
        <w:spacing w:after="0" w:line="273" w:lineRule="auto"/>
        <w:tabs>
          <w:tab w:leader="none" w:pos="1675"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Consolidated Statements of Comprehensive Income (Loss) for the fiscal years ended March 28, 2020, March 30, 2019, and March 31, 2018, (iv) the Consolidated Statements of Stockholders' Equity for the fiscal years ended March 28, 2020, March 30, 2019, and March 31, 2018, (v) the Consolidated Statements of Cash Flows for the fiscal years ended March 28, 2020, March 30, 2019, and March 31, 2018, and (vi) the Notes to the Consolidated Financial Statements.</w:t>
      </w:r>
    </w:p>
    <w:p>
      <w:pPr>
        <w:spacing w:after="0" w:line="14" w:lineRule="exact"/>
        <w:rPr>
          <w:sz w:val="20"/>
          <w:szCs w:val="20"/>
          <w:color w:val="auto"/>
        </w:rPr>
      </w:pPr>
    </w:p>
    <w:p>
      <w:pPr>
        <w:ind w:left="1360" w:hanging="961"/>
        <w:spacing w:after="0"/>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cover page from our Annual Report on Form 10-K for the year ended March 28, 2020, formatted in iXBRL</w:t>
      </w:r>
    </w:p>
    <w:p>
      <w:pPr>
        <w:spacing w:after="0" w:line="30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7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30" w:right="3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80" w:val="left"/>
          <w:tab w:leader="none" w:pos="6040" w:val="left"/>
        </w:tabs>
        <w:rPr>
          <w:sz w:val="20"/>
          <w:szCs w:val="20"/>
          <w:color w:val="auto"/>
        </w:rPr>
      </w:pPr>
      <w:r>
        <w:rPr>
          <w:rFonts w:ascii="Arial" w:cs="Arial" w:eastAsia="Arial" w:hAnsi="Arial"/>
          <w:sz w:val="18"/>
          <w:szCs w:val="18"/>
          <w:color w:val="auto"/>
        </w:rPr>
        <w:t>Date:</w:t>
        <w:tab/>
        <w:t>May 20, 2020</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128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Robert A. Bruggeworth</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Mark J. Murphy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320" w:top="130" w:right="41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20,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Mark J. Murphy</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Mark J. Murphy</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Gina B. Harrison</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Gina B. Harrison</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48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David H. Y. Ho</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David H. Y. Ho</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480" w:type="dxa"/>
            <w:vAlign w:val="bottom"/>
          </w:tcPr>
          <w:p>
            <w:pPr>
              <w:ind w:left="40"/>
              <w:spacing w:after="0"/>
              <w:rPr>
                <w:sz w:val="20"/>
                <w:szCs w:val="20"/>
                <w:color w:val="auto"/>
              </w:rPr>
            </w:pPr>
            <w:r>
              <w:rPr>
                <w:rFonts w:ascii="Arial" w:cs="Arial" w:eastAsia="Arial" w:hAnsi="Arial"/>
                <w:sz w:val="18"/>
                <w:szCs w:val="18"/>
                <w:color w:val="auto"/>
              </w:rPr>
              <w:t>/s/ Dr. Walden C. Rhines</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Dr. Walden C. Rhines</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480" w:type="dxa"/>
            <w:vAlign w:val="bottom"/>
          </w:tcPr>
          <w:p>
            <w:pPr>
              <w:ind w:left="40"/>
              <w:spacing w:after="0"/>
              <w:rPr>
                <w:sz w:val="20"/>
                <w:szCs w:val="20"/>
                <w:color w:val="auto"/>
              </w:rPr>
            </w:pPr>
            <w:r>
              <w:rPr>
                <w:rFonts w:ascii="Arial" w:cs="Arial" w:eastAsia="Arial" w:hAnsi="Arial"/>
                <w:sz w:val="18"/>
                <w:szCs w:val="18"/>
                <w:color w:val="auto"/>
              </w:rPr>
              <w:t>/s/ Susan L. Spradley</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Susan L. Spradley</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48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880" w:type="dxa"/>
            <w:vAlign w:val="bottom"/>
          </w:tcPr>
          <w:p>
            <w:pPr>
              <w:ind w:left="260"/>
              <w:spacing w:after="0"/>
              <w:rPr>
                <w:sz w:val="20"/>
                <w:szCs w:val="20"/>
                <w:color w:val="auto"/>
              </w:rPr>
            </w:pPr>
            <w:r>
              <w:rPr>
                <w:rFonts w:ascii="Arial" w:cs="Arial" w:eastAsia="Arial" w:hAnsi="Arial"/>
                <w:sz w:val="18"/>
                <w:szCs w:val="18"/>
                <w:color w:val="auto"/>
              </w:rPr>
              <w:t>Name:</w:t>
            </w:r>
          </w:p>
        </w:tc>
        <w:tc>
          <w:tcPr>
            <w:tcW w:w="3660" w:type="dxa"/>
            <w:vAlign w:val="bottom"/>
          </w:tcPr>
          <w:p>
            <w:pPr>
              <w:ind w:left="22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4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EXHIBIT 21</w:t>
            </w:r>
          </w:p>
        </w:tc>
        <w:tc>
          <w:tcPr>
            <w:tcW w:w="15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796"/>
        </w:trPr>
        <w:tc>
          <w:tcPr>
            <w:tcW w:w="1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4080" w:type="dxa"/>
            <w:vAlign w:val="bottom"/>
            <w:gridSpan w:val="3"/>
          </w:tcPr>
          <w:p>
            <w:pPr>
              <w:spacing w:after="0"/>
              <w:rPr>
                <w:sz w:val="24"/>
                <w:szCs w:val="24"/>
                <w:color w:val="auto"/>
              </w:rPr>
            </w:pPr>
          </w:p>
        </w:tc>
        <w:tc>
          <w:tcPr>
            <w:tcW w:w="4980" w:type="dxa"/>
            <w:vAlign w:val="bottom"/>
            <w:gridSpan w:val="2"/>
          </w:tcPr>
          <w:p>
            <w:pPr>
              <w:ind w:left="1580"/>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533"/>
        </w:trPr>
        <w:tc>
          <w:tcPr>
            <w:tcW w:w="14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Domestic</w:t>
            </w:r>
          </w:p>
        </w:tc>
        <w:tc>
          <w:tcPr>
            <w:tcW w:w="38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8"/>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Inc.</w:t>
            </w:r>
          </w:p>
        </w:tc>
        <w:tc>
          <w:tcPr>
            <w:tcW w:w="1580" w:type="dxa"/>
            <w:vAlign w:val="bottom"/>
          </w:tcPr>
          <w:p>
            <w:pPr>
              <w:spacing w:after="0"/>
              <w:rPr>
                <w:sz w:val="24"/>
                <w:szCs w:val="24"/>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Amalfi Semiconductor,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Cavendish Kinetics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Custom MMIC Design Services, LLC</w:t>
            </w:r>
          </w:p>
        </w:tc>
        <w:tc>
          <w:tcPr>
            <w:tcW w:w="1580" w:type="dxa"/>
            <w:vAlign w:val="bottom"/>
          </w:tcPr>
          <w:p>
            <w:pPr>
              <w:spacing w:after="0"/>
              <w:rPr>
                <w:sz w:val="23"/>
                <w:szCs w:val="23"/>
                <w:color w:val="auto"/>
              </w:rPr>
            </w:pPr>
          </w:p>
        </w:tc>
        <w:tc>
          <w:tcPr>
            <w:tcW w:w="3400" w:type="dxa"/>
            <w:vAlign w:val="bottom"/>
          </w:tcPr>
          <w:p>
            <w:pPr>
              <w:jc w:val="center"/>
              <w:ind w:left="1310"/>
              <w:spacing w:after="0"/>
              <w:rPr>
                <w:sz w:val="20"/>
                <w:szCs w:val="20"/>
                <w:color w:val="auto"/>
              </w:rPr>
            </w:pPr>
            <w:r>
              <w:rPr>
                <w:rFonts w:ascii="Arial" w:cs="Arial" w:eastAsia="Arial" w:hAnsi="Arial"/>
                <w:sz w:val="18"/>
                <w:szCs w:val="18"/>
                <w:color w:val="auto"/>
                <w:w w:val="86"/>
              </w:rPr>
              <w:t>Massachusetts</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Decawave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Premier Devices - A Sirenza Company</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Asia, LLC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Biotechnologies, LLC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California,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Europe Holding Company</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International Holding,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4"/>
              </w:rPr>
              <w:t>North Carolina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International Services,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Oregon,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Oregon</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Texas, LLC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5"/>
              </w:rPr>
              <w:t>Texas</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US,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RFMD Infrastructure Product Group,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4"/>
              </w:rPr>
              <w:t>North Carolina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RFMD, LLC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4"/>
              </w:rPr>
              <w:t>North Carolina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TriQuint WJ, Inc.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WJ Newco LLC</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2"/>
              </w:rPr>
              <w:t>Delaware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Xemod Incorporated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7"/>
              </w:rPr>
              <w:t>California</w:t>
            </w:r>
          </w:p>
        </w:tc>
      </w:tr>
      <w:tr>
        <w:trPr>
          <w:trHeight w:val="486"/>
        </w:trPr>
        <w:tc>
          <w:tcPr>
            <w:tcW w:w="140" w:type="dxa"/>
            <w:vAlign w:val="bottom"/>
          </w:tcPr>
          <w:p>
            <w:pPr>
              <w:spacing w:after="0"/>
              <w:rPr>
                <w:sz w:val="24"/>
                <w:szCs w:val="24"/>
                <w:color w:val="auto"/>
              </w:rPr>
            </w:pPr>
          </w:p>
        </w:tc>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588"/>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(BVI), Inc.</w:t>
            </w:r>
          </w:p>
        </w:tc>
        <w:tc>
          <w:tcPr>
            <w:tcW w:w="1580" w:type="dxa"/>
            <w:vAlign w:val="bottom"/>
          </w:tcPr>
          <w:p>
            <w:pPr>
              <w:spacing w:after="0"/>
              <w:rPr>
                <w:sz w:val="24"/>
                <w:szCs w:val="24"/>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Hong Kong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5"/>
              </w:rPr>
              <w:t>Hong Kong</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International, Inc.</w:t>
            </w:r>
          </w:p>
        </w:tc>
        <w:tc>
          <w:tcPr>
            <w:tcW w:w="1580" w:type="dxa"/>
            <w:vAlign w:val="bottom"/>
          </w:tcPr>
          <w:p>
            <w:pPr>
              <w:spacing w:after="0"/>
              <w:rPr>
                <w:sz w:val="23"/>
                <w:szCs w:val="23"/>
                <w:color w:val="auto"/>
              </w:rPr>
            </w:pPr>
          </w:p>
        </w:tc>
        <w:tc>
          <w:tcPr>
            <w:tcW w:w="3400" w:type="dxa"/>
            <w:vAlign w:val="bottom"/>
          </w:tcPr>
          <w:p>
            <w:pPr>
              <w:jc w:val="center"/>
              <w:ind w:left="1310"/>
              <w:spacing w:after="0"/>
              <w:rPr>
                <w:sz w:val="20"/>
                <w:szCs w:val="20"/>
                <w:color w:val="auto"/>
              </w:rPr>
            </w:pPr>
            <w:r>
              <w:rPr>
                <w:rFonts w:ascii="Arial" w:cs="Arial" w:eastAsia="Arial" w:hAnsi="Arial"/>
                <w:sz w:val="18"/>
                <w:szCs w:val="18"/>
                <w:color w:val="auto"/>
                <w:w w:val="89"/>
              </w:rPr>
              <w:t>Cayman</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(Shanghai) Co.,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China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Active-Semi Vietnam,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3"/>
              </w:rPr>
              <w:t>Vietnam</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Cavendish Kinetics B.V.</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8"/>
              </w:rPr>
              <w:t>The Netherlands</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Cavendish Kinetics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5"/>
              </w:rPr>
              <w:t>United Kingdom</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Cavendish Microsystems (Shanghai) Co.</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People's Republic of China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Decawave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0"/>
              </w:rPr>
              <w:t>Ireland</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Decawave France SAS</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France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Decawave Singapore Pte.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0"/>
              </w:rPr>
              <w:t>Singapore</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Decawave (Shenzhen)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China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Beijing Co.,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China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Belgium NV</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5"/>
              </w:rPr>
              <w:t>Belgium</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Costa Rica S.R.L.</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8"/>
              </w:rPr>
              <w:t>Costa Rica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Denmark ApS</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0"/>
              </w:rPr>
              <w:t>Denmark</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Dezhou Co.,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China</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Finland Oy</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1"/>
              </w:rPr>
              <w:t>Finland</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Germany GmbH</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Germany</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Germany Holding GmbH</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89"/>
              </w:rPr>
              <w:t>Germany</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Hong Kong Holding Pvt.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5"/>
              </w:rPr>
              <w:t>Hong Kong</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Hong Kong Limited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5"/>
              </w:rPr>
              <w:t>Hong Kong</w:t>
            </w:r>
          </w:p>
        </w:tc>
      </w:tr>
      <w:tr>
        <w:trPr>
          <w:trHeight w:val="270"/>
        </w:trPr>
        <w:tc>
          <w:tcPr>
            <w:tcW w:w="4680" w:type="dxa"/>
            <w:vAlign w:val="bottom"/>
            <w:gridSpan w:val="5"/>
          </w:tcPr>
          <w:p>
            <w:pPr>
              <w:ind w:left="80"/>
              <w:spacing w:after="0"/>
              <w:rPr>
                <w:sz w:val="20"/>
                <w:szCs w:val="20"/>
                <w:color w:val="auto"/>
              </w:rPr>
            </w:pPr>
            <w:r>
              <w:rPr>
                <w:rFonts w:ascii="Arial" w:cs="Arial" w:eastAsia="Arial" w:hAnsi="Arial"/>
                <w:sz w:val="18"/>
                <w:szCs w:val="18"/>
                <w:color w:val="auto"/>
              </w:rPr>
              <w:t>Qorvo International Pte. Ltd.</w:t>
            </w:r>
          </w:p>
        </w:tc>
        <w:tc>
          <w:tcPr>
            <w:tcW w:w="1580" w:type="dxa"/>
            <w:vAlign w:val="bottom"/>
          </w:tcPr>
          <w:p>
            <w:pPr>
              <w:spacing w:after="0"/>
              <w:rPr>
                <w:sz w:val="23"/>
                <w:szCs w:val="23"/>
                <w:color w:val="auto"/>
              </w:rPr>
            </w:pPr>
          </w:p>
        </w:tc>
        <w:tc>
          <w:tcPr>
            <w:tcW w:w="3400" w:type="dxa"/>
            <w:vAlign w:val="bottom"/>
          </w:tcPr>
          <w:p>
            <w:pPr>
              <w:jc w:val="center"/>
              <w:ind w:left="1330"/>
              <w:spacing w:after="0"/>
              <w:rPr>
                <w:sz w:val="20"/>
                <w:szCs w:val="20"/>
                <w:color w:val="auto"/>
              </w:rPr>
            </w:pPr>
            <w:r>
              <w:rPr>
                <w:rFonts w:ascii="Arial" w:cs="Arial" w:eastAsia="Arial" w:hAnsi="Arial"/>
                <w:sz w:val="18"/>
                <w:szCs w:val="18"/>
                <w:color w:val="auto"/>
                <w:w w:val="90"/>
              </w:rPr>
              <w:t>Singapore</w:t>
            </w:r>
          </w:p>
        </w:tc>
      </w:tr>
    </w:tbl>
    <w:p>
      <w:pPr>
        <w:sectPr>
          <w:pgSz w:w="11900" w:h="16838" w:orient="portrait"/>
          <w:cols w:equalWidth="0" w:num="1">
            <w:col w:w="10139"/>
          </w:cols>
          <w:pgMar w:left="320" w:top="796" w:right="1440" w:bottom="1122" w:gutter="0" w:footer="0" w:header="0"/>
        </w:sectPr>
      </w:pPr>
    </w:p>
    <w:bookmarkStart w:id="104" w:name="page105"/>
    <w:bookmarkEnd w:id="10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Qorvo Ireland Holding Limited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90"/>
              </w:rPr>
              <w:t>Ireland</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Japan YK</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5"/>
              </w:rPr>
              <w:t>Japan</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Malaysia Sdn Bhd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92"/>
              </w:rPr>
              <w:t>Malaysia</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Munich GmbH</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Netherlands B.V.</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8"/>
              </w:rPr>
              <w:t>The Netherlands</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Netherlands Holding B.V.</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8"/>
              </w:rPr>
              <w:t>The Netherlands</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Shanghai Ltd.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9"/>
              </w:rPr>
              <w:t>China</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Singapore Pte. Ltd.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90"/>
              </w:rPr>
              <w:t>Singapore</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UK Limited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95"/>
              </w:rPr>
              <w:t>United Kingdom</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Qorvo Utrecht B.V.</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8"/>
              </w:rPr>
              <w:t>The Netherlands</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RF Micro Devices Svenska AB</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89"/>
              </w:rPr>
              <w:t>Sweden</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RFMD (UK) Limited</w:t>
            </w:r>
          </w:p>
        </w:tc>
        <w:tc>
          <w:tcPr>
            <w:tcW w:w="4020" w:type="dxa"/>
            <w:vAlign w:val="bottom"/>
          </w:tcPr>
          <w:p>
            <w:pPr>
              <w:jc w:val="center"/>
              <w:ind w:left="2710"/>
              <w:spacing w:after="0"/>
              <w:rPr>
                <w:sz w:val="20"/>
                <w:szCs w:val="20"/>
                <w:color w:val="auto"/>
              </w:rPr>
            </w:pPr>
            <w:r>
              <w:rPr>
                <w:rFonts w:ascii="Arial" w:cs="Arial" w:eastAsia="Arial" w:hAnsi="Arial"/>
                <w:sz w:val="18"/>
                <w:szCs w:val="18"/>
                <w:color w:val="auto"/>
                <w:w w:val="95"/>
              </w:rPr>
              <w:t>United Kingdom</w:t>
            </w:r>
          </w:p>
        </w:tc>
      </w:tr>
    </w:tbl>
    <w:p>
      <w:pPr>
        <w:spacing w:after="0" w:line="200" w:lineRule="exact"/>
        <w:rPr>
          <w:sz w:val="20"/>
          <w:szCs w:val="20"/>
          <w:color w:val="auto"/>
        </w:rPr>
      </w:pP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600"/>
          </w:cols>
          <w:pgMar w:left="320" w:top="935" w:right="979" w:bottom="1440" w:gutter="0" w:footer="0" w:header="0"/>
        </w:sectPr>
      </w:pPr>
    </w:p>
    <w:bookmarkStart w:id="105" w:name="page106"/>
    <w:bookmarkEnd w:id="105"/>
    <w:p>
      <w:pPr>
        <w:spacing w:after="0" w:line="3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1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Registration Statement (Form S-4 No. 333-231161) of Qorvo, Inc.,</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Registration Statement (Form S-4 No. 333-212601) of Qorvo, Inc.,</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Registration Statement (Form S-4 No. 333-195236) of Qorvo, Inc.,</w:t>
      </w:r>
    </w:p>
    <w:p>
      <w:pPr>
        <w:jc w:val="both"/>
        <w:ind w:left="660" w:hanging="328"/>
        <w:spacing w:after="0" w:line="23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 and</w:t>
      </w:r>
    </w:p>
    <w:p>
      <w:pPr>
        <w:spacing w:after="0" w:line="1" w:lineRule="exact"/>
        <w:rPr>
          <w:rFonts w:ascii="Arial" w:cs="Arial" w:eastAsia="Arial" w:hAnsi="Arial"/>
          <w:sz w:val="18"/>
          <w:szCs w:val="18"/>
          <w:color w:val="auto"/>
        </w:rPr>
      </w:pPr>
    </w:p>
    <w:p>
      <w:pPr>
        <w:jc w:val="both"/>
        <w:ind w:left="660" w:hanging="328"/>
        <w:spacing w:after="0" w:line="24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of our reports dated May 20, 2020, with respect to the consolidated financial statements of Qorvo, Inc. and the effectiveness of internal control over financial reporting of Qorvo, Inc. included in this Annual Report (Form 10-K) of Qorvo, Inc. for the year ended March 28, 2020.</w:t>
      </w:r>
    </w:p>
    <w:p>
      <w:pPr>
        <w:spacing w:after="0" w:line="143"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20, 2020</w:t>
      </w:r>
    </w:p>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185" w:lineRule="exact"/>
        <w:rPr>
          <w:sz w:val="20"/>
          <w:szCs w:val="20"/>
          <w:color w:val="auto"/>
        </w:rPr>
      </w:pPr>
    </w:p>
    <w:p>
      <w:pPr>
        <w:ind w:right="238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333-195236, No. 333-212601 and No. 333-231161) on Form S-4 and (No. 333-201357 and No. 333-201358) on Form S-8 of Qorvo Inc. of our report dated May 21, 2018, with respect to the consolidated statements of operations, comprehensive loss, stockholders’ equity, and cash flows for the year ended March 31, 2018, and the related notes (collectively, the “consolidated financial statements”), which report appears in the March 28, 2020 annual report on Form 10-K of Qorvo Inc.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ectPr>
          <w:pgSz w:w="11900" w:h="16838" w:orient="portrait"/>
          <w:cols w:equalWidth="0" w:num="1">
            <w:col w:w="11240"/>
          </w:cols>
          <w:pgMar w:left="320" w:top="11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180" w:firstLine="8"/>
        <w:spacing w:after="0" w:line="263"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8"/>
        <w:spacing w:after="0" w:line="308" w:lineRule="auto"/>
        <w:tabs>
          <w:tab w:leader="none" w:pos="783"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00" w:firstLine="8"/>
        <w:spacing w:after="0" w:line="263"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20" w:hanging="4"/>
        <w:spacing w:after="0" w:line="263" w:lineRule="auto"/>
        <w:tabs>
          <w:tab w:leader="none" w:pos="14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00" w:hanging="4"/>
        <w:spacing w:after="0" w:line="263" w:lineRule="auto"/>
        <w:tabs>
          <w:tab w:leader="none" w:pos="14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40" w:hanging="4"/>
        <w:spacing w:after="0" w:line="342" w:lineRule="auto"/>
        <w:tabs>
          <w:tab w:leader="none" w:pos="14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hanging="4"/>
        <w:spacing w:after="0" w:line="263" w:lineRule="auto"/>
        <w:tabs>
          <w:tab w:leader="none" w:pos="14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308" w:lineRule="auto"/>
        <w:tabs>
          <w:tab w:leader="none" w:pos="78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4"/>
        <w:spacing w:after="0" w:line="308" w:lineRule="auto"/>
        <w:tabs>
          <w:tab w:leader="none" w:pos="1448"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20" w:hanging="4"/>
        <w:spacing w:after="0" w:line="277" w:lineRule="auto"/>
        <w:tabs>
          <w:tab w:leader="none" w:pos="14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20, 2020</w:t>
      </w:r>
    </w:p>
    <w:p>
      <w:pPr>
        <w:spacing w:after="0" w:line="200" w:lineRule="exact"/>
        <w:rPr>
          <w:sz w:val="20"/>
          <w:szCs w:val="20"/>
          <w:color w:val="auto"/>
        </w:rPr>
      </w:pPr>
    </w:p>
    <w:p>
      <w:pPr>
        <w:spacing w:after="0" w:line="29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31750</wp:posOffset>
            </wp:positionV>
            <wp:extent cx="228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553"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20, 2020</w:t>
      </w:r>
    </w:p>
    <w:p>
      <w:pPr>
        <w:spacing w:after="0" w:line="200" w:lineRule="exact"/>
        <w:rPr>
          <w:sz w:val="20"/>
          <w:szCs w:val="20"/>
          <w:color w:val="auto"/>
        </w:rPr>
      </w:pPr>
    </w:p>
    <w:p>
      <w:pPr>
        <w:spacing w:after="0" w:line="29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70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553" w:right="37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260" w:hanging="652"/>
        <w:spacing w:after="0" w:line="26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28, 2020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20, 2020</w:t>
      </w:r>
    </w:p>
    <w:p>
      <w:pPr>
        <w:sectPr>
          <w:pgSz w:w="11900" w:h="16838" w:orient="portrait"/>
          <w:cols w:equalWidth="0" w:num="1">
            <w:col w:w="11220"/>
          </w:cols>
          <w:pgMar w:left="320" w:top="549" w:right="35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60" w:hanging="652"/>
        <w:spacing w:after="0" w:line="26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28, 2020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27305</wp:posOffset>
            </wp:positionV>
            <wp:extent cx="2957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May 20, 2020</w:t>
      </w:r>
    </w:p>
    <w:sectPr>
      <w:pgSz w:w="11900" w:h="16838" w:orient="portrait"/>
      <w:cols w:equalWidth="0" w:num="1">
        <w:col w:w="11220"/>
      </w:cols>
      <w:pgMar w:left="32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upperLetter"/>
      <w:start w:val="2"/>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5"/>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7"/>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Letter"/>
      <w:start w:val="3"/>
    </w:lvl>
  </w:abstractNum>
  <w:abstractNum w:abstractNumId="33">
    <w:nsid w:val="2A487CB0"/>
    <w:multiLevelType w:val="hybridMultilevel"/>
    <w:lvl w:ilvl="0">
      <w:lvlJc w:val="left"/>
      <w:lvlText w:val="%1."/>
      <w:numFmt w:val="decimal"/>
      <w:start w:val="10"/>
    </w:lvl>
  </w:abstractNum>
  <w:abstractNum w:abstractNumId="34">
    <w:nsid w:val="1D4ED43B"/>
    <w:multiLevelType w:val="hybridMultilevel"/>
    <w:lvl w:ilvl="0">
      <w:lvlJc w:val="left"/>
      <w:lvlText w:val="%1."/>
      <w:numFmt w:val="decimal"/>
      <w:start w:val="1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542289EC"/>
    <w:multiLevelType w:val="hybridMultilevel"/>
    <w:lvl w:ilvl="0">
      <w:lvlJc w:val="left"/>
      <w:lvlText w:val="%1"/>
      <w:numFmt w:val="lowerLetter"/>
      <w:start w:val="1"/>
    </w:lvl>
    <w:lvl w:ilvl="1">
      <w:lvlJc w:val="left"/>
      <w:lvlText w:val="(%2)"/>
      <w:numFmt w:val="decimal"/>
      <w:start w:val="2"/>
    </w:lvl>
  </w:abstractNum>
  <w:abstractNum w:abstractNumId="41">
    <w:nsid w:val="6DE91B18"/>
    <w:multiLevelType w:val="hybridMultilevel"/>
    <w:lvl w:ilvl="0">
      <w:lvlJc w:val="left"/>
      <w:lvlText w:val="(%1)"/>
      <w:numFmt w:val="lowerLetter"/>
      <w:start w:val="2"/>
    </w:lvl>
    <w:lvl w:ilvl="1">
      <w:lvlJc w:val="left"/>
      <w:lvlText w:val="%2"/>
      <w:numFmt w:val="decimal"/>
      <w:start w:val="1"/>
    </w:lvl>
  </w:abstractNum>
  <w:abstractNum w:abstractNumId="42">
    <w:nsid w:val="38437FDB"/>
    <w:multiLevelType w:val="hybridMultilevel"/>
    <w:lvl w:ilvl="0">
      <w:lvlJc w:val="left"/>
      <w:lvlText w:val="(%1)"/>
      <w:numFmt w:val="lowerLetter"/>
      <w:start w:val="3"/>
    </w:lvl>
  </w:abstractNum>
  <w:abstractNum w:abstractNumId="43">
    <w:nsid w:val="7644A45C"/>
    <w:multiLevelType w:val="hybridMultilevel"/>
    <w:lvl w:ilvl="0">
      <w:lvlJc w:val="left"/>
      <w:lvlText w:val="%1"/>
      <w:numFmt w:val="decimal"/>
      <w:start w:val="21"/>
    </w:lvl>
  </w:abstractNum>
  <w:abstractNum w:abstractNumId="44">
    <w:nsid w:val="32FFF902"/>
    <w:multiLevelType w:val="hybridMultilevel"/>
    <w:lvl w:ilvl="0">
      <w:lvlJc w:val="left"/>
      <w:lvlText w:val="%1"/>
      <w:numFmt w:val="decimal"/>
      <w:start w:val="101"/>
    </w:lvl>
    <w:lvl w:ilvl="1">
      <w:lvlJc w:val="left"/>
      <w:lvlText w:val="(%2)"/>
      <w:numFmt w:val="lowerRoman"/>
      <w:start w:val="2"/>
    </w:lvl>
  </w:abstractNum>
  <w:abstractNum w:abstractNumId="45">
    <w:nsid w:val="684A481A"/>
    <w:multiLevelType w:val="hybridMultilevel"/>
    <w:lvl w:ilvl="0">
      <w:lvlJc w:val="left"/>
      <w:lvlText w:val="+"/>
      <w:numFmt w:val="bullet"/>
      <w:start w:val="1"/>
    </w:lvl>
    <w:lvl w:ilvl="1">
      <w:lvlJc w:val="left"/>
      <w:lvlText w:val="%2"/>
      <w:numFmt w:val="decimal"/>
      <w:start w:val="104"/>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71" Type="http://schemas.openxmlformats.org/officeDocument/2006/relationships/image" Target="media/image9.png"/><Relationship Id="rId72" Type="http://schemas.openxmlformats.org/officeDocument/2006/relationships/image" Target="media/image10.png"/><Relationship Id="rId73" Type="http://schemas.openxmlformats.org/officeDocument/2006/relationships/image" Target="media/image11.png"/><Relationship Id="rId74" Type="http://schemas.openxmlformats.org/officeDocument/2006/relationships/image" Target="media/image12.png"/><Relationship Id="rId75" Type="http://schemas.openxmlformats.org/officeDocument/2006/relationships/image" Target="media/image13.png"/><Relationship Id="rId16" Type="http://schemas.openxmlformats.org/officeDocument/2006/relationships/hyperlink" Target="http://www.sec.gov/Archives/edgar/data/1604778/000160477816000149/exhibit2120151003a.htm" TargetMode="External"/><Relationship Id="rId17" Type="http://schemas.openxmlformats.org/officeDocument/2006/relationships/hyperlink" Target="http://www.sec.gov/Archives/edgar/data/1604778/000160477817000058/qorvo-finalcavendishcaidam.htm" TargetMode="External"/><Relationship Id="rId18" Type="http://schemas.openxmlformats.org/officeDocument/2006/relationships/hyperlink" Target="http://www.sec.gov/Archives/edgar/data/1604778/000160477815000011/exhibit3120141227.htm" TargetMode="External"/><Relationship Id="rId19" Type="http://schemas.openxmlformats.org/officeDocument/2006/relationships/hyperlink" Target="http://www.sec.gov/Archives/edgar/data/1604778/000160477816000159/exhibit31-amendedandrestat.htm" TargetMode="External"/><Relationship Id="rId20" Type="http://schemas.openxmlformats.org/officeDocument/2006/relationships/hyperlink" Target="http://www.sec.gov/Archives/edgar/data/1604778/000160477815000051/exhibit4120150328.htm" TargetMode="External"/><Relationship Id="rId21" Type="http://schemas.openxmlformats.org/officeDocument/2006/relationships/hyperlink" Target="http://www.sec.gov/Archives/edgar/data/1604778/000119312515382223/d35817dex41.htm" TargetMode="External"/><Relationship Id="rId22" Type="http://schemas.openxmlformats.org/officeDocument/2006/relationships/hyperlink" Target="http://www.sec.gov/Archives/edgar/data/1604778/000160477818000053/qorvo-supplementalindentur.htm" TargetMode="External"/><Relationship Id="rId23" Type="http://schemas.openxmlformats.org/officeDocument/2006/relationships/hyperlink" Target="http://www.sec.gov/Archives/edgar/data/1604778/000160477818000084/exhibit43-supplementalinde.htm" TargetMode="External"/><Relationship Id="rId24" Type="http://schemas.openxmlformats.org/officeDocument/2006/relationships/hyperlink" Target="http://www.sec.gov/Archives/edgar/data/1604778/000160477818000064/qorvo-exhibit41xindenture2.htm" TargetMode="External"/><Relationship Id="rId25" Type="http://schemas.openxmlformats.org/officeDocument/2006/relationships/hyperlink" Target="http://www.sec.gov/Archives/edgar/data/1604778/000160477818000084/exhibit41-supplementalinde.htm" TargetMode="External"/><Relationship Id="rId26" Type="http://schemas.openxmlformats.org/officeDocument/2006/relationships/hyperlink" Target="http://www.sec.gov/Archives/edgar/data/1604778/000160477819000018/qorvo-secondsupplementalin.htm" TargetMode="External"/><Relationship Id="rId27" Type="http://schemas.openxmlformats.org/officeDocument/2006/relationships/hyperlink" Target="https://www.sec.gov/Archives/edgar/data/1604778/000160477819000072/qorvo-indenturefall201.htm" TargetMode="External"/><Relationship Id="rId28" Type="http://schemas.openxmlformats.org/officeDocument/2006/relationships/hyperlink" Target="https://www.sec.gov/Archives/edgar/data/1604778/000160477819000099/qorvo-supplementalinde.htm" TargetMode="External"/><Relationship Id="rId29" Type="http://schemas.openxmlformats.org/officeDocument/2006/relationships/hyperlink" Target="https://www.sec.gov/Archives/edgar/data/1604778/000160477819000072/qorvo-registrationrigh.htm" TargetMode="External"/><Relationship Id="rId30" Type="http://schemas.openxmlformats.org/officeDocument/2006/relationships/hyperlink" Target="https://www.sec.gov/Archives/edgar/data/1604778/000160477819000099/qorvo-registrationrigh.htm" TargetMode="External"/><Relationship Id="rId31" Type="http://schemas.openxmlformats.org/officeDocument/2006/relationships/hyperlink" Target="https://www.sec.gov/Archives/edgar/data/1604778/000160477819000031/exhibit411-descriptionofse.htm" TargetMode="External"/><Relationship Id="rId32" Type="http://schemas.openxmlformats.org/officeDocument/2006/relationships/hyperlink" Target="http://www.sec.gov/Archives/edgar/data/1604778/000160477817000031/exhibit10120170401.htm" TargetMode="External"/><Relationship Id="rId33" Type="http://schemas.openxmlformats.org/officeDocument/2006/relationships/hyperlink" Target="http://www.sec.gov/Archives/edgar/data/1604778/000119312515000770/d840258dex992.htm" TargetMode="External"/><Relationship Id="rId34" Type="http://schemas.openxmlformats.org/officeDocument/2006/relationships/hyperlink" Target="http://www.sec.gov/Archives/edgar/data/1604778/000119312515000770/d840258dex993.htm" TargetMode="External"/><Relationship Id="rId35" Type="http://schemas.openxmlformats.org/officeDocument/2006/relationships/hyperlink" Target="http://www.sec.gov/Archives/edgar/data/1604778/000119312515000770/d840258dex994.htm" TargetMode="External"/><Relationship Id="rId36" Type="http://schemas.openxmlformats.org/officeDocument/2006/relationships/hyperlink" Target="http://www.sec.gov/Archives/edgar/data/1604778/000119312515000770/d840258dex995.htm" TargetMode="External"/><Relationship Id="rId37" Type="http://schemas.openxmlformats.org/officeDocument/2006/relationships/hyperlink" Target="http://www.sec.gov/Archives/edgar/data/1604778/000119312515000770/d840258dex996.htm" TargetMode="External"/><Relationship Id="rId38" Type="http://schemas.openxmlformats.org/officeDocument/2006/relationships/hyperlink" Target="http://www.sec.gov/Archives/edgar/data/1604778/000119312515000771/d840388dex991.htm" TargetMode="External"/><Relationship Id="rId39" Type="http://schemas.openxmlformats.org/officeDocument/2006/relationships/hyperlink" Target="http://www.sec.gov/Archives/edgar/data/1604778/000119312515000771/d840388dex992.htm" TargetMode="External"/><Relationship Id="rId40" Type="http://schemas.openxmlformats.org/officeDocument/2006/relationships/hyperlink" Target="http://www.sec.gov/Archives/edgar/data/1604778/000119312515000771/d840388dex993.htm" TargetMode="External"/><Relationship Id="rId41" Type="http://schemas.openxmlformats.org/officeDocument/2006/relationships/hyperlink" Target="http://www.sec.gov/Archives/edgar/data/1604778/000119312515000771/d840388dex994.htm" TargetMode="External"/><Relationship Id="rId42" Type="http://schemas.openxmlformats.org/officeDocument/2006/relationships/hyperlink" Target="http://www.sec.gov/Archives/edgar/data/1604778/000119312515000771/d840388dex995.htm" TargetMode="External"/><Relationship Id="rId43" Type="http://schemas.openxmlformats.org/officeDocument/2006/relationships/hyperlink" Target="http://www.sec.gov/Archives/edgar/data/1604778/000119312515001853/d841781dex101.htm" TargetMode="External"/><Relationship Id="rId44" Type="http://schemas.openxmlformats.org/officeDocument/2006/relationships/hyperlink" Target="http://www.sec.gov/Archives/edgar/data/1604778/000160477815000018/qorvocicagreement2015final1.htm" TargetMode="External"/><Relationship Id="rId45" Type="http://schemas.openxmlformats.org/officeDocument/2006/relationships/hyperlink" Target="http://www.sec.gov/Archives/edgar/data/1604778/000160477815000051/exhibit101520150328.htm" TargetMode="External"/><Relationship Id="rId46" Type="http://schemas.openxmlformats.org/officeDocument/2006/relationships/hyperlink" Target="http://www.sec.gov/Archives/edgar/data/1604778/000160477815000051/exhibit101620150328.htm" TargetMode="External"/><Relationship Id="rId47" Type="http://schemas.openxmlformats.org/officeDocument/2006/relationships/hyperlink" Target="http://www.sec.gov/Archives/edgar/data/911160/000091116008000034/employmentagreement.htm" TargetMode="External"/><Relationship Id="rId48" Type="http://schemas.openxmlformats.org/officeDocument/2006/relationships/hyperlink" Target="http://www.sec.gov/Archives/edgar/data/911160/000091116013000003/ex-101wafersupplyagreement.htm" TargetMode="External"/><Relationship Id="rId49" Type="http://schemas.openxmlformats.org/officeDocument/2006/relationships/hyperlink" Target="http://www.sec.gov/Archives/edgar/data/1604778/000160477815000075/ex103-qorvo2012sipoptionag.htm" TargetMode="External"/><Relationship Id="rId50" Type="http://schemas.openxmlformats.org/officeDocument/2006/relationships/hyperlink" Target="http://www.sec.gov/Archives/edgar/data/1604778/000160477815000075/ex104-qorvo2012siprsuagree.htm" TargetMode="External"/><Relationship Id="rId51" Type="http://schemas.openxmlformats.org/officeDocument/2006/relationships/hyperlink" Target="http://www.sec.gov/Archives/edgar/data/1604778/000160477815000075/ex105-qorvo2012siprsuagree.htm" TargetMode="External"/><Relationship Id="rId52" Type="http://schemas.openxmlformats.org/officeDocument/2006/relationships/hyperlink" Target="http://www.sec.gov/Archives/edgar/data/1604778/000160477815000075/ex106-qorvo2012siprsuagree.htm" TargetMode="External"/><Relationship Id="rId53" Type="http://schemas.openxmlformats.org/officeDocument/2006/relationships/hyperlink" Target="http://www.sec.gov/Archives/edgar/data/1604778/000160477815000075/ex108-qorvoseverancebenefi.htm" TargetMode="External"/><Relationship Id="rId54" Type="http://schemas.openxmlformats.org/officeDocument/2006/relationships/hyperlink" Target="http://www.sec.gov/Archives/edgar/data/1604778/000160477816000175/exhibit103020160402.htm" TargetMode="External"/><Relationship Id="rId55" Type="http://schemas.openxmlformats.org/officeDocument/2006/relationships/hyperlink" Target="http://www.sec.gov/Archives/edgar/data/1604778/000160477816000175/exhibit103120160402.htm" TargetMode="External"/><Relationship Id="rId56" Type="http://schemas.openxmlformats.org/officeDocument/2006/relationships/hyperlink" Target="http://www.sec.gov/Archives/edgar/data/1604778/000160477816000175/exhibit103220160402.htm" TargetMode="External"/><Relationship Id="rId57" Type="http://schemas.openxmlformats.org/officeDocument/2006/relationships/hyperlink" Target="http://www.sec.gov/Archives/edgar/data/1604778/000160477816000175/exhibit103320160402.htm" TargetMode="External"/><Relationship Id="rId58" Type="http://schemas.openxmlformats.org/officeDocument/2006/relationships/hyperlink" Target="http://www.sec.gov/Archives/edgar/data/1604778/000160477816000175/exhibit103420160402.htm" TargetMode="External"/><Relationship Id="rId59" Type="http://schemas.openxmlformats.org/officeDocument/2006/relationships/hyperlink" Target="http://www.sec.gov/Archives/edgar/data/1604778/000160477816000193/exhibit10120160702.htm" TargetMode="External"/><Relationship Id="rId60" Type="http://schemas.openxmlformats.org/officeDocument/2006/relationships/hyperlink" Target="http://www.sec.gov/Archives/edgar/data/1604778/000160477816000211/exhibit10120161001.htm" TargetMode="External"/><Relationship Id="rId61" Type="http://schemas.openxmlformats.org/officeDocument/2006/relationships/hyperlink" Target="http://www.sec.gov/Archives/edgar/data/1604778/000160477816000211/exhibit10420161001.htm" TargetMode="External"/><Relationship Id="rId62" Type="http://schemas.openxmlformats.org/officeDocument/2006/relationships/hyperlink" Target="http://www.sec.gov/Archives/edgar/data/1604778/000160477817000025/exhibit10stincentiveplanma.htm" TargetMode="External"/><Relationship Id="rId63" Type="http://schemas.openxmlformats.org/officeDocument/2006/relationships/hyperlink" Target="http://www.sec.gov/Archives/edgar/data/1604778/000160477817000061/exhibit101-2017creditagree.htm" TargetMode="External"/><Relationship Id="rId64" Type="http://schemas.openxmlformats.org/officeDocument/2006/relationships/hyperlink" Target="http://www.sec.gov/Archives/edgar/data/1604778/000160477818000023/exhibit1037qorvo_2018amend.htm" TargetMode="External"/><Relationship Id="rId65" Type="http://schemas.openxmlformats.org/officeDocument/2006/relationships/hyperlink" Target="http://www.sec.gov/Archives/edgar/data/1604778/000160477819000008/exhibit101-second2018decla.htm" TargetMode="External"/><Relationship Id="rId66" Type="http://schemas.openxmlformats.org/officeDocument/2006/relationships/hyperlink" Target="http://www.sec.gov/Archives/edgar/data/1604778/000160477818000036/char1-1593864v2xfirstamend.htm" TargetMode="External"/><Relationship Id="rId67" Type="http://schemas.openxmlformats.org/officeDocument/2006/relationships/hyperlink" Target="http://www.sec.gov/Archives/edgar/data/1604778/000160477818000103/secondamendmenttocreditagr.htm" TargetMode="External"/><Relationship Id="rId68" Type="http://schemas.openxmlformats.org/officeDocument/2006/relationships/hyperlink" Target="https://www.sec.gov/Archives/edgar/data/1604778/000160477819000043/qorvo-june2019xthirdamendm.htm" TargetMode="External"/><Relationship Id="rId69" Type="http://schemas.openxmlformats.org/officeDocument/2006/relationships/hyperlink" Target="https://www.sec.gov/Archives/edgar/data/1604778/000160477820000008/exhibit10120191228.htm" TargetMode="External"/><Relationship Id="rId70" Type="http://schemas.openxmlformats.org/officeDocument/2006/relationships/hyperlink" Target="https://www.sec.gov/Archives/edgar/data/1604778/000160477820000008/exhibit102201912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2020-05-20T15:58:37Z</dcterms:created>
  <dcterms:modified xsi:type="dcterms:W3CDTF">2020-05-20T15:58:37Z</dcterms:modified>
</cp:coreProperties>
</file>