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28, 2024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ans-serif" w:hAnsi="Times New Roman;sans-serif"/>
          <w:b/>
          <w:color w:val="000000"/>
          <w:sz w:val="20"/>
        </w:rPr>
        <w:t>For the transition period from _____to _____</w:t>
      </w:r>
    </w:p>
    <w:p>
      <w:pPr>
        <w:pStyle w:val="TextBody"/>
        <w:bidi w:val="0"/>
        <w:spacing w:lineRule="auto" w:line="288" w:before="0" w:after="6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2"/>
        </w:rPr>
        <w:t>001-36801</w:t>
      </w:r>
      <w:r>
        <w:rPr>
          <w:color w:val="000000"/>
        </w:rPr>
        <w:t xml:space="preserve"> </w:t>
      </w:r>
    </w:p>
    <w:p>
      <w:pPr>
        <w:pStyle w:val="TextBody"/>
        <w:bidi w:val="0"/>
        <w:spacing w:before="0" w:after="60"/>
        <w:jc w:val="center"/>
        <w:rPr/>
      </w:pPr>
      <w:r>
        <w:rPr/>
        <w:drawing>
          <wp:inline distT="0" distB="0" distL="0" distR="0">
            <wp:extent cx="21431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286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Qorvo, Inc.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w:t>
      </w:r>
    </w:p>
    <w:tbl>
      <w:tblPr>
        <w:tblW w:w="7361" w:type="dxa"/>
        <w:jc w:val="center"/>
        <w:tblInd w:w="0" w:type="dxa"/>
        <w:tblLayout w:type="fixed"/>
        <w:tblCellMar>
          <w:top w:w="28" w:type="dxa"/>
          <w:left w:w="28" w:type="dxa"/>
          <w:bottom w:w="28" w:type="dxa"/>
          <w:right w:w="28" w:type="dxa"/>
        </w:tblCellMar>
      </w:tblPr>
      <w:tblGrid>
        <w:gridCol w:w="794"/>
        <w:gridCol w:w="697"/>
        <w:gridCol w:w="697"/>
        <w:gridCol w:w="697"/>
        <w:gridCol w:w="697"/>
        <w:gridCol w:w="737"/>
        <w:gridCol w:w="109"/>
        <w:gridCol w:w="109"/>
        <w:gridCol w:w="109"/>
        <w:gridCol w:w="793"/>
        <w:gridCol w:w="793"/>
        <w:gridCol w:w="112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46-5288992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7628 Thorndike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Greensboro,</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27409-9421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(336) 664-1233 </w:t>
      </w:r>
    </w:p>
    <w:p>
      <w:pPr>
        <w:pStyle w:val="TextBody"/>
        <w:bidi w:val="0"/>
        <w:spacing w:lineRule="auto" w:line="26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6"/>
        <w:gridCol w:w="919"/>
        <w:gridCol w:w="917"/>
        <w:gridCol w:w="312"/>
        <w:gridCol w:w="312"/>
        <w:gridCol w:w="312"/>
        <w:gridCol w:w="559"/>
        <w:gridCol w:w="559"/>
        <w:gridCol w:w="556"/>
        <w:gridCol w:w="312"/>
        <w:gridCol w:w="312"/>
        <w:gridCol w:w="312"/>
        <w:gridCol w:w="1102"/>
        <w:gridCol w:w="1102"/>
        <w:gridCol w:w="1563"/>
      </w:tblGrid>
      <w:tr>
        <w:trPr/>
        <w:tc>
          <w:tcPr>
            <w:tcW w:w="10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QRVO</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8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23, 2024, there were 94,526,698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000" w:type="dxa"/>
        <w:jc w:val="left"/>
        <w:tblInd w:w="0" w:type="dxa"/>
        <w:tblLayout w:type="fixed"/>
        <w:tblCellMar>
          <w:top w:w="28" w:type="dxa"/>
          <w:left w:w="28" w:type="dxa"/>
          <w:bottom w:w="28" w:type="dxa"/>
          <w:right w:w="28" w:type="dxa"/>
        </w:tblCellMar>
      </w:tblPr>
      <w:tblGrid>
        <w:gridCol w:w="2990"/>
        <w:gridCol w:w="2624"/>
        <w:gridCol w:w="2635"/>
        <w:gridCol w:w="220"/>
        <w:gridCol w:w="220"/>
        <w:gridCol w:w="311"/>
      </w:tblGrid>
      <w:tr>
        <w:trPr/>
        <w:tc>
          <w:tcPr>
            <w:tcW w:w="299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    </w:t>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0">
              <w:r>
                <w:rPr>
                  <w:rStyle w:val="InternetLink"/>
                  <w:rFonts w:ascii="Times New Roman;sans-serif" w:hAnsi="Times New Roman;sans-serif"/>
                  <w:b/>
                  <w:color w:val="0000FF"/>
                  <w:sz w:val="20"/>
                  <w:u w:val="single"/>
                </w:rPr>
                <w:t>PART I — FINANCIAL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3">
              <w:r>
                <w:rPr>
                  <w:rStyle w:val="InternetLink"/>
                  <w:rFonts w:ascii="Times New Roman;sans-serif" w:hAnsi="Times New Roman;sans-serif"/>
                  <w:b/>
                  <w:color w:val="000080"/>
                  <w:sz w:val="20"/>
                  <w:u w:val="single"/>
                </w:rPr>
                <w:t>Item 1. Financial Statements</w:t>
              </w:r>
            </w:hyperlink>
            <w:r>
              <w:rPr>
                <w:rFonts w:ascii="Times New Roman;sans-serif" w:hAnsi="Times New Roman;sans-serif"/>
                <w:b/>
                <w:color w:val="0000FF"/>
                <w:sz w:val="20"/>
                <w:u w:val="single"/>
              </w:rPr>
              <w:t xml:space="preserve"> (Unaudited).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6">
              <w:r>
                <w:rPr>
                  <w:rStyle w:val="InternetLink"/>
                  <w:rFonts w:ascii="Times New Roman;sans-serif" w:hAnsi="Times New Roman;sans-serif"/>
                  <w:b w:val="false"/>
                  <w:color w:val="0000FF"/>
                  <w:sz w:val="20"/>
                  <w:u w:val="single"/>
                </w:rPr>
                <w:t>Condensed Consolidated Balance Sheets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6">
              <w:r>
                <w:rPr>
                  <w:rStyle w:val="InternetLink"/>
                  <w:rFonts w:ascii="Times New Roman;sans-serif" w:hAnsi="Times New Roman;sans-serif"/>
                  <w:b w:val="false"/>
                  <w:color w:val="0000FF"/>
                  <w:sz w:val="20"/>
                  <w:u w:val="single"/>
                </w:rPr>
                <w:t>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25">
              <w:r>
                <w:rPr>
                  <w:rStyle w:val="InternetLink"/>
                  <w:rFonts w:ascii="Times New Roman;sans-serif" w:hAnsi="Times New Roman;sans-serif"/>
                  <w:b w:val="false"/>
                  <w:color w:val="0000FF"/>
                  <w:sz w:val="20"/>
                  <w:u w:val="single"/>
                </w:rPr>
                <w:t>Condensed Consolidated Statements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25">
              <w:r>
                <w:rPr>
                  <w:rStyle w:val="InternetLink"/>
                  <w:rFonts w:ascii="Times New Roman;sans-serif" w:hAnsi="Times New Roman;sans-serif"/>
                  <w:b w:val="false"/>
                  <w:color w:val="0000FF"/>
                  <w:sz w:val="20"/>
                  <w:u w:val="single"/>
                </w:rPr>
                <w:t>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056285500c94a56a3b12a76d02ae75a_31">
              <w:r>
                <w:rPr>
                  <w:rStyle w:val="InternetLink"/>
                  <w:rFonts w:ascii="Times New Roman;sans-serif" w:hAnsi="Times New Roman;sans-serif"/>
                  <w:b w:val="false"/>
                  <w:color w:val="0000FF"/>
                  <w:sz w:val="20"/>
                  <w:u w:val="single"/>
                </w:rPr>
                <w:t>Condensed Consolidated Statements of Comprehensive (Loss) Income</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31">
              <w:r>
                <w:rPr>
                  <w:rStyle w:val="InternetLink"/>
                  <w:rFonts w:ascii="Times New Roman;sans-serif" w:hAnsi="Times New Roman;sans-serif"/>
                  <w:b w:val="false"/>
                  <w:color w:val="0000FF"/>
                  <w:sz w:val="20"/>
                  <w:u w:val="single"/>
                </w:rPr>
                <w:t>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056285500c94a56a3b12a76d02ae75a_37">
              <w:r>
                <w:rPr>
                  <w:rStyle w:val="InternetLink"/>
                  <w:rFonts w:ascii="Times New Roman;sans-serif" w:hAnsi="Times New Roman;sans-serif"/>
                  <w:b w:val="false"/>
                  <w:color w:val="0000FF"/>
                  <w:sz w:val="20"/>
                  <w:u w:val="single"/>
                </w:rPr>
                <w:t>Condensed Consolidated Statements of Stockholders' Equity</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37">
              <w:r>
                <w:rPr>
                  <w:rStyle w:val="InternetLink"/>
                  <w:rFonts w:ascii="Times New Roman;sans-serif" w:hAnsi="Times New Roman;sans-serif"/>
                  <w:b w:val="false"/>
                  <w:color w:val="0000FF"/>
                  <w:sz w:val="20"/>
                  <w:u w:val="single"/>
                </w:rPr>
                <w:t>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056285500c94a56a3b12a76d02ae75a_40">
              <w:r>
                <w:rPr>
                  <w:rStyle w:val="InternetLink"/>
                  <w:rFonts w:ascii="Times New Roman;sans-serif" w:hAnsi="Times New Roman;sans-serif"/>
                  <w:b w:val="false"/>
                  <w:color w:val="0000FF"/>
                  <w:sz w:val="20"/>
                  <w:u w:val="single"/>
                </w:rPr>
                <w:t>Condensed Consolidated Statements of Cash Flows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40">
              <w:r>
                <w:rPr>
                  <w:rStyle w:val="InternetLink"/>
                  <w:rFonts w:ascii="Times New Roman;sans-serif" w:hAnsi="Times New Roman;sans-serif"/>
                  <w:b w:val="false"/>
                  <w:color w:val="0000FF"/>
                  <w:sz w:val="20"/>
                  <w:u w:val="single"/>
                </w:rPr>
                <w:t>9</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43">
              <w:r>
                <w:rPr>
                  <w:rStyle w:val="InternetLink"/>
                  <w:rFonts w:ascii="Times New Roman;sans-serif" w:hAnsi="Times New Roman;sans-serif"/>
                  <w:b w:val="false"/>
                  <w:color w:val="0000FF"/>
                  <w:sz w:val="20"/>
                  <w:u w:val="single"/>
                </w:rPr>
                <w:t>Notes to Condensed Consolidated Financial Statements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43">
              <w:r>
                <w:rPr>
                  <w:rStyle w:val="InternetLink"/>
                  <w:rFonts w:ascii="Times New Roman;sans-serif" w:hAnsi="Times New Roman;sans-serif"/>
                  <w:b w:val="false"/>
                  <w:color w:val="0000FF"/>
                  <w:sz w:val="20"/>
                  <w:u w:val="single"/>
                </w:rPr>
                <w:t>10</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00">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00">
              <w:r>
                <w:rPr>
                  <w:rStyle w:val="InternetLink"/>
                  <w:rFonts w:ascii="Times New Roman;sans-serif" w:hAnsi="Times New Roman;sans-serif"/>
                  <w:b w:val="false"/>
                  <w:color w:val="0000FF"/>
                  <w:sz w:val="20"/>
                  <w:u w:val="single"/>
                </w:rPr>
                <w:t>22</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21">
              <w:r>
                <w:rPr>
                  <w:rStyle w:val="InternetLink"/>
                  <w:rFonts w:ascii="Times New Roman;sans-serif" w:hAnsi="Times New Roman;sans-serif"/>
                  <w:b/>
                  <w:color w:val="0000FF"/>
                  <w:sz w:val="20"/>
                  <w:u w:val="single"/>
                </w:rPr>
                <w:t>Item 3. Quantitative and Qualitative Disclosures About Market Risk.</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21">
              <w:r>
                <w:rPr>
                  <w:rStyle w:val="InternetLink"/>
                  <w:rFonts w:ascii="Times New Roman;sans-serif" w:hAnsi="Times New Roman;sans-serif"/>
                  <w:b w:val="false"/>
                  <w:color w:val="0000FF"/>
                  <w:sz w:val="20"/>
                  <w:u w:val="single"/>
                </w:rPr>
                <w:t>32</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24">
              <w:r>
                <w:rPr>
                  <w:rStyle w:val="InternetLink"/>
                  <w:rFonts w:ascii="Times New Roman;sans-serif" w:hAnsi="Times New Roman;sans-serif"/>
                  <w:b/>
                  <w:color w:val="0000FF"/>
                  <w:sz w:val="20"/>
                  <w:u w:val="single"/>
                </w:rPr>
                <w:t>Item 4. Controls and Procedures.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24">
              <w:r>
                <w:rPr>
                  <w:rStyle w:val="InternetLink"/>
                  <w:rFonts w:ascii="Times New Roman;sans-serif" w:hAnsi="Times New Roman;sans-serif"/>
                  <w:b w:val="false"/>
                  <w:color w:val="0000FF"/>
                  <w:sz w:val="20"/>
                  <w:u w:val="single"/>
                </w:rPr>
                <w:t>32</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27">
              <w:r>
                <w:rPr>
                  <w:rStyle w:val="InternetLink"/>
                  <w:rFonts w:ascii="Times New Roman;sans-serif" w:hAnsi="Times New Roman;sans-serif"/>
                  <w:b/>
                  <w:color w:val="0000FF"/>
                  <w:sz w:val="20"/>
                  <w:u w:val="single"/>
                </w:rPr>
                <w:t>PART II — OTHER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30">
              <w:r>
                <w:rPr>
                  <w:rStyle w:val="InternetLink"/>
                  <w:rFonts w:ascii="Times New Roman;sans-serif" w:hAnsi="Times New Roman;sans-serif"/>
                  <w:b/>
                  <w:color w:val="0000FF"/>
                  <w:sz w:val="20"/>
                  <w:u w:val="single"/>
                </w:rPr>
                <w:t>Item 1A. Risk Factors.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30">
              <w:r>
                <w:rPr>
                  <w:rStyle w:val="InternetLink"/>
                  <w:rFonts w:ascii="Times New Roman;sans-serif" w:hAnsi="Times New Roman;sans-serif"/>
                  <w:b w:val="false"/>
                  <w:color w:val="0000FF"/>
                  <w:sz w:val="20"/>
                  <w:u w:val="single"/>
                </w:rPr>
                <w:t>33</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33">
              <w:r>
                <w:rPr>
                  <w:rStyle w:val="InternetLink"/>
                  <w:rFonts w:ascii="Times New Roman;sans-serif" w:hAnsi="Times New Roman;sans-serif"/>
                  <w:b/>
                  <w:color w:val="0000FF"/>
                  <w:sz w:val="20"/>
                  <w:u w:val="single"/>
                </w:rPr>
                <w:t>Item 2. Unregistered Sales of Equity Securities and Use of Proceeds</w:t>
              </w:r>
            </w:hyperlink>
            <w:r>
              <w:rPr>
                <w:rFonts w:ascii="Times New Roman;sans-serif" w:hAnsi="Times New Roman;sans-serif"/>
                <w:b/>
                <w:color w:val="000000"/>
                <w:sz w:val="20"/>
              </w:rPr>
              <w:t>.</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33">
              <w:r>
                <w:rPr>
                  <w:rStyle w:val="InternetLink"/>
                  <w:rFonts w:ascii="Times New Roman;sans-serif" w:hAnsi="Times New Roman;sans-serif"/>
                  <w:b w:val="false"/>
                  <w:color w:val="0000FF"/>
                  <w:sz w:val="20"/>
                  <w:u w:val="single"/>
                </w:rPr>
                <w:t>33</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36">
              <w:r>
                <w:rPr>
                  <w:rStyle w:val="InternetLink"/>
                  <w:rFonts w:ascii="Times New Roman;sans-serif" w:hAnsi="Times New Roman;sans-serif"/>
                  <w:b/>
                  <w:color w:val="0000FF"/>
                  <w:sz w:val="20"/>
                  <w:u w:val="single"/>
                </w:rPr>
                <w:t>Item 5. 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36">
              <w:r>
                <w:rPr>
                  <w:rStyle w:val="InternetLink"/>
                  <w:rFonts w:ascii="Times New Roman;sans-serif" w:hAnsi="Times New Roman;sans-serif"/>
                  <w:b w:val="false"/>
                  <w:color w:val="0000FF"/>
                  <w:sz w:val="20"/>
                  <w:u w:val="single"/>
                </w:rPr>
                <w:t>34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39">
              <w:r>
                <w:rPr>
                  <w:rStyle w:val="InternetLink"/>
                  <w:rFonts w:ascii="Times New Roman;sans-serif" w:hAnsi="Times New Roman;sans-serif"/>
                  <w:b/>
                  <w:color w:val="0000FF"/>
                  <w:sz w:val="20"/>
                  <w:u w:val="single"/>
                </w:rPr>
                <w:t>Item 6. Exhibits.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39">
              <w:r>
                <w:rPr>
                  <w:rStyle w:val="InternetLink"/>
                  <w:rFonts w:ascii="Times New Roman;sans-serif" w:hAnsi="Times New Roman;sans-serif"/>
                  <w:b w:val="false"/>
                  <w:color w:val="0000FF"/>
                  <w:sz w:val="20"/>
                  <w:u w:val="single"/>
                </w:rPr>
                <w:t>35</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56285500c94a56a3b12a76d02ae75a_142">
              <w:r>
                <w:rPr>
                  <w:rStyle w:val="InternetLink"/>
                  <w:rFonts w:ascii="Times New Roman;sans-serif" w:hAnsi="Times New Roman;sans-serif"/>
                  <w:b/>
                  <w:color w:val="0000FF"/>
                  <w:sz w:val="20"/>
                  <w:u w:val="single"/>
                </w:rPr>
                <w:t>SIGNATURES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56285500c94a56a3b12a76d02ae75a_142">
              <w:r>
                <w:rPr>
                  <w:rStyle w:val="InternetLink"/>
                  <w:rFonts w:ascii="Times New Roman;sans-serif" w:hAnsi="Times New Roman;sans-serif"/>
                  <w:b w:val="false"/>
                  <w:color w:val="0000FF"/>
                  <w:sz w:val="20"/>
                  <w:u w:val="singl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34"/>
        <w:gridCol w:w="2121"/>
        <w:gridCol w:w="2092"/>
        <w:gridCol w:w="225"/>
        <w:gridCol w:w="1045"/>
        <w:gridCol w:w="116"/>
        <w:gridCol w:w="109"/>
        <w:gridCol w:w="109"/>
        <w:gridCol w:w="109"/>
        <w:gridCol w:w="211"/>
        <w:gridCol w:w="976"/>
        <w:gridCol w:w="158"/>
      </w:tblGrid>
      <w:tr>
        <w:trPr/>
        <w:tc>
          <w:tcPr>
            <w:tcW w:w="2934"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1,029,258 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$321 and $313 as of September 28, 2024 and March 30, 2024, respectively</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of disposal group held for sale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2,532,459 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2,446,034 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$1,772,229 and $1,683,592 as of September 28, 2024 and March 30, 2024, respectively</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2,437,790 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2,534,601 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6,503,075 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6,554,635 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of disposal group held for sale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1,333,737 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3,092,906 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2,998,263 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Commitments and contingent liabilities </w:t>
            </w:r>
            <w:r>
              <w:rPr>
                <w:rFonts w:ascii="Times New Roman;sans-serif" w:hAnsi="Times New Roman;sans-serif"/>
                <w:b w:val="false"/>
                <w:i/>
                <w:color w:val="000000"/>
                <w:sz w:val="20"/>
              </w:rPr>
              <w:t>(Note 9)</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5,000 shares authorized; no shares issued and outstanding</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 $.0001 par value; 405,000 shares authorized; 94,664 and 95,798 shares issued and outstanding at September 28, 2024 and March 30, 2024, respectively</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3,515,640 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3,651,067 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3,410,169 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3,556,372 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6,554,635 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28"/>
        <w:gridCol w:w="990"/>
        <w:gridCol w:w="989"/>
        <w:gridCol w:w="234"/>
        <w:gridCol w:w="1086"/>
        <w:gridCol w:w="121"/>
        <w:gridCol w:w="109"/>
        <w:gridCol w:w="109"/>
        <w:gridCol w:w="109"/>
        <w:gridCol w:w="234"/>
        <w:gridCol w:w="1086"/>
        <w:gridCol w:w="121"/>
        <w:gridCol w:w="109"/>
        <w:gridCol w:w="109"/>
        <w:gridCol w:w="109"/>
        <w:gridCol w:w="234"/>
        <w:gridCol w:w="1086"/>
        <w:gridCol w:w="121"/>
        <w:gridCol w:w="109"/>
        <w:gridCol w:w="109"/>
        <w:gridCol w:w="109"/>
        <w:gridCol w:w="233"/>
        <w:gridCol w:w="1082"/>
        <w:gridCol w:w="179"/>
      </w:tblGrid>
      <w:tr>
        <w:trPr/>
        <w:tc>
          <w:tcPr>
            <w:tcW w:w="14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1,754,657 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763,329 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615,468 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w:t>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7"/>
        <w:gridCol w:w="1413"/>
        <w:gridCol w:w="1299"/>
        <w:gridCol w:w="236"/>
        <w:gridCol w:w="849"/>
        <w:gridCol w:w="121"/>
        <w:gridCol w:w="109"/>
        <w:gridCol w:w="109"/>
        <w:gridCol w:w="109"/>
        <w:gridCol w:w="242"/>
        <w:gridCol w:w="829"/>
        <w:gridCol w:w="125"/>
        <w:gridCol w:w="109"/>
        <w:gridCol w:w="109"/>
        <w:gridCol w:w="109"/>
        <w:gridCol w:w="236"/>
        <w:gridCol w:w="849"/>
        <w:gridCol w:w="121"/>
        <w:gridCol w:w="109"/>
        <w:gridCol w:w="109"/>
        <w:gridCol w:w="109"/>
        <w:gridCol w:w="241"/>
        <w:gridCol w:w="824"/>
        <w:gridCol w:w="182"/>
      </w:tblGrid>
      <w:tr>
        <w:trPr/>
        <w:tc>
          <w:tcPr>
            <w:tcW w:w="165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pension liability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including intra-entity foreign currency transactions that are of a long-term investment nature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net of tax:</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pension actuarial gain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income</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51"/>
        <w:gridCol w:w="728"/>
        <w:gridCol w:w="558"/>
        <w:gridCol w:w="360"/>
        <w:gridCol w:w="361"/>
        <w:gridCol w:w="196"/>
        <w:gridCol w:w="109"/>
        <w:gridCol w:w="109"/>
        <w:gridCol w:w="109"/>
        <w:gridCol w:w="211"/>
        <w:gridCol w:w="976"/>
        <w:gridCol w:w="109"/>
        <w:gridCol w:w="109"/>
        <w:gridCol w:w="109"/>
        <w:gridCol w:w="109"/>
        <w:gridCol w:w="311"/>
        <w:gridCol w:w="1088"/>
        <w:gridCol w:w="163"/>
        <w:gridCol w:w="109"/>
        <w:gridCol w:w="109"/>
        <w:gridCol w:w="109"/>
        <w:gridCol w:w="256"/>
        <w:gridCol w:w="1052"/>
        <w:gridCol w:w="132"/>
        <w:gridCol w:w="109"/>
        <w:gridCol w:w="109"/>
        <w:gridCol w:w="109"/>
        <w:gridCol w:w="211"/>
        <w:gridCol w:w="976"/>
        <w:gridCol w:w="158"/>
      </w:tblGrid>
      <w:tr>
        <w:trPr/>
        <w:tc>
          <w:tcPr>
            <w:tcW w:w="105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29,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3,486,255 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28,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3,410,169 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98"/>
        <w:gridCol w:w="684"/>
        <w:gridCol w:w="561"/>
        <w:gridCol w:w="360"/>
        <w:gridCol w:w="361"/>
        <w:gridCol w:w="196"/>
        <w:gridCol w:w="109"/>
        <w:gridCol w:w="109"/>
        <w:gridCol w:w="109"/>
        <w:gridCol w:w="211"/>
        <w:gridCol w:w="976"/>
        <w:gridCol w:w="109"/>
        <w:gridCol w:w="109"/>
        <w:gridCol w:w="109"/>
        <w:gridCol w:w="109"/>
        <w:gridCol w:w="311"/>
        <w:gridCol w:w="1090"/>
        <w:gridCol w:w="163"/>
        <w:gridCol w:w="109"/>
        <w:gridCol w:w="109"/>
        <w:gridCol w:w="109"/>
        <w:gridCol w:w="256"/>
        <w:gridCol w:w="1043"/>
        <w:gridCol w:w="132"/>
        <w:gridCol w:w="109"/>
        <w:gridCol w:w="109"/>
        <w:gridCol w:w="109"/>
        <w:gridCol w:w="211"/>
        <w:gridCol w:w="976"/>
        <w:gridCol w:w="159"/>
      </w:tblGrid>
      <w:tr>
        <w:trPr/>
        <w:tc>
          <w:tcPr>
            <w:tcW w:w="109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Deficit) 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30,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3,556,372 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 and excise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28,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3,410,169 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1, 2023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3,902,794 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(24,163)</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69"/>
        <w:gridCol w:w="2152"/>
        <w:gridCol w:w="2167"/>
        <w:gridCol w:w="248"/>
        <w:gridCol w:w="1150"/>
        <w:gridCol w:w="128"/>
        <w:gridCol w:w="109"/>
        <w:gridCol w:w="109"/>
        <w:gridCol w:w="109"/>
        <w:gridCol w:w="276"/>
        <w:gridCol w:w="1083"/>
        <w:gridCol w:w="205"/>
      </w:tblGrid>
      <w:tr>
        <w:trPr/>
        <w:tc>
          <w:tcPr>
            <w:tcW w:w="246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provided by operating activities:</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amortization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(288,221)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and receivable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property and equipment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business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(200,026)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restricted stock units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debt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inventory subject to repurchase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(214,311)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(102,107)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beginning of the period</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end of the period</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706,836 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liabilities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wholly-owned subsidiaries. All significant intercompany accounts and transactions have been eliminated in consolidation. The Company is organized into three operating and reportable segments that align technologies and applications with customers and end markets: High Performance Analog ("HPA"), Connectivity and Sensors Group ("CSG") and Advanced Cellular Group ("ACG").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fiscal 2025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2025 and 2024 are 52-week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RECENT ACCOUNTING PRONOUNCEMENTS AND OTHER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Creating Helpful Incentives to Produce Semiconductors and Science Act (the "CHIPS Act") was signed into law. The CHIPS Act provides for a 25% refundable tax credit on certain investments in domestic semiconductor manufacturing. The tax credit is provided for qualifying property and equipment which is placed in service after December 31, 2022, and for which construction begins before January 1, 2027. The CHIPS Act also provides for certain other financial incentives to further investments in domestic semiconductor manufacturing. During the three months ended September 28, 2024, the Company recognized an anticipated tax credit within other non-current assets related to qualifying expenditures placed in service since December 31, 2022 (which will be amortized over the useful lives of the qualifying assets), with a corresponding reduction to the carrying amount of the qualifying property and equipment.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November 2023, the Financial Accounting Standards Board issued Accounting Standards Update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which requires enhanced disclosures related to significant segment expenses. The Company will adopt ASU 2023-07 for its fiscal 2025 annual report and for interim periods beginning in fiscal 2026 on a retrospective basis. The Company is currently evaluating the effect this new standard will have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inventories, net of reserves, are as follows (in thousands):</w:t>
      </w:r>
    </w:p>
    <w:tbl>
      <w:tblPr>
        <w:tblW w:w="4690" w:type="dxa"/>
        <w:jc w:val="left"/>
        <w:tblInd w:w="0" w:type="dxa"/>
        <w:tblLayout w:type="fixed"/>
        <w:tblCellMar>
          <w:top w:w="28" w:type="dxa"/>
          <w:left w:w="28" w:type="dxa"/>
          <w:bottom w:w="28" w:type="dxa"/>
          <w:right w:w="28" w:type="dxa"/>
        </w:tblCellMar>
      </w:tblPr>
      <w:tblGrid>
        <w:gridCol w:w="548"/>
        <w:gridCol w:w="481"/>
        <w:gridCol w:w="485"/>
        <w:gridCol w:w="284"/>
        <w:gridCol w:w="1114"/>
        <w:gridCol w:w="147"/>
        <w:gridCol w:w="109"/>
        <w:gridCol w:w="109"/>
        <w:gridCol w:w="109"/>
        <w:gridCol w:w="231"/>
        <w:gridCol w:w="905"/>
        <w:gridCol w:w="168"/>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347,175 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694,457 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710,555 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BUSINESS DIVESTITURE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December 16, 2023, the Company entered into a definitive agreement (the "Purchase Agreement") with Luxshare Precision Industry Co., Ltd. ("Luxshare") to divest its assembly and test operations in Beijing and Dezhou, China (the "Disposal Group") for preliminary cash proceeds of approximately $240.0 million (for the cash on hand of the disposed business, the assets and liabilities of the Disposal Group and inventory). In the fourth quarter of fiscal 2024, regulatory approvals were received, and the Disposal Group met the criteria to be classified as held for sale in accordance with Accounting Standards Codification ("ASC") 360,</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("ASC 360"). In accordance with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Disposal Group constituted a business, and therefore, the Company allocated $22.0 million of goodwill from three of its reporting units to assets held for sale based on a relative fair value basis. These reporting units were evaluated for impairment subsequent to the allocation of goodwill to the Disposal Group and it was determined that the fair value of all reporting units was in excess of their carrying amounts. Additionally, in accordance with ASC 360, the Disposal Group was measured at the lower of carrying value or fair value less costs to sell. As the carrying value of the Disposal Group exceeded the fair value less costs to sell, a loss of $35.3 million was recognized for the year ended March 30, 2024, which was recorded in "Other operating expense" in the Consolidated Statement of Operations. The divestiture of the Disposal Group did not meet the criteria to be reported as discontinued operations per ASC 205-20, "</w:t>
      </w:r>
      <w:r>
        <w:rPr>
          <w:rFonts w:ascii="Times New Roman;sans-serif" w:hAnsi="Times New Roman;sans-serif"/>
          <w:b w:val="false"/>
          <w:i/>
          <w:color w:val="000000"/>
          <w:sz w:val="20"/>
        </w:rPr>
        <w:t>Presentation of Financial Statements: Discontinued Operations.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completed the sale of its assembly and test operations in China on May 2, 2024 for a purchase price of approximately $232.0 million, resulting in an incremental loss of $8.0 million (which included an ad</w:t>
      </w:r>
      <w:r>
        <w:rPr>
          <w:rFonts w:ascii="Times New Roman;sans-serif" w:hAnsi="Times New Roman;sans-serif"/>
          <w:b w:val="false"/>
          <w:color w:val="000000"/>
          <w:sz w:val="20"/>
          <w:shd w:fill="FFFFFF" w:val="clear"/>
        </w:rPr>
        <w:t xml:space="preserve">ditional goodwill write-off of $1.0 million) recorded in "Other operating expense" in the Condensed Consolidated Statement of Operations for the three months ended </w:t>
      </w:r>
      <w:r>
        <w:rPr>
          <w:rFonts w:ascii="Times New Roman;sans-serif" w:hAnsi="Times New Roman;sans-serif"/>
          <w:b w:val="false"/>
          <w:color w:val="000000"/>
          <w:sz w:val="20"/>
        </w:rPr>
        <w:t>June 29, 2024</w:t>
      </w:r>
      <w:r>
        <w:rPr>
          <w:rFonts w:ascii="Times New Roman;sans-serif" w:hAnsi="Times New Roman;sans-serif"/>
          <w:b w:val="false"/>
          <w:color w:val="000000"/>
          <w:sz w:val="20"/>
          <w:shd w:fill="FFFFFF" w:val="clear"/>
        </w:rPr>
        <w:t xml:space="preserve">. The consideration received was for the cash on hand of the disposed business of </w:t>
      </w:r>
      <w:r>
        <w:rPr>
          <w:rFonts w:ascii="Times New Roman;sans-serif" w:hAnsi="Times New Roman;sans-serif"/>
          <w:b w:val="false"/>
          <w:color w:val="000000"/>
          <w:sz w:val="20"/>
        </w:rPr>
        <w:t>$29.0 million</w:t>
      </w:r>
      <w:r>
        <w:rPr>
          <w:rFonts w:ascii="Times New Roman;sans-serif" w:hAnsi="Times New Roman;sans-serif"/>
          <w:b w:val="false"/>
          <w:color w:val="000000"/>
          <w:sz w:val="20"/>
          <w:shd w:fill="FFFFFF" w:val="clear"/>
        </w:rPr>
        <w:t xml:space="preserve">, the assets and liabilities of the Disposal Group of </w:t>
      </w:r>
      <w:r>
        <w:rPr>
          <w:rFonts w:ascii="Times New Roman;sans-serif" w:hAnsi="Times New Roman;sans-serif"/>
          <w:b w:val="false"/>
          <w:color w:val="000000"/>
          <w:sz w:val="20"/>
        </w:rPr>
        <w:t>$76.0 million</w:t>
      </w:r>
      <w:r>
        <w:rPr>
          <w:color w:val="000000"/>
          <w:shd w:fill="FFFFFF" w:val="clear"/>
        </w:rPr>
        <w:t xml:space="preserve"> </w:t>
      </w:r>
      <w:r>
        <w:rPr>
          <w:rFonts w:ascii="Times New Roman;sans-serif" w:hAnsi="Times New Roman;sans-serif"/>
          <w:b w:val="false"/>
          <w:color w:val="000000"/>
          <w:sz w:val="20"/>
          <w:shd w:fill="FFFFFF" w:val="clear"/>
        </w:rPr>
        <w:t xml:space="preserve">and inventory of </w:t>
      </w:r>
      <w:r>
        <w:rPr>
          <w:rFonts w:ascii="Times New Roman;sans-serif" w:hAnsi="Times New Roman;sans-serif"/>
          <w:b w:val="false"/>
          <w:color w:val="000000"/>
          <w:sz w:val="20"/>
        </w:rPr>
        <w:t>$127.0 million</w:t>
      </w:r>
      <w:r>
        <w:rPr>
          <w:rFonts w:ascii="Times New Roman;sans-serif" w:hAnsi="Times New Roman;sans-serif"/>
          <w:b w:val="false"/>
          <w:color w:val="000000"/>
          <w:sz w:val="20"/>
          <w:shd w:fill="FFFFFF" w:val="clear"/>
        </w:rPr>
        <w:t xml:space="preserve">. The purchase price, which was subject to certain post-closing adjustments, increased to </w:t>
      </w:r>
      <w:r>
        <w:rPr>
          <w:rFonts w:ascii="Times New Roman;sans-serif" w:hAnsi="Times New Roman;sans-serif"/>
          <w:b w:val="false"/>
          <w:color w:val="000000"/>
          <w:sz w:val="20"/>
        </w:rPr>
        <w:t>$234.0 million</w:t>
      </w:r>
      <w:r>
        <w:rPr>
          <w:color w:val="000000"/>
          <w:shd w:fill="FFFFFF" w:val="clear"/>
        </w:rPr>
        <w:t xml:space="preserve"> </w:t>
      </w:r>
      <w:r>
        <w:rPr>
          <w:rFonts w:ascii="Times New Roman;sans-serif" w:hAnsi="Times New Roman;sans-serif"/>
          <w:b w:val="false"/>
          <w:color w:val="000000"/>
          <w:sz w:val="20"/>
          <w:shd w:fill="FFFFFF" w:val="clear"/>
        </w:rPr>
        <w:t xml:space="preserve">in the three months ended </w:t>
      </w:r>
      <w:r>
        <w:rPr>
          <w:rFonts w:ascii="Times New Roman;sans-serif" w:hAnsi="Times New Roman;sans-serif"/>
          <w:b w:val="false"/>
          <w:color w:val="000000"/>
          <w:sz w:val="20"/>
        </w:rPr>
        <w:t>September 28, 2024</w:t>
      </w:r>
      <w:r>
        <w:rPr>
          <w:rFonts w:ascii="Times New Roman;sans-serif" w:hAnsi="Times New Roman;sans-serif"/>
          <w:b w:val="false"/>
          <w:color w:val="000000"/>
          <w:sz w:val="20"/>
          <w:shd w:fill="FFFFFF" w:val="clear"/>
        </w:rPr>
        <w:t>, as a result of a $2.0 million</w:t>
      </w:r>
      <w:r>
        <w:rPr>
          <w:color w:val="000000"/>
        </w:rPr>
        <w:t xml:space="preserve"> </w:t>
      </w:r>
      <w:r>
        <w:rPr>
          <w:rFonts w:ascii="Times New Roman;sans-serif" w:hAnsi="Times New Roman;sans-serif"/>
          <w:b w:val="false"/>
          <w:color w:val="000000"/>
          <w:sz w:val="20"/>
        </w:rPr>
        <w:t>increase in</w:t>
      </w:r>
      <w:r>
        <w:rPr>
          <w:color w:val="000000"/>
          <w:shd w:fill="FFFFFF" w:val="clear"/>
        </w:rPr>
        <w:t xml:space="preserve"> </w:t>
      </w:r>
      <w:r>
        <w:rPr>
          <w:rFonts w:ascii="Times New Roman;sans-serif" w:hAnsi="Times New Roman;sans-serif"/>
          <w:b w:val="false"/>
          <w:color w:val="000000"/>
          <w:sz w:val="20"/>
          <w:shd w:fill="FFFFFF" w:val="clear"/>
        </w:rPr>
        <w:t>the value of inventory. The inventory amount relates to inventory that the Company sold to Luxshare and is obligated to repurchase at a future date subsequent to the performance of assembly and test services by Luxshare pursuant to a supply agreement. While legal title to the inventory resides with Luxshare,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the Company will continue to recognize the inventory on its balance sheet and has recorded a financial liability (which is included in "Other current liabilities") equal to the cash received by the Company attributable to the inventory subject to repurchase.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cash received from the sale of the assets and liabilities of the Disposal Group of $76.0 million is included in cash flows from investing activities in the Condensed Consolidated Statement of Cash Flows for the six months ended September 28, 2024, net of a $20.0 million deposit received in fiscal 2024 upon execution of the Purchase Agreement (which was included in “Other investing activities” in the fiscal 2024 Consolidated Statement of Cash Flows). The cash received for the inventory subject to repurchase by the Company is included in cash flows from financing activities in the Condensed Consolidated Statement of Cash Flows for the six months ended September 28,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fiscal 2025, as part of ongoing efforts to focus on growth drivers and key markets and to streamline operations, the Company decided not to further invest in its silicon carbide (“SiC”) power device business and began to seek strategic alternatives for this business. In the second quarter of fiscal 2025, the Company determined that there was a more-likely-than-not expectation of divesting its SiC power device business and impairment testing was triggered. The long-lived assets that are held and used by the power device business were reviewed for impairment in accordance with ASC 360. The impairment testing resulted in the impairment of intangible assets (primarily developed technology) of $16.6 million, which is included in "Other operating expense" in the Condensed Consolidated Statements of Operations. In addition, as the power device business constitutes a reporting unit within the HPA operating segment, the goodwill of the reporting unit was also subject to an impairment assessment in accordance with ASC 350, </w:t>
      </w:r>
      <w:r>
        <w:rPr>
          <w:rFonts w:ascii="Times New Roman;sans-serif" w:hAnsi="Times New Roman;sans-serif"/>
          <w:b w:val="false"/>
          <w:i/>
          <w:color w:val="000000"/>
          <w:sz w:val="20"/>
        </w:rPr>
        <w:t>"Intangibles - Goodwill and Other"</w:t>
      </w:r>
      <w:r>
        <w:rPr>
          <w:color w:val="000000"/>
        </w:rPr>
        <w:t xml:space="preserve"> </w:t>
      </w:r>
      <w:r>
        <w:rPr>
          <w:rFonts w:ascii="Times New Roman;sans-serif" w:hAnsi="Times New Roman;sans-serif"/>
          <w:b w:val="false"/>
          <w:color w:val="000000"/>
          <w:sz w:val="20"/>
        </w:rPr>
        <w:t xml:space="preserve">("ASC 350") and it was determined that the carrying value exceeded the fair value of this reporting unit, resulting in a goodwill impairment charge of approximately $96.5 million (representing the entire goodwill assigned to this reporting unit). The estimated fair values of the intangible assets and the reporting unit were determined using a market approach. The significant inputs related to valuing these assets are classified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Level 3 in the fair value hierarchy. Refer to Note 11 for additional charges associated with the Company's decision to seek strategic alternatives for its SiC power device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changes in the carrying amount of goodwill </w:t>
      </w:r>
      <w:r>
        <w:rPr>
          <w:rFonts w:ascii="Times New Roman;sans-serif" w:hAnsi="Times New Roman;sans-serif"/>
          <w:b w:val="false"/>
          <w:color w:val="000000"/>
          <w:sz w:val="20"/>
          <w:shd w:fill="FFFFFF" w:val="clear"/>
        </w:rPr>
        <w:t>are as follows</w:t>
      </w:r>
      <w:r>
        <w:rPr>
          <w:color w:val="000000"/>
        </w:rPr>
        <w:t xml:space="preserve"> </w:t>
      </w:r>
      <w:r>
        <w:rPr>
          <w:rFonts w:ascii="Times New Roman;sans-serif" w:hAnsi="Times New Roman;sans-serif"/>
          <w:b w:val="false"/>
          <w:color w:val="000000"/>
          <w:sz w:val="20"/>
        </w:rPr>
        <w:t>(in thousands):</w:t>
      </w:r>
    </w:p>
    <w:tbl>
      <w:tblPr>
        <w:tblW w:w="10095" w:type="dxa"/>
        <w:jc w:val="left"/>
        <w:tblInd w:w="0" w:type="dxa"/>
        <w:tblLayout w:type="fixed"/>
        <w:tblCellMar>
          <w:top w:w="28" w:type="dxa"/>
          <w:left w:w="28" w:type="dxa"/>
          <w:bottom w:w="28" w:type="dxa"/>
          <w:right w:w="28" w:type="dxa"/>
        </w:tblCellMar>
      </w:tblPr>
      <w:tblGrid>
        <w:gridCol w:w="1517"/>
        <w:gridCol w:w="1328"/>
        <w:gridCol w:w="134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HPA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ACG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as of March 30, 2024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written off related to sale of business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Anokiwave, Inc. measurement period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as of September 28, 2024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2,437,790 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The Company’s goodwill balance is presented net of accumulated impairment losses totaling $999.9 million and $903.4 million as of September 28, 2024 and March 30, 2024, respectively, which were recognized in fiscal years 2009, 2013, 2014, 2022, 2023, 2024 and 2025.</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Refer to Note 4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regarding the gross carrying amounts and accumulated amortization of intangible assets (in thousands):</w:t>
      </w:r>
    </w:p>
    <w:tbl>
      <w:tblPr>
        <w:tblW w:w="9014" w:type="dxa"/>
        <w:jc w:val="left"/>
        <w:tblInd w:w="0" w:type="dxa"/>
        <w:tblLayout w:type="fixed"/>
        <w:tblCellMar>
          <w:top w:w="28" w:type="dxa"/>
          <w:left w:w="28" w:type="dxa"/>
          <w:bottom w:w="28" w:type="dxa"/>
          <w:right w:w="28" w:type="dxa"/>
        </w:tblCellMar>
      </w:tblPr>
      <w:tblGrid>
        <w:gridCol w:w="1126"/>
        <w:gridCol w:w="986"/>
        <w:gridCol w:w="99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technology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licenses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Amounts include the impact of foreign currency translation.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INVESTMENTS AND FAIR VALUE MEASUREMENTS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 The fair value of the mutual funds as of September 28, 2024 and March 30, 2024 was </w:t>
      </w:r>
      <w:r>
        <w:rPr>
          <w:rFonts w:ascii="Times New Roman;sans-serif" w:hAnsi="Times New Roman;sans-serif"/>
          <w:b w:val="false"/>
          <w:color w:val="000000"/>
          <w:sz w:val="20"/>
          <w:shd w:fill="FFFFFF" w:val="clear"/>
        </w:rPr>
        <w:t>$58.5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$52.3 million</w:t>
      </w:r>
      <w:r>
        <w:rPr>
          <w:rFonts w:ascii="Times New Roman;sans-serif" w:hAnsi="Times New Roman;sans-serif"/>
          <w:b w:val="false"/>
          <w:color w:val="000000"/>
          <w:sz w:val="20"/>
        </w:rPr>
        <w:t xml:space="preserve">,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debt (in thousands):</w:t>
      </w:r>
    </w:p>
    <w:tbl>
      <w:tblPr>
        <w:tblW w:w="7818" w:type="dxa"/>
        <w:jc w:val="center"/>
        <w:tblInd w:w="0" w:type="dxa"/>
        <w:tblLayout w:type="fixed"/>
        <w:tblCellMar>
          <w:top w:w="28" w:type="dxa"/>
          <w:left w:w="28" w:type="dxa"/>
          <w:bottom w:w="28" w:type="dxa"/>
          <w:right w:w="28" w:type="dxa"/>
        </w:tblCellMar>
      </w:tblPr>
      <w:tblGrid>
        <w:gridCol w:w="1668"/>
        <w:gridCol w:w="1466"/>
        <w:gridCol w:w="1471"/>
        <w:gridCol w:w="251"/>
        <w:gridCol w:w="1164"/>
        <w:gridCol w:w="130"/>
        <w:gridCol w:w="109"/>
        <w:gridCol w:w="109"/>
        <w:gridCol w:w="109"/>
        <w:gridCol w:w="211"/>
        <w:gridCol w:w="97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1.750% senior notes due 2024</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4.375% senior notes due 2029</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3.375% senior notes due 2031</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discount and issuance costs,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1,961,423 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debt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1,549,244 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w:t>
      </w:r>
      <w:r>
        <w:rPr>
          <w:rFonts w:ascii="Times New Roman;sans-serif" w:hAnsi="Times New Roman;sans-serif"/>
          <w:b w:val="false"/>
          <w:color w:val="000000"/>
          <w:sz w:val="20"/>
          <w:shd w:fill="FFFFFF" w:val="clear"/>
        </w:rPr>
        <w:t>$325.0 million</w:t>
      </w:r>
      <w:r>
        <w:rPr>
          <w:color w:val="000000"/>
        </w:rPr>
        <w:t xml:space="preserve"> </w:t>
      </w:r>
      <w:r>
        <w:rPr>
          <w:rFonts w:ascii="Times New Roman;sans-serif" w:hAnsi="Times New Roman;sans-serif"/>
          <w:b w:val="false"/>
          <w:color w:val="000000"/>
          <w:sz w:val="20"/>
        </w:rPr>
        <w:t xml:space="preserve">senior revolving line of credit (the "Revolving Facility"). Up to </w:t>
      </w:r>
      <w:r>
        <w:rPr>
          <w:rFonts w:ascii="Times New Roman;sans-serif" w:hAnsi="Times New Roman;sans-serif"/>
          <w:b w:val="false"/>
          <w:color w:val="000000"/>
          <w:sz w:val="20"/>
          <w:shd w:fill="FFFFFF" w:val="clear"/>
        </w:rPr>
        <w:t>$25.0 million</w:t>
      </w:r>
      <w:r>
        <w:rPr>
          <w:color w:val="000000"/>
        </w:rPr>
        <w:t xml:space="preserve"> </w:t>
      </w:r>
      <w:r>
        <w:rPr>
          <w:rFonts w:ascii="Times New Roman;sans-serif" w:hAnsi="Times New Roman;sans-serif"/>
          <w:b w:val="false"/>
          <w:color w:val="000000"/>
          <w:sz w:val="20"/>
        </w:rPr>
        <w:t xml:space="preserve">of the Revolving Facility may be used for the issuance of standby letters of credit and up to </w:t>
      </w:r>
      <w:r>
        <w:rPr>
          <w:rFonts w:ascii="Times New Roman;sans-serif" w:hAnsi="Times New Roman;sans-serif"/>
          <w:b w:val="false"/>
          <w:color w:val="000000"/>
          <w:sz w:val="20"/>
          <w:shd w:fill="FFFFFF" w:val="clear"/>
        </w:rPr>
        <w:t>$10.0 million</w:t>
      </w:r>
      <w:r>
        <w:rPr>
          <w:color w:val="000000"/>
        </w:rPr>
        <w:t xml:space="preserve"> </w:t>
      </w:r>
      <w:r>
        <w:rPr>
          <w:rFonts w:ascii="Times New Roman;sans-serif" w:hAnsi="Times New Roman;sans-serif"/>
          <w:b w:val="false"/>
          <w:color w:val="000000"/>
          <w:sz w:val="20"/>
        </w:rPr>
        <w:t xml:space="preserve">of the Revolving Facility may be used for swing line advances (i.e., short-term borrowings made available from the lead lender). The Company may request at any time that the Revolving Facility be increased by up to </w:t>
      </w:r>
      <w:r>
        <w:rPr>
          <w:rFonts w:ascii="Times New Roman;sans-serif" w:hAnsi="Times New Roman;sans-serif"/>
          <w:b w:val="false"/>
          <w:color w:val="000000"/>
          <w:sz w:val="20"/>
          <w:shd w:fill="FFFFFF" w:val="clear"/>
        </w:rPr>
        <w:t>$325.0 million</w:t>
      </w:r>
      <w:r>
        <w:rPr>
          <w:rFonts w:ascii="Times New Roman;sans-serif" w:hAnsi="Times New Roman;sans-serif"/>
          <w:b w:val="false"/>
          <w:color w:val="000000"/>
          <w:sz w:val="20"/>
        </w:rPr>
        <w:t>,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September 28, 2024, there were no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various conditions, covenants and representations with which the Company must be in compliance in order to borrow funds and avoid an event of default. As of September 28, 2024, the Company was in compliance with these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2021, the Company issued $500.0 million aggregate principal amount of its 1.750% senior notes due 2024 (the "2024 Notes"). The 2024 Notes will mature on December 15, 2024, unless earlier redeemed in accordance with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terms. The 2024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2024, the Company repurchased $60.3 million of the principal amount of the 2024 Notes, plus accrued and unpaid interest, on the open market. In the first quarter of fiscal 2025, the Company repurchased $27.3 million of the principal amount of the 2024 Notes, plus accrued and unpaid interest, on the open market, and the Company recognized a net gain on debt extinguishment of $0.6 million, which is included in "Other income, net" in the Condensed Consolidated Statement of Operations. The remaining principal amount of the 2024 Notes of $412.5 million and $439.7 million is included in "Current portion of long-term debt" in the Condensed Consolidated Balance Sheets as of September 28, 2024 and March 30, 2024, respectively.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Interest is payable on the 2024 Notes on June 15 and December 15 of each year. The Company paid interest of $3.6 million and $4.4 million on the 2024 Notes during the</w:t>
      </w:r>
      <w:r>
        <w:rPr>
          <w:color w:val="000000"/>
          <w:shd w:fill="FFFFFF" w:val="clear"/>
        </w:rPr>
        <w:t xml:space="preserve"> </w:t>
      </w:r>
      <w:r>
        <w:rPr>
          <w:rFonts w:ascii="Times New Roman;sans-serif" w:hAnsi="Times New Roman;sans-serif"/>
          <w:b w:val="false"/>
          <w:color w:val="000000"/>
          <w:sz w:val="20"/>
        </w:rPr>
        <w:t>six months ended September 28, 2024 and September 30,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is payable on the 2029 Notes on April 15 and October 15 of each year. The Company paid interest of $18.6 million on the 2029 Notes during the six months ended September 28, 2024 and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Notes due 2031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is payable on the 2031 Notes on April 1 and October 1 of each year. The Company paid interest of $11.8 million on the 2031 Notes during the six months ended September 28, 2024, and paid no interest during the six months ended September 30, 2023 (interest was subsequently paid on October 2,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debt is carried at amortized cost and is measured at fair value quarterly for disclosure purposes. The estimated fair value of the 2024 Notes, the 2029 Notes and the 2031 Notes as of September 28, 2024 was $409.0 million, $824.5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$626.8 million, respectively (compared to the outstanding principal amount of $412.5 million, $850.0 million and $700.0 million, respectively). The estimated fair value of the 2024 Notes, the 2029 Notes and the 2031 Notes as of March 30, 2024 was $426.9 million, $797.6 million and $603.8 million, respectively (compared to the outstanding principal amount of $439.7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and six </w:t>
      </w:r>
      <w:r>
        <w:rPr>
          <w:rFonts w:ascii="Times New Roman;sans-serif" w:hAnsi="Times New Roman;sans-serif"/>
          <w:b w:val="false"/>
          <w:color w:val="000000"/>
          <w:sz w:val="20"/>
          <w:shd w:fill="FFFFFF" w:val="clear"/>
        </w:rPr>
        <w:t xml:space="preserve">months ended September 28, 2024, the Company recognized </w:t>
      </w:r>
      <w:r>
        <w:rPr>
          <w:rFonts w:ascii="Times New Roman;sans-serif" w:hAnsi="Times New Roman;sans-serif"/>
          <w:b w:val="false"/>
          <w:color w:val="000000"/>
          <w:sz w:val="20"/>
        </w:rPr>
        <w:t xml:space="preserve">$24.3 million and $42.0 million of </w:t>
      </w:r>
      <w:r>
        <w:rPr>
          <w:rFonts w:ascii="Times New Roman;sans-serif" w:hAnsi="Times New Roman;sans-serif"/>
          <w:b w:val="false"/>
          <w:color w:val="000000"/>
          <w:sz w:val="20"/>
          <w:shd w:fill="FFFFFF" w:val="clear"/>
        </w:rPr>
        <w:t>interest expense</w:t>
      </w:r>
      <w:r>
        <w:rPr>
          <w:rFonts w:ascii="Times New Roman;sans-serif" w:hAnsi="Times New Roman;sans-serif"/>
          <w:b w:val="false"/>
          <w:color w:val="000000"/>
          <w:sz w:val="20"/>
        </w:rPr>
        <w:t xml:space="preserve">, respectively, primarily related to the 2024 Notes, the 2029 Notes and the 2031 Notes, which was partially offset by </w:t>
      </w:r>
      <w:r>
        <w:rPr>
          <w:rFonts w:ascii="Times New Roman;sans-serif" w:hAnsi="Times New Roman;sans-serif"/>
          <w:b w:val="false"/>
          <w:color w:val="000000"/>
          <w:sz w:val="20"/>
          <w:shd w:fill="FFFFFF" w:val="clear"/>
        </w:rPr>
        <w:t xml:space="preserve">interest capitalized to property and equipment of </w:t>
      </w:r>
      <w:r>
        <w:rPr>
          <w:rFonts w:ascii="Times New Roman;sans-serif" w:hAnsi="Times New Roman;sans-serif"/>
          <w:b w:val="false"/>
          <w:color w:val="000000"/>
          <w:sz w:val="20"/>
        </w:rPr>
        <w:t xml:space="preserve">$1.7 million and </w:t>
      </w:r>
      <w:r>
        <w:rPr>
          <w:rFonts w:ascii="Times New Roman;sans-serif" w:hAnsi="Times New Roman;sans-serif"/>
          <w:b w:val="false"/>
          <w:color w:val="000000"/>
          <w:sz w:val="20"/>
          <w:shd w:fill="FFFFFF" w:val="clear"/>
        </w:rPr>
        <w:t xml:space="preserve">$2.3 million, respectively. </w:t>
      </w:r>
      <w:r>
        <w:rPr>
          <w:rFonts w:ascii="Times New Roman;sans-serif" w:hAnsi="Times New Roman;sans-serif"/>
          <w:b w:val="false"/>
          <w:color w:val="000000"/>
          <w:sz w:val="20"/>
        </w:rPr>
        <w:t xml:space="preserve">Interest expense for the three and six months ended September 28, 2024 also includes financing costs related to certain inventory (subject to repurchase) in connection with a supply agreement.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six </w:t>
      </w:r>
      <w:r>
        <w:rPr>
          <w:rFonts w:ascii="Times New Roman;sans-serif" w:hAnsi="Times New Roman;sans-serif"/>
          <w:b w:val="false"/>
          <w:color w:val="000000"/>
          <w:sz w:val="20"/>
          <w:shd w:fill="FFFFFF" w:val="clear"/>
        </w:rPr>
        <w:t>months ended September 30, 2023, the Company recognized $17.9 million and $36.1 million</w:t>
      </w:r>
      <w:r>
        <w:rPr>
          <w:color w:val="000000"/>
        </w:rPr>
        <w:t xml:space="preserve"> </w:t>
      </w:r>
      <w:r>
        <w:rPr>
          <w:rFonts w:ascii="Times New Roman;sans-serif" w:hAnsi="Times New Roman;sans-serif"/>
          <w:b w:val="false"/>
          <w:color w:val="000000"/>
          <w:sz w:val="20"/>
          <w:shd w:fill="FFFFFF" w:val="clear"/>
        </w:rPr>
        <w:t>of interest expense, respectively, primarily related to the 2024 Notes, the 2029 Notes and the 2031 Notes, which was partially offset by interest capitalized to property and equipment of $0.8 million and $1.7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STOCK REPURCHASES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September 28, 2024, the Company repurchased approximately 0.7 million and 2.0 million shares of its common stock, respectively, for approximately $81.7 million and $207.5 million, respectively (including transaction costs and excise tax) and approximately $1,098.7 million remains authorized for repurchases under its share repurchase program as of September 28,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September 30, 2023, the Company repurchased approximately 1.0 million and 2.0 million shares of its common stock, respectively, for approximately $100.6 million and $201.2 million, respectively (including transaction costs and excise tax) under its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COMMITMENTS AND CONTINGENT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(based on the location of the customers' headquarters) is summarized as follows (in thousands):</w:t>
      </w:r>
    </w:p>
    <w:tbl>
      <w:tblPr>
        <w:tblW w:w="8450" w:type="dxa"/>
        <w:jc w:val="center"/>
        <w:tblInd w:w="0" w:type="dxa"/>
        <w:tblLayout w:type="fixed"/>
        <w:tblCellMar>
          <w:top w:w="28" w:type="dxa"/>
          <w:left w:w="28" w:type="dxa"/>
          <w:bottom w:w="28" w:type="dxa"/>
          <w:right w:w="28" w:type="dxa"/>
        </w:tblCellMar>
      </w:tblPr>
      <w:tblGrid>
        <w:gridCol w:w="452"/>
        <w:gridCol w:w="395"/>
        <w:gridCol w:w="398"/>
        <w:gridCol w:w="251"/>
        <w:gridCol w:w="1164"/>
        <w:gridCol w:w="130"/>
        <w:gridCol w:w="109"/>
        <w:gridCol w:w="109"/>
        <w:gridCol w:w="109"/>
        <w:gridCol w:w="251"/>
        <w:gridCol w:w="1164"/>
        <w:gridCol w:w="130"/>
        <w:gridCol w:w="109"/>
        <w:gridCol w:w="109"/>
        <w:gridCol w:w="109"/>
        <w:gridCol w:w="251"/>
        <w:gridCol w:w="1164"/>
        <w:gridCol w:w="130"/>
        <w:gridCol w:w="109"/>
        <w:gridCol w:w="109"/>
        <w:gridCol w:w="109"/>
        <w:gridCol w:w="250"/>
        <w:gridCol w:w="1157"/>
        <w:gridCol w:w="182"/>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1,014,571 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Asia</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1,046,509 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1,933,180 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1,754,657 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disaggregates revenue by operating segments (refer to Note 12).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RESTRUCTURING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2025 Restructuring Initiative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fiscal 2025, as part of ongoing efforts to focus on growth drivers and key markets and to streamline operations, the Company decided not to further invest in its SiC power device business and began to seek strategic alternatives for this business (the “2025 Restructuring Initiative”). In the second quarter of fiscal 2025, the Company determined that there was a more-likely-than-not expectation of divesting its SiC power device business and impairment testing was triggered. The inventory and long-lived assets that are held and used by the power device business were reviewed for impairment in accordance with ASC 330,</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Inventory</w:t>
      </w:r>
      <w:r>
        <w:rPr>
          <w:rFonts w:ascii="Times New Roman;sans-serif" w:hAnsi="Times New Roman;sans-serif"/>
          <w:b w:val="false"/>
          <w:color w:val="000000"/>
          <w:sz w:val="20"/>
        </w:rPr>
        <w:t xml:space="preserve">" and ASC 360, respectively, resulting in inventory write-downs of $13.7 million (for inventory expected to be disposed of) and impairments of intangible assets (primarily developed technology) of $16.6 million. In addition, as the power device business constitutes a reporting unit, the goodwill of the reporting unit was also subject to an impairment assessment in accordance with ASC 350 and it was determined that the carrying value exceeded the fair value of this reporting unit, resulting in a goodwill impairment charge of approximately $96.5 million (representing the entire goodwill assigned to this reporting unit).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The Company will continue to evaluate strategic opportunities associated with this business and additional impairment charges of the intangible assets of this business may be incurred in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charges resulting from the 2025 Restructuring Initiative (in thousands):</w:t>
      </w:r>
    </w:p>
    <w:tbl>
      <w:tblPr>
        <w:tblW w:w="10205" w:type="dxa"/>
        <w:jc w:val="center"/>
        <w:tblInd w:w="0" w:type="dxa"/>
        <w:tblLayout w:type="fixed"/>
        <w:tblCellMar>
          <w:top w:w="28" w:type="dxa"/>
          <w:left w:w="28" w:type="dxa"/>
          <w:bottom w:w="28" w:type="dxa"/>
          <w:right w:w="28" w:type="dxa"/>
        </w:tblCellMar>
      </w:tblPr>
      <w:tblGrid>
        <w:gridCol w:w="1082"/>
        <w:gridCol w:w="950"/>
        <w:gridCol w:w="955"/>
        <w:gridCol w:w="300"/>
        <w:gridCol w:w="1025"/>
        <w:gridCol w:w="154"/>
        <w:gridCol w:w="109"/>
        <w:gridCol w:w="109"/>
        <w:gridCol w:w="109"/>
        <w:gridCol w:w="331"/>
        <w:gridCol w:w="1135"/>
        <w:gridCol w:w="171"/>
        <w:gridCol w:w="109"/>
        <w:gridCol w:w="109"/>
        <w:gridCol w:w="109"/>
        <w:gridCol w:w="390"/>
        <w:gridCol w:w="1334"/>
        <w:gridCol w:w="200"/>
        <w:gridCol w:w="109"/>
        <w:gridCol w:w="109"/>
        <w:gridCol w:w="109"/>
        <w:gridCol w:w="211"/>
        <w:gridCol w:w="826"/>
        <w:gridCol w:w="160"/>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28, 2024</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 Impairment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costs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28, 2024</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 Impairment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costs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liability activity related to the 2025 Restructuring Initiative for the six months ended September 28, 2024 (in thousands):</w:t>
      </w:r>
    </w:p>
    <w:tbl>
      <w:tblPr>
        <w:tblW w:w="7619" w:type="dxa"/>
        <w:jc w:val="left"/>
        <w:tblInd w:w="0" w:type="dxa"/>
        <w:tblLayout w:type="fixed"/>
        <w:tblCellMar>
          <w:top w:w="28" w:type="dxa"/>
          <w:left w:w="28" w:type="dxa"/>
          <w:bottom w:w="28" w:type="dxa"/>
          <w:right w:w="28" w:type="dxa"/>
        </w:tblCellMar>
      </w:tblPr>
      <w:tblGrid>
        <w:gridCol w:w="1680"/>
        <w:gridCol w:w="1475"/>
        <w:gridCol w:w="1479"/>
        <w:gridCol w:w="815"/>
        <w:gridCol w:w="1571"/>
        <w:gridCol w:w="599"/>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Termination and Other Costs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March 30, 2024</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and charged to expense</w:t>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September 28, 2024</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2024 Restructuring Initiative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fiscal 2024 the Company entered into a definitive agreement with Luxshare to divest its assembly and test operations in Beijing and Dezhou, China. The sale of these operations (the "2024 Restructuring Initiative") was completed in the first quarter of fiscal 2025 (refer to Note 4 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charges resulting from the 2024 Restructuring Initiative (in thousands):</w:t>
      </w:r>
    </w:p>
    <w:tbl>
      <w:tblPr>
        <w:tblW w:w="10205" w:type="dxa"/>
        <w:jc w:val="center"/>
        <w:tblInd w:w="0" w:type="dxa"/>
        <w:tblLayout w:type="fixed"/>
        <w:tblCellMar>
          <w:top w:w="28" w:type="dxa"/>
          <w:left w:w="28" w:type="dxa"/>
          <w:bottom w:w="28" w:type="dxa"/>
          <w:right w:w="28" w:type="dxa"/>
        </w:tblCellMar>
      </w:tblPr>
      <w:tblGrid>
        <w:gridCol w:w="749"/>
        <w:gridCol w:w="567"/>
        <w:gridCol w:w="570"/>
        <w:gridCol w:w="250"/>
        <w:gridCol w:w="730"/>
        <w:gridCol w:w="129"/>
        <w:gridCol w:w="109"/>
        <w:gridCol w:w="109"/>
        <w:gridCol w:w="109"/>
        <w:gridCol w:w="272"/>
        <w:gridCol w:w="851"/>
        <w:gridCol w:w="140"/>
        <w:gridCol w:w="109"/>
        <w:gridCol w:w="109"/>
        <w:gridCol w:w="109"/>
        <w:gridCol w:w="211"/>
        <w:gridCol w:w="466"/>
        <w:gridCol w:w="109"/>
        <w:gridCol w:w="109"/>
        <w:gridCol w:w="109"/>
        <w:gridCol w:w="109"/>
        <w:gridCol w:w="250"/>
        <w:gridCol w:w="730"/>
        <w:gridCol w:w="129"/>
        <w:gridCol w:w="109"/>
        <w:gridCol w:w="109"/>
        <w:gridCol w:w="109"/>
        <w:gridCol w:w="268"/>
        <w:gridCol w:w="918"/>
        <w:gridCol w:w="138"/>
        <w:gridCol w:w="109"/>
        <w:gridCol w:w="109"/>
        <w:gridCol w:w="109"/>
        <w:gridCol w:w="211"/>
        <w:gridCol w:w="721"/>
        <w:gridCol w:w="161"/>
      </w:tblGrid>
      <w:tr>
        <w:trPr/>
        <w:tc>
          <w:tcPr>
            <w:tcW w:w="7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28, 2024</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impairment costs (adjustments) </w:t>
            </w:r>
            <w:r>
              <w:rPr>
                <w:rFonts w:ascii="Times New Roman;sans-serif" w:hAnsi="Times New Roman;sans-serif"/>
                <w:b w:val="false"/>
                <w:color w:val="000000"/>
                <w:sz w:val="13"/>
              </w:rPr>
              <w:t>(1)</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employee termination benefits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8"/>
          <w:shd w:fill="FFFFFF" w:val="clear"/>
        </w:rPr>
        <w:t xml:space="preserve">(1) Refer to Note </w:t>
      </w:r>
      <w:r>
        <w:rPr>
          <w:rFonts w:ascii="Times New Roman;sans-serif" w:hAnsi="Times New Roman;sans-serif"/>
          <w:b w:val="false"/>
          <w:color w:val="000000"/>
          <w:sz w:val="18"/>
        </w:rPr>
        <w:t>4</w:t>
      </w:r>
      <w:r>
        <w:rPr>
          <w:color w:val="000000"/>
          <w:shd w:fill="FFFFFF" w:val="clear"/>
        </w:rPr>
        <w:t xml:space="preserve"> </w:t>
      </w:r>
      <w:r>
        <w:rPr>
          <w:rFonts w:ascii="Times New Roman;sans-serif" w:hAnsi="Times New Roman;sans-serif"/>
          <w:b w:val="false"/>
          <w:color w:val="000000"/>
          <w:sz w:val="18"/>
          <w:shd w:fill="FFFFFF" w:val="clear"/>
        </w:rPr>
        <w:t>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28, 2024, the Company has recorded cumulative expenses of approximately $11.2 million, $44.4 million and $14.6 million for contract termination and other costs, asset impairment costs, and one-time employee termination benefits, respectively, as a result of the 2024 Restructuring Initiative. The Company does not expect to incur material additional charges related to the 2024 Restructuring Initiative.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liability activity related to the 2024 Restructuring Initiative for the six months ended September 28, 2024 (in thousands):</w:t>
      </w:r>
    </w:p>
    <w:tbl>
      <w:tblPr>
        <w:tblW w:w="10205" w:type="dxa"/>
        <w:jc w:val="center"/>
        <w:tblInd w:w="0" w:type="dxa"/>
        <w:tblLayout w:type="fixed"/>
        <w:tblCellMar>
          <w:top w:w="28" w:type="dxa"/>
          <w:left w:w="28" w:type="dxa"/>
          <w:bottom w:w="28" w:type="dxa"/>
          <w:right w:w="28" w:type="dxa"/>
        </w:tblCellMar>
      </w:tblPr>
      <w:tblGrid>
        <w:gridCol w:w="1335"/>
        <w:gridCol w:w="1140"/>
        <w:gridCol w:w="1143"/>
        <w:gridCol w:w="559"/>
        <w:gridCol w:w="1639"/>
        <w:gridCol w:w="291"/>
        <w:gridCol w:w="109"/>
        <w:gridCol w:w="109"/>
        <w:gridCol w:w="109"/>
        <w:gridCol w:w="528"/>
        <w:gridCol w:w="1550"/>
        <w:gridCol w:w="275"/>
        <w:gridCol w:w="109"/>
        <w:gridCol w:w="109"/>
        <w:gridCol w:w="109"/>
        <w:gridCol w:w="211"/>
        <w:gridCol w:w="721"/>
        <w:gridCol w:w="159"/>
      </w:tblGrid>
      <w:tr>
        <w:trPr/>
        <w:tc>
          <w:tcPr>
            <w:tcW w:w="13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March 30, 2024</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and charged to expense</w:t>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September 28, 2024</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2023 Restructuring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the Company initiated actions to improve efficiencies in its operations and further align the organization with its strategic objectives, which primarily included seeking strategic alternatives related to its biotechnology business (the "2023 Restructuring Initiatives"). The Company completed the sale of its biotechnology business in the third quarter of fiscal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charges resulting from the 2023 Restructuring Initiatives (in thousands):</w:t>
      </w:r>
    </w:p>
    <w:tbl>
      <w:tblPr>
        <w:tblW w:w="9745" w:type="dxa"/>
        <w:jc w:val="left"/>
        <w:tblInd w:w="0" w:type="dxa"/>
        <w:tblLayout w:type="fixed"/>
        <w:tblCellMar>
          <w:top w:w="28" w:type="dxa"/>
          <w:left w:w="28" w:type="dxa"/>
          <w:bottom w:w="28" w:type="dxa"/>
          <w:right w:w="28" w:type="dxa"/>
        </w:tblCellMar>
      </w:tblPr>
      <w:tblGrid>
        <w:gridCol w:w="1227"/>
        <w:gridCol w:w="1078"/>
        <w:gridCol w:w="1084"/>
        <w:gridCol w:w="954"/>
        <w:gridCol w:w="1635"/>
        <w:gridCol w:w="500"/>
        <w:gridCol w:w="109"/>
        <w:gridCol w:w="109"/>
        <w:gridCol w:w="109"/>
        <w:gridCol w:w="744"/>
        <w:gridCol w:w="1647"/>
        <w:gridCol w:w="549"/>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28, 2024</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employee termination benefits</w:t>
            </w:r>
          </w:p>
        </w:tc>
        <w:tc>
          <w:tcPr>
            <w:tcW w:w="2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4"/>
        <w:gridCol w:w="565"/>
        <w:gridCol w:w="568"/>
        <w:gridCol w:w="248"/>
        <w:gridCol w:w="726"/>
        <w:gridCol w:w="128"/>
        <w:gridCol w:w="109"/>
        <w:gridCol w:w="109"/>
        <w:gridCol w:w="109"/>
        <w:gridCol w:w="280"/>
        <w:gridCol w:w="818"/>
        <w:gridCol w:w="144"/>
        <w:gridCol w:w="109"/>
        <w:gridCol w:w="109"/>
        <w:gridCol w:w="109"/>
        <w:gridCol w:w="211"/>
        <w:gridCol w:w="616"/>
        <w:gridCol w:w="109"/>
        <w:gridCol w:w="109"/>
        <w:gridCol w:w="109"/>
        <w:gridCol w:w="109"/>
        <w:gridCol w:w="238"/>
        <w:gridCol w:w="816"/>
        <w:gridCol w:w="123"/>
        <w:gridCol w:w="109"/>
        <w:gridCol w:w="109"/>
        <w:gridCol w:w="109"/>
        <w:gridCol w:w="280"/>
        <w:gridCol w:w="818"/>
        <w:gridCol w:w="144"/>
        <w:gridCol w:w="109"/>
        <w:gridCol w:w="109"/>
        <w:gridCol w:w="109"/>
        <w:gridCol w:w="211"/>
        <w:gridCol w:w="721"/>
        <w:gridCol w:w="162"/>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30, 2023</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costs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One-time employee termination benefits</w:t>
            </w:r>
            <w:r>
              <w:rPr>
                <w:color w:val="000000"/>
              </w:rPr>
              <w:t xml:space="preserve">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28, 2024, the Company has recorded cumulative expenses of approximately $46.2 million, $99.9 million, $12.4 million and $5.9 million for contract termination and other costs, asset impairment costs, goodwill impairment charges, and one-time employee termination benefits, respectively, as a result of the 2023 Restructuring Initiatives. The Company does not expect to incur material additional charges related to the 2023 Restructuring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liability activity related to the 2023 Restructuring Initiatives for the six months ended September 28, 2024 (in thousands):</w:t>
      </w:r>
    </w:p>
    <w:tbl>
      <w:tblPr>
        <w:tblW w:w="10205" w:type="dxa"/>
        <w:jc w:val="center"/>
        <w:tblInd w:w="0" w:type="dxa"/>
        <w:tblLayout w:type="fixed"/>
        <w:tblCellMar>
          <w:top w:w="28" w:type="dxa"/>
          <w:left w:w="28" w:type="dxa"/>
          <w:bottom w:w="28" w:type="dxa"/>
          <w:right w:w="28" w:type="dxa"/>
        </w:tblCellMar>
      </w:tblPr>
      <w:tblGrid>
        <w:gridCol w:w="1351"/>
        <w:gridCol w:w="1156"/>
        <w:gridCol w:w="1159"/>
        <w:gridCol w:w="676"/>
        <w:gridCol w:w="1493"/>
        <w:gridCol w:w="350"/>
        <w:gridCol w:w="109"/>
        <w:gridCol w:w="109"/>
        <w:gridCol w:w="109"/>
        <w:gridCol w:w="534"/>
        <w:gridCol w:w="1568"/>
        <w:gridCol w:w="278"/>
        <w:gridCol w:w="109"/>
        <w:gridCol w:w="109"/>
        <w:gridCol w:w="109"/>
        <w:gridCol w:w="211"/>
        <w:gridCol w:w="616"/>
        <w:gridCol w:w="159"/>
      </w:tblGrid>
      <w:tr>
        <w:trPr/>
        <w:tc>
          <w:tcPr>
            <w:tcW w:w="13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March 30, 2024</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and charged to expense</w:t>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September 28, 2024</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restructuring balances as of September 28, 2024 represent estimated future cash payments required to satisfy the Company's remaining obligations, the majority of which are expected to be paid in the next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fiscal 2025, the Company incurred immaterial legal fees and other costs, recorded to "Other operating expense" in connection with other miscellaneous restructuring initiatives.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OPERATING SEGMENT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three operating and reportable segments, HPA, CSG, and ACG, are based on the organizational structure and information reviewed by the Company's Chief Executive Officer, who is also the Company's chief operating decision maker ("CODM"). The CODM allocates resources and evaluates the performance of each of the three operating segments primarily based on operating income. The Company’s manufacturing facilities service and provide benefit to all three operating segments and the operating costs of the facilities are reflected in the cost of goods sold for each operating segment. The Company’s operating segments do not record intercompany revenue. The Company does not allocate gains and losses from investments, interest expense, other income (expense), or taxes to operating segments. The CODM does not evaluate operating segments using discrete asset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is a leading global supplier of radio frequency ("RF"), analog mixed signal and power management solutions. HPA leverages a diverse portfolio of differentiated process technologies and products to serve customers in automotive, consumer, defense and aerospace, infrastructure, industrial and enterprise, and mobile markets.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CSG is a leading global supplier of connectivity and sensor solutions. CSG leverages broad expertise spanning ultra-wideband, Matter</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Low Energy, Zigbee</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Wi-Fi</w:t>
      </w:r>
      <w:r>
        <w:rPr>
          <w:rFonts w:ascii="Times New Roman;sans-serif" w:hAnsi="Times New Roman;sans-serif"/>
          <w:b w:val="false"/>
          <w:color w:val="000000"/>
          <w:sz w:val="13"/>
        </w:rPr>
        <w:t>®</w:t>
      </w:r>
      <w:r>
        <w:rPr>
          <w:rFonts w:ascii="Times New Roman;sans-serif" w:hAnsi="Times New Roman;sans-serif"/>
          <w:b w:val="false"/>
          <w:color w:val="000000"/>
          <w:sz w:val="20"/>
        </w:rPr>
        <w:t>, cellular Internet of Things, and microelectromechanical force sensing touch sensors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ACG is a leading global supplier of advanced cellular RF solutions for smartphones and consumer devices including tablets and wearables.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"All other" category includes operating expenses such as stock-based compensation expense, amortization of acquired intangible assets, restructuring-related charges, acquisition and integration-related costs, goodwill and other asset impairments, gain or loss on assets, costs associated with upgrading the Company's core business systems and other miscellaneous corporate overhead expenses that the Company does not allocate to its operating segments because these expenses are not included in the segment operating performance measures evaluated by the Company’s CODM. Except as discussed above regarding the "All other" category, the Company’s accounting policies for segment reporting are the same as for the Company as a whole.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details of the Company’s operating and reportable segments and a reconciliation of the "All other" category (in thousands):</w:t>
      </w:r>
    </w:p>
    <w:tbl>
      <w:tblPr>
        <w:tblW w:w="9589" w:type="dxa"/>
        <w:jc w:val="left"/>
        <w:tblInd w:w="0" w:type="dxa"/>
        <w:tblLayout w:type="fixed"/>
        <w:tblCellMar>
          <w:top w:w="28" w:type="dxa"/>
          <w:left w:w="28" w:type="dxa"/>
          <w:bottom w:w="28" w:type="dxa"/>
          <w:right w:w="28" w:type="dxa"/>
        </w:tblCellMar>
      </w:tblPr>
      <w:tblGrid>
        <w:gridCol w:w="861"/>
        <w:gridCol w:w="761"/>
        <w:gridCol w:w="762"/>
        <w:gridCol w:w="251"/>
        <w:gridCol w:w="1164"/>
        <w:gridCol w:w="130"/>
        <w:gridCol w:w="109"/>
        <w:gridCol w:w="109"/>
        <w:gridCol w:w="109"/>
        <w:gridCol w:w="251"/>
        <w:gridCol w:w="1164"/>
        <w:gridCol w:w="130"/>
        <w:gridCol w:w="109"/>
        <w:gridCol w:w="109"/>
        <w:gridCol w:w="109"/>
        <w:gridCol w:w="251"/>
        <w:gridCol w:w="1164"/>
        <w:gridCol w:w="130"/>
        <w:gridCol w:w="109"/>
        <w:gridCol w:w="109"/>
        <w:gridCol w:w="109"/>
        <w:gridCol w:w="250"/>
        <w:gridCol w:w="1157"/>
        <w:gridCol w:w="182"/>
      </w:tblGrid>
      <w:tr>
        <w:trPr/>
        <w:tc>
          <w:tcPr>
            <w:tcW w:w="8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ACG</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1,754,657 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ACG</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139,518 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9"/>
        <w:gridCol w:w="998"/>
        <w:gridCol w:w="1004"/>
        <w:gridCol w:w="259"/>
        <w:gridCol w:w="1098"/>
        <w:gridCol w:w="133"/>
        <w:gridCol w:w="109"/>
        <w:gridCol w:w="109"/>
        <w:gridCol w:w="109"/>
        <w:gridCol w:w="259"/>
        <w:gridCol w:w="1098"/>
        <w:gridCol w:w="133"/>
        <w:gridCol w:w="109"/>
        <w:gridCol w:w="109"/>
        <w:gridCol w:w="109"/>
        <w:gridCol w:w="259"/>
        <w:gridCol w:w="1098"/>
        <w:gridCol w:w="133"/>
        <w:gridCol w:w="109"/>
        <w:gridCol w:w="109"/>
        <w:gridCol w:w="109"/>
        <w:gridCol w:w="257"/>
        <w:gridCol w:w="1091"/>
        <w:gridCol w:w="195"/>
      </w:tblGrid>
      <w:tr>
        <w:trPr/>
        <w:tc>
          <w:tcPr>
            <w:tcW w:w="12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"All other" category:</w:t>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Restructuring-related charges</w:t>
            </w:r>
            <w:r>
              <w:rPr>
                <w:color w:val="000000"/>
              </w:rPr>
              <w:t xml:space="preserve"> </w:t>
            </w:r>
            <w:r>
              <w:rPr>
                <w:rFonts w:ascii="Times New Roman;sans-serif" w:hAnsi="Times New Roman;sans-serif"/>
                <w:b w:val="false"/>
                <w:color w:val="000000"/>
                <w:sz w:val="13"/>
              </w:rPr>
              <w:t>(1)</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(31,154)</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integration-related costs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Goodwill impairment </w:t>
            </w:r>
            <w:r>
              <w:rPr>
                <w:rFonts w:ascii="Times New Roman;sans-serif" w:hAnsi="Times New Roman;sans-serif"/>
                <w:b w:val="false"/>
                <w:color w:val="000000"/>
                <w:sz w:val="13"/>
              </w:rPr>
              <w:t>(2)</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for "All other"</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(209,474)</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(131,098)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(306,697)</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(228,035)</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Refer to Note 11 for additional information.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Refer to Note 5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expense was $19.9 million and $18.8 million for the three and six months ended September 28, 2024, respectively, and $42.1 million and $34.0 million for the three and six months ended September 30, 2023, respectively. The Company’s effective tax rate was 796.5% and 1,056.4% for the three and six months ended September 28, 2024, respectively, and 30.1% and 38.7% for the three and six months ended September 30,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for the three and six months ended September 28, 2024 differed from the statutory rate primarily due to tax rate differences in foreign jurisdictions, Global Intangible Low-Taxed Income ("GILTI"), domestic tax credits generated, discrete pretax items (including a non-deductible goodwill impairment charge) and discrete tax items. After consideration of pretax items taxed discretely in the period, the Company recognized tax expense associated with its ongoing operations and the year-to-date income, which was partially offset by discrete tax benefits of $4.3 million and discrete tax expense of $0.2 million for the three and six months ended September 28, 2024, respectively. The discrete tax benefit for the three months ended September 28, 2024 primarily related to the tax impacts of the 2025 Restructuring Initiative (refer to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 for additional information). For the six months ended September 28, 2024, this tax benefit was offset by the tax effects of the sale of the Company's assembly and test operations in China (refer to Note 4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for the three and six months ended September 30, 2023 differed from the statutory rate primarily due to tax rate differences in foreign jurisdictions, GILTI, domestic tax credits generated, discrete pretax items (including a non-deductible goodwill impairment charge) and discrete tax items. A discrete tax expense of $5.6 million and $5.5 million was recorded during the three and six months ended September 30, 2023, respectively, and primarily resulted from foreign currency gains recognized for tax purposes.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NET (LOSS) INCOME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1838"/>
        <w:gridCol w:w="1239"/>
        <w:gridCol w:w="1246"/>
        <w:gridCol w:w="237"/>
        <w:gridCol w:w="857"/>
        <w:gridCol w:w="122"/>
        <w:gridCol w:w="109"/>
        <w:gridCol w:w="109"/>
        <w:gridCol w:w="109"/>
        <w:gridCol w:w="244"/>
        <w:gridCol w:w="837"/>
        <w:gridCol w:w="126"/>
        <w:gridCol w:w="109"/>
        <w:gridCol w:w="109"/>
        <w:gridCol w:w="109"/>
        <w:gridCol w:w="237"/>
        <w:gridCol w:w="857"/>
        <w:gridCol w:w="122"/>
        <w:gridCol w:w="109"/>
        <w:gridCol w:w="109"/>
        <w:gridCol w:w="109"/>
        <w:gridCol w:w="243"/>
        <w:gridCol w:w="832"/>
        <w:gridCol w:w="187"/>
      </w:tblGrid>
      <w:tr>
        <w:trPr/>
        <w:tc>
          <w:tcPr>
            <w:tcW w:w="183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net (loss) income per share — net (loss) income available to common stockholders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net (loss) income per share — weighted-average shares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net (loss) income per share — adjusted weighted-average shares and assumed conversions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w:t>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immaterial number of shares of outstanding stock-based awards were excluded from the computation of diluted net income (net loss) per share for the three and six months ended September 28, 2024 and September 30, 2023, because the effect of their inclusion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SAFE HARBOR FOR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March 30, 2024, and Qorvo's subsequent reports and statements that we file with the SEC, could cause actual results and developments to be materially different from those expressed or implied by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Qorvo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global leader in the development and commercialization of technologies and products for wireless, wired and power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12 of the Notes to Condensed Consolidated Financial Statements for additional information regarding our reportable operating segments as of September 28,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is a leading global supplier of radio frequency ("RF"), analog mixed signal and power management solutions. HPA leverages a diverse portfolio of differentiated process technologies and products to serve customers in automotive, consumer, defense and aerospace, infrastructure, industrial and enterprise, and mobile markets.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CSG is a leading global supplier of connectivity and sensor solutions. CSG leverages broad expertise spanning ultra-wideband, Matter</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Low Energy, Zigbee</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Wi-Fi</w:t>
      </w:r>
      <w:r>
        <w:rPr>
          <w:rFonts w:ascii="Times New Roman;sans-serif" w:hAnsi="Times New Roman;sans-serif"/>
          <w:b w:val="false"/>
          <w:color w:val="000000"/>
          <w:sz w:val="13"/>
        </w:rPr>
        <w:t>®</w:t>
      </w:r>
      <w:r>
        <w:rPr>
          <w:rFonts w:ascii="Times New Roman;sans-serif" w:hAnsi="Times New Roman;sans-serif"/>
          <w:b w:val="false"/>
          <w:color w:val="000000"/>
          <w:sz w:val="20"/>
        </w:rPr>
        <w:t>, cellular Internet of Things, and microelectromechanical force sensing touch sensors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ACG is a leading global supplier of advanced cellular RF solutions for smartphones and consumer devices including tablets and wearables.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SECOND QUARTER FISCAL 2025 OVERVIEW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Revenue for the second quarter of fiscal 2025 decreased 5.2% as compared to the second quarter of fiscal 2024, driven by a mix shift among smartphone customers to lower RF content 5G smartphones and a higher percentage of entry-level Android smartphones, which contain less RF content. Revenue increased for our Wi-Fi components and automotive connectivity products, reflecting new product releases and improved channel inventory levels compared to the prior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Gross margin decreased to 42.6% for the second quarter of fiscal 2025 as compared to 44.4% for the second quarter of fiscal 2024, driven by higher average selling price erosion in Android mass market 5G smartphones and restructuring-related charges, while improved factory utilization positively impacted gross margin.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Operating income was $9.7 million for the second quarter of fiscal 2025 as compared to $151.4 million for the second quarter of fiscal 2024, driven by a decrease in gross profit of $44.4 million for the reasons described above, a goodwill impairment charge of $96.5 million and other restructuring-related charges.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per share was $0.18 for the second quarter of fiscal 2025 as compared to net income per diluted share of $0.99 for the second quarter of fiscal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cash provided by operating activities was $127.8 million for the second quarter of fiscal 2025 as compared to $93.0 million for the second quarter of fiscal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expenditures were $33.0 million for the second quarter of fiscal 2025 as compared to $28.6 million for the second quarter of fiscal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recorded $129.5 million in restructuring-related charges in connection with an initiative to seek strategic alternatives for our silicon carbide power device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Consolidated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our results of operations (in thousands, except percentages): </w:t>
      </w:r>
    </w:p>
    <w:tbl>
      <w:tblPr>
        <w:tblW w:w="10205" w:type="dxa"/>
        <w:jc w:val="left"/>
        <w:tblInd w:w="0" w:type="dxa"/>
        <w:tblLayout w:type="fixed"/>
        <w:tblCellMar>
          <w:top w:w="28" w:type="dxa"/>
          <w:left w:w="28" w:type="dxa"/>
          <w:bottom w:w="28" w:type="dxa"/>
          <w:right w:w="28" w:type="dxa"/>
        </w:tblCellMar>
      </w:tblPr>
      <w:tblGrid>
        <w:gridCol w:w="545"/>
        <w:gridCol w:w="478"/>
        <w:gridCol w:w="481"/>
        <w:gridCol w:w="213"/>
        <w:gridCol w:w="986"/>
        <w:gridCol w:w="110"/>
        <w:gridCol w:w="109"/>
        <w:gridCol w:w="109"/>
        <w:gridCol w:w="109"/>
        <w:gridCol w:w="308"/>
        <w:gridCol w:w="308"/>
        <w:gridCol w:w="413"/>
        <w:gridCol w:w="109"/>
        <w:gridCol w:w="109"/>
        <w:gridCol w:w="109"/>
        <w:gridCol w:w="213"/>
        <w:gridCol w:w="986"/>
        <w:gridCol w:w="110"/>
        <w:gridCol w:w="109"/>
        <w:gridCol w:w="109"/>
        <w:gridCol w:w="109"/>
        <w:gridCol w:w="308"/>
        <w:gridCol w:w="308"/>
        <w:gridCol w:w="413"/>
        <w:gridCol w:w="109"/>
        <w:gridCol w:w="109"/>
        <w:gridCol w:w="109"/>
        <w:gridCol w:w="213"/>
        <w:gridCol w:w="856"/>
        <w:gridCol w:w="110"/>
        <w:gridCol w:w="109"/>
        <w:gridCol w:w="109"/>
        <w:gridCol w:w="109"/>
        <w:gridCol w:w="318"/>
        <w:gridCol w:w="299"/>
        <w:gridCol w:w="594"/>
      </w:tblGrid>
      <w:tr>
        <w:trPr/>
        <w:tc>
          <w:tcPr>
            <w:tcW w:w="54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operating expense </w:t>
            </w:r>
            <w:r>
              <w:rPr>
                <w:rFonts w:ascii="Times New Roman;sans-serif" w:hAnsi="Times New Roman;sans-serif"/>
                <w:b w:val="false"/>
                <w:color w:val="000000"/>
                <w:sz w:val="13"/>
              </w:rPr>
              <w:t>(1)</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(141,753)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8"/>
        <w:gridCol w:w="481"/>
        <w:gridCol w:w="483"/>
        <w:gridCol w:w="213"/>
        <w:gridCol w:w="987"/>
        <w:gridCol w:w="110"/>
        <w:gridCol w:w="109"/>
        <w:gridCol w:w="109"/>
        <w:gridCol w:w="109"/>
        <w:gridCol w:w="308"/>
        <w:gridCol w:w="308"/>
        <w:gridCol w:w="414"/>
        <w:gridCol w:w="109"/>
        <w:gridCol w:w="109"/>
        <w:gridCol w:w="109"/>
        <w:gridCol w:w="213"/>
        <w:gridCol w:w="987"/>
        <w:gridCol w:w="110"/>
        <w:gridCol w:w="109"/>
        <w:gridCol w:w="109"/>
        <w:gridCol w:w="109"/>
        <w:gridCol w:w="308"/>
        <w:gridCol w:w="308"/>
        <w:gridCol w:w="414"/>
        <w:gridCol w:w="109"/>
        <w:gridCol w:w="109"/>
        <w:gridCol w:w="109"/>
        <w:gridCol w:w="215"/>
        <w:gridCol w:w="841"/>
        <w:gridCol w:w="111"/>
        <w:gridCol w:w="109"/>
        <w:gridCol w:w="109"/>
        <w:gridCol w:w="109"/>
        <w:gridCol w:w="318"/>
        <w:gridCol w:w="299"/>
        <w:gridCol w:w="59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1,754,657 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operating expense </w:t>
            </w:r>
            <w:r>
              <w:rPr>
                <w:rFonts w:ascii="Times New Roman;sans-serif" w:hAnsi="Times New Roman;sans-serif"/>
                <w:b w:val="false"/>
                <w:color w:val="000000"/>
                <w:sz w:val="13"/>
              </w:rPr>
              <w:t>(1)</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Other operating expense includes goodwill impairment charges.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Three months ended September 28, 2024 compared to the three months ended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consolidated revenue resulted from decreases in revenue of $98.6 million and $1.6 million in ACG and HPA, respectively, and an increase in revenue of $43.2 million in CSG, which are further discussed in our Operating Segments results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margin was driven by higher average selling price erosion in Android mass market 5G smartphones and restructuring-related charges, while improved factory utilization positively impacted gross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increased driven by a $16.8 million increase in employee-related costs (including salaries and benefits, incentive-based cash compensation and stock-based compensation expense) and an $8.9 million increase in product development costs related to developing new process technologies and new product categories.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driven by $3.0 million of higher employee-related costs (including salaries and benefits, incentive-based cash compensation and stock-based compensation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28, 2024, "Other operating expense" includes a goodwill impairment charge of $96.5 million, other restructuring-related charges of $18.9 million and $6.9 million of expenses associated with a multiyear project to upgrade the core systems we use to run our business. In the three months ended September 30, 2023, "Other operating expense" includes a goodwill impairment charge of $48.0 million, restructuring-related charges of $5.9 million and $3.1 million of expenses associated with a multiyear project to upgrade the core systems we use to run our business. Refer to Note 5 of the Notes to Condensed Consolidated Financial Statements for additional information regarding the goodwill impairment charges and Note 11 of the Notes to Condensed Consolidated Financial Statements for additional information on restructuring-related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Six months ended September 28, 2024 compared to the six months ended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consolidated revenue resulted from increases in revenue of $131.5 million and $58.8 million in ACG and CSG, respectively, and a decrease in revenue of $11.8 million in HPA, which are further discussed in our Operating Segments results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margin was driven by higher average selling price erosion in Android mass market 5G smartphones, while improved factory utilization positively impacted gross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increased driven by a $29.3 million increase in employee-related costs (including salaries and benefits, incentive-based cash compensation and stock-based compensation expense) and a $19.1 million increase in product development costs related to developing new process technologies and new product categories.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driven by a $7.5 million increase in employee-related costs (including salaries and benefits, incentive-based cash compensation and stock-based compensation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September 28, 2024, "Other operating expense" includes a goodwill impairment charge of $96.5 million, other restructuring-related charges of $38.6 million and $10.6 million of expenses associated with a multiyear project to upgrade the core systems we use to run our business. In the six months ended September 30, 2023, "Other operating expense" includes a goodwill impairment charge of $48.0 million, $9.7 million of restructuring-related charges and $5.2 million of expenses associated with a multiyear project to upgrade the core systems we use to run our business. Refer to Note 5 of the Notes to Condensed Consolidated Financial Statements for additional information regarding the goodwill impairment charges and Note 11 of the Notes to Condensed Consolidated Financial Statements for additional information on restructuring-related charges.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Operating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High Performance Analog</w:t>
      </w:r>
    </w:p>
    <w:tbl>
      <w:tblPr>
        <w:tblW w:w="9592"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49"/>
        <w:gridCol w:w="976"/>
        <w:gridCol w:w="320"/>
        <w:gridCol w:w="109"/>
        <w:gridCol w:w="109"/>
        <w:gridCol w:w="109"/>
        <w:gridCol w:w="249"/>
        <w:gridCol w:w="976"/>
        <w:gridCol w:w="320"/>
        <w:gridCol w:w="109"/>
        <w:gridCol w:w="109"/>
        <w:gridCol w:w="109"/>
        <w:gridCol w:w="211"/>
        <w:gridCol w:w="691"/>
        <w:gridCol w:w="109"/>
        <w:gridCol w:w="109"/>
        <w:gridCol w:w="109"/>
        <w:gridCol w:w="109"/>
        <w:gridCol w:w="291"/>
        <w:gridCol w:w="294"/>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148,251 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97"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49"/>
        <w:gridCol w:w="976"/>
        <w:gridCol w:w="320"/>
        <w:gridCol w:w="109"/>
        <w:gridCol w:w="109"/>
        <w:gridCol w:w="109"/>
        <w:gridCol w:w="249"/>
        <w:gridCol w:w="976"/>
        <w:gridCol w:w="320"/>
        <w:gridCol w:w="109"/>
        <w:gridCol w:w="109"/>
        <w:gridCol w:w="109"/>
        <w:gridCol w:w="211"/>
        <w:gridCol w:w="796"/>
        <w:gridCol w:w="109"/>
        <w:gridCol w:w="109"/>
        <w:gridCol w:w="109"/>
        <w:gridCol w:w="109"/>
        <w:gridCol w:w="291"/>
        <w:gridCol w:w="294"/>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Three months ended September 28, 2024 compared to the three months ended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revenue was relatively flat, with decreases in defense and aerospace driven by the timing of defense programs, partially offset by incremental revenue resulting from the acquisition of Anokiwave, Inc. ("Anokiwave").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HPA operating income was due to an increase in operating expenses of $12.6 million, resulting from the acquisition of Anokiwave and higher employee-related costs (including salaries and benefits, as well as incentive-based cash compensation).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Six months ended September 28, 2024 compared to the six months ended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$11.8 million decrease in HPA revenue was attributable to revenue decreases of $18.7 million and $8.8 million in defense and aerospace, and infrastructure, respectively. These revenue decreases were driven by the timing of defense programs and infrastructure deployment cycles and were partially offset by a $14.9 million increase in power management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HPA operating income was due to lower revenue and an increase in operating expenses of $20.5 million, resulting from the acquisition of Anokiwave and higher employee-related costs (including salaries and benefits, as well as incentive-based cash compensation).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Connectivity and Sensors Group</w:t>
      </w:r>
    </w:p>
    <w:tbl>
      <w:tblPr>
        <w:tblW w:w="9264" w:type="dxa"/>
        <w:jc w:val="left"/>
        <w:tblInd w:w="0" w:type="dxa"/>
        <w:tblLayout w:type="fixed"/>
        <w:tblCellMar>
          <w:top w:w="28" w:type="dxa"/>
          <w:left w:w="28" w:type="dxa"/>
          <w:bottom w:w="28" w:type="dxa"/>
          <w:right w:w="28" w:type="dxa"/>
        </w:tblCellMar>
      </w:tblPr>
      <w:tblGrid>
        <w:gridCol w:w="994"/>
        <w:gridCol w:w="873"/>
        <w:gridCol w:w="878"/>
        <w:gridCol w:w="109"/>
        <w:gridCol w:w="109"/>
        <w:gridCol w:w="109"/>
        <w:gridCol w:w="249"/>
        <w:gridCol w:w="976"/>
        <w:gridCol w:w="320"/>
        <w:gridCol w:w="109"/>
        <w:gridCol w:w="109"/>
        <w:gridCol w:w="109"/>
        <w:gridCol w:w="249"/>
        <w:gridCol w:w="976"/>
        <w:gridCol w:w="320"/>
        <w:gridCol w:w="109"/>
        <w:gridCol w:w="109"/>
        <w:gridCol w:w="109"/>
        <w:gridCol w:w="211"/>
        <w:gridCol w:w="721"/>
        <w:gridCol w:w="109"/>
        <w:gridCol w:w="109"/>
        <w:gridCol w:w="109"/>
        <w:gridCol w:w="109"/>
        <w:gridCol w:w="255"/>
        <w:gridCol w:w="256"/>
        <w:gridCol w:w="569"/>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64" w:type="dxa"/>
        <w:jc w:val="left"/>
        <w:tblInd w:w="0" w:type="dxa"/>
        <w:tblLayout w:type="fixed"/>
        <w:tblCellMar>
          <w:top w:w="28" w:type="dxa"/>
          <w:left w:w="28" w:type="dxa"/>
          <w:bottom w:w="28" w:type="dxa"/>
          <w:right w:w="28" w:type="dxa"/>
        </w:tblCellMar>
      </w:tblPr>
      <w:tblGrid>
        <w:gridCol w:w="994"/>
        <w:gridCol w:w="873"/>
        <w:gridCol w:w="878"/>
        <w:gridCol w:w="109"/>
        <w:gridCol w:w="109"/>
        <w:gridCol w:w="109"/>
        <w:gridCol w:w="249"/>
        <w:gridCol w:w="976"/>
        <w:gridCol w:w="320"/>
        <w:gridCol w:w="109"/>
        <w:gridCol w:w="109"/>
        <w:gridCol w:w="109"/>
        <w:gridCol w:w="249"/>
        <w:gridCol w:w="976"/>
        <w:gridCol w:w="320"/>
        <w:gridCol w:w="109"/>
        <w:gridCol w:w="109"/>
        <w:gridCol w:w="109"/>
        <w:gridCol w:w="211"/>
        <w:gridCol w:w="721"/>
        <w:gridCol w:w="109"/>
        <w:gridCol w:w="109"/>
        <w:gridCol w:w="109"/>
        <w:gridCol w:w="109"/>
        <w:gridCol w:w="255"/>
        <w:gridCol w:w="256"/>
        <w:gridCol w:w="569"/>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261,675 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202,885 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Three months ended September 28, 2024 compared to the three months ended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$43.2 million increase in CSG revenue was attributable to a $40.6 million increase in revenue for our Wi-Fi components and automotive connectivity products, reflecting new product releases and improved channel inventory levels compared to the prior year.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CSG operating loss was due to the impact of higher revenue and improved factory utilization.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Six months ended September 28, 2024 compared to the six months ended September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$58.8 million increase in CSG revenue was attributable to a $64.8 million increase in revenue for our Wi-Fi components, ultra-wideband solutions and automotive connectivity products, reflecting new product releases and improved channel inventory levels compared to the prior year. These revenue increases were partially offset by a $6.9 million decrease in revenue from our biotechnology business, which was sold in fiscal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CSG operating loss was due to the impact of higher revenue and improved factory utilization, partially offset by an increase in operating expenses of $6.3 million. The increase in operating expenses was driven by R&amp;D activities related to developing new process technologies and new product categories, including salaries and benefits, as well as incentive-based cash compensation. In addition, our biotechnology business, which was sold in fiscal 2024, generated an operating loss of $8.9 million for the six months ended September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Advanced Cellular Group</w:t>
      </w:r>
    </w:p>
    <w:tbl>
      <w:tblPr>
        <w:tblW w:w="9698"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49"/>
        <w:gridCol w:w="976"/>
        <w:gridCol w:w="320"/>
        <w:gridCol w:w="109"/>
        <w:gridCol w:w="109"/>
        <w:gridCol w:w="109"/>
        <w:gridCol w:w="249"/>
        <w:gridCol w:w="976"/>
        <w:gridCol w:w="320"/>
        <w:gridCol w:w="109"/>
        <w:gridCol w:w="109"/>
        <w:gridCol w:w="109"/>
        <w:gridCol w:w="211"/>
        <w:gridCol w:w="796"/>
        <w:gridCol w:w="109"/>
        <w:gridCol w:w="109"/>
        <w:gridCol w:w="109"/>
        <w:gridCol w:w="109"/>
        <w:gridCol w:w="293"/>
        <w:gridCol w:w="293"/>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850,067 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51"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23"/>
        <w:gridCol w:w="1034"/>
        <w:gridCol w:w="287"/>
        <w:gridCol w:w="109"/>
        <w:gridCol w:w="109"/>
        <w:gridCol w:w="109"/>
        <w:gridCol w:w="223"/>
        <w:gridCol w:w="1034"/>
        <w:gridCol w:w="287"/>
        <w:gridCol w:w="109"/>
        <w:gridCol w:w="109"/>
        <w:gridCol w:w="109"/>
        <w:gridCol w:w="211"/>
        <w:gridCol w:w="826"/>
        <w:gridCol w:w="109"/>
        <w:gridCol w:w="109"/>
        <w:gridCol w:w="109"/>
        <w:gridCol w:w="109"/>
        <w:gridCol w:w="255"/>
        <w:gridCol w:w="256"/>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1,393,786 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1,262,276 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331,506 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329,803 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Three months ended September 28, 2024 compared to the three months ended September 30, 2023</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$98.6 million </w:t>
      </w:r>
      <w:r>
        <w:rPr>
          <w:rFonts w:ascii="Times New Roman;sans-serif" w:hAnsi="Times New Roman;sans-serif"/>
          <w:b w:val="false"/>
          <w:color w:val="000000"/>
          <w:sz w:val="20"/>
          <w:shd w:fill="FFFFFF" w:val="clear"/>
        </w:rPr>
        <w:t xml:space="preserve">decrease in ACG revenue was </w:t>
      </w:r>
      <w:r>
        <w:rPr>
          <w:rFonts w:ascii="Times New Roman;sans-serif" w:hAnsi="Times New Roman;sans-serif"/>
          <w:b w:val="false"/>
          <w:color w:val="000000"/>
          <w:sz w:val="20"/>
        </w:rPr>
        <w:t>driven by a mix shift among smartphone customers to lower RF content 5G smartphones and a higher percentage of entry-level Android smartphones, which contain less RF content.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ACG operating income was driven by lower revenue and an increase in operating expenses of $16.2 million. The increase in operating expenses was driven by R&amp;D activities related to developing new process technologies and new product categories, including salaries and benefits, as well as incentive-based cash compensation. In addition, higher average selling price erosion in Android mass market 5G smartphones offset improved factory utilization.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Six months ended September 28, 2024 compared to the six months ended September 30, 2023</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$131.5 million</w:t>
      </w:r>
      <w:r>
        <w:rPr>
          <w:color w:val="000000"/>
          <w:shd w:fill="FFFFFF" w:val="clear"/>
        </w:rPr>
        <w:t xml:space="preserve"> </w:t>
      </w:r>
      <w:r>
        <w:rPr>
          <w:rFonts w:ascii="Times New Roman;sans-serif" w:hAnsi="Times New Roman;sans-serif"/>
          <w:b w:val="false"/>
          <w:color w:val="000000"/>
          <w:sz w:val="20"/>
          <w:shd w:fill="FFFFFF" w:val="clear"/>
        </w:rPr>
        <w:t xml:space="preserve">increase in ACG revenue was driven </w:t>
      </w:r>
      <w:r>
        <w:rPr>
          <w:rFonts w:ascii="Times New Roman;sans-serif" w:hAnsi="Times New Roman;sans-serif"/>
          <w:b w:val="false"/>
          <w:color w:val="000000"/>
          <w:sz w:val="20"/>
        </w:rPr>
        <w:t xml:space="preserve">by increased revenue from our largest customers in the first quarter of fiscal 2025, offset by a mix shift during the second quarter of fiscal 2025 among smartphone customers to lower RF content 5G smartphones and a higher percentage of entry-level Android smartphones, which contain less RF content.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ACG operating income was relatively flat reflecting higher revenue and improved factory utilization, offset by an increase in operating expenses of $33.5 million and higher average selling price erosion in Android mass market 5G smartphones. The increase in operating expenses was driven by R&amp;D activities related to developing new process technologies and new product categories, including salaries and benefits, as well as incentive-based cash compensation.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12 of the Notes to Condensed Consolidated Financial Statements for a reconciliation of reportable segment operating income (loss) to the consolidated operating income for the three and six months ended September 28, 2024 and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OTHER INCOME AND INCOME TAXES</w:t>
      </w:r>
    </w:p>
    <w:tbl>
      <w:tblPr>
        <w:tblW w:w="8927" w:type="dxa"/>
        <w:jc w:val="left"/>
        <w:tblInd w:w="0" w:type="dxa"/>
        <w:tblLayout w:type="fixed"/>
        <w:tblCellMar>
          <w:top w:w="28" w:type="dxa"/>
          <w:left w:w="28" w:type="dxa"/>
          <w:bottom w:w="28" w:type="dxa"/>
          <w:right w:w="28" w:type="dxa"/>
        </w:tblCellMar>
      </w:tblPr>
      <w:tblGrid>
        <w:gridCol w:w="626"/>
        <w:gridCol w:w="548"/>
        <w:gridCol w:w="550"/>
        <w:gridCol w:w="292"/>
        <w:gridCol w:w="1102"/>
        <w:gridCol w:w="150"/>
        <w:gridCol w:w="109"/>
        <w:gridCol w:w="109"/>
        <w:gridCol w:w="109"/>
        <w:gridCol w:w="292"/>
        <w:gridCol w:w="1102"/>
        <w:gridCol w:w="150"/>
        <w:gridCol w:w="109"/>
        <w:gridCol w:w="109"/>
        <w:gridCol w:w="109"/>
        <w:gridCol w:w="292"/>
        <w:gridCol w:w="1102"/>
        <w:gridCol w:w="150"/>
        <w:gridCol w:w="109"/>
        <w:gridCol w:w="109"/>
        <w:gridCol w:w="109"/>
        <w:gridCol w:w="289"/>
        <w:gridCol w:w="1090"/>
        <w:gridCol w:w="211"/>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0" w:after="0"/>
        <w:jc w:val="left"/>
        <w:rPr/>
      </w:pPr>
      <w:r>
        <w:rPr>
          <w:rFonts w:ascii="Times New Roman;sans-serif" w:hAnsi="Times New Roman;sans-serif"/>
          <w:b w:val="false"/>
          <w:color w:val="000000"/>
          <w:sz w:val="20"/>
        </w:rPr>
        <w:t xml:space="preserve">During the three and six months ended September 28, 2024 and September 30, 2023, we recorded interest expense primarily related to our </w:t>
      </w:r>
      <w:r>
        <w:rPr>
          <w:rFonts w:ascii="Times New Roman;sans-serif" w:hAnsi="Times New Roman;sans-serif"/>
          <w:b w:val="false"/>
          <w:color w:val="000000"/>
          <w:sz w:val="20"/>
          <w:shd w:fill="FFFFFF" w:val="clear"/>
        </w:rPr>
        <w:t>1.750%</w:t>
      </w:r>
      <w:r>
        <w:rPr>
          <w:color w:val="000000"/>
        </w:rPr>
        <w:t xml:space="preserve"> </w:t>
      </w:r>
      <w:r>
        <w:rPr>
          <w:rFonts w:ascii="Times New Roman;sans-serif" w:hAnsi="Times New Roman;sans-serif"/>
          <w:b w:val="false"/>
          <w:color w:val="000000"/>
          <w:sz w:val="20"/>
        </w:rPr>
        <w:t>senior notes due 2024 (the "2024 Notes"), our 4.375% senior notes due 2029 (the "2029 Notes") and our</w:t>
      </w:r>
      <w:r>
        <w:rPr>
          <w:color w:val="000000"/>
          <w:shd w:fill="FFFFFF" w:val="clear"/>
        </w:rPr>
        <w:t xml:space="preserve"> </w:t>
      </w:r>
      <w:r>
        <w:rPr>
          <w:rFonts w:ascii="Times New Roman;sans-serif" w:hAnsi="Times New Roman;sans-serif"/>
          <w:b w:val="false"/>
          <w:color w:val="000000"/>
          <w:sz w:val="20"/>
          <w:shd w:fill="FFFFFF" w:val="clear"/>
        </w:rPr>
        <w:t xml:space="preserve">3.375% senior notes due 2031 (the "2031 Notes"). </w:t>
      </w:r>
      <w:r>
        <w:rPr>
          <w:rFonts w:ascii="Times New Roman;sans-serif" w:hAnsi="Times New Roman;sans-serif"/>
          <w:b w:val="false"/>
          <w:color w:val="000000"/>
          <w:sz w:val="20"/>
        </w:rPr>
        <w:t xml:space="preserve">Refer to Note 7 of the Notes to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for additional information. Interest expense for the three and six months ended September 28, 2024 also includes financing costs related to certain inventory (subject to repurchase) in connection with a supply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28, 2024, we recorded interest income of $13.8 million and net gains of $1.7 million from our share of the profit or loss from our limited partnership investments and gains or losses from other investments. During the six months ended September 28, 2024, we recorded interest income of $26.2 million and net gains of $0.6 million from our share of the profit or loss from our limited partnership investments and gains or losses from other investments.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we recorded interest income of $7.7 million and net losses of $2.5 million from our share of the profit or loss from our limited partnership investments and gains or losses from other investments. During the six months ended September 30, 2023, we recorded interest income of $15.9 million and net gains of $2.1 million from our share of the profit or loss from our limited partnership investments and gains or losses from other investments.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September 28, 2024, we recorded income tax expense of $19.9 million and $18.8 million, respectively, comprised primarily of tax expense related to international operations generating pre-tax book income and the impact of Global Intangible Low-Taxed Income ("GILTI"), partially offset by tax benefits related to domestic and international operations generating pre-tax book losses, domestic tax credits and discrete tax items. The discrete tax benefit for the three months ended September 28, 2024 primarily related to the impacts of restructuring activities initiated in fiscal 2025 (refer to Note 11 of the Notes to Condensed Consolidated Financial Statements for additional information). For the six months ended September 28, 2024, this tax benefit was offset by the discrete tax effects of the sale of the Company's assembly and test operations in China (refer to Note 4 of the Notes to Condensed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September 30, 2023, we recorded income tax expense of $42.1 million and $34.0 million, respectively, comprised primarily of tax expense related to international operations generating pre-tax book income, the impact of GILTI and discrete tax items, partially offset by tax benefits related to domestic and international operations generating pre-tax book losses and domestic tax credits recorded during the period. The discrete tax expense for the three and six months ended September 30, 2023 primarily resulted from foreign currency gains recognized for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remained against certain domestic and foreign net deferred tax assets as it is more likely than not that the related deferred tax assets will not be realized.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generated by operations is our primary source of liquidity. As of September 28, 2024, we had working capital of approximately $1,198.7 million, including $1,096.5 million in cash and cash equivalents, compared to working capital of approximately $1,215.9 million, including $1,029.3 million in cash and cash equivalents as of March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$1,096.5 million of total cash and cash equivalents as of September 28, 2024, includes approximately $888.0 million held by our foreign subsidiaries, of which $691.1 million is held by Qorvo International Pte. Ltd. in Singapore. If the undistributed earnings of our foreign subsidiaries are needed in the U.S., we may be required to pay state income and/or foreign local withholding taxes to repatriate these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In the first quarter of fiscal 2025, we repurchased $27.3 million of the principal amount of our 2024 Notes, plus accrued and unpaid interest, on the open market. The remaining principal amount of the 2024 Notes of $412.5 million is included in "Current portion of long-term debt" in the Condensed Consolidated Balance Sheet as of September 28,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Creating Helpful Incentives to Produce Semiconductors and Science Act (the "CHIPS Act") was signed into law. The CHIPS Act provides for a 25% refundable tax credit on certain investments in domestic semiconductor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The tax credit is provided for qualifying property which is placed in service after December 31, 2022, and for which construction begins before January 1, 2027. We recognized an anticipated tax credit during the three months ended September 28, 2024 within other non-current assets and will receive the cash benefit in future periods when applied against our tax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Repurchases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September 28, 2024, we repurchased approximately 2.0 million shares of our common stock for approximately $207.5 million (including transaction costs and excise tax) under our share repurchase program. As of September 28, 2024, approximately $1,098.7 million remains authorized for repurchases under the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0"/>
        <w:jc w:val="left"/>
        <w:rPr/>
      </w:pPr>
      <w:r>
        <w:rPr>
          <w:rFonts w:ascii="Times New Roman;sans-serif" w:hAnsi="Times New Roman;sans-serif"/>
          <w:b w:val="false"/>
          <w:color w:val="000000"/>
          <w:sz w:val="20"/>
          <w:shd w:fill="FFFFFF" w:val="clear"/>
        </w:rPr>
        <w:t>Net cash provided by operating activities was $208.9 million and $137.9 million for the six months ended September 28, 2024 and September 30, 2023, respectiv</w:t>
      </w:r>
      <w:r>
        <w:rPr>
          <w:rFonts w:ascii="Times New Roman;sans-serif" w:hAnsi="Times New Roman;sans-serif"/>
          <w:b w:val="false"/>
          <w:color w:val="000000"/>
          <w:sz w:val="20"/>
        </w:rPr>
        <w:t xml:space="preserve">ely. This increase in cash provided by operating activities was driven by changes in working capital, partially offset by decreased profitability.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$52.0 million and $24.2 million for the six months ended September 28, 2024 and September 30, 2023, respectively. During the six months ended September 28, 2024, the Company purchased $30.0 million of short-term investments and received proceeds of $55.6 million from the divestiture of our assembly and test operations in China. During the six months ended September 30, 2023, the Company received proceeds of $47.3 million, primarily from the sale of our manufacturing facility in Farmers Branch, Texas.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$109.3 million and $214.3 million for the six months ended September 28, 2024 and September 30, 2023, respectively. During the six months ended September 28, 2024, we received net proceeds of $142.8 million from Luxshare Precision Industry Co., Ltd. for inventory (subject to repurchase) in connection with our supply agreement (refer to Note 4 of the Notes to Condensed Consolidated Financial Statements for additional information) and we repurchased $27.3 million of the principal amount of our 2024 Notes for $26.7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Credit Agreement</w:t>
      </w:r>
      <w:r>
        <w:rPr>
          <w:color w:val="000000"/>
        </w:rPr>
        <w:t xml:space="preserve"> </w:t>
      </w:r>
      <w:r>
        <w:rPr>
          <w:rFonts w:ascii="Times New Roman;sans-serif" w:hAnsi="Times New Roman;sans-serif"/>
          <w:b w:val="false"/>
          <w:color w:val="000000"/>
          <w:sz w:val="20"/>
        </w:rPr>
        <w:t xml:space="preserve">On April 23, 2024, we entered into a five-year unsecured senior credit facility pursuant to a credit agreement with Bank of America, N.A., as administrative agent, swing line lender and letter of credit issuer and a syndicate of lenders (the “Credit Agreement”), which replaced our previous credit agreement. The Credit Agreement provides for a </w:t>
      </w:r>
      <w:r>
        <w:rPr>
          <w:rFonts w:ascii="Times New Roman;sans-serif" w:hAnsi="Times New Roman;sans-serif"/>
          <w:b w:val="false"/>
          <w:color w:val="000000"/>
          <w:sz w:val="20"/>
          <w:shd w:fill="FFFFFF" w:val="clear"/>
        </w:rPr>
        <w:t>$325.0 million</w:t>
      </w:r>
      <w:r>
        <w:rPr>
          <w:color w:val="000000"/>
        </w:rPr>
        <w:t xml:space="preserve"> </w:t>
      </w:r>
      <w:r>
        <w:rPr>
          <w:rFonts w:ascii="Times New Roman;sans-serif" w:hAnsi="Times New Roman;sans-serif"/>
          <w:b w:val="false"/>
          <w:color w:val="000000"/>
          <w:sz w:val="20"/>
        </w:rPr>
        <w:t xml:space="preserve">senior revolving line of credit (the “Revolving Facility”). We may request at any time that the Revolving Facility be increased by up to </w:t>
      </w:r>
      <w:r>
        <w:rPr>
          <w:rFonts w:ascii="Times New Roman;sans-serif" w:hAnsi="Times New Roman;sans-serif"/>
          <w:b w:val="false"/>
          <w:color w:val="000000"/>
          <w:sz w:val="20"/>
          <w:shd w:fill="FFFFFF" w:val="clear"/>
        </w:rPr>
        <w:t>$325.0 million</w:t>
      </w:r>
      <w:r>
        <w:rPr>
          <w:rFonts w:ascii="Times New Roman;sans-serif" w:hAnsi="Times New Roman;sans-serif"/>
          <w:b w:val="false"/>
          <w:color w:val="000000"/>
          <w:sz w:val="20"/>
        </w:rPr>
        <w:t>, subject to securing additional funding commitments from existing or new lenders. The Revolving Facility is available to finance working capital, capital expenditures and other lawful corporate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September 28, 2024, there were no borrowings under the Revolving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Credit Agreement contains various conditions, covenants and representations with which we must be in compliance in order to borrow funds and to avoid an event of default. As of </w:t>
      </w:r>
      <w:r>
        <w:rPr>
          <w:rFonts w:ascii="Times New Roman;sans-serif" w:hAnsi="Times New Roman;sans-serif"/>
          <w:b w:val="false"/>
          <w:color w:val="000000"/>
          <w:sz w:val="20"/>
        </w:rPr>
        <w:t>September 28, 2024</w:t>
      </w:r>
      <w:r>
        <w:rPr>
          <w:rFonts w:ascii="Times New Roman;sans-serif" w:hAnsi="Times New Roman;sans-serif"/>
          <w:b w:val="false"/>
          <w:color w:val="000000"/>
          <w:sz w:val="20"/>
          <w:shd w:fill="FFFFFF" w:val="clear"/>
        </w:rPr>
        <w:t xml:space="preserve">, we were in compliance with these covenants.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2024 Notes</w:t>
      </w:r>
      <w:r>
        <w:rPr>
          <w:color w:val="000000"/>
        </w:rPr>
        <w:t xml:space="preserve"> </w:t>
      </w:r>
      <w:r>
        <w:rPr>
          <w:rFonts w:ascii="Times New Roman;sans-serif" w:hAnsi="Times New Roman;sans-serif"/>
          <w:b w:val="false"/>
          <w:color w:val="000000"/>
          <w:sz w:val="20"/>
        </w:rPr>
        <w:t>On December 14, 2021, we issued $500.0 million aggregate principal amount of our 2024 Notes. Interest on the 2024 Notes is payable on June 15 and December 15 of each year at a rate of 1.750% per annum. The remaining principal amount of the 2024 Notes of $412.5 million is included in "Current portion of long-term debt" in the Condensed Consolidated Balance Sheet as of September 28, 2024 and will mature on December 15, 2024, unless earlier redeemed in accordance with their terms. The 2024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2029 Notes</w:t>
      </w:r>
      <w:r>
        <w:rPr>
          <w:color w:val="000000"/>
        </w:rPr>
        <w:t xml:space="preserve"> </w:t>
      </w:r>
      <w:r>
        <w:rPr>
          <w:rFonts w:ascii="Times New Roman;sans-serif" w:hAnsi="Times New Roman;sans-serif"/>
          <w:b w:val="false"/>
          <w:color w:val="000000"/>
          <w:sz w:val="20"/>
        </w:rPr>
        <w:t xml:space="preserve">On September 30, 2019, we issued $350.0 million aggregate principal amount of our 2029 Notes. On December 20, 2019, and June 11, 2020, we issued an additional $200.0 million and $300.0 million, respectively, aggregate principal amount of our 2029 Notes. Interest on the 2029 Notes is payable on April 15 and October 15 of each year at a rate of 4.375%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annum. The 2029 Notes will mature on October 15, 2029, unless earlier redeemed in accordance with their terms. The 2029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2031 Notes</w:t>
      </w:r>
      <w:r>
        <w:rPr>
          <w:color w:val="000000"/>
        </w:rPr>
        <w:t xml:space="preserve"> </w:t>
      </w:r>
      <w:r>
        <w:rPr>
          <w:rFonts w:ascii="Times New Roman;sans-serif" w:hAnsi="Times New Roman;sans-serif"/>
          <w:b w:val="false"/>
          <w:color w:val="000000"/>
          <w:sz w:val="20"/>
        </w:rPr>
        <w:t>On September 29, 2020, we issued $700.0 million aggregate principal amount of our 2031 Notes. Interest on the 2031 Notes is payable on 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debt, refer to Note 7 of the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Capital Commitments</w:t>
      </w:r>
      <w:r>
        <w:rPr>
          <w:color w:val="000000"/>
        </w:rPr>
        <w:t xml:space="preserve"> </w:t>
      </w:r>
      <w:r>
        <w:rPr>
          <w:rFonts w:ascii="Times New Roman;sans-serif" w:hAnsi="Times New Roman;sans-serif"/>
          <w:b w:val="false"/>
          <w:color w:val="000000"/>
          <w:sz w:val="20"/>
        </w:rPr>
        <w:t>As of September 28, 2024, we had capital commitments of approximately $116.3 million primarily for expanding capability to develop and support new products, equipment and facility upgrades and cost savings initiatives.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Future Sources of Funding</w:t>
      </w:r>
      <w:r>
        <w:rPr>
          <w:color w:val="000000"/>
        </w:rPr>
        <w:t xml:space="preserve"> </w:t>
      </w:r>
      <w:r>
        <w:rPr>
          <w:rFonts w:ascii="Times New Roman;sans-serif" w:hAnsi="Times New Roman;sans-serif"/>
          <w:b w:val="false"/>
          <w:color w:val="000000"/>
          <w:sz w:val="20"/>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Legal</w:t>
      </w:r>
      <w:r>
        <w:rPr>
          <w:color w:val="000000"/>
        </w:rPr>
        <w:t xml:space="preserve"> </w:t>
      </w:r>
      <w:r>
        <w:rPr>
          <w:rFonts w:ascii="Times New Roman;sans-serif" w:hAnsi="Times New Roman;sans-serif"/>
          <w:b w:val="false"/>
          <w:color w:val="000000"/>
          <w:sz w:val="20"/>
        </w:rPr>
        <w:t>We are involved in various legal proceedings and claims that have arisen in the ordinary course of business that have not been fully adjudicated. We 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Taxes</w:t>
      </w:r>
      <w:r>
        <w:rPr>
          <w:color w:val="000000"/>
        </w:rPr>
        <w:t xml:space="preserve"> </w:t>
      </w:r>
      <w:r>
        <w:rPr>
          <w:rFonts w:ascii="Times New Roman;sans-serif" w:hAnsi="Times New Roman;sans-serif"/>
          <w:b w:val="false"/>
          <w:color w:val="000000"/>
          <w:sz w:val="20"/>
        </w:rPr>
        <w:t>We are subject to income and other taxes in the United States and in numerous foreign jurisdictions. Our domestic and foreign tax liabilities are 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PARENT AND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tbl>
      <w:tblPr>
        <w:tblW w:w="5681" w:type="dxa"/>
        <w:jc w:val="left"/>
        <w:tblInd w:w="0" w:type="dxa"/>
        <w:tblLayout w:type="fixed"/>
        <w:tblCellMar>
          <w:top w:w="28" w:type="dxa"/>
          <w:left w:w="28" w:type="dxa"/>
          <w:bottom w:w="28" w:type="dxa"/>
          <w:right w:w="28" w:type="dxa"/>
        </w:tblCellMar>
      </w:tblPr>
      <w:tblGrid>
        <w:gridCol w:w="907"/>
        <w:gridCol w:w="797"/>
        <w:gridCol w:w="801"/>
        <w:gridCol w:w="284"/>
        <w:gridCol w:w="1114"/>
        <w:gridCol w:w="147"/>
        <w:gridCol w:w="109"/>
        <w:gridCol w:w="109"/>
        <w:gridCol w:w="109"/>
        <w:gridCol w:w="231"/>
        <w:gridCol w:w="905"/>
        <w:gridCol w:w="16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Summarized Balance Sheets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assets</w:t>
            </w:r>
            <w:r>
              <w:rPr>
                <w:color w:val="000000"/>
              </w:rPr>
              <w:t xml:space="preserve"> </w:t>
            </w:r>
            <w:r>
              <w:rPr>
                <w:rFonts w:ascii="Times New Roman;sans-serif" w:hAnsi="Times New Roman;sans-serif"/>
                <w:b w:val="false"/>
                <w:color w:val="000000"/>
                <w:sz w:val="13"/>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2,236,804 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2,311,618 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liabilities </w:t>
            </w:r>
            <w:r>
              <w:rPr>
                <w:rFonts w:ascii="Times New Roman;sans-serif" w:hAnsi="Times New Roman;sans-serif"/>
                <w:b w:val="false"/>
                <w:color w:val="000000"/>
                <w:sz w:val="13"/>
              </w:rPr>
              <w:t>(2)</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2,374,968 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2,306,883 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net amounts due from Non-Guarantor subsidiaries of $332.3 million and $129.8 million as of September 28, 2024 and March 30, 2024, respectively.</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Includes net amounts due to Non-Guarantor subsidiaries of $651.9 million and $597.3 million as of September 28, 2024 and March 30, 2024, respectively.</w:t>
      </w:r>
    </w:p>
    <w:tbl>
      <w:tblPr>
        <w:tblW w:w="5202" w:type="dxa"/>
        <w:jc w:val="center"/>
        <w:tblInd w:w="0" w:type="dxa"/>
        <w:tblLayout w:type="fixed"/>
        <w:tblCellMar>
          <w:top w:w="28" w:type="dxa"/>
          <w:left w:w="28" w:type="dxa"/>
          <w:bottom w:w="28" w:type="dxa"/>
          <w:right w:w="28" w:type="dxa"/>
        </w:tblCellMar>
      </w:tblPr>
      <w:tblGrid>
        <w:gridCol w:w="1190"/>
        <w:gridCol w:w="1045"/>
        <w:gridCol w:w="1050"/>
        <w:gridCol w:w="109"/>
        <w:gridCol w:w="109"/>
        <w:gridCol w:w="109"/>
        <w:gridCol w:w="281"/>
        <w:gridCol w:w="1104"/>
        <w:gridCol w:w="205"/>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28, 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(228,665)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exposures during the second quarter of fiscal 2025. For a discussion of our exposure to market risk, refer to Item 7A, "Quantitative and Qualitative Disclosures About Market Risk," contained in Qorvo's Annual Report on Form 10-K for the fiscal year ended March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internal control over financial reporting (as defined in Rules 13a-15(f) and 15d-15(f) under the Exchange Act) that occurred during the quarter ended September 28, 2024,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report and in our other reports and statements that we file with the SEC, careful consideration should be given to the factors discussed in Part I, Item 1A., "Risk Factors" in Qorvo's Annual Report on Form 10-K for the fiscal year ended March 30, 2024,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 Issuer Purchases of Equity Securities </w:t>
      </w:r>
    </w:p>
    <w:tbl>
      <w:tblPr>
        <w:tblW w:w="10205" w:type="dxa"/>
        <w:jc w:val="center"/>
        <w:tblInd w:w="0" w:type="dxa"/>
        <w:tblLayout w:type="fixed"/>
        <w:tblCellMar>
          <w:top w:w="28" w:type="dxa"/>
          <w:left w:w="28" w:type="dxa"/>
          <w:bottom w:w="28" w:type="dxa"/>
          <w:right w:w="28" w:type="dxa"/>
        </w:tblCellMar>
      </w:tblPr>
      <w:tblGrid>
        <w:gridCol w:w="721"/>
        <w:gridCol w:w="358"/>
        <w:gridCol w:w="362"/>
        <w:gridCol w:w="109"/>
        <w:gridCol w:w="109"/>
        <w:gridCol w:w="109"/>
        <w:gridCol w:w="502"/>
        <w:gridCol w:w="502"/>
        <w:gridCol w:w="504"/>
        <w:gridCol w:w="109"/>
        <w:gridCol w:w="109"/>
        <w:gridCol w:w="109"/>
        <w:gridCol w:w="261"/>
        <w:gridCol w:w="894"/>
        <w:gridCol w:w="134"/>
        <w:gridCol w:w="109"/>
        <w:gridCol w:w="109"/>
        <w:gridCol w:w="109"/>
        <w:gridCol w:w="764"/>
        <w:gridCol w:w="764"/>
        <w:gridCol w:w="766"/>
        <w:gridCol w:w="109"/>
        <w:gridCol w:w="109"/>
        <w:gridCol w:w="109"/>
        <w:gridCol w:w="438"/>
        <w:gridCol w:w="1597"/>
        <w:gridCol w:w="330"/>
      </w:tblGrid>
      <w:tr>
        <w:trPr/>
        <w:tc>
          <w:tcPr>
            <w:tcW w:w="72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millions)</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 to July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2024 to August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25, 2024 to September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 our share repurchases in excess of issuances are subject to a 1% excise tax enacted by the Inflation Reduction Act. The excise tax is recognized as part of the cost basis of shares acquired in the Condensed Consolidated Statements of Stockholders' Equity and is excluded from amounts presented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and Non-Rule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actions by our directors or Section 16 officers with respect to plans intended to satisfy the affirmative defense conditions of Rule 10b5-1(c) during the second quarter of fiscal 2025. None of our directors or Section 16 officers took actions with respect to a "non-Rule 10b5-1 trading arrangement," as such term is defined in Item 408(c) of Regulation S-K, during the second quarter of fiscal 2025.</w:t>
      </w:r>
    </w:p>
    <w:tbl>
      <w:tblPr>
        <w:tblW w:w="10205" w:type="dxa"/>
        <w:jc w:val="left"/>
        <w:tblInd w:w="0" w:type="dxa"/>
        <w:tblLayout w:type="fixed"/>
        <w:tblCellMar>
          <w:top w:w="28" w:type="dxa"/>
          <w:left w:w="28" w:type="dxa"/>
          <w:bottom w:w="28" w:type="dxa"/>
          <w:right w:w="28" w:type="dxa"/>
        </w:tblCellMar>
      </w:tblPr>
      <w:tblGrid>
        <w:gridCol w:w="1655"/>
        <w:gridCol w:w="1321"/>
        <w:gridCol w:w="1288"/>
        <w:gridCol w:w="109"/>
        <w:gridCol w:w="109"/>
        <w:gridCol w:w="109"/>
        <w:gridCol w:w="294"/>
        <w:gridCol w:w="294"/>
        <w:gridCol w:w="298"/>
        <w:gridCol w:w="109"/>
        <w:gridCol w:w="109"/>
        <w:gridCol w:w="109"/>
        <w:gridCol w:w="234"/>
        <w:gridCol w:w="234"/>
        <w:gridCol w:w="239"/>
        <w:gridCol w:w="109"/>
        <w:gridCol w:w="109"/>
        <w:gridCol w:w="109"/>
        <w:gridCol w:w="418"/>
        <w:gridCol w:w="418"/>
        <w:gridCol w:w="419"/>
        <w:gridCol w:w="109"/>
        <w:gridCol w:w="109"/>
        <w:gridCol w:w="109"/>
        <w:gridCol w:w="521"/>
        <w:gridCol w:w="521"/>
        <w:gridCol w:w="743"/>
      </w:tblGrid>
      <w:tr>
        <w:trPr/>
        <w:tc>
          <w:tcPr>
            <w:tcW w:w="165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4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Number of Shares to be Sold </w:t>
            </w:r>
            <w:r>
              <w:rPr>
                <w:rFonts w:ascii="Times New Roman;sans-serif" w:hAnsi="Times New Roman;sans-serif"/>
                <w:b/>
                <w:color w:val="000000"/>
                <w:sz w:val="12"/>
              </w:rPr>
              <w:t>(1)</w:t>
            </w:r>
          </w:p>
        </w:tc>
      </w:tr>
      <w:tr>
        <w:trPr/>
        <w:tc>
          <w:tcPr>
            <w:tcW w:w="4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Frank P. Stewart Senior Vice President and President of Advanced Cellular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2,309</w:t>
            </w:r>
          </w:p>
        </w:tc>
      </w:tr>
      <w:tr>
        <w:trPr/>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Philip J. Chesley Senior Vice President and President of High Performance Analog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24,357</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Represents the gross number of shares subject to the Rule 10b5-1 plan, excluding the potential effect of shares withheld for taxes. Amounts may include shares to be earned as performance-based restricted stock unit awards ("PBRSUs") and are presented at their target amounts. The actual number of PBRSUs earned following the end of the applicable performance period, if any, will depend on the relative attainment of the performance metrics.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9"/>
        <w:gridCol w:w="247"/>
        <w:gridCol w:w="109"/>
        <w:gridCol w:w="3024"/>
        <w:gridCol w:w="2705"/>
        <w:gridCol w:w="3841"/>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20240928.htm">
              <w:r>
                <w:rPr>
                  <w:rStyle w:val="InternetLink"/>
                  <w:rFonts w:ascii="Times New Roman;sans-serif" w:hAnsi="Times New Roman;sans-serif"/>
                  <w:b w:val="false"/>
                  <w:color w:val="0000FF"/>
                  <w:sz w:val="20"/>
                  <w:u w:val="single"/>
                </w:rPr>
                <w:t>List of Subsidiary Guarantors</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40928.htm">
              <w:r>
                <w:rPr>
                  <w:rStyle w:val="InternetLink"/>
                  <w:rFonts w:ascii="Times New Roman;sans-serif" w:hAnsi="Times New Roman;sans-serif"/>
                  <w:b w:val="false"/>
                  <w:color w:val="0000FF"/>
                  <w:sz w:val="20"/>
                  <w:u w:val="single"/>
                </w:rPr>
                <w:t>Certification of Periodic Report by Robert A. Bruggeworth, as Chief Executive Officer, pursuant to Rule 13a-14(a) or 15d-14(a) of the Exchange Act, as adopted pursuant to Section 302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40928.htm">
              <w:r>
                <w:rPr>
                  <w:rStyle w:val="InternetLink"/>
                  <w:rFonts w:ascii="Times New Roman;sans-serif" w:hAnsi="Times New Roman;sans-serif"/>
                  <w:b w:val="false"/>
                  <w:color w:val="0000FF"/>
                  <w:sz w:val="20"/>
                  <w:u w:val="single"/>
                </w:rPr>
                <w:t>Certification of Periodic Report by Grant A. Brown, as Chief Financial Officer, pursuant to Rule 13a-14(a) or 15d-14(a) of the Exchange Act, as adopted pursuant to Section 302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40928.htm">
              <w:r>
                <w:rPr>
                  <w:rStyle w:val="InternetLink"/>
                  <w:rFonts w:ascii="Times New Roman;sans-serif" w:hAnsi="Times New Roman;sans-serif"/>
                  <w:b w:val="false"/>
                  <w:color w:val="0000FF"/>
                  <w:sz w:val="20"/>
                  <w:u w:val="single"/>
                </w:rPr>
                <w:t>Certification of Periodic Report by Robert A. Bruggeworth, as Chief Executive Officer, pursuant to 18 U.S.C. Section 1350, as adopted pursuant to Section 906 of the Sarbanes-Oxley Act of 2002</w:t>
              </w:r>
            </w:hyperlink>
            <w:r>
              <w:rPr>
                <w:color w:val="000000"/>
              </w:rPr>
              <w:t xml:space="preserve"> </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40928.htm">
              <w:r>
                <w:rPr>
                  <w:rStyle w:val="InternetLink"/>
                  <w:rFonts w:ascii="Times New Roman;sans-serif" w:hAnsi="Times New Roman;sans-serif"/>
                  <w:b w:val="false"/>
                  <w:color w:val="0000FF"/>
                  <w:sz w:val="20"/>
                  <w:u w:val="single"/>
                </w:rPr>
                <w:t>Certification of Periodic Report by Grant A. Brown, as Chief Financial Officer, pursuant to 18 U.S.C. Section 1350, as adopted pursuant to Section 906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The following materials from our Quarterly Report on Form 10-Q for the quarter ended September 28</w:t>
            </w:r>
            <w:r>
              <w:rPr>
                <w:rFonts w:ascii="Times New Roman;sans-serif" w:hAnsi="Times New Roman;sans-serif"/>
                <w:b w:val="false"/>
                <w:color w:val="000000"/>
                <w:sz w:val="20"/>
                <w:shd w:fill="FFFFFF" w:val="clear"/>
              </w:rPr>
              <w:t>, 2024, f</w:t>
            </w:r>
            <w:r>
              <w:rPr>
                <w:rFonts w:ascii="Times New Roman;sans-serif" w:hAnsi="Times New Roman;sans-serif"/>
                <w:b w:val="false"/>
                <w:color w:val="000000"/>
                <w:sz w:val="20"/>
              </w:rPr>
              <w:t>ormatted in iXBRL (Inline eXtensible Business Reporting Language): (i) the Condensed Consolidated Balance Sheets; (ii) the Condensed Consolidated Statements of Operations; (iii) the Condensed Consolidated Statements of Comprehensive (Loss) Income; (iv) the Condensed Consolidated Statements of Stockholders' Equity; (v) the Condensed Consolidated Statements of Cash Flows; and (vi) the Notes to Condensed Consolidated Financial Statements</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cover page from our Quarterly Report on Form 10-Q for the quarter ended </w:t>
            </w:r>
            <w:r>
              <w:rPr>
                <w:rFonts w:ascii="Times New Roman;sans-serif" w:hAnsi="Times New Roman;sans-serif"/>
                <w:b w:val="false"/>
                <w:color w:val="000000"/>
                <w:sz w:val="20"/>
                <w:shd w:fill="FFFFFF" w:val="clear"/>
              </w:rPr>
              <w:t>September 28, 2024,</w:t>
            </w:r>
            <w:r>
              <w:rPr>
                <w:color w:val="000000"/>
              </w:rPr>
              <w:t xml:space="preserve"> </w:t>
            </w:r>
            <w:r>
              <w:rPr>
                <w:rFonts w:ascii="Times New Roman;sans-serif" w:hAnsi="Times New Roman;sans-serif"/>
                <w:b w:val="false"/>
                <w:color w:val="000000"/>
                <w:sz w:val="20"/>
              </w:rPr>
              <w:t>formatted in iXBRL</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SEC file number for documents filed with the SEC pursuant to the Securities Exchange Act of 1934, as amended, is 001-36801.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056285500c94a56a3b12a76d02ae75a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3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207"/>
        <w:gridCol w:w="1207"/>
        <w:gridCol w:w="17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1.750% Senior Notes due 2024, the 4.375% Senior Notes due 2029 and the 3.375% Senior Notes due 2031 are guaranteed, jointly and severally, on an unsecured basis, by the following 100% owned subsidiaries of Qorvo, Inc., a Delaware corporation, as of September 28, 2024:</w:t>
      </w:r>
    </w:p>
    <w:p>
      <w:pPr>
        <w:pStyle w:val="TextBody"/>
        <w:bidi w:val="0"/>
        <w:spacing w:before="0" w:after="0"/>
        <w:jc w:val="left"/>
        <w:rPr/>
      </w:pPr>
      <w:r>
        <w:rPr/>
      </w:r>
    </w:p>
    <w:tbl>
      <w:tblPr>
        <w:tblW w:w="5158" w:type="dxa"/>
        <w:jc w:val="center"/>
        <w:tblInd w:w="0" w:type="dxa"/>
        <w:tblLayout w:type="fixed"/>
        <w:tblCellMar>
          <w:top w:w="28" w:type="dxa"/>
          <w:left w:w="28" w:type="dxa"/>
          <w:bottom w:w="28" w:type="dxa"/>
          <w:right w:w="28" w:type="dxa"/>
        </w:tblCellMar>
      </w:tblPr>
      <w:tblGrid>
        <w:gridCol w:w="846"/>
        <w:gridCol w:w="742"/>
        <w:gridCol w:w="751"/>
        <w:gridCol w:w="824"/>
        <w:gridCol w:w="824"/>
        <w:gridCol w:w="117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2" w:space="0" w:color="000000"/>
              <w:left w:val="single" w:sz="2" w:space="0" w:color="000000"/>
            </w:tcBorders>
            <w:shd w:fill="D9D9D9"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Entity</w:t>
            </w:r>
          </w:p>
        </w:tc>
        <w:tc>
          <w:tcPr>
            <w:tcW w:w="2819" w:type="dxa"/>
            <w:gridSpan w:val="3"/>
            <w:tcBorders>
              <w:top w:val="single" w:sz="2" w:space="0" w:color="000000"/>
              <w:left w:val="single" w:sz="2" w:space="0" w:color="000000"/>
              <w:right w:val="single" w:sz="2"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Jurisdiction of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Incorporation or Organization </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Amalfi Semiconductor,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RFMD,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California,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US,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Texas,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233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Oregon, Inc.</w:t>
            </w:r>
          </w:p>
        </w:tc>
        <w:tc>
          <w:tcPr>
            <w:tcW w:w="281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EXCHANGE ACT,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Robert A. Bruggeworth,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Date: October 30, 2024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EXCHANGE ACT,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Grant A. Brown,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Date: October 30, 2024</w:t>
      </w:r>
    </w:p>
    <w:tbl>
      <w:tblPr>
        <w:tblW w:w="4526" w:type="dxa"/>
        <w:jc w:val="center"/>
        <w:tblInd w:w="0" w:type="dxa"/>
        <w:tblLayout w:type="fixed"/>
        <w:tblCellMar>
          <w:top w:w="28" w:type="dxa"/>
          <w:left w:w="28" w:type="dxa"/>
          <w:bottom w:w="28" w:type="dxa"/>
          <w:right w:w="28" w:type="dxa"/>
        </w:tblCellMar>
      </w:tblPr>
      <w:tblGrid>
        <w:gridCol w:w="124"/>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Robert A. Bruggeworth, President and Chief Executive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fiscal quarter ended September 28, 2024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98" w:type="dxa"/>
        <w:jc w:val="left"/>
        <w:tblInd w:w="0" w:type="dxa"/>
        <w:tblLayout w:type="fixed"/>
        <w:tblCellMar>
          <w:top w:w="28" w:type="dxa"/>
          <w:left w:w="28" w:type="dxa"/>
          <w:bottom w:w="28" w:type="dxa"/>
          <w:right w:w="28" w:type="dxa"/>
        </w:tblCellMar>
      </w:tblPr>
      <w:tblGrid>
        <w:gridCol w:w="124"/>
        <w:gridCol w:w="109"/>
        <w:gridCol w:w="109"/>
        <w:gridCol w:w="1294"/>
        <w:gridCol w:w="1294"/>
        <w:gridCol w:w="1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October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Grant A. Brown, Senior Vice President and Chief Financial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Quarterly Report on Form 10-Q of the Company for the fiscal quarter ended September 28, 2024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5738" w:type="dxa"/>
        <w:jc w:val="left"/>
        <w:tblInd w:w="0" w:type="dxa"/>
        <w:tblLayout w:type="fixed"/>
        <w:tblCellMar>
          <w:top w:w="28" w:type="dxa"/>
          <w:left w:w="28" w:type="dxa"/>
          <w:bottom w:w="28" w:type="dxa"/>
          <w:right w:w="28" w:type="dxa"/>
        </w:tblCellMar>
      </w:tblPr>
      <w:tblGrid>
        <w:gridCol w:w="124"/>
        <w:gridCol w:w="109"/>
        <w:gridCol w:w="109"/>
        <w:gridCol w:w="1673"/>
        <w:gridCol w:w="1673"/>
        <w:gridCol w:w="16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 xml:space="preserve">Senior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October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16002</Words>
  <Characters>90139</Characters>
  <CharactersWithSpaces>105025</CharactersWithSpaces>
  <Paragraphs>2137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