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537845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503555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1" w:lineRule="exact"/>
        <w:rPr>
          <w:sz w:val="24"/>
          <w:szCs w:val="24"/>
          <w:color w:val="auto"/>
        </w:rPr>
      </w:pPr>
    </w:p>
    <w:p>
      <w:pPr>
        <w:ind w:left="640" w:right="460" w:hanging="614"/>
        <w:spacing w:after="0" w:line="238" w:lineRule="auto"/>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30, 2023</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40" w:right="440" w:hanging="614"/>
        <w:spacing w:after="0" w:line="238"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7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_____to _____</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58420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Qorvo, Inc.</w:t>
      </w:r>
    </w:p>
    <w:p>
      <w:pPr>
        <w:spacing w:after="0" w:line="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8"/>
              </w:rPr>
              <w:t>46-5288992</w:t>
            </w:r>
          </w:p>
        </w:tc>
      </w:tr>
      <w:tr>
        <w:trPr>
          <w:trHeight w:val="210"/>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220" w:type="dxa"/>
            <w:vAlign w:val="bottom"/>
          </w:tcPr>
          <w:p>
            <w:pPr>
              <w:jc w:val="center"/>
              <w:ind w:left="775"/>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08"/>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8"/>
                <w:szCs w:val="18"/>
                <w:b w:val="1"/>
                <w:bCs w:val="1"/>
                <w:color w:val="auto"/>
                <w:w w:val="99"/>
              </w:rPr>
              <w:t>7628 Thorndike Road</w:t>
            </w:r>
          </w:p>
        </w:tc>
        <w:tc>
          <w:tcPr>
            <w:tcW w:w="3220" w:type="dxa"/>
            <w:vAlign w:val="bottom"/>
          </w:tcPr>
          <w:p>
            <w:pPr>
              <w:spacing w:after="0"/>
              <w:rPr>
                <w:sz w:val="24"/>
                <w:szCs w:val="24"/>
                <w:color w:val="auto"/>
              </w:rPr>
            </w:pPr>
          </w:p>
        </w:tc>
      </w:tr>
      <w:tr>
        <w:trPr>
          <w:trHeight w:val="238"/>
        </w:trPr>
        <w:tc>
          <w:tcPr>
            <w:tcW w:w="4720" w:type="dxa"/>
            <w:vAlign w:val="bottom"/>
          </w:tcPr>
          <w:p>
            <w:pPr>
              <w:jc w:val="center"/>
              <w:ind w:right="534"/>
              <w:spacing w:after="0"/>
              <w:rPr>
                <w:sz w:val="20"/>
                <w:szCs w:val="20"/>
                <w:color w:val="auto"/>
              </w:rPr>
            </w:pPr>
            <w:r>
              <w:rPr>
                <w:rFonts w:ascii="Times New Roman" w:cs="Times New Roman" w:eastAsia="Times New Roman" w:hAnsi="Times New Roman"/>
                <w:sz w:val="18"/>
                <w:szCs w:val="18"/>
                <w:b w:val="1"/>
                <w:bCs w:val="1"/>
                <w:color w:val="auto"/>
                <w:w w:val="99"/>
              </w:rPr>
              <w:t>Greensboro, North Carolina</w:t>
            </w:r>
          </w:p>
        </w:tc>
        <w:tc>
          <w:tcPr>
            <w:tcW w:w="322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8"/>
              </w:rPr>
              <w:t>27409-9421</w:t>
            </w:r>
          </w:p>
        </w:tc>
      </w:tr>
      <w:tr>
        <w:trPr>
          <w:trHeight w:val="210"/>
        </w:trPr>
        <w:tc>
          <w:tcPr>
            <w:tcW w:w="4720" w:type="dxa"/>
            <w:vAlign w:val="bottom"/>
          </w:tcPr>
          <w:p>
            <w:pPr>
              <w:jc w:val="center"/>
              <w:ind w:right="51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220" w:type="dxa"/>
            <w:vAlign w:val="bottom"/>
          </w:tcPr>
          <w:p>
            <w:pPr>
              <w:jc w:val="center"/>
              <w:ind w:left="775"/>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(336) 664-1233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0" w:lineRule="exact"/>
        <w:rPr>
          <w:sz w:val="24"/>
          <w:szCs w:val="24"/>
          <w:color w:val="auto"/>
        </w:rPr>
      </w:pPr>
    </w:p>
    <w:p>
      <w:pPr>
        <w:spacing w:after="0" w:line="255"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560" w:type="dxa"/>
            <w:vAlign w:val="bottom"/>
            <w:gridSpan w:val="5"/>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198"/>
        </w:trPr>
        <w:tc>
          <w:tcPr>
            <w:tcW w:w="580" w:type="dxa"/>
            <w:vAlign w:val="bottom"/>
          </w:tcPr>
          <w:p>
            <w:pPr>
              <w:spacing w:after="0"/>
              <w:rPr>
                <w:sz w:val="17"/>
                <w:szCs w:val="17"/>
                <w:color w:val="auto"/>
              </w:rPr>
            </w:pPr>
          </w:p>
        </w:tc>
        <w:tc>
          <w:tcPr>
            <w:tcW w:w="2000" w:type="dxa"/>
            <w:vAlign w:val="bottom"/>
            <w:gridSpan w:val="2"/>
          </w:tcPr>
          <w:p>
            <w:pPr>
              <w:jc w:val="center"/>
              <w:ind w:right="660"/>
              <w:spacing w:after="0" w:line="198" w:lineRule="exact"/>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60" w:type="dxa"/>
            <w:vAlign w:val="bottom"/>
          </w:tcPr>
          <w:p>
            <w:pPr>
              <w:spacing w:after="0"/>
              <w:rPr>
                <w:sz w:val="17"/>
                <w:szCs w:val="17"/>
                <w:color w:val="auto"/>
              </w:rPr>
            </w:pPr>
          </w:p>
        </w:tc>
        <w:tc>
          <w:tcPr>
            <w:tcW w:w="2040" w:type="dxa"/>
            <w:vAlign w:val="bottom"/>
            <w:gridSpan w:val="2"/>
          </w:tcPr>
          <w:p>
            <w:pPr>
              <w:jc w:val="center"/>
              <w:ind w:right="6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60" w:type="dxa"/>
            <w:vAlign w:val="bottom"/>
            <w:gridSpan w:val="2"/>
          </w:tcPr>
          <w:p>
            <w:pPr>
              <w:jc w:val="center"/>
              <w:ind w:left="5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56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7"/>
              </w:rPr>
              <w:t>QRVO</w:t>
            </w:r>
          </w:p>
        </w:tc>
        <w:tc>
          <w:tcPr>
            <w:tcW w:w="6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43" w:lineRule="exact"/>
        <w:rPr>
          <w:sz w:val="24"/>
          <w:szCs w:val="24"/>
          <w:color w:val="auto"/>
        </w:rPr>
      </w:pPr>
    </w:p>
    <w:p>
      <w:pPr>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right="18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240"/>
          </w:cols>
          <w:pgMar w:left="320" w:top="225" w:right="339" w:bottom="1440" w:gutter="0" w:footer="0" w:header="0"/>
        </w:sect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January 25, 2024, there were 96,548,458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715010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QORVO, INC. AND SUBSIDIARIES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6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2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4200" w:type="dxa"/>
            <w:vAlign w:val="bottom"/>
            <w:gridSpan w:val="7"/>
            <w:vMerge w:val="restart"/>
          </w:tcPr>
          <w:p>
            <w:pPr>
              <w:spacing w:after="0"/>
              <w:rPr>
                <w:sz w:val="24"/>
                <w:szCs w:val="24"/>
                <w:color w:val="auto"/>
              </w:rPr>
            </w:pPr>
          </w:p>
        </w:tc>
        <w:tc>
          <w:tcPr>
            <w:tcW w:w="3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3260" w:type="dxa"/>
            <w:vAlign w:val="bottom"/>
            <w:tcBorders>
              <w:bottom w:val="single" w:sz="8" w:color="0000FF"/>
            </w:tcBorders>
            <w:gridSpan w:val="10"/>
            <w:vMerge w:val="continue"/>
          </w:tcPr>
          <w:p>
            <w:pPr>
              <w:spacing w:after="0"/>
              <w:rPr>
                <w:sz w:val="16"/>
                <w:szCs w:val="16"/>
                <w:color w:val="auto"/>
              </w:rPr>
            </w:pPr>
          </w:p>
        </w:tc>
        <w:tc>
          <w:tcPr>
            <w:tcW w:w="4200" w:type="dxa"/>
            <w:vAlign w:val="bottom"/>
            <w:gridSpan w:val="7"/>
            <w:vMerge w:val="continue"/>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Item 1. Financial Statements (Unaudited).</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Borders>
              <w:top w:val="single" w:sz="8" w:color="0000FF"/>
            </w:tcBorders>
          </w:tcPr>
          <w:p>
            <w:pPr>
              <w:spacing w:after="0"/>
              <w:rPr>
                <w:sz w:val="18"/>
                <w:szCs w:val="18"/>
                <w:color w:val="auto"/>
              </w:rPr>
            </w:pPr>
          </w:p>
        </w:tc>
        <w:tc>
          <w:tcPr>
            <w:tcW w:w="31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240" w:type="dxa"/>
            <w:vAlign w:val="bottom"/>
            <w:gridSpan w:val="8"/>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Income</w:t>
            </w:r>
          </w:p>
        </w:tc>
        <w:tc>
          <w:tcPr>
            <w:tcW w:w="2240" w:type="dxa"/>
            <w:vAlign w:val="bottom"/>
            <w:gridSpan w:val="2"/>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720" w:type="dxa"/>
            <w:vAlign w:val="bottom"/>
          </w:tcPr>
          <w:p>
            <w:pPr>
              <w:spacing w:after="0"/>
              <w:rPr>
                <w:sz w:val="18"/>
                <w:szCs w:val="18"/>
                <w:color w:val="auto"/>
              </w:rPr>
            </w:pPr>
          </w:p>
        </w:tc>
        <w:tc>
          <w:tcPr>
            <w:tcW w:w="2240" w:type="dxa"/>
            <w:vAlign w:val="bottom"/>
            <w:gridSpan w:val="2"/>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960" w:type="dxa"/>
            <w:vAlign w:val="bottom"/>
            <w:gridSpan w:val="3"/>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0" w:type="dxa"/>
            <w:vAlign w:val="bottom"/>
          </w:tcPr>
          <w:p>
            <w:pPr>
              <w:spacing w:after="0"/>
              <w:rPr>
                <w:sz w:val="1"/>
                <w:szCs w:val="1"/>
                <w:color w:val="auto"/>
              </w:rPr>
            </w:pPr>
          </w:p>
        </w:tc>
      </w:tr>
      <w:tr>
        <w:trPr>
          <w:trHeight w:val="210"/>
        </w:trPr>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9"/>
        </w:trPr>
        <w:tc>
          <w:tcPr>
            <w:tcW w:w="53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2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4500" w:type="dxa"/>
            <w:vAlign w:val="bottom"/>
            <w:gridSpan w:val="10"/>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Item 1A. Risk Factors.</w:t>
            </w:r>
          </w:p>
        </w:tc>
        <w:tc>
          <w:tcPr>
            <w:tcW w:w="5720" w:type="dxa"/>
            <w:vAlign w:val="bottom"/>
            <w:gridSpan w:val="13"/>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09"/>
        </w:trPr>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r>
              <w:rPr>
                <w:rFonts w:ascii="Times New Roman" w:cs="Times New Roman" w:eastAsia="Times New Roman" w:hAnsi="Times New Roman"/>
                <w:sz w:val="18"/>
                <w:szCs w:val="18"/>
                <w:b w:val="1"/>
                <w:bCs w:val="1"/>
                <w:color w:val="000000"/>
              </w:rPr>
              <w:t>.</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10"/>
        </w:trPr>
        <w:tc>
          <w:tcPr>
            <w:tcW w:w="20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Item 5. Other Information.</w:t>
            </w:r>
          </w:p>
        </w:tc>
        <w:tc>
          <w:tcPr>
            <w:tcW w:w="3140" w:type="dxa"/>
            <w:vAlign w:val="bottom"/>
            <w:tcBorders>
              <w:top w:val="single" w:sz="8" w:color="0000FF"/>
            </w:tcBorders>
            <w:gridSpan w:val="10"/>
          </w:tcPr>
          <w:p>
            <w:pPr>
              <w:spacing w:after="0"/>
              <w:rPr>
                <w:sz w:val="18"/>
                <w:szCs w:val="18"/>
                <w:color w:val="auto"/>
              </w:rPr>
            </w:pPr>
          </w:p>
        </w:tc>
        <w:tc>
          <w:tcPr>
            <w:tcW w:w="224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 6. Exhibits.</w:t>
            </w:r>
          </w:p>
        </w:tc>
        <w:tc>
          <w:tcPr>
            <w:tcW w:w="6180" w:type="dxa"/>
            <w:vAlign w:val="bottom"/>
            <w:gridSpan w:val="14"/>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480"/>
        </w:trPr>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80" w:type="dxa"/>
            <w:vAlign w:val="bottom"/>
          </w:tcPr>
          <w:p>
            <w:pPr>
              <w:spacing w:after="0"/>
              <w:rPr>
                <w:sz w:val="16"/>
                <w:szCs w:val="16"/>
                <w:color w:val="auto"/>
              </w:rPr>
            </w:pPr>
          </w:p>
        </w:tc>
        <w:tc>
          <w:tcPr>
            <w:tcW w:w="13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808,757</w:t>
            </w:r>
          </w:p>
        </w:tc>
        <w:tc>
          <w:tcPr>
            <w:tcW w:w="0" w:type="dxa"/>
            <w:vAlign w:val="bottom"/>
          </w:tcPr>
          <w:p>
            <w:pPr>
              <w:spacing w:after="0"/>
              <w:rPr>
                <w:sz w:val="1"/>
                <w:szCs w:val="1"/>
                <w:color w:val="auto"/>
              </w:rPr>
            </w:pPr>
          </w:p>
        </w:tc>
      </w:tr>
      <w:tr>
        <w:trPr>
          <w:trHeight w:val="176"/>
        </w:trPr>
        <w:tc>
          <w:tcPr>
            <w:tcW w:w="78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of $432 and $369 as of December 30, 2023 and April 1, 2023,</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304,519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796,596</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2,029,794</w:t>
            </w:r>
          </w:p>
        </w:tc>
        <w:tc>
          <w:tcPr>
            <w:tcW w:w="0" w:type="dxa"/>
            <w:vAlign w:val="bottom"/>
          </w:tcPr>
          <w:p>
            <w:pPr>
              <w:spacing w:after="0"/>
              <w:rPr>
                <w:sz w:val="1"/>
                <w:szCs w:val="1"/>
                <w:color w:val="auto"/>
              </w:rPr>
            </w:pPr>
          </w:p>
        </w:tc>
      </w:tr>
      <w:tr>
        <w:trPr>
          <w:trHeight w:val="176"/>
        </w:trPr>
        <w:tc>
          <w:tcPr>
            <w:tcW w:w="7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$2,017,964 and $1,900,317 as of December 30,</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 and April 1, 2023, respectively</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1,149,806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2,540,461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2,760,813</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537,703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193,381</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6,691,903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282,954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210,701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222,463</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122,289</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1,280,333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555,763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1,550,438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2,048,073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185,273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3,061,041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2,789,109</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i w:val="1"/>
                <w:iCs w:val="1"/>
                <w:color w:val="auto"/>
              </w:rPr>
              <w:t>(Note 7)</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$.0001 par value; 5,000 shares authorized; no shares issued and outstanding</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and additional paid-in capital, $.0001 par value; 405,000 shares authorized; 96,680 and</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98,649 shares issued and outstanding at December 30, 2023 and April 1, 2023, respectively</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3,730,577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3,821,474</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 retained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84,495</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3,638,347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3,902,794</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6,691,903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2,828,518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2,936,696</w:t>
            </w:r>
          </w:p>
        </w:tc>
      </w:tr>
      <w:tr>
        <w:trPr>
          <w:trHeight w:val="23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1,721,880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1,754,468</w:t>
            </w:r>
          </w:p>
        </w:tc>
      </w:tr>
      <w:tr>
        <w:trPr>
          <w:trHeight w:val="223"/>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1,182,228</w:t>
            </w:r>
          </w:p>
        </w:tc>
      </w:tr>
      <w:tr>
        <w:trPr>
          <w:trHeight w:val="270"/>
        </w:trPr>
        <w:tc>
          <w:tcPr>
            <w:tcW w:w="4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486,204</w:t>
            </w:r>
          </w:p>
        </w:tc>
      </w:tr>
      <w:tr>
        <w:trPr>
          <w:trHeight w:val="22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275,836</w:t>
            </w:r>
          </w:p>
        </w:tc>
      </w:tr>
      <w:tr>
        <w:trPr>
          <w:trHeight w:val="230"/>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178,204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48,038</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1,044,915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810,078</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372,150</w:t>
            </w:r>
          </w:p>
        </w:tc>
      </w:tr>
      <w:tr>
        <w:trPr>
          <w:trHeight w:val="270"/>
        </w:trPr>
        <w:tc>
          <w:tcPr>
            <w:tcW w:w="4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(51,222)</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323,642</w:t>
            </w:r>
          </w:p>
        </w:tc>
      </w:tr>
      <w:tr>
        <w:trPr>
          <w:trHeight w:val="270"/>
        </w:trPr>
        <w:tc>
          <w:tcPr>
            <w:tcW w:w="4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29"/>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(82,074)</w:t>
            </w: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241,568</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9"/>
        </w:trPr>
        <w:tc>
          <w:tcPr>
            <w:tcW w:w="4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103,039</w:t>
            </w: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103,812</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0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8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241,568</w:t>
            </w: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75"/>
        </w:trPr>
        <w:tc>
          <w:tcPr>
            <w:tcW w:w="44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 including intra-</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84"/>
        </w:trPr>
        <w:tc>
          <w:tcPr>
            <w:tcW w:w="4420" w:type="dxa"/>
            <w:vAlign w:val="bottom"/>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entity foreign currency transactions that are of a long-</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34"/>
        </w:trPr>
        <w:tc>
          <w:tcPr>
            <w:tcW w:w="4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term investment nature</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(16,623)</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adjustments, net of tax:</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pension actuarial (gain) loss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(16,597)</w:t>
            </w: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224,971</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34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3"/>
                <w:szCs w:val="3"/>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0"/>
        </w:trPr>
        <w:tc>
          <w:tcPr>
            <w:tcW w:w="378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3,817,186</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(126,938)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0" w:type="dxa"/>
            <w:vAlign w:val="bottom"/>
          </w:tcPr>
          <w:p>
            <w:pPr>
              <w:spacing w:after="0"/>
              <w:rPr>
                <w:sz w:val="1"/>
                <w:szCs w:val="1"/>
                <w:color w:val="auto"/>
              </w:rPr>
            </w:pPr>
          </w:p>
        </w:tc>
      </w:tr>
      <w:tr>
        <w:trPr>
          <w:trHeight w:val="176"/>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employee taxes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0" w:type="dxa"/>
            <w:vAlign w:val="bottom"/>
          </w:tcPr>
          <w:p>
            <w:pPr>
              <w:spacing w:after="0"/>
              <w:rPr>
                <w:sz w:val="1"/>
                <w:szCs w:val="1"/>
                <w:color w:val="auto"/>
              </w:rPr>
            </w:pPr>
          </w:p>
        </w:tc>
      </w:tr>
      <w:tr>
        <w:trPr>
          <w:trHeight w:val="176"/>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transaction costs and excise tax</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(100,812)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20,182</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30, 2023</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3,730,577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(92,332)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3,638,347</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Balance, October 1,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102,061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3,915,969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4,322,140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30,411</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 employee taxes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175"/>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transaction costs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(201,633)</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18,626</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4,164,568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34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3"/>
                <w:szCs w:val="3"/>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0"/>
        </w:trPr>
        <w:tc>
          <w:tcPr>
            <w:tcW w:w="378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April 1,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3,821,474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3,902,794</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0" w:type="dxa"/>
            <w:vAlign w:val="bottom"/>
          </w:tcPr>
          <w:p>
            <w:pPr>
              <w:spacing w:after="0"/>
              <w:rPr>
                <w:sz w:val="1"/>
                <w:szCs w:val="1"/>
                <w:color w:val="auto"/>
              </w:rPr>
            </w:pPr>
          </w:p>
        </w:tc>
      </w:tr>
      <w:tr>
        <w:trPr>
          <w:trHeight w:val="176"/>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employee taxes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(25,010)</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35,045</w:t>
            </w:r>
          </w:p>
        </w:tc>
        <w:tc>
          <w:tcPr>
            <w:tcW w:w="0" w:type="dxa"/>
            <w:vAlign w:val="bottom"/>
          </w:tcPr>
          <w:p>
            <w:pPr>
              <w:spacing w:after="0"/>
              <w:rPr>
                <w:sz w:val="1"/>
                <w:szCs w:val="1"/>
                <w:color w:val="auto"/>
              </w:rPr>
            </w:pPr>
          </w:p>
        </w:tc>
      </w:tr>
      <w:tr>
        <w:trPr>
          <w:trHeight w:val="176"/>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transaction costs and excise tax</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(301,978)</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97,276</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30, 2023</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3,730,577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(92,332)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3,638,347</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Balance, April 2,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4,035,849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512,137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4,553,218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241,568</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(16,597)</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 employee taxes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(21,502)</w:t>
            </w:r>
          </w:p>
        </w:tc>
        <w:tc>
          <w:tcPr>
            <w:tcW w:w="0" w:type="dxa"/>
            <w:vAlign w:val="bottom"/>
          </w:tcPr>
          <w:p>
            <w:pPr>
              <w:spacing w:after="0"/>
              <w:rPr>
                <w:sz w:val="1"/>
                <w:szCs w:val="1"/>
                <w:color w:val="auto"/>
              </w:rPr>
            </w:pPr>
          </w:p>
        </w:tc>
      </w:tr>
      <w:tr>
        <w:trPr>
          <w:trHeight w:val="175"/>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30,169</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transaction costs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(711,732)</w:t>
            </w:r>
          </w:p>
        </w:tc>
        <w:tc>
          <w:tcPr>
            <w:tcW w:w="0" w:type="dxa"/>
            <w:vAlign w:val="bottom"/>
          </w:tcPr>
          <w:p>
            <w:pPr>
              <w:spacing w:after="0"/>
              <w:rPr>
                <w:sz w:val="1"/>
                <w:szCs w:val="1"/>
                <w:color w:val="auto"/>
              </w:rPr>
            </w:pPr>
          </w:p>
        </w:tc>
      </w:tr>
      <w:tr>
        <w:trPr>
          <w:trHeight w:val="229"/>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89,444</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4,164,568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4"/>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60" w:type="dxa"/>
            <w:vAlign w:val="bottom"/>
          </w:tcPr>
          <w:p>
            <w:pPr>
              <w:spacing w:after="0"/>
              <w:rPr>
                <w:sz w:val="16"/>
                <w:szCs w:val="16"/>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6"/>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241,568</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155,132</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amortization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99,476</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86,911</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95,459</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201,823</w:t>
            </w:r>
          </w:p>
        </w:tc>
      </w:tr>
      <w:tr>
        <w:trPr>
          <w:trHeight w:val="230"/>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(98,882)</w:t>
            </w:r>
          </w:p>
        </w:tc>
      </w:tr>
      <w:tr>
        <w:trPr>
          <w:trHeight w:val="22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42,979</w:t>
            </w:r>
          </w:p>
        </w:tc>
      </w:tr>
      <w:tr>
        <w:trPr>
          <w:trHeight w:val="229"/>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(85,321)</w:t>
            </w:r>
          </w:p>
        </w:tc>
      </w:tr>
      <w:tr>
        <w:trPr>
          <w:trHeight w:val="230"/>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(17,281)</w:t>
            </w:r>
          </w:p>
        </w:tc>
      </w:tr>
      <w:tr>
        <w:trPr>
          <w:trHeight w:val="229"/>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58,481</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777,788</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(124,853)</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(117,358)</w:t>
            </w: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common stock, including transaction costs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(711,732)</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20,828</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withholding paid on behalf of employees for restricted stock units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(22,687)</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of debt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(714,013)</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(53,863)</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808,943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972,805</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918,942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1,071,987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918,758</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included in "Other current assets" and "Other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1,091,987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918,942</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7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included in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26,597</w:t>
            </w: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ind w:right="55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25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United States Securities and Exchange Commission (the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April 1, 2023.</w:t>
      </w:r>
    </w:p>
    <w:p>
      <w:pPr>
        <w:spacing w:after="0" w:line="2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significant intercompany accounts and transactions have been eliminated in consolidation. The Company operates under three segments, High Performance Analog ("HPA"), Connectivity and Sensors Group ("CSG") and Advanced Cellular Group ("ACG").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fiscal 2024 presentation.</w:t>
      </w:r>
    </w:p>
    <w:p>
      <w:pPr>
        <w:spacing w:after="0" w:line="25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uses a 52- or 53-week fiscal year ending on the Saturday closest to March 31 of each year. Each fiscal year, the first quarter ends on the Saturday closest to June 30, the second quarter ends on the Saturday closest to September 30 and the third quarter ends on the Saturday closest to December 31. Fiscal years 2024 and 2023 are 52-week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net of reserves,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80" w:type="dxa"/>
            <w:vAlign w:val="bottom"/>
          </w:tcPr>
          <w:p>
            <w:pPr>
              <w:spacing w:after="0"/>
              <w:rPr>
                <w:sz w:val="16"/>
                <w:szCs w:val="16"/>
                <w:color w:val="auto"/>
              </w:rPr>
            </w:pPr>
          </w:p>
        </w:tc>
        <w:tc>
          <w:tcPr>
            <w:tcW w:w="13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264,367</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345,545</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186,684</w:t>
            </w:r>
          </w:p>
        </w:tc>
      </w:tr>
      <w:tr>
        <w:trPr>
          <w:trHeight w:val="223"/>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726,687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796,596</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HPA</w:t>
            </w:r>
          </w:p>
        </w:tc>
        <w:tc>
          <w:tcPr>
            <w:tcW w:w="32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CSG</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ACG</w:t>
            </w:r>
          </w:p>
        </w:tc>
        <w:tc>
          <w:tcPr>
            <w:tcW w:w="340" w:type="dxa"/>
            <w:vAlign w:val="bottom"/>
          </w:tcPr>
          <w:p>
            <w:pPr>
              <w:spacing w:after="0"/>
              <w:rPr>
                <w:sz w:val="16"/>
                <w:szCs w:val="16"/>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Balance as of April 1, 2023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2,760,813</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(221,414)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changes in foreign currency exchange rates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23"/>
        </w:trPr>
        <w:tc>
          <w:tcPr>
            <w:tcW w:w="52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Balance as of December 30, 2023 </w:t>
            </w:r>
            <w:r>
              <w:rPr>
                <w:rFonts w:ascii="Times New Roman" w:cs="Times New Roman" w:eastAsia="Times New Roman" w:hAnsi="Times New Roman"/>
                <w:sz w:val="23"/>
                <w:szCs w:val="23"/>
                <w:color w:val="auto"/>
                <w:vertAlign w:val="superscript"/>
              </w:rPr>
              <w:t>(1)</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501,602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304,999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1,733,860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2,540,461</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100" w:firstLine="8"/>
        <w:spacing w:after="0" w:line="280" w:lineRule="auto"/>
        <w:tabs>
          <w:tab w:leader="none" w:pos="22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goodwill balance is presented net of accumulated impairment losses and write-offs totaling $903.4 million and $682.0 million as of December 30, 2023 and April 1, 2023, respectively, which were recognized in fiscal years 2009, 2013, 2014, 2022, 2023 and 2024.</w:t>
      </w:r>
    </w:p>
    <w:p>
      <w:pPr>
        <w:spacing w:after="0" w:line="20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2024, the Company completed an interim test for goodwill impairment as management determined, based on revisions to long-term forecasts, it was more likely than not that the fair value of a reporting unit within the CSG segment was below its carrying amount. The quantitative analysis, which considered the income approach and the market approach to estimate the reporting unit's fair value, resulted in a goodwill impairment charge of approximately $48.0 million. In the third quarter of fiscal 2024, the Company concluded that an impairment triggering event occurred for this same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reporting unit within the CSG segment as new information was received regarding slower than expected market adoption for one of CSG's new technologies and lower attach rates for a second CSG technology (resulting in further revisions to the long-term forecasts of this reporting unit). The Company concluded that it was more likely than not that the fair value of this reporting unit was below its carrying amount, and a quantitative analysis was performed. The quantitative analysis, which considered the income approach and the market approach to estimate the reporting unit's fair value, resulted in a goodwill impairment charge of approximately $173.4 million. These goodwill impairment charges are recorded in "Other operating expense" in the Condensed Consolidated Statements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information regarding the gross carrying amounts and accumulated amortization of intangible assets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6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3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1"/>
                <w:szCs w:val="11"/>
                <w:color w:val="auto"/>
              </w:rPr>
            </w:pPr>
          </w:p>
        </w:tc>
        <w:tc>
          <w:tcPr>
            <w:tcW w:w="140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380" w:type="dxa"/>
            <w:vAlign w:val="bottom"/>
          </w:tcPr>
          <w:p>
            <w:pPr>
              <w:spacing w:after="0"/>
              <w:rPr>
                <w:sz w:val="11"/>
                <w:szCs w:val="11"/>
                <w:color w:val="auto"/>
              </w:rPr>
            </w:pPr>
          </w:p>
        </w:tc>
        <w:tc>
          <w:tcPr>
            <w:tcW w:w="126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7"/>
                <w:szCs w:val="17"/>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7"/>
                <w:szCs w:val="17"/>
                <w:color w:val="auto"/>
              </w:rPr>
            </w:pPr>
          </w:p>
        </w:tc>
        <w:tc>
          <w:tcPr>
            <w:tcW w:w="12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8"/>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876,285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872,106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382,448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67,485</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licenses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1,028,132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528,169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988,938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451,235</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Amounts include the impact of foreign currency translation.</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AND FAIR VALUE OF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invests in limited partnerships and accounts for these investments using the equity method. The carrying amounts of these investments,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30, 2023 and April 1, 2023 were $17.5 million and $20.4 million, respectively, and are classified as "Long-term investments" in the Condensed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During the three and nine months ended December 30, 2023, the Company recorded a loss of $0.6 million and income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 million, respectively, based on its share of the limited partnerships' results. During the three and nine months ended December 31, 2022,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losses of $5.0 million and $4.7 million, respectively, based on its share of the limited partnerships' results. These amounts are included in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net" in the Condensed Consolidated Statements of Operations. During the three and nine months ended December 30, 2023, the Company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distributions of $0.4 million and $3.2 million, respectively, from these limited partnerships. During the three and nine months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the Company received cash distributions of $0.2 million and $2.2 million, respectively, from these limited partnerships. The cash distributions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as reductions to the carrying value of the investments and included in the cash flows from investing activities in the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financial assets and liabilities measured on a recurring basis (in thousands):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3"/>
                <w:szCs w:val="13"/>
                <w:color w:val="auto"/>
              </w:rPr>
            </w:pPr>
          </w:p>
        </w:tc>
        <w:tc>
          <w:tcPr>
            <w:tcW w:w="15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3"/>
                <w:szCs w:val="13"/>
                <w:color w:val="auto"/>
              </w:rPr>
            </w:pPr>
          </w:p>
        </w:tc>
        <w:tc>
          <w:tcPr>
            <w:tcW w:w="13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60" w:type="dxa"/>
            <w:vAlign w:val="bottom"/>
          </w:tcPr>
          <w:p>
            <w:pPr>
              <w:spacing w:after="0"/>
              <w:rPr>
                <w:sz w:val="12"/>
                <w:szCs w:val="12"/>
                <w:color w:val="auto"/>
              </w:rPr>
            </w:pPr>
          </w:p>
        </w:tc>
        <w:tc>
          <w:tcPr>
            <w:tcW w:w="136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3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30, 2023</w:t>
            </w:r>
          </w:p>
        </w:tc>
        <w:tc>
          <w:tcPr>
            <w:tcW w:w="9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Invested funds in deferred compensation plan </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April 1, 2023</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Invested funds in deferred compensation plan </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Contingent earn-out liability </w:t>
            </w:r>
            <w:r>
              <w:rPr>
                <w:rFonts w:ascii="Times New Roman" w:cs="Times New Roman" w:eastAsia="Times New Roman" w:hAnsi="Times New Roman"/>
                <w:sz w:val="23"/>
                <w:szCs w:val="23"/>
                <w:color w:val="auto"/>
                <w:vertAlign w:val="superscript"/>
              </w:rPr>
              <w:t>(2)</w:t>
            </w:r>
          </w:p>
        </w:tc>
        <w:tc>
          <w:tcPr>
            <w:tcW w:w="9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(31,250)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(31,250)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60" w:firstLine="8"/>
        <w:spacing w:after="0" w:line="267" w:lineRule="auto"/>
        <w:tabs>
          <w:tab w:leader="none" w:pos="22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Invested funds under the Company's non-qualified deferred compensation plan are held in a rabbi trust and consist of mutual funds. The fair value of the mutual funds is calculated using the net asset value per share determined by quoted active market prices of the underlying investments.</w:t>
      </w:r>
    </w:p>
    <w:p>
      <w:pPr>
        <w:ind w:right="360" w:firstLine="8"/>
        <w:spacing w:after="0" w:line="257" w:lineRule="auto"/>
        <w:tabs>
          <w:tab w:leader="none" w:pos="22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contingent consideration liability which related to the acquisition of United Silicon Carbide, Inc. was equal to the maximum amount payable at April 1, 2023 and was subsequently paid in the first quarter of fiscal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debt (in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60" w:type="dxa"/>
            <w:vAlign w:val="bottom"/>
          </w:tcPr>
          <w:p>
            <w:pPr>
              <w:spacing w:after="0"/>
              <w:rPr>
                <w:sz w:val="16"/>
                <w:szCs w:val="16"/>
                <w:color w:val="auto"/>
              </w:rPr>
            </w:pP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1.750% senior notes due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4.375% senior notes due 2029</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3.375% senior notes due 2031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and other</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premium, discount and issuance costs, net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r>
      <w:tr>
        <w:trPr>
          <w:trHeight w:val="223"/>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2,030,402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2,048,383</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(479,964)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1,550,438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2,048,073</w:t>
            </w: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September 29, 2020, the Company and certain of its U.S. subsidiaries (the "Guarantors") entered into a five-year unsecured senior credit facility pursuant to a credit agreement (as amended, restated, modified or otherwise supplemented from time to time, the "Credit Agreement") with Bank of America, N.A., acting as administrative agent, and a syndicate of lenders. The Credit Agreement amended and restated the previous credit agreement dated as of December 5, 2017. The Credit Agreement includes a senior revolving line of credit (the "Revolving Facility") of up to $300.0 million, and included a senior term loan that was fully repaid in fiscal 2022. The Revolving Facility is available to finance working capital, capital expenditures and other general corporate purposes.</w:t>
      </w:r>
    </w:p>
    <w:p>
      <w:pPr>
        <w:spacing w:after="0" w:line="21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Credit Agreement, the Company may request one or more additional tranches of term loans or increases to the Revolving Facility, up to an aggregate of $500.0 million and subject to, among other things, securing additional funding commitments from the existing or new lenders.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April 6, 2022, the Company and the administrative agent entered into an amendment to the Credit Agreement (the "LIBOR Transition Amendment") to replace the London Interbank Offered Rate as a reference rate available for use in the computation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of interest under the Credit Agreement. As a result of the LIBOR Transition Amendment, at the Company’s option, loans under the Credit Agreement will bear interest at (i) the Applicable Rate (as defined in the Credit Agreement) plus the Term SOFR (as defined in the Credit Agreement) or (ii) the Applicable Rate plus a rate equal to the highest of (a) the federal funds rate plus 0.50%, (b) the prime rate as set by the administrative agent, and (c) the Term SOFR plus 1.0% (the "Base Rate"). All swing line loans will bear interest at a rate equal to the Applicable Rate plus the Base Rate. The Term SOFR is the rate per annum equal to the forward-looking Secured Overnight Financing Rate term rate for interest periods of one, three or six months (as selected by the Company) plus an adjustment (as defined in the Credit Agreement). The Applicable Rate for Term SOFR loans ranges from 1.000% per annum to 1.250% per annum, and the Applicable Rate for Base Rate loans ranges from 0.000% per annum to 0.250% per annum. Undrawn amounts under the Revolving Facility are subject to a commitment fee ranging from 0.150% to 0.200%.</w:t>
      </w:r>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23, 2023, the Company entered into a second amendment to the Credit Agreement (the "Second Amendment"). The purpose of the Second Amendment was to amend certain covenants related to the Company’s ratio of Consolidated Funded Indebtedness to Consolidated EBITDA, as such terms are defined in the Credit Agreement (the "Consolidated Leverage Ratio"). The Second Amendment increased the maximum Consolidated Leverage Ratio to 4.00 to 1.00 for the fiscal quarters ended July 1, 2023 and September 30, 2023, and 3.50 to 1.00 for the fiscal quarters ended December 30, 2023 and ending March 30, 2024. For subsequent fiscal quarters, the maximum Consolidated Leverage Ratio will return to 3.00 to 1.00.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December 30, 2023, there were no borrowings under the Revolving Facility.</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Credit Agreement contains various conditions, covenants and representations with which the Company must be in compliance in order to borrow funds and to avoid an event of default. As of December 30, 2023, the Company was in compliance with these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2024</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14, 2021, the Company issued $500.0 million aggregate principal amount of its 1.750% senior notes due 2024 (the "2024 Notes"). The 2024 Notes will mature on December 15, 2024, unless earlier redeemed in accordance with their terms. The 2024 Notes are senior unsecured obligations of the Company and are guaranteed, jointly and severally, by the Guarantors.</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2024 Notes were issued pursuant to an indenture, dated as of December 14, 2021 (the "2021 Indenture"), by and among the Company, the Guarantors and Computershare Trust Company, N.A., as trustee. The 2021 Indenture contains customary events of default, including payment default, exchange default, failure to provide certain notices thereunder and certain provisions related to bankruptcy events. The 2021 Indenture also contains customary negative covenants.</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offering of the 2024 Notes, the Company agreed to provide the holders of the 2024 Notes with an opportunity to exchange the 2024 Notes for registered notes having terms substantially identical to the 2024 Notes. On November 24, 2023, the Company completed the exchange offer, in which substantially all of the privately placed 2024 Notes were exchanged for new notes that have been registered under the Securities Act of 1933, as amended.</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December 2023, the Company repurchased $18.7 million of the principal amount of the 2024 Notes, plus accrued and unpaid interest, on the open market. The Company recognized a net gain on debt extinguishment of $0.7 million, which is included in "Other income, net" in the Condensed Consolidated Statements of Operations. The remaining principal amount of the 2024 Notes of $481.3 million is included in "Current portion of long-term debt" in the Condensed Consolidated Balance Sheet as of December 30, 2023.</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is payable on the 2024 Notes on June 15 and December 15 of each year. The Company paid interest of $4.2 million and $8.6 million on the 2024 Notes during the three and nine months ended December 30, 2023, respectively, and paid interest of $4.4 million and $8.8 million on the 2024 Notes during the three and nine months ended December 31, 2022,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2029</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September 30, 2019, the Company issued $350.0 million aggregate principal amount of its 4.375% senior notes due 2029 (the "Initial 2029 Notes"). On December 20, 2019, and June 11, 2020, the Company issued an additional $200.0 million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the Guarantors.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substantially the same customary events of default and negative covenants as the 2021 Indenture.</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Interest is payable on the 2029 Notes on April 15 and October 15 of each year. The Company paid interest of $18.6 million on the 2029 Notes during both the three months ended December 30, 2023 and December 31, 2022, and paid interest of $37.2 million during both the nine months ended December 30, 2023 and December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2031</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spacing w:after="0" w:line="20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2031 Notes were issued pursuant to an indenture, dated as of September 29, 2020, by and among the Company, the Guarantors and MUFG Union Bank, N.A., as trustee (the "2020 Indenture"). The 2020 Indenture contains substantially the same customary events of default and negative covenants as the 2021 Indenture.</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Interest is payable on the 2031 Notes on April 1 and October 1 of each year. The Company paid interest of $11.8 million on the 2031 Notes during the three and nine months ended December 30, 2023. The Company paid no interest on the 2031 Notes during the three months ended December 31, 2022 and paid interest of $11.8 million during the nine months ended December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debt is carried at amortized cost and is measured at fair value quarterly for disclosure purposes. The estimated fair value of the 2024 Notes, the 2029 Notes and the 2031 Notes as of December 30, 2023 was $462.1 million, $803.9 million and $602.2 million, respectively (compared to the outstanding principal amount of $481.3 million, $850.0 million and $700.0 million, respectively). The estimated fair value of the 2024 Notes, the 2029 Notes and the 2031 Notes as of April 1, 2023 was $464.2 million, $785.9 million and $565.3 million, respectively (compared to the outstanding principal amount of $500.0 million, $850.0 million and $700.0 million, respectively). The Company considers its debt to be Level 2 in the fair value hierarchy. Fair values are estimated based on quoted market prices for identical or similar instruments. The 2024 Notes, the 2029 Notes and the 2031 Notes currently trade over-the-counter, and the fair values were estimated based upon the value of the last trade at the end of the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December 30, 2023, the Company recognized $18.2 million and $54.2 million of interest expense, respectively, primarily related to the 2024 Notes, the 2029 Notes and the 2031 Notes, partially offset by interest capitalized to property and equipment of $0.6 million and $2.3 million, respectively. During the three and nine months ended December 31, 2022, the Company recognized $18.1 million and $54.2 million of interest expense, respectively, primarily related to the 2024 Notes, the 2029 Notes and the 2031 Notes, partially offset by interest capitalized to property and equipment of $1.0 million and $3.0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 REPURCHASES</w:t>
      </w:r>
    </w:p>
    <w:p>
      <w:pPr>
        <w:spacing w:after="0" w:line="25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November 2, 2022, the Company announced that its Board of Directors authorized a new share repurchase program to repurchase up to $2.0 billion of the Company's outstanding common stock, which included the remaining authorized dollar amount under a prior program terminated concurrent with the new authorization.</w:t>
      </w:r>
    </w:p>
    <w:p>
      <w:pPr>
        <w:spacing w:after="0" w:line="20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Under the current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As of January 1, 2023, the Company's share repurchases in excess of issuances are subject to a 1% excise tax enacted by the Inflation Reduction Act. The excise tax is recognized as part of the cost basis of shares acquired in the Condensed Consolidated Statements of Stockholders' Equity.</w:t>
      </w:r>
    </w:p>
    <w:p>
      <w:pPr>
        <w:spacing w:after="0" w:line="21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December 30, 2023, the Company repurchased approximately 1.1 million and 3.1 million shares of its common stock, respectively, for approximately $100.8 million and $302.0 million, respectively (including transaction costs and excise tax) under the current share repurchase program. As of December 30, 2023, approximately $1,405.0 million remains authorized for repurchases under the current share repurchase program.</w:t>
      </w:r>
    </w:p>
    <w:p>
      <w:pPr>
        <w:spacing w:after="0" w:line="20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December 31, 2022, the Company repurchased approximately 2.2 million and 7.2 million shares of its common stock, respectively, for approximately $201.6 million and $711.7 million, respectively (including transaction costs) under the prior and current share repurchase programs.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CONTINGENT LIABILITIES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fiscal 2022, the Company entered into a long-term capacity reservation agreement with a foundry supplier to purchase a certain number of wafers through calendar year 2025. In fiscal 2023, the agreement was amended, and the term was extended through calendar year 2026. In the first quarter of fiscal 2023, the Company recorded charges of $110.0 million to "Cost of goods sold" based on the actual and estimated purchase shortfalls. No charges were recorded to the Condensed Consolidated Statements of Operations in the first quarter or second quarter of fiscal 2024 as a result of this agreement.</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October 2023, the agreement was further amended. Pursuant to the amendment, the Company is no longer obligated to order silicon wafers from the foundry supplier and the agreement was terminated effective December 31, 2023. A contract termination fee of $65.0 million, which is expected to be paid by the Company during the fourth quarter of fiscal 2024, was recorded to “Cost of goods sold” and "Other current liabilities" in the third quarter of fiscal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to customers by geographic region (based on the location of the customers' headquarters) is summarized as follows (in thousands):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318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1,667,048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1,470,231</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630,012</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Asia</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390,690</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274,707</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171,056</w:t>
            </w:r>
          </w:p>
        </w:tc>
      </w:tr>
      <w:tr>
        <w:trPr>
          <w:trHeight w:val="223"/>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1,073,861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743,281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2,828,518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2,936,696</w:t>
            </w: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disaggregates revenue by operating segments (refer to Note 10).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RESTRUCTURING</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fiscal 2023, the Company initiated actions to improve efficiencies in its operations and further align the organization with its strategic objectives. These initiatives (the "2023 Restructuring Initiatives") included seeking strategic alternatives related to its non-core biotechnology business. In the third quarter of fiscal 2024, the Company recognized a gain on the sale of its non-core biotechnology business, which is recorded in "Other operating expense" in the Condensed Consolidated Statements of Operations.</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will continue to evaluate its operating footprint, cost structure and strategic opportunities, but does not expect to incur additional material charges related to the 2023 Restructuring Initiatives. As of December 30, 2023, the Company has incurred cumulative charges of $160.5 million related to the 2023 Restructuring Initiatives.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charges resulting from the 2023 Restructuring Initiatives (in thousands):</w:t>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4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December 30, 2023</w:t>
            </w:r>
          </w:p>
        </w:tc>
        <w:tc>
          <w:tcPr>
            <w:tcW w:w="140" w:type="dxa"/>
            <w:vAlign w:val="bottom"/>
          </w:tcPr>
          <w:p>
            <w:pPr>
              <w:spacing w:after="0"/>
              <w:rPr>
                <w:sz w:val="16"/>
                <w:szCs w:val="16"/>
                <w:color w:val="auto"/>
              </w:rPr>
            </w:pPr>
          </w:p>
        </w:tc>
        <w:tc>
          <w:tcPr>
            <w:tcW w:w="3640" w:type="dxa"/>
            <w:vAlign w:val="bottom"/>
            <w:gridSpan w:val="7"/>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Nine Months Ended December 30, 2023</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Cost of Goods</w:t>
            </w:r>
          </w:p>
        </w:tc>
        <w:tc>
          <w:tcPr>
            <w:tcW w:w="130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26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Cost of Goods</w:t>
            </w:r>
          </w:p>
        </w:tc>
        <w:tc>
          <w:tcPr>
            <w:tcW w:w="130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260" w:type="dxa"/>
            <w:vAlign w:val="bottom"/>
          </w:tcPr>
          <w:p>
            <w:pPr>
              <w:spacing w:after="0"/>
              <w:rPr>
                <w:sz w:val="11"/>
                <w:szCs w:val="11"/>
                <w:color w:val="auto"/>
              </w:rPr>
            </w:pPr>
          </w:p>
        </w:tc>
        <w:tc>
          <w:tcPr>
            <w:tcW w:w="92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Sold</w:t>
            </w:r>
          </w:p>
        </w:tc>
        <w:tc>
          <w:tcPr>
            <w:tcW w:w="2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60" w:type="dxa"/>
            <w:vAlign w:val="bottom"/>
            <w:tcBorders>
              <w:top w:val="single" w:sz="8" w:color="CCEEFF"/>
            </w:tcBorders>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 xml:space="preserve">Contract termination and other costs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22,558</w:t>
            </w:r>
          </w:p>
        </w:tc>
        <w:tc>
          <w:tcPr>
            <w:tcW w:w="0" w:type="dxa"/>
            <w:vAlign w:val="bottom"/>
          </w:tcPr>
          <w:p>
            <w:pPr>
              <w:spacing w:after="0"/>
              <w:rPr>
                <w:sz w:val="1"/>
                <w:szCs w:val="1"/>
                <w:color w:val="auto"/>
              </w:rPr>
            </w:pPr>
          </w:p>
        </w:tc>
      </w:tr>
      <w:tr>
        <w:trPr>
          <w:trHeight w:val="230"/>
        </w:trPr>
        <w:tc>
          <w:tcPr>
            <w:tcW w:w="34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costs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23"/>
        </w:trPr>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December 31, 2022</w:t>
            </w:r>
          </w:p>
        </w:tc>
        <w:tc>
          <w:tcPr>
            <w:tcW w:w="140" w:type="dxa"/>
            <w:vAlign w:val="bottom"/>
          </w:tcPr>
          <w:p>
            <w:pPr>
              <w:spacing w:after="0"/>
              <w:rPr>
                <w:sz w:val="24"/>
                <w:szCs w:val="24"/>
                <w:color w:val="auto"/>
              </w:rPr>
            </w:pPr>
          </w:p>
        </w:tc>
        <w:tc>
          <w:tcPr>
            <w:tcW w:w="3640" w:type="dxa"/>
            <w:vAlign w:val="bottom"/>
            <w:gridSpan w:val="7"/>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Nine Months Ended December 31, 2022</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Cost of Goods</w:t>
            </w:r>
          </w:p>
        </w:tc>
        <w:tc>
          <w:tcPr>
            <w:tcW w:w="130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26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Cost of Goods</w:t>
            </w:r>
          </w:p>
        </w:tc>
        <w:tc>
          <w:tcPr>
            <w:tcW w:w="130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260" w:type="dxa"/>
            <w:vAlign w:val="bottom"/>
          </w:tcPr>
          <w:p>
            <w:pPr>
              <w:spacing w:after="0"/>
              <w:rPr>
                <w:sz w:val="11"/>
                <w:szCs w:val="11"/>
                <w:color w:val="auto"/>
              </w:rPr>
            </w:pPr>
          </w:p>
        </w:tc>
        <w:tc>
          <w:tcPr>
            <w:tcW w:w="92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Sold</w:t>
            </w:r>
          </w:p>
        </w:tc>
        <w:tc>
          <w:tcPr>
            <w:tcW w:w="2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17,033</w:t>
            </w:r>
          </w:p>
        </w:tc>
        <w:tc>
          <w:tcPr>
            <w:tcW w:w="0" w:type="dxa"/>
            <w:vAlign w:val="bottom"/>
          </w:tcPr>
          <w:p>
            <w:pPr>
              <w:spacing w:after="0"/>
              <w:rPr>
                <w:sz w:val="1"/>
                <w:szCs w:val="1"/>
                <w:color w:val="auto"/>
              </w:rPr>
            </w:pPr>
          </w:p>
        </w:tc>
      </w:tr>
      <w:tr>
        <w:trPr>
          <w:trHeight w:val="230"/>
        </w:trPr>
        <w:tc>
          <w:tcPr>
            <w:tcW w:w="34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costs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One-time employee termination benefits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23"/>
        </w:trPr>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reversal due to adjustment of previously accrued restructuring charges.</w:t>
      </w:r>
    </w:p>
    <w:p>
      <w:pPr>
        <w:spacing w:after="0" w:line="2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adjustment of certain property and equipment to reflect its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third quarter of fiscal 2024, the Company entered into a definitive agreement with a global advanced contract manufacturer (the "Purchaser"), to sell its assembly and test facilities in Beijing and Dezhou, China (the "2024 Restructuring Initiative"). The transaction is expected to be completed in the first half of calendar 2024, subject to receipt of regulatory approvals and the satisfaction or waiver of other closing conditions. Assembly and test services will be provided to the Company by the Purchaser under a long-term supply agreement upon completion of the transaction. In connection with the 2024 Restructuring Initiative, the Company incurred immaterial legal and professional fees, recorded to "Other operating expense," in the third quarter of fiscal 2024, and expects to incur additional restructuring-related charges related to this initiative. Restructuring charges recorded by the Company are not allocated to its reportable segments.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restructuring liabilities for the nine months ended December 30, 2023 (in thousands):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One-Time Employee</w:t>
            </w:r>
          </w:p>
        </w:tc>
        <w:tc>
          <w:tcPr>
            <w:tcW w:w="120" w:type="dxa"/>
            <w:vAlign w:val="bottom"/>
          </w:tcPr>
          <w:p>
            <w:pPr>
              <w:spacing w:after="0"/>
              <w:rPr>
                <w:sz w:val="13"/>
                <w:szCs w:val="13"/>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380" w:type="dxa"/>
            <w:vAlign w:val="bottom"/>
          </w:tcPr>
          <w:p>
            <w:pPr>
              <w:spacing w:after="0"/>
              <w:rPr>
                <w:sz w:val="13"/>
                <w:szCs w:val="13"/>
                <w:color w:val="auto"/>
              </w:rPr>
            </w:pPr>
          </w:p>
        </w:tc>
        <w:tc>
          <w:tcPr>
            <w:tcW w:w="124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12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Other Costs</w:t>
            </w:r>
          </w:p>
        </w:tc>
        <w:tc>
          <w:tcPr>
            <w:tcW w:w="3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April 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28,443</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(19,175)</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December 30,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accrued restructuring balances as of December 30, 2023 represent estimated future cash payments required to satisfy the Company's remaining obligations, the majority of which are expected to be paid in the next twelve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OPERATING SEGMENT INFORMATION</w:t>
      </w:r>
    </w:p>
    <w:p>
      <w:pPr>
        <w:spacing w:after="0" w:line="24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The Company's three operating and reportable segments, HPA, CSG, and ACG, are based on the organizational structure and information reviewed by the Company's Chief Executive Officer, who is also the Company's chief operating decision maker ("CODM"). The CODM allocates resources and evaluates the performance of each of the three operating segments primarily based on operating income. The Company’s manufacturing facilities service and provide benefit to all three operating segments and the operating costs of the facilities are reflected in the cost of goods sold of each operating segment, on the basis of product cost. The Company’s operating segments do not record intercompany revenue. The Company does not allocate gains and losses from investments, interest expense, other income (expense), or taxes to operating segments. The CODM does not evaluate operating segments using discrete asset information.</w:t>
      </w:r>
    </w:p>
    <w:p>
      <w:pPr>
        <w:spacing w:after="0" w:line="21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HPA is a leading global supplier of radio frequency ("RF") and power management solutions for automotive, defense and aerospace, cellular infrastructure, broadband, industrial, enterprise and consumer markets. HPA leverages a diverse portfolio of differentiated technologies and products to support multiyear growth trends, including electrification, renewable energy, the increasing semiconductor spend in defense and aerospace, and 5G and 6G network infrastructure.</w:t>
      </w:r>
    </w:p>
    <w:p>
      <w:pPr>
        <w:spacing w:after="0" w:line="207"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CSG is a leading global supplier of connectivity and sensor solutions, with broad expertise spanning ultra-wideband, Matter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Bluetooth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Low Energy, Zigbee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Thread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Wi-Fi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cellular Internet of Things, microelectromechanical system-based sensors and bulk acoustic wave-based sensors. CSG’s markets include home and consumer electronics, industrial automation, automotive, smartphones, wearables, and industrial and enterprise access points.</w:t>
      </w:r>
    </w:p>
    <w:p>
      <w:pPr>
        <w:spacing w:after="0" w:line="2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ACG is a leading global supplier of cellular RF solutions for smartphones, wearables, laptops, tablets and other devices. ACG leverages world-class technology and systems-level expertise to deliver a broad portfolio of high performance cellular products to the world's leading smartphone and consumer electronics companies.</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"All other" category includes operating expenses such as stock-based compensation expense, amortization of intangible assets, restructuring-related charges, acquisition and integration-related costs, goodwill impairment, charges associated with a long-term capacity reservation agreement, gain (loss) on disposal of business and assets and other miscellaneous corporate overhead expenses that the Company does not allocate to its operating segments because these expenses are not included in the segment operating performance measures evaluated by the Company’s CODM. Except as discussed above regarding the "All other" category, the Company’s accounting policies for segment reporting are the same as for the Company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details of the Company’s operating and reportable segments and a reconciliation of the "All other" category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8"/>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4"/>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HPA</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594,094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CSG</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392,454</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ACG</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846,073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491,460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2,108,349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1,950,148</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2,828,518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2,936,696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HPA</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181,102</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CSG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ACG</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569,439</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(281,349)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(348,465)</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372,150</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323,642</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gridSpan w:val="8"/>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"All other" category:</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(99,283)</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Restructuring-related charges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(21,246)</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1"/>
        </w:trPr>
        <w:tc>
          <w:tcPr>
            <w:tcW w:w="440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Charges associated with a long-term capacity reservation</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400" w:type="dxa"/>
            <w:vAlign w:val="bottom"/>
            <w:shd w:val="clear" w:color="auto" w:fill="CCEEFF"/>
          </w:tcPr>
          <w:p>
            <w:pPr>
              <w:ind w:left="300"/>
              <w:spacing w:after="0" w:line="237" w:lineRule="exact"/>
              <w:rPr>
                <w:sz w:val="20"/>
                <w:szCs w:val="20"/>
                <w:color w:val="auto"/>
              </w:rPr>
            </w:pPr>
            <w:r>
              <w:rPr>
                <w:rFonts w:ascii="Times New Roman" w:cs="Times New Roman" w:eastAsia="Times New Roman" w:hAnsi="Times New Roman"/>
                <w:sz w:val="18"/>
                <w:szCs w:val="18"/>
                <w:color w:val="auto"/>
              </w:rPr>
              <w:t xml:space="preserve">agreement </w:t>
            </w:r>
            <w:r>
              <w:rPr>
                <w:rFonts w:ascii="Times New Roman" w:cs="Times New Roman" w:eastAsia="Times New Roman" w:hAnsi="Times New Roman"/>
                <w:sz w:val="23"/>
                <w:szCs w:val="23"/>
                <w:color w:val="auto"/>
                <w:vertAlign w:val="superscript"/>
              </w:rPr>
              <w:t>(3)</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 for "All other"</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(281,349)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(348,465)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9 for additional information.</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3 for additional information.</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7 for additional information.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income tax expense was $83.1 million and $117.1 million for the three and nine months ended December 30, 2023, respectively, and income tax expense was $13.2 million and $82.1 million for the three and nine months ended December 31, 2022, respectively. The Company’s effective tax rate was (189.9)% and 265.9% for the three and nine months ended December 30, 2023, respectively, and (474.1)% and 25.4% for the three and nine months ended December 31, 2022, respectively.</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December 30, 2023 differed from the statutory rate primarily due to tax rate differences in foreign jurisdictions, global intangible low tax income ("GILTI"), domestic tax credits generated, discrete charges and tax items recorded during the periods including effects of non-deductible goodwill impairment charges within the CSG segment. A discrete tax expense of $40.2 million and $45.7 million was recorded during the three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nine months ended December 30, 2023, respectively. The discrete tax expense for the three months ended December 30, 2023 primarily related to the tax impacts of the Company’s reversal of its permanent reinvestment assertion, sale of its non-core biotechnology business, termination of a long-term capacity reservation agreement, and the correlative effects on GILTI. The discrete tax expense for the three and nine months ended December 30, 2023 was also impacted by foreign currency gains recognized for tax purposes.</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continually evaluates its global cash needs and has historically asserted that some of its unremitted foreign earnings were permanently reinvested. During the three months ended December 30, 2023, the Company entered into a definitive agreement to sell its assembly and test facilities in China (refer to Note 9 for additional information), and it was determined the Company could no longer support its permanent reinvestment assertion on related, unremitted earnings. In relation to the reversal of its permanent reinvestment assertion, the Company recorded a $28.2 million discrete tax expense during the third quarter of fiscal 2024, and as of December 30, 2023, the Company no longer asserts that any of the earnings of its foreign subsidiaries are permanently reinvested.</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December 31, 2022 differed from the statutory rate primarily due to tax rate differences in foreign jurisdictions, GILTI, domestic tax credits generated and discrete tax items recorded during the periods. A discrete tax expense of $2.2 million and discrete tax benefit of $10.4 million was recorded during the three and nine months ended December 31, 2022, respectively. The discrete tax expense for the three months ended December 31, 2022 primarily resulted from foreign currency gains recognized for tax purposes. The discrete tax benefit for the nine months ended December 31, 2022 primarily resulted from certain charges associated with a long-term capacity reservation agreement, partially offset by foreign currency gains recognized for tax purposes.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INCOME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income per share (in thousands, except per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318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6"/>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Numerator for basic and diluted net (loss) income per</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share — net (loss) income available to common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(126,938)</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8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(73,057)</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241,568</w:t>
            </w:r>
          </w:p>
        </w:tc>
        <w:tc>
          <w:tcPr>
            <w:tcW w:w="0" w:type="dxa"/>
            <w:vAlign w:val="bottom"/>
          </w:tcPr>
          <w:p>
            <w:pPr>
              <w:spacing w:after="0"/>
              <w:rPr>
                <w:sz w:val="1"/>
                <w:szCs w:val="1"/>
                <w:color w:val="auto"/>
              </w:rPr>
            </w:pPr>
          </w:p>
        </w:tc>
      </w:tr>
      <w:tr>
        <w:trPr>
          <w:trHeight w:val="212"/>
        </w:trPr>
        <w:tc>
          <w:tcPr>
            <w:tcW w:w="4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stockholders</w:t>
            </w:r>
          </w:p>
        </w:tc>
        <w:tc>
          <w:tcPr>
            <w:tcW w:w="18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Denominator for basic net (loss) income per share —</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weighted-average shares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100,943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103,039</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awards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155"/>
        </w:trPr>
        <w:tc>
          <w:tcPr>
            <w:tcW w:w="4420" w:type="dxa"/>
            <w:vAlign w:val="bottom"/>
            <w:tcBorders>
              <w:top w:val="single" w:sz="8" w:color="CCEEFF"/>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Denominator for diluted net (loss) income per share —</w:t>
            </w:r>
          </w:p>
        </w:tc>
        <w:tc>
          <w:tcPr>
            <w:tcW w:w="18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520"/>
              <w:spacing w:after="0" w:line="184" w:lineRule="exact"/>
              <w:rPr>
                <w:sz w:val="20"/>
                <w:szCs w:val="20"/>
                <w:color w:val="auto"/>
              </w:rPr>
            </w:pPr>
            <w:r>
              <w:rPr>
                <w:rFonts w:ascii="Times New Roman" w:cs="Times New Roman" w:eastAsia="Times New Roman" w:hAnsi="Times New Roman"/>
                <w:sz w:val="18"/>
                <w:szCs w:val="18"/>
                <w:color w:val="auto"/>
              </w:rPr>
              <w:t>adjusted weighted-average shares and assumed</w:t>
            </w:r>
          </w:p>
        </w:tc>
        <w:tc>
          <w:tcPr>
            <w:tcW w:w="18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103,812</w:t>
            </w:r>
          </w:p>
        </w:tc>
        <w:tc>
          <w:tcPr>
            <w:tcW w:w="0" w:type="dxa"/>
            <w:vAlign w:val="bottom"/>
          </w:tcPr>
          <w:p>
            <w:pPr>
              <w:spacing w:after="0"/>
              <w:rPr>
                <w:sz w:val="1"/>
                <w:szCs w:val="1"/>
                <w:color w:val="auto"/>
              </w:rPr>
            </w:pPr>
          </w:p>
        </w:tc>
      </w:tr>
      <w:tr>
        <w:trPr>
          <w:trHeight w:val="227"/>
        </w:trPr>
        <w:tc>
          <w:tcPr>
            <w:tcW w:w="44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conversions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computation of net loss per share for the three and nine months ended December 30, 2023, approximately 2.2 million and 1.6 million shares, respectively, of outstanding stock-based awards were excluded because the effect of their inclusion would have been anti-dilutive. In the computation of net loss per share for the three months ended December 31, 2022, approximately 2.0 million shares of outstanding stock-based awards were excluded because the effect of their inclusion would have been anti-dilutive. In the computation of diluted net income per share for the nine months ended December 31, 2022, approximately 0.9 million shares of outstanding stock-based awards were excluded because the effect of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22, 2024, the Company entered into a definitive agreement to acquire Anokiwave, Inc. ("Anokiwave"). Anokiwave is a leading supplier of high performance silicon integrated circuits for intelligent active array antennas for defense and aerospace, satellite communication and 5G applications. The acquisition is expected to be completed during the fourth quarter of fiscal 2024, subject to certain customary closing conditions, and is expected to be funded with cash on hand.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25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terms such as "may," "will," "should," "could," "expect," "plan," "anticipate," "believe," "estimate," "forecast,"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on a quarterly and annual basis; our substantial dependence on developing new products and achieving design wins; our dependence on several large customers for a substantial portion of our revenue; a loss of revenue if defense and aerospace contracts are canceled or delayed; continued effects of the COVID-19 pandemic; our dependence on third parties; risks related to sales through distributors; risks associated with the operation of our manufacturing facilities; business disruptions; poor manufacturing yields; increased inventory risks and costs, including under long-term supply agreements, due to timing of customers' forecasts; our inability to effectively manage or maintain evolving relationships with chipset suppliers; our ability to continue to innovate in a very competitive industry; underutilization of manufacturing facilities; unfavorable changes in interest rates, pricing of certain precious metals, utility rates and foreign currency exchange rates; our acquisitions and other strategic investments failing to achieve financial or strategic objectives; our ability to attract, retain and motivate key employees; warranty claims, product recalls and product liability; changes in our effective tax rate; enactment of international or domestic tax legislation, or changes in regulatory guidance; changes in the favorable tax status of certain of our subsidiaries; risks associated with environmental, health and safety regulations, and climate change; risks from international sales and operations; economic regulation in China; changes in government trade policies, including imposition of tariffs and export restrictions; we may not be able to generate sufficient cash to service all of our debt; restrictions imposed by the agreements governing our debt; our reliance on our intellectual property portfolio; claims of infringement of third-party intellectual property rights; security breaches and other similar disruptions; theft, loss or misuse of personal data by or about our employees, customers or third parties; provisions in our governing documents and Delaware law may discourage takeovers and business combinations that our stockholders might consider to be in their best interests; and volatility in the price of our common stock. These and other risks and uncertainties, which are described in more detail under "Risk Factors" in Part I, Item 1A of our Annual Report on Form 10-K for the fiscal year ended April 1, 2023 and Qorvo's subsequent reports and statements that we file with the SEC, could cause actual results and developments to be materially different from those expressed or implied by any of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left="33"/>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left="33" w:right="80"/>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help the reader understand the consolidated results of operations and financial condition of Qorvo, Inc. and Subsidiaries (together, the "Company" or "Qorvo"). MD&amp;A is provided as a supplement to, and should be read in conjunction with, our Condensed Consolidated Financial Statements and accompanying Notes to Condensed Consolidated Financial Statements.</w:t>
      </w:r>
    </w:p>
    <w:p>
      <w:pPr>
        <w:spacing w:after="0" w:line="203" w:lineRule="exact"/>
        <w:rPr>
          <w:sz w:val="20"/>
          <w:szCs w:val="20"/>
          <w:color w:val="auto"/>
        </w:rPr>
      </w:pPr>
    </w:p>
    <w:p>
      <w:pPr>
        <w:ind w:left="33"/>
        <w:spacing w:after="0"/>
        <w:rPr>
          <w:sz w:val="20"/>
          <w:szCs w:val="20"/>
          <w:color w:val="auto"/>
        </w:rPr>
      </w:pPr>
      <w:r>
        <w:rPr>
          <w:rFonts w:ascii="Times New Roman" w:cs="Times New Roman" w:eastAsia="Times New Roman" w:hAnsi="Times New Roman"/>
          <w:sz w:val="18"/>
          <w:szCs w:val="18"/>
          <w:color w:val="auto"/>
        </w:rPr>
        <w:t>Qorvo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global leader in the development and commercialization of technologies and products for wireless, wired and power markets.</w:t>
      </w:r>
    </w:p>
    <w:p>
      <w:pPr>
        <w:spacing w:after="0" w:line="198" w:lineRule="exact"/>
        <w:rPr>
          <w:sz w:val="20"/>
          <w:szCs w:val="20"/>
          <w:color w:val="auto"/>
        </w:rPr>
      </w:pPr>
    </w:p>
    <w:p>
      <w:pPr>
        <w:ind w:left="33" w:right="20"/>
        <w:spacing w:after="0" w:line="261" w:lineRule="auto"/>
        <w:rPr>
          <w:sz w:val="20"/>
          <w:szCs w:val="20"/>
          <w:color w:val="auto"/>
        </w:rPr>
      </w:pPr>
      <w:r>
        <w:rPr>
          <w:rFonts w:ascii="Times New Roman" w:cs="Times New Roman" w:eastAsia="Times New Roman" w:hAnsi="Times New Roman"/>
          <w:sz w:val="18"/>
          <w:szCs w:val="18"/>
          <w:color w:val="auto"/>
        </w:rPr>
        <w:t>We design, develop, manufacture and market our products to U.S. and international original equipment manufacturers and original design manufacturers in three reportable operating segments: High Performance Analog ("HPA"), Connectivity and Sensors Group ("CSG") and Advanced Cellular Group ("ACG"). Refer to Note 10 of the Notes to Condensed Consolidated Financial Statements for additional information regarding our reportable operating segments as of December 30, 2023.</w:t>
      </w:r>
    </w:p>
    <w:p>
      <w:pPr>
        <w:spacing w:after="0" w:line="207" w:lineRule="exact"/>
        <w:rPr>
          <w:sz w:val="20"/>
          <w:szCs w:val="20"/>
          <w:color w:val="auto"/>
        </w:rPr>
      </w:pPr>
    </w:p>
    <w:p>
      <w:pPr>
        <w:ind w:left="33"/>
        <w:spacing w:after="0" w:line="261" w:lineRule="auto"/>
        <w:rPr>
          <w:sz w:val="20"/>
          <w:szCs w:val="20"/>
          <w:color w:val="auto"/>
        </w:rPr>
      </w:pPr>
      <w:r>
        <w:rPr>
          <w:rFonts w:ascii="Times New Roman" w:cs="Times New Roman" w:eastAsia="Times New Roman" w:hAnsi="Times New Roman"/>
          <w:sz w:val="18"/>
          <w:szCs w:val="18"/>
          <w:color w:val="auto"/>
        </w:rPr>
        <w:t>HPA is a leading global supplier of radio frequency ("RF") and power management solutions for automotive, defense and aerospace, cellular infrastructure, broadband, industrial, enterprise and consumer markets. HPA leverages a diverse portfolio of differentiated technologies and products to support multiyear growth trends, including electrification, renewable energy, the increasing semiconductor spend in defense and aerospace, and 5G and 6G network infrastructure.</w:t>
      </w:r>
    </w:p>
    <w:p>
      <w:pPr>
        <w:spacing w:after="0" w:line="203" w:lineRule="exact"/>
        <w:rPr>
          <w:sz w:val="20"/>
          <w:szCs w:val="20"/>
          <w:color w:val="auto"/>
        </w:rPr>
      </w:pPr>
    </w:p>
    <w:p>
      <w:pPr>
        <w:ind w:left="33" w:right="240"/>
        <w:spacing w:after="0" w:line="225" w:lineRule="auto"/>
        <w:rPr>
          <w:sz w:val="20"/>
          <w:szCs w:val="20"/>
          <w:color w:val="auto"/>
        </w:rPr>
      </w:pPr>
      <w:r>
        <w:rPr>
          <w:rFonts w:ascii="Times New Roman" w:cs="Times New Roman" w:eastAsia="Times New Roman" w:hAnsi="Times New Roman"/>
          <w:sz w:val="18"/>
          <w:szCs w:val="18"/>
          <w:color w:val="auto"/>
        </w:rPr>
        <w:t>CSG is a leading global supplier of connectivity and sensor solutions, with broad expertise spanning ultra-wideband, Matter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Bluetooth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Low Energy, Zigbee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Thread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Wi-Fi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cellular Internet of Things, microelectromechanical system-based sensors and bulk acoustic wave ("BAW")-based sensors. CSG’s markets include home and consumer electronics, industrial automation, automotive, smartphones, wearables, and industrial and enterprise access points.</w:t>
      </w:r>
    </w:p>
    <w:p>
      <w:pPr>
        <w:spacing w:after="0" w:line="226" w:lineRule="exact"/>
        <w:rPr>
          <w:sz w:val="20"/>
          <w:szCs w:val="20"/>
          <w:color w:val="auto"/>
        </w:rPr>
      </w:pPr>
    </w:p>
    <w:p>
      <w:pPr>
        <w:ind w:left="33" w:right="100"/>
        <w:spacing w:after="0" w:line="266" w:lineRule="auto"/>
        <w:rPr>
          <w:sz w:val="20"/>
          <w:szCs w:val="20"/>
          <w:color w:val="auto"/>
        </w:rPr>
      </w:pPr>
      <w:r>
        <w:rPr>
          <w:rFonts w:ascii="Times New Roman" w:cs="Times New Roman" w:eastAsia="Times New Roman" w:hAnsi="Times New Roman"/>
          <w:sz w:val="18"/>
          <w:szCs w:val="18"/>
          <w:color w:val="auto"/>
        </w:rPr>
        <w:t>ACG is a leading global supplier of cellular RF solutions for smartphones, wearables, laptops, tablets and other devices. ACG leverages world-class technology and systems-level expertise to deliver a broad portfolio of high performance cellular products to the world's leading smartphone and consumer electronics companies.</w:t>
      </w:r>
    </w:p>
    <w:p>
      <w:pPr>
        <w:spacing w:after="0" w:line="199" w:lineRule="exact"/>
        <w:rPr>
          <w:sz w:val="20"/>
          <w:szCs w:val="20"/>
          <w:color w:val="auto"/>
        </w:rPr>
      </w:pPr>
    </w:p>
    <w:p>
      <w:pPr>
        <w:ind w:left="33"/>
        <w:spacing w:after="0"/>
        <w:rPr>
          <w:sz w:val="20"/>
          <w:szCs w:val="20"/>
          <w:color w:val="auto"/>
        </w:rPr>
      </w:pPr>
      <w:r>
        <w:rPr>
          <w:rFonts w:ascii="Times New Roman" w:cs="Times New Roman" w:eastAsia="Times New Roman" w:hAnsi="Times New Roman"/>
          <w:sz w:val="18"/>
          <w:szCs w:val="18"/>
          <w:b w:val="1"/>
          <w:bCs w:val="1"/>
          <w:color w:val="auto"/>
        </w:rPr>
        <w:t>THIRD QUARTER FISCAL 2024 FINANCIAL HIGHLIGHTS</w:t>
      </w:r>
    </w:p>
    <w:p>
      <w:pPr>
        <w:spacing w:after="0" w:line="256" w:lineRule="exact"/>
        <w:rPr>
          <w:sz w:val="20"/>
          <w:szCs w:val="20"/>
          <w:color w:val="auto"/>
        </w:rPr>
      </w:pPr>
    </w:p>
    <w:p>
      <w:pPr>
        <w:ind w:left="333" w:right="480" w:hanging="333"/>
        <w:spacing w:after="0" w:line="282"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third quarter of fiscal 2024 increased 44.5% as compared to the third quarter of fiscal 2023, primarily due to content gains at our largest end customer as well as an increase in demand for our advanced cellular products for mass market smartphones.</w:t>
      </w:r>
    </w:p>
    <w:p>
      <w:pPr>
        <w:spacing w:after="0" w:line="188" w:lineRule="exact"/>
        <w:rPr>
          <w:rFonts w:ascii="Times New Roman" w:cs="Times New Roman" w:eastAsia="Times New Roman" w:hAnsi="Times New Roman"/>
          <w:sz w:val="18"/>
          <w:szCs w:val="18"/>
          <w:color w:val="auto"/>
        </w:rPr>
      </w:pPr>
    </w:p>
    <w:p>
      <w:pPr>
        <w:ind w:left="333" w:right="240" w:hanging="333"/>
        <w:spacing w:after="0" w:line="266"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remained flat at 36.1% for the third quarter of fiscal 2024 as compared to the third quarter of fiscal 2023, primarily due to improved factory utilization and lower inventory charges, offset by a termination fee related to a long-term capacity reservation agreement and average selling price erosion.</w:t>
      </w:r>
    </w:p>
    <w:p>
      <w:pPr>
        <w:spacing w:after="0" w:line="202" w:lineRule="exact"/>
        <w:rPr>
          <w:rFonts w:ascii="Times New Roman" w:cs="Times New Roman" w:eastAsia="Times New Roman" w:hAnsi="Times New Roman"/>
          <w:sz w:val="18"/>
          <w:szCs w:val="18"/>
          <w:color w:val="auto"/>
        </w:rPr>
      </w:pPr>
    </w:p>
    <w:p>
      <w:pPr>
        <w:ind w:left="333" w:right="400" w:hanging="333"/>
        <w:spacing w:after="0" w:line="282"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was $41.6 million for the third quarter of fiscal 2024 as compared to operating income of $8.7 million for the third quarter of fiscal 2023, primarily due to a goodwill impairment charge, partially offset by higher revenue.</w:t>
      </w:r>
    </w:p>
    <w:p>
      <w:pPr>
        <w:spacing w:after="0" w:line="188"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per share was $1.31 for the third quarter of fiscal 2024 as compared to net loss per share of $0.16 for the third quarter of fiscal 2023.</w:t>
      </w:r>
    </w:p>
    <w:p>
      <w:pPr>
        <w:spacing w:after="0" w:line="252" w:lineRule="exact"/>
        <w:rPr>
          <w:rFonts w:ascii="Times New Roman" w:cs="Times New Roman" w:eastAsia="Times New Roman" w:hAnsi="Times New Roman"/>
          <w:sz w:val="18"/>
          <w:szCs w:val="18"/>
          <w:color w:val="auto"/>
        </w:rPr>
      </w:pPr>
    </w:p>
    <w:p>
      <w:pPr>
        <w:ind w:left="333" w:right="140" w:hanging="333"/>
        <w:spacing w:after="0" w:line="282"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$492.9 million for the third quarter of fiscal 2024 as compared to $237.4 million for the third quarter of fiscal 2023.</w:t>
      </w:r>
    </w:p>
    <w:p>
      <w:pPr>
        <w:spacing w:after="0" w:line="188"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$26.4 million for the third quarter of fiscal 2024 as compared to $34.4 million for the third quarter of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3"/>
          </w:cols>
          <w:pgMar w:left="287" w:top="118"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our results of operations (in thousands, except percentages):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gridSpan w:val="5"/>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6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20" w:type="dxa"/>
            <w:vAlign w:val="bottom"/>
          </w:tcPr>
          <w:p>
            <w:pPr>
              <w:jc w:val="right"/>
              <w:ind w:right="257"/>
              <w:spacing w:after="0" w:line="12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1"/>
                <w:szCs w:val="11"/>
                <w:color w:val="auto"/>
              </w:rPr>
            </w:pPr>
          </w:p>
        </w:tc>
        <w:tc>
          <w:tcPr>
            <w:tcW w:w="13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0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1,073,861</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743,281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330,580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44.5 %</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685,983</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475,230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210,753</w:t>
            </w:r>
          </w:p>
        </w:tc>
        <w:tc>
          <w:tcPr>
            <w:tcW w:w="142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387,878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268,051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119,827</w:t>
            </w:r>
          </w:p>
        </w:tc>
        <w:tc>
          <w:tcPr>
            <w:tcW w:w="14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operating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(loss)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164,329</w:t>
            </w:r>
          </w:p>
        </w:tc>
        <w:tc>
          <w:tcPr>
            <w:tcW w:w="1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149,472</w:t>
            </w:r>
          </w:p>
        </w:tc>
        <w:tc>
          <w:tcPr>
            <w:tcW w:w="10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14,857</w:t>
            </w: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86,914</w:t>
            </w:r>
          </w:p>
        </w:tc>
        <w:tc>
          <w:tcPr>
            <w:tcW w:w="1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76,269</w:t>
            </w:r>
          </w:p>
        </w:tc>
        <w:tc>
          <w:tcPr>
            <w:tcW w:w="10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10,645</w:t>
            </w: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4"/>
        </w:trPr>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178,204</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33,581</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144,623</w:t>
            </w: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430.7</w:t>
            </w:r>
          </w:p>
        </w:tc>
        <w:tc>
          <w:tcPr>
            <w:tcW w:w="0" w:type="dxa"/>
            <w:vAlign w:val="bottom"/>
          </w:tcPr>
          <w:p>
            <w:pPr>
              <w:spacing w:after="0"/>
              <w:rPr>
                <w:sz w:val="1"/>
                <w:szCs w:val="1"/>
                <w:color w:val="auto"/>
              </w:rPr>
            </w:pPr>
          </w:p>
        </w:tc>
      </w:tr>
      <w:tr>
        <w:trPr>
          <w:trHeight w:val="223"/>
        </w:trPr>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(41,569)</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0" w:type="dxa"/>
            <w:vAlign w:val="bottom"/>
          </w:tcPr>
          <w:p>
            <w:pPr>
              <w:spacing w:after="0"/>
              <w:rPr>
                <w:sz w:val="1"/>
                <w:szCs w:val="1"/>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gridSpan w:val="5"/>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6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20" w:type="dxa"/>
            <w:vAlign w:val="bottom"/>
          </w:tcPr>
          <w:p>
            <w:pPr>
              <w:jc w:val="right"/>
              <w:ind w:right="256"/>
              <w:spacing w:after="0" w:line="12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0"/>
        </w:trPr>
        <w:tc>
          <w:tcPr>
            <w:tcW w:w="1360" w:type="dxa"/>
            <w:vAlign w:val="bottom"/>
            <w:gridSpan w:val="3"/>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0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-977265</wp:posOffset>
            </wp:positionV>
            <wp:extent cx="704659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46595" cy="14541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-685800</wp:posOffset>
            </wp:positionV>
            <wp:extent cx="704659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660" w:space="540"/>
            <w:col w:w="804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2,828,518</w:t>
            </w:r>
          </w:p>
        </w:tc>
        <w:tc>
          <w:tcPr>
            <w:tcW w:w="12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2,936,696</w:t>
            </w:r>
          </w:p>
        </w:tc>
        <w:tc>
          <w:tcPr>
            <w:tcW w:w="10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(108,178)</w:t>
            </w:r>
          </w:p>
        </w:tc>
        <w:tc>
          <w:tcPr>
            <w:tcW w:w="10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3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1,721,880</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1,754,468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(32,588)</w:t>
            </w:r>
          </w:p>
        </w:tc>
        <w:tc>
          <w:tcPr>
            <w:tcW w:w="14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1,106,638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1,182,228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(75,590)</w:t>
            </w:r>
          </w:p>
        </w:tc>
        <w:tc>
          <w:tcPr>
            <w:tcW w:w="1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502,366</w:t>
            </w:r>
          </w:p>
        </w:tc>
        <w:tc>
          <w:tcPr>
            <w:tcW w:w="1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486,204</w:t>
            </w:r>
          </w:p>
        </w:tc>
        <w:tc>
          <w:tcPr>
            <w:tcW w:w="1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16,162</w:t>
            </w: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296,033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275,836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20,197</w:t>
            </w:r>
          </w:p>
        </w:tc>
        <w:tc>
          <w:tcPr>
            <w:tcW w:w="1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3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246,516</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198,478</w:t>
            </w:r>
          </w:p>
        </w:tc>
        <w:tc>
          <w:tcPr>
            <w:tcW w:w="142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413.2</w:t>
            </w: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372,150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(310,427)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Revenue increased for the three months ended December 30, 2023, compared to the three months ended December 31, 2022, primarily due to content gains at our largest end customer. In addition, demand increased for our advanced cellular products for mass market smartphones and Wi-Fi products, as channel inventory levels improved and shipments more closely aligned with end market demand.</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Revenue decreased for the nine months ended December 30, 2023, compared to the nine months ended December 31, 2022. In the first half of fiscal 2024, challenges in the global macroeconomic environment negatively impacted demand for our advanced cellular products for mass market smartphones and products in other markets including cellular infrastructure, Wi-Fi, power management and broadband. Demand for our products in the cellular infrastructure, broadband and power management markets was also negatively impacted by higher channel inventory. Over the course of fiscal 2024, channel inventory levels improved in other markets, and shipments of our advanced cellular products in mass market smartphones and Wi-Fi products more closely aligned with end market demand. Content gains at our largest end customer partially offset the decreased revenue for the nine months ended December 30, 2023.</w:t>
      </w:r>
    </w:p>
    <w:p>
      <w:pPr>
        <w:spacing w:after="0" w:line="21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Gross margin was flat for the three months ended December 30, 2023, compared to the three months ended December 31, 2022, primarily due to improved factory utilization and lower inventory charges, offset by a termination fee related to a long-term capacity reservation agreement and average selling price erosion.</w:t>
      </w: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Gross margin decreased for the nine months ended December 30, 2023, compared to the nine months ended December 31, 2022, primarily due to average selling price erosion.</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fiscal 2022, we entered into a long-term capacity reservation agreement with a foundry supplier to purchase a certain number of wafers through calendar year 2025. In fiscal 2023, the agreement was amended and the term was extended through calendar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year 2026. In the first quarter of fiscal 2023, we recorded charges of $110.0 million to "Cost of goods sold" based on our actual and estimated purchase shortfalls. No charges were recorded to the Condensed Consolidated Statements of Operations in the first quarter or second quarter of fiscal 2024 as a result of this agreement. In October 2023, the agreement was further amended. Pursuant to the amendment, we are no longer obligated to order silicon wafers from the foundry supplier and the agreement was terminated effective December 31, 2023. A contract termination fee of $65.0 million, which is expected to be paid by the Company during the fourth quarter of fiscal 2024, was recorded to "Cost of goods sold" and "Other current liabilities" in the third quarter of fiscal 2024.</w:t>
      </w:r>
    </w:p>
    <w:p>
      <w:pPr>
        <w:spacing w:after="0" w:line="21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Operating expenses increased for the three months ended December 30, 2023, compared to the three months ended December 31, 2022, primarily due to a goodwill impairment charge and higher employee-related costs, partially offset by lower restructuring charges. Refer to Note 3 of the Notes to Condensed Consolidated Financial Statements for additional information regarding the goodwill impairment charge.</w:t>
      </w:r>
    </w:p>
    <w:p>
      <w:pPr>
        <w:spacing w:after="0" w:line="20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Operating expenses increased for the nine months ended December 30, 2023, compared to the nine months ended December 31, 2022, primarily due to goodwill impairment charges and higher employee-related costs, partially offset by lower restructuring charges. In addition, in fiscal 2024, we began a multiyear project to upgrade the core systems we use to run our business and recorded consulting expenses associated with this project.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Segments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Performance Analog</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7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4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80" w:type="dxa"/>
            <w:vAlign w:val="bottom"/>
          </w:tcPr>
          <w:p>
            <w:pPr>
              <w:jc w:val="center"/>
              <w:ind w:right="548"/>
              <w:spacing w:after="0" w:line="129" w:lineRule="exact"/>
              <w:rPr>
                <w:sz w:val="20"/>
                <w:szCs w:val="20"/>
                <w:color w:val="auto"/>
              </w:rPr>
            </w:pPr>
            <w:r>
              <w:rPr>
                <w:rFonts w:ascii="Times New Roman" w:cs="Times New Roman" w:eastAsia="Times New Roman" w:hAnsi="Times New Roman"/>
                <w:sz w:val="14"/>
                <w:szCs w:val="14"/>
                <w:b w:val="1"/>
                <w:bCs w:val="1"/>
                <w:color w:val="auto"/>
                <w:w w:val="99"/>
              </w:rPr>
              <w:t>Dollar</w:t>
            </w:r>
          </w:p>
        </w:tc>
        <w:tc>
          <w:tcPr>
            <w:tcW w:w="1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4180" w:type="dxa"/>
            <w:vAlign w:val="bottom"/>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2420" w:type="dxa"/>
            <w:vAlign w:val="bottom"/>
            <w:vMerge w:val="continue"/>
          </w:tcPr>
          <w:p>
            <w:pPr>
              <w:spacing w:after="0"/>
              <w:rPr>
                <w:sz w:val="16"/>
                <w:szCs w:val="16"/>
                <w:color w:val="auto"/>
              </w:rPr>
            </w:pPr>
          </w:p>
        </w:tc>
        <w:tc>
          <w:tcPr>
            <w:tcW w:w="1080" w:type="dxa"/>
            <w:vAlign w:val="bottom"/>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118,890</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155,011</w:t>
            </w:r>
          </w:p>
        </w:tc>
        <w:tc>
          <w:tcPr>
            <w:tcW w:w="12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(36,121)</w:t>
            </w:r>
          </w:p>
        </w:tc>
        <w:tc>
          <w:tcPr>
            <w:tcW w:w="100" w:type="dxa"/>
            <w:vAlign w:val="bottom"/>
            <w:tcBorders>
              <w:top w:val="single" w:sz="8" w:color="CCEEFF"/>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9"/>
              </w:rPr>
              <w:t>(23.3)%</w:t>
            </w: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29,836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(28,258)</w:t>
            </w:r>
          </w:p>
        </w:tc>
        <w:tc>
          <w:tcPr>
            <w:tcW w:w="100" w:type="dxa"/>
            <w:vAlign w:val="bottom"/>
          </w:tcPr>
          <w:p>
            <w:pPr>
              <w:spacing w:after="0"/>
              <w:rPr>
                <w:sz w:val="19"/>
                <w:szCs w:val="19"/>
                <w:color w:val="auto"/>
              </w:rPr>
            </w:pPr>
          </w:p>
        </w:tc>
        <w:tc>
          <w:tcPr>
            <w:tcW w:w="17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80" w:type="dxa"/>
            <w:vAlign w:val="bottom"/>
          </w:tcPr>
          <w:p>
            <w:pPr>
              <w:spacing w:after="0"/>
              <w:rPr>
                <w:sz w:val="11"/>
                <w:szCs w:val="11"/>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80" w:type="dxa"/>
            <w:vAlign w:val="bottom"/>
          </w:tcPr>
          <w:p>
            <w:pPr>
              <w:spacing w:after="0"/>
              <w:rPr>
                <w:sz w:val="11"/>
                <w:szCs w:val="11"/>
                <w:color w:val="auto"/>
              </w:rPr>
            </w:pPr>
          </w:p>
        </w:tc>
        <w:tc>
          <w:tcPr>
            <w:tcW w:w="1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Dollar</w:t>
            </w:r>
          </w:p>
        </w:tc>
        <w:tc>
          <w:tcPr>
            <w:tcW w:w="1720" w:type="dxa"/>
            <w:vAlign w:val="bottom"/>
          </w:tcPr>
          <w:p>
            <w:pPr>
              <w:ind w:left="520"/>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6"/>
        </w:trPr>
        <w:tc>
          <w:tcPr>
            <w:tcW w:w="42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408,386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594,094</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(185,708)</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9"/>
              </w:rPr>
              <w:t>(31.3)%</w:t>
            </w: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50,988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181,102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(130,114)</w:t>
            </w:r>
          </w:p>
        </w:tc>
        <w:tc>
          <w:tcPr>
            <w:tcW w:w="100" w:type="dxa"/>
            <w:vAlign w:val="bottom"/>
          </w:tcPr>
          <w:p>
            <w:pPr>
              <w:spacing w:after="0"/>
              <w:rPr>
                <w:sz w:val="19"/>
                <w:szCs w:val="19"/>
                <w:color w:val="auto"/>
              </w:rPr>
            </w:pPr>
          </w:p>
        </w:tc>
        <w:tc>
          <w:tcPr>
            <w:tcW w:w="17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HPA revenue decreased for the three months ended December 30, 2023 compared to the three months ended December 31, 2022, primarily due to ongoing efforts to reduce channel inventory in the cellular infrastructure, broadband and power management markets, including our silicon carbide ("SiC")-based products and products supporting solid-state drives and power tools. The revenue decrease was partially offset by higher demand for our defense and aerospace products.</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HPA revenue decreased for the nine months ended December 30, 2023, compared to the nine months ended December 31, 2022. In the first half of fiscal 2024, challenges in the global macroeconomic environment negatively impacted demand for products in the cellular infrastructure, broadband and power management markets, including our SiC-based products and products supporting solid-state drives and power tools. Over the course of fiscal 2024, demand for these products was also negatively impacted by higher channel inventory. The revenue decrease was partially offset by higher demand for our defense and aerospace products in the nine months ended December 30, 2023.</w:t>
      </w:r>
    </w:p>
    <w:p>
      <w:pPr>
        <w:spacing w:after="0" w:line="2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HPA operating income decreased for the three months ended December 30, 2023, compared to the three months ended December 31, 2022, primarily due to lower revenue and higher operating expenses driven by employee-related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HPA operating income decreased for the nine months ended December 30, 2023, compared to the nine months ended December 31, 2022, primarily due to lower revenue, the sell-through of inventory with higher unit costs resulting from lower utilization, and inventory-related charges.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Connectivity and Sensors Group</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4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7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4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80" w:type="dxa"/>
            <w:vAlign w:val="bottom"/>
          </w:tcPr>
          <w:p>
            <w:pPr>
              <w:jc w:val="center"/>
              <w:ind w:right="548"/>
              <w:spacing w:after="0" w:line="129" w:lineRule="exact"/>
              <w:rPr>
                <w:sz w:val="20"/>
                <w:szCs w:val="20"/>
                <w:color w:val="auto"/>
              </w:rPr>
            </w:pPr>
            <w:r>
              <w:rPr>
                <w:rFonts w:ascii="Times New Roman" w:cs="Times New Roman" w:eastAsia="Times New Roman" w:hAnsi="Times New Roman"/>
                <w:sz w:val="14"/>
                <w:szCs w:val="14"/>
                <w:b w:val="1"/>
                <w:bCs w:val="1"/>
                <w:color w:val="auto"/>
                <w:w w:val="99"/>
              </w:rPr>
              <w:t>Dollar</w:t>
            </w:r>
          </w:p>
        </w:tc>
        <w:tc>
          <w:tcPr>
            <w:tcW w:w="1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414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2440" w:type="dxa"/>
            <w:vAlign w:val="bottom"/>
            <w:vMerge w:val="continue"/>
          </w:tcPr>
          <w:p>
            <w:pPr>
              <w:spacing w:after="0"/>
              <w:rPr>
                <w:sz w:val="16"/>
                <w:szCs w:val="16"/>
                <w:color w:val="auto"/>
              </w:rPr>
            </w:pPr>
          </w:p>
        </w:tc>
        <w:tc>
          <w:tcPr>
            <w:tcW w:w="1080" w:type="dxa"/>
            <w:vAlign w:val="bottom"/>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108,898</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96,810</w:t>
            </w:r>
          </w:p>
        </w:tc>
        <w:tc>
          <w:tcPr>
            <w:tcW w:w="12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12,088</w:t>
            </w:r>
          </w:p>
        </w:tc>
        <w:tc>
          <w:tcPr>
            <w:tcW w:w="100" w:type="dxa"/>
            <w:vAlign w:val="bottom"/>
            <w:tcBorders>
              <w:top w:val="single" w:sz="8" w:color="CCEEFF"/>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spacing w:after="0"/>
              <w:rPr>
                <w:sz w:val="19"/>
                <w:szCs w:val="19"/>
                <w:color w:val="auto"/>
              </w:rPr>
            </w:pPr>
          </w:p>
        </w:tc>
        <w:tc>
          <w:tcPr>
            <w:tcW w:w="15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(25,590)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(31,145)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Pr>
          <w:p>
            <w:pPr>
              <w:spacing w:after="0"/>
              <w:rPr>
                <w:sz w:val="19"/>
                <w:szCs w:val="19"/>
                <w:color w:val="auto"/>
              </w:rPr>
            </w:pPr>
          </w:p>
        </w:tc>
        <w:tc>
          <w:tcPr>
            <w:tcW w:w="17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as a % of revenue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00" w:type="dxa"/>
            <w:vAlign w:val="bottom"/>
          </w:tcPr>
          <w:p>
            <w:pPr>
              <w:spacing w:after="0"/>
              <w:rPr>
                <w:sz w:val="11"/>
                <w:szCs w:val="11"/>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00" w:type="dxa"/>
            <w:vAlign w:val="bottom"/>
          </w:tcPr>
          <w:p>
            <w:pPr>
              <w:spacing w:after="0"/>
              <w:rPr>
                <w:sz w:val="11"/>
                <w:szCs w:val="11"/>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Dollar</w:t>
            </w:r>
          </w:p>
        </w:tc>
        <w:tc>
          <w:tcPr>
            <w:tcW w:w="1720" w:type="dxa"/>
            <w:vAlign w:val="bottom"/>
          </w:tcPr>
          <w:p>
            <w:pPr>
              <w:jc w:val="right"/>
              <w:ind w:right="436"/>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311,783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392,454</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(80,671)</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spacing w:after="0"/>
              <w:rPr>
                <w:sz w:val="19"/>
                <w:szCs w:val="19"/>
                <w:color w:val="auto"/>
              </w:rPr>
            </w:pPr>
          </w:p>
        </w:tc>
        <w:tc>
          <w:tcPr>
            <w:tcW w:w="15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(73,476)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(29,926)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(43,550)</w:t>
            </w:r>
          </w:p>
        </w:tc>
        <w:tc>
          <w:tcPr>
            <w:tcW w:w="100" w:type="dxa"/>
            <w:vAlign w:val="bottom"/>
          </w:tcPr>
          <w:p>
            <w:pPr>
              <w:spacing w:after="0"/>
              <w:rPr>
                <w:sz w:val="19"/>
                <w:szCs w:val="19"/>
                <w:color w:val="auto"/>
              </w:rPr>
            </w:pPr>
          </w:p>
        </w:tc>
        <w:tc>
          <w:tcPr>
            <w:tcW w:w="17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as a % of revenue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CSG revenue increased for the three months ended December 30, 2023, compared to the three months ended December 31, 2022. In the third quarter of fiscal 2024, channel inventory levels improved and shipments of our Wi-Fi products more closely aligned with end market demand. In addition, demand for our Wi-Fi 6/6E products increased.</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CSG revenue decreased for the nine months ended December 30, 2023, compared to the nine months ended December 31, 2022. Challenges in the global macroeconomic environment negatively impacted demand for our Wi-Fi products in the first half of fiscal 2024. In the third quarter of fiscal 2024, channel inventory levels improved and shipments of our Wi-Fi products more closely aligned with end market demand, slightly offsetting the lower demand for these products in the first half of fiscal 2024.</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CSG operating loss decreased for the three months ended December 30, 2023, compared to the three months ended December 31, 2022, due to higher revenue and gross margin, partially offset by increased operating expenses primarily due to employee-related costs.</w:t>
      </w:r>
    </w:p>
    <w:p>
      <w:pPr>
        <w:spacing w:after="0" w:line="18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CSG operating loss increased for the nine months ended December 30, 2023, compared to the nine months ended December 31, 2022, primarily due to lower revenue, the sell-through of inventory with higher unit costs resulting from lower utilization, average selling price erosion, and to a lesser extent, increased operating expenses primarily due to employee-related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Cellular Group</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7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4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80" w:type="dxa"/>
            <w:vAlign w:val="bottom"/>
          </w:tcPr>
          <w:p>
            <w:pPr>
              <w:jc w:val="center"/>
              <w:ind w:right="528"/>
              <w:spacing w:after="0" w:line="129" w:lineRule="exact"/>
              <w:rPr>
                <w:sz w:val="20"/>
                <w:szCs w:val="20"/>
                <w:color w:val="auto"/>
              </w:rPr>
            </w:pPr>
            <w:r>
              <w:rPr>
                <w:rFonts w:ascii="Times New Roman" w:cs="Times New Roman" w:eastAsia="Times New Roman" w:hAnsi="Times New Roman"/>
                <w:sz w:val="14"/>
                <w:szCs w:val="14"/>
                <w:b w:val="1"/>
                <w:bCs w:val="1"/>
                <w:color w:val="auto"/>
              </w:rPr>
              <w:t>Dollar</w:t>
            </w:r>
          </w:p>
        </w:tc>
        <w:tc>
          <w:tcPr>
            <w:tcW w:w="1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416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2420" w:type="dxa"/>
            <w:vAlign w:val="bottom"/>
            <w:vMerge w:val="continue"/>
          </w:tcPr>
          <w:p>
            <w:pPr>
              <w:spacing w:after="0"/>
              <w:rPr>
                <w:sz w:val="16"/>
                <w:szCs w:val="16"/>
                <w:color w:val="auto"/>
              </w:rPr>
            </w:pPr>
          </w:p>
        </w:tc>
        <w:tc>
          <w:tcPr>
            <w:tcW w:w="1080" w:type="dxa"/>
            <w:vAlign w:val="bottom"/>
          </w:tcPr>
          <w:p>
            <w:pPr>
              <w:jc w:val="center"/>
              <w:ind w:right="4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846,073</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491,460</w:t>
            </w:r>
          </w:p>
        </w:tc>
        <w:tc>
          <w:tcPr>
            <w:tcW w:w="1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354,613</w:t>
            </w:r>
          </w:p>
        </w:tc>
        <w:tc>
          <w:tcPr>
            <w:tcW w:w="100" w:type="dxa"/>
            <w:vAlign w:val="bottom"/>
            <w:tcBorders>
              <w:top w:val="single" w:sz="8" w:color="CCEEFF"/>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263,792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99,862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163,930</w:t>
            </w:r>
          </w:p>
        </w:tc>
        <w:tc>
          <w:tcPr>
            <w:tcW w:w="100" w:type="dxa"/>
            <w:vAlign w:val="bottom"/>
          </w:tcPr>
          <w:p>
            <w:pPr>
              <w:spacing w:after="0"/>
              <w:rPr>
                <w:sz w:val="19"/>
                <w:szCs w:val="19"/>
                <w:color w:val="auto"/>
              </w:rPr>
            </w:pPr>
          </w:p>
        </w:tc>
        <w:tc>
          <w:tcPr>
            <w:tcW w:w="17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00" w:type="dxa"/>
            <w:vAlign w:val="bottom"/>
          </w:tcPr>
          <w:p>
            <w:pPr>
              <w:spacing w:after="0"/>
              <w:rPr>
                <w:sz w:val="11"/>
                <w:szCs w:val="11"/>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00" w:type="dxa"/>
            <w:vAlign w:val="bottom"/>
          </w:tcPr>
          <w:p>
            <w:pPr>
              <w:spacing w:after="0"/>
              <w:rPr>
                <w:sz w:val="11"/>
                <w:szCs w:val="11"/>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Dollar</w:t>
            </w:r>
          </w:p>
        </w:tc>
        <w:tc>
          <w:tcPr>
            <w:tcW w:w="1720" w:type="dxa"/>
            <w:vAlign w:val="bottom"/>
          </w:tcPr>
          <w:p>
            <w:pPr>
              <w:jc w:val="right"/>
              <w:ind w:right="436"/>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6"/>
        </w:trPr>
        <w:tc>
          <w:tcPr>
            <w:tcW w:w="4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2,108,349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1,950,148</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158,201</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593,595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569,439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24,156</w:t>
            </w:r>
          </w:p>
        </w:tc>
        <w:tc>
          <w:tcPr>
            <w:tcW w:w="100" w:type="dxa"/>
            <w:vAlign w:val="bottom"/>
          </w:tcPr>
          <w:p>
            <w:pPr>
              <w:spacing w:after="0"/>
              <w:rPr>
                <w:sz w:val="19"/>
                <w:szCs w:val="19"/>
                <w:color w:val="auto"/>
              </w:rPr>
            </w:pPr>
          </w:p>
        </w:tc>
        <w:tc>
          <w:tcPr>
            <w:tcW w:w="17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ACG revenue increased for the three months ended December 30, 2023, compared to the three months ended December 31, 2022, primarily due to content gains at our largest end customer. In addition, demand increased for our advanced cellular products for mass market smartphones as channel inventory levels improved and shipments more closely aligned with end market demand.</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ACG revenue increased for the nine months ended December 30, 2023, compared to the nine months ended December 31, 2022, primarily due to content gains at our largest end customer. Challenges in the global macroeconomic environment negatively impacted demand for our advanced cellular products for mass market smartphones in the first half of fiscal 2024. Over the course of fiscal 2024, channel inventory levels improved and shipments of our advanced cellular products for mass market smartphones more closely aligned with end market demand by the end of the third quarter.</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ACG operating income increased for the three months ended December 30, 2023, compared to the three months ended December 31, 2022, primarily due to higher revenue, improved factory utilization and lower inventory charges, partially offset by average selling price erosion and higher operating expenses driven by employee-related costs.</w:t>
      </w:r>
    </w:p>
    <w:p>
      <w:pPr>
        <w:spacing w:after="0" w:line="203"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ACG operating income increased for the nine months ended December 30, 2023, compared to the nine months ended December 31, 2022, primarily due to higher revenue, partially offset by average selling price erosion and higher operating expenses driven by employee-related costs.</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Refer to Note 10 of the Notes to Condensed Consolidated Financial Statements for a reconciliation of reportable segment operating (loss) income to the consolidated operating (loss) income for the three and nine months ended December 30, 2023 and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OTHER INCOME AND INCOME TAXES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29"/>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rPr>
              <w:t>(17,581)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(51,222)</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9"/>
                <w:szCs w:val="19"/>
                <w:color w:val="auto"/>
              </w:rPr>
            </w:pPr>
          </w:p>
        </w:tc>
        <w:tc>
          <w:tcPr>
            <w:tcW w:w="1440" w:type="dxa"/>
            <w:vAlign w:val="bottom"/>
          </w:tcPr>
          <w:p>
            <w:pPr>
              <w:jc w:val="center"/>
              <w:ind w:left="737"/>
              <w:spacing w:after="0"/>
              <w:rPr>
                <w:sz w:val="20"/>
                <w:szCs w:val="20"/>
                <w:color w:val="auto"/>
              </w:rPr>
            </w:pPr>
            <w:r>
              <w:rPr>
                <w:rFonts w:ascii="Times New Roman" w:cs="Times New Roman" w:eastAsia="Times New Roman" w:hAnsi="Times New Roman"/>
                <w:sz w:val="18"/>
                <w:szCs w:val="18"/>
                <w:color w:val="auto"/>
              </w:rPr>
              <w:t>15,359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rPr>
              <w:t>(83,147)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(82,074)</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During the three and nine months ended December 30, 2023 and December 31, 2022, we recorded interest expense primarily related to our 1.750% senior notes due 2024 (the "2024 Notes"), our 4.375% senior notes due 2029 (the "2029 Notes") and our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3.375% senior notes due 2031 (the "2031 Notes"). Refer to Note 5 of the Notes to Condensed Consolidated Financial Statements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3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During the three months ended December 30, 2023, we recorded interest income of $9.6 million and net gains of $3.8 million from our share of the results from our limited partnership investments and other investments. During the nine months ended December 30, 2023, we recorded interest income of $25.5 million and net gains of $5.9 million from our share of the results from our limited partnership investments and other investments.</w:t>
      </w:r>
    </w:p>
    <w:p>
      <w:pPr>
        <w:spacing w:after="0" w:line="21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2022, we recorded interest income of $8.1 million and net losses of $3.7 million from our share of the results from our limited partnership investments and other investments. During the nine months ended December 31, 2022, we recorded interest income of $12.8 million and net losses of $10.9 million from our share of the results from our limited partnership investments and other investments.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During the three and nine months ended December 30, 2023, we recorded income tax expense of $83.1 million and $117.1 million, respectively, comprised primarily of tax expense related to international operations generating pre-tax book income, the impact of global intangible low tax income ("GILTI") and discrete tax items, partially offset by tax benefits related to domestic and international operations generating pre-tax book losses and domestic tax credits recorded during the periods. The discrete tax expense for the three months ended December 30, 2023 primarily related to the tax impacts of the Company’s reversal of its permanent reinvestment assertion, sale of its non-core biotechnology business, termination of a long-term capacity reservation agreement, and the correlative effects on GILTI. The discrete tax expense for the three and nine months ended December 30, 2023 was also impacted by foreign currency gains recognized for tax purposes.</w:t>
      </w:r>
    </w:p>
    <w:p>
      <w:pPr>
        <w:spacing w:after="0" w:line="202"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During the three months ended December 30, 2023, the Company entered into a definitive agreement to sell its assembly and test facilities in China (refer to Note 9 of the Notes to Condensed Consolidated Financial Statements for further information), and we determined the Company could no longer support its permanent reinvestment assertion on related, unremitted earnings. In relation to the reversal of our permanent reinvestment assertion, we recorded a $28.2 million discrete tax expense during the third quarter of fiscal 2024, and as of December 30, 2023, the Company no longer asserts that any of the earnings of its foreign subsidiaries are permanently reinvested.</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December 31, 2022, we recorded income tax expense of $13.2 million and $82.1 million, respectively, comprised primarily of tax expense related to international operations generating pre-tax book income and the impact of GILTI, partially offset by tax benefits related to domestic and international operations generating pre-tax book losses, domestic tax credits generated and discrete tax items recorded during the periods. The discrete tax expense for the three months ended December 31, 2022 primarily resulted from foreign currency gains recognized for tax purposes. The discrete tax benefit for the nine months ended December 31, 2022 primarily resulted from certain charges associated with a long-term capacity reservation agreement (refer to Note 7 of the Notes to Condensed Consolidated Financial Statements for further information), partially offset by foreign currency gains recognized for tax purposes.</w:t>
      </w:r>
    </w:p>
    <w:p>
      <w:pPr>
        <w:spacing w:after="0" w:line="21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valuation allowance remained against certain domestic and foreign net deferred tax assets as it is more likely than not that the related deferred tax assets will not be realized.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generated by operations is our primary source of liquidity. As of December 30, 2023, we had working capital of approximately $1,148.0 million, including $1,072.0 million in cash and cash equivalents, compared to working capital of approximately $1,474.0 million, including $808.8 million in cash and cash equivalents as of April 1, 2023.</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$1,072.0 million of total cash and cash equivalents as of December 30, 2023, includes approximately $915.8 million held by our foreign subsidiaries, of which $642.1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may from time to time in the future seek to retire or make additional optional payments on our outstanding debt obligations through repurchases or exchanges of our outstanding notes, which may be effected through privately negotiated transactions, market transactions, tender offers, redemptions or otherwise. Such tenders, exchanges, purchases, or other transactions, if any, will be upon such terms and at such prices as we may determine, and will depend on prevailing market conditions, our liquidity requirements, contractual restrictions and other factors. The amounts involved may be material. In December 2023, we repurchased $18.7 million of the principal amount of our 2024 Notes, plus accrued and unpaid interest, on the open market. The remaining principal amount of the 2024 Notes of $481.3 million is included in "Current portion of long-term debt" in the Condensed Consolidated Balance Sheet as of December 30,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31"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During the nine months ended December 30, 2023, we repurchased approximately 3.1 million shares of our common stock for approximately $302.0 million (including transaction costs and excise tax) under our share repurchase program. As of December 30, 2023, approximately $1,405.0 million remains authorized for repurchases under the program.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3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Net cash provided by operating activities was $630.8 million and $777.8 million for the nine months ended December 30, 2023 and December 31, 2022, respectively. This decrease in cash provided by operating activities was primarily due to decreased profitability.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$23.3 million and $117.4 million for the nine months ended December 30, 2023 and December 31, 2022, respectively. During the nine months ended December 30, 2023, we received proceeds of $47.4 million primarily from the sale of our BAW manufacturing facility in Farmers Branch, Texas.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ind w:right="580"/>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was $327.9 million and $714.0 million for the nine months ended December 30, 2023 and December 31, 2022, respectively, primarily due to our stock repurchases. Refer to Note 6 of the Notes to Condensed Consolidated Financial Statements for additional information regarding our stock repurchases.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29, 2020, we and certain of our U.S. subsidiaries (the "Guarantors") entered into a five-year unsecured senior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pursuant to a credit agreement (as amended, restated, modified or otherwise supplemented from time to time, the "Credit Agreement") with Bank of America, N.A., acting as administrative agent, and a syndicate of lenders. The Credit Agreement amended and restated the previous credit agreement dated as of December 5, 2017. The Credit Agreement includes a senior revolving line of credit (the "Revolving Facility") of up to $300.0 million, and included a senior term loan that was fully repaid in fiscal 2022. The Revolving Facility is available to finance working capital, capital expenditures and other general corporate purposes.</w:t>
      </w:r>
    </w:p>
    <w:p>
      <w:pPr>
        <w:spacing w:after="0" w:line="2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Credit Agreement, we may request one or more additional tranches of term loans or increases to the Revolving Facility, up to an aggregate of $500.0 million and subject to, among other things, securing additional funding commitments from the existing or new lenders.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June 23, 2023, we entered into a second amendment to the Credit Agreement (the "Second Amendment"). The purpose of the Second Amendment was to amend certain covenants related to our ratio of Consolidated Funded Indebtedness to Consolidated EBITDA, as such terms are defined in the Credit Agreement (the "Consolidated Leverage Ratio"). The Second Amendment increases the maximum Consolidated Leverage Ratio to 4.00 to 1.00 for the fiscal quarters ended July 1, 2023 and September 30, 2023, and 3.50 to 1.00 for the fiscal quarters ended December 30, 2023 and ending March 30, 2024. For subsequent fiscal quarters, the maximum Consolidated Leverage Ratio will return to 3.00 to 1.00.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December 30, 2023, there were no borrowings under the Revolving Facility.</w:t>
      </w:r>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Credit Agreement contains various conditions, covenants and representations with which we must be in compliance in order to borrow funds and to avoid an event of default. As of December 30, 2023, we were in compliance with these covenants.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2024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December 14, 2021, we issued $500.0 million aggregate principal amount of our 2024 Notes. Interest on the 2024 Notes is payable on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 and December 15 of each year at a rate of 1.750% per annum. The remaining principal amount of the 2024 Notes of $481.3 million is included in "Current portion of long-term debt" in the Condensed Consolidated Balance Sheet as of December 30, 2023 and will mature on December 15, 2024, unless earlier redeemed in accordance with their terms. The 2024 Notes are senior unsecured obligations of the Company and are guaranteed, jointly and severally, by the Guarantors.</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2029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30, 2019, we issued $350.0 million aggregate principal amount of our 2029 Notes. On December 20, 2019, and June 11,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issued an additional $200.0 million and $300.0 million, respectively, aggregate principal amount of our 2029 Notes. Interest on the 2029 Notes is payable on April 15 and October 15 of each year at a rate of 4.375% per annum. The 2029 Notes will mature on October 15, 2029, unless earlier redeemed in accordance with their terms. The 2029 Notes are senior unsecured obligations of the Company and are guaranteed, jointly and severally, by the Guarantors.</w:t>
      </w:r>
    </w:p>
    <w:p>
      <w:pPr>
        <w:spacing w:after="0" w:line="210" w:lineRule="exact"/>
        <w:rPr>
          <w:sz w:val="20"/>
          <w:szCs w:val="20"/>
          <w:color w:val="auto"/>
        </w:rPr>
      </w:pPr>
    </w:p>
    <w:p>
      <w:pPr>
        <w:jc w:val="both"/>
        <w:ind w:right="3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2031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29, 2020, we issued $700.0 million aggregate principal amount of our 2031 Notes. Interest on the 2031 Notes is payable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1 and October 1 of each year at a rate of 3.375% per annum. The 2031 Notes will mature on April 1, 2031, unless earlier redeemed in accordance with their terms. The 2031 Notes are senior unsecured obligations of the Company and are guaranteed, jointly and severally, by the Guarantors.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our debt, refer to Note 5 of the Notes to Condensed Consolidated Financial Statements.</w:t>
      </w:r>
    </w:p>
    <w:p>
      <w:pPr>
        <w:spacing w:after="0" w:line="250"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Capital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December 30, 2023, we had capital commitments of approximately $104.6 million primarily for expanding capability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new products, equipment and facility upgrades and cost savings initiatives.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Future Sources of Funding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future capital requirements may differ materially from those currently projected and will depend on many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acceptance of, and demand for, our products, acquisition opportunities, technological advances and our relationships with suppliers and customers. Based on current and projected levels of cash flows from operations, coupled with our existing cash, cash equivalents and our Revolving Facility, we believe we have sufficient liquidity to meet both our short-term and long-term cash requirements. However, if there is a significant decrease in demand for our products, or if our demand grows faster than we anticipate,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our common stock. Further, we cannot be sure that any additional debt or equity financing, if required, will be available on favorable terms, if at all.</w:t>
      </w:r>
    </w:p>
    <w:p>
      <w:pPr>
        <w:spacing w:after="0" w:line="21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involved in various legal proceedings and claims that have arisen in the ordinary course of business that have not been fully adjudicated.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 a liability for legal contingencies when we believe that it is both probable that a liability has been incurred and the amount of the loss can be reasonably estimated. We regularly evaluate developments in our legal matters that could affect the amount of the previously accrued liability and record adjustments as appropriate. Although it is not possible to predict with certainty the outcome of the unresolved legal matters, it is the opinion of management that these matters will not, individually or in the aggregate, have a material adverse effect on our consolidated financial position or results of operations. We believe the aggregate range of reasonably possible losses in excess of accrued liabilities, if any, associated with these unresolved legal matters is not material.</w:t>
      </w:r>
    </w:p>
    <w:p>
      <w:pPr>
        <w:spacing w:after="0" w:line="21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subject to income and other taxes in the United States and in numerous foreign jurisdictions. Our domestic and foreign tax liabilities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allocation of revenue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PARENT AND GUARANTOR FINANCIAL INFORMATION</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accordance with the indentures governing the 2024 Notes, the 2029 Notes and the 2031 Notes (together, the "Notes"), our obligations under the Notes are fully and unconditionally guaranteed on a joint and several unsecured basis by the Guarantors,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which are listed on Exhibit 22 to this Quarterly Report on Form 10-Q. Each Guarantor is 100% owned, directly or indirectly, by Qorvo, Inc. ("Parent"). A Guarantor can be released in certain customary circumstances. Our other U.S. subsidiaries and our non-U.S. subsidiaries do not guarantee the Notes (such subsidiaries are referred to as the "Non-Guarantors").</w:t>
      </w:r>
    </w:p>
    <w:p>
      <w:pPr>
        <w:spacing w:after="0" w:line="20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following presents summarized financial information for the Parent and the Guarantors on a combined basis as of and for the periods indicated, after eliminating (i) intercompany transactions and balances among the Parent and the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Summarized Balance Sheets</w:t>
      </w:r>
    </w:p>
    <w:tbl>
      <w:tblPr>
        <w:tblLayout w:type="fixed"/>
        <w:tblInd w:w="0" w:type="dxa"/>
        <w:tblCellMar>
          <w:top w:w="0" w:type="dxa"/>
          <w:left w:w="0" w:type="dxa"/>
          <w:bottom w:w="0" w:type="dxa"/>
          <w:right w:w="0" w:type="dxa"/>
        </w:tblCellMar>
      </w:tblP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80" w:type="dxa"/>
            <w:vAlign w:val="bottom"/>
          </w:tcPr>
          <w:p>
            <w:pPr>
              <w:spacing w:after="0"/>
              <w:rPr>
                <w:sz w:val="16"/>
                <w:szCs w:val="16"/>
                <w:color w:val="auto"/>
              </w:rPr>
            </w:pPr>
          </w:p>
        </w:tc>
        <w:tc>
          <w:tcPr>
            <w:tcW w:w="13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12"/>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7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810,429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972,989</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2,398,287</w:t>
            </w:r>
          </w:p>
        </w:tc>
      </w:tr>
      <w:tr>
        <w:trPr>
          <w:trHeight w:val="270"/>
        </w:trPr>
        <w:tc>
          <w:tcPr>
            <w:tcW w:w="7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808,535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296,049</w:t>
            </w:r>
          </w:p>
        </w:tc>
      </w:tr>
      <w:tr>
        <w:trPr>
          <w:trHeight w:val="229"/>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liabilities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2,327,978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2,689,824</w:t>
            </w:r>
          </w:p>
        </w:tc>
      </w:tr>
    </w:tbl>
    <w:p>
      <w:pPr>
        <w:spacing w:after="0" w:line="162"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amounts due from Non-Guarantor subsidiaries of $287.5 million and $379.5 million as of December 30, 2023 and April 1, 2023, respectively.</w:t>
      </w:r>
    </w:p>
    <w:p>
      <w:pPr>
        <w:spacing w:after="0" w:line="2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amounts due to Non-Guarantor subsidiaries of $584.6 million and $509.1 million as of December 30, 2023 and April 1, 2023, respectively.</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Statement of Operations</w:t>
            </w:r>
          </w:p>
        </w:tc>
        <w:tc>
          <w:tcPr>
            <w:tcW w:w="140" w:type="dxa"/>
            <w:vAlign w:val="bottom"/>
          </w:tcPr>
          <w:p>
            <w:pPr>
              <w:spacing w:after="0"/>
              <w:rPr>
                <w:sz w:val="19"/>
                <w:szCs w:val="19"/>
                <w:color w:val="auto"/>
              </w:rPr>
            </w:pPr>
          </w:p>
        </w:tc>
        <w:tc>
          <w:tcPr>
            <w:tcW w:w="14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9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6"/>
                <w:szCs w:val="16"/>
                <w:color w:val="auto"/>
              </w:rPr>
            </w:pPr>
          </w:p>
        </w:tc>
        <w:tc>
          <w:tcPr>
            <w:tcW w:w="14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23"/>
        </w:trPr>
        <w:tc>
          <w:tcPr>
            <w:tcW w:w="9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775,350</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79,590</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(500,130)</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market risk exposures during the third quarter of fiscal 2024. For a discussion of our exposure to market risk, refer to Item 7A, "Quantitative and Qualitative Disclosures About Market Risk," contained in Qorvo's Annual Report on Form 10-K for the fiscal year ended April 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Company’s management, with the participation of the Company’s Chief Executive Officer ("CEO") and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our CEO and CFO, as appropriate, to allow timely decisions regarding required disclosure.</w:t>
      </w:r>
    </w:p>
    <w:p>
      <w:pPr>
        <w:spacing w:after="0" w:line="21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Rules 13a-15(f) and 15d-15(f) under the Exchange Act) that occurred during the quarter ended December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and in our other reports and statements that we file with the United States Securities and Exchange Commission ("SEC"), careful consideration should be given to the factors discussed in Part I, Item 1A., "Risk Factors" in Qorvo's Annual Report on Form 10-K for the fiscal year ended April 1, 2023, which could materially affect our business, financial condition or future results. The risks described in Qorvo's Annual Report on Form 10-K and Quarterly Reports on Form 10-Q are not the only risks that we face. Additional risks and uncertainties not currently known to us or that we currently deem to be immaterial also may materially adversely affect our business, financial condition and/or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14"/>
                <w:szCs w:val="14"/>
                <w:color w:val="auto"/>
              </w:rPr>
            </w:pPr>
          </w:p>
        </w:tc>
        <w:tc>
          <w:tcPr>
            <w:tcW w:w="21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 or</w:t>
            </w:r>
          </w:p>
        </w:tc>
        <w:tc>
          <w:tcPr>
            <w:tcW w:w="0" w:type="dxa"/>
            <w:vAlign w:val="bottom"/>
          </w:tcPr>
          <w:p>
            <w:pPr>
              <w:spacing w:after="0"/>
              <w:rPr>
                <w:sz w:val="1"/>
                <w:szCs w:val="1"/>
                <w:color w:val="auto"/>
              </w:rPr>
            </w:pPr>
          </w:p>
        </w:tc>
      </w:tr>
      <w:tr>
        <w:trPr>
          <w:trHeight w:val="162"/>
        </w:trPr>
        <w:tc>
          <w:tcPr>
            <w:tcW w:w="4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0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plans or programs (in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14"/>
        </w:trPr>
        <w:tc>
          <w:tcPr>
            <w:tcW w:w="4020" w:type="dxa"/>
            <w:vAlign w:val="bottom"/>
            <w:gridSpan w:val="2"/>
            <w:vMerge w:val="continue"/>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5"/>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to October 28, 2023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1,489.1</w:t>
            </w:r>
          </w:p>
        </w:tc>
        <w:tc>
          <w:tcPr>
            <w:tcW w:w="0" w:type="dxa"/>
            <w:vAlign w:val="bottom"/>
          </w:tcPr>
          <w:p>
            <w:pPr>
              <w:spacing w:after="0"/>
              <w:rPr>
                <w:sz w:val="1"/>
                <w:szCs w:val="1"/>
                <w:color w:val="auto"/>
              </w:rPr>
            </w:pP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29, 2023 to November 25, 2023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26, 2023 to December 30,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0" w:type="dxa"/>
            <w:vAlign w:val="bottom"/>
          </w:tcPr>
          <w:p>
            <w:pPr>
              <w:spacing w:after="0"/>
              <w:rPr>
                <w:sz w:val="1"/>
                <w:szCs w:val="1"/>
                <w:color w:val="auto"/>
              </w:rPr>
            </w:pPr>
          </w:p>
        </w:tc>
      </w:tr>
      <w:tr>
        <w:trPr>
          <w:trHeight w:val="223"/>
        </w:trPr>
        <w:tc>
          <w:tcPr>
            <w:tcW w:w="4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November 2, 2022, we announced that our Board of Directors authorized a new share repurchase program to repurchase up to $2.0 billion of our outstanding common stock, which included the remaining authorized dollar amount under a prior program terminated concurrent with the new authorization. Under the current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January 1, 2023, our share repurchases in excess of issuances are subject to a 1% excise tax enacted by the Inflation Reduction Act. The excise tax is recognized as part of the cost basis of shares acquired in the Condensed Consolidated Statements of Stockholders' Equity and is excluded from amounts presented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2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2024, no director or Section 16 officer adopted or terminated a "Rule 10b5-1 trading agreement" or a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p>
      <w:pPr>
        <w:ind w:left="600" w:hanging="277"/>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Subsidiary Guarantors</w:t>
      </w:r>
    </w:p>
    <w:p>
      <w:pPr>
        <w:spacing w:after="0" w:line="279" w:lineRule="exact"/>
        <w:rPr>
          <w:sz w:val="20"/>
          <w:szCs w:val="20"/>
          <w:color w:val="auto"/>
        </w:rPr>
      </w:pPr>
    </w:p>
    <w:p>
      <w:pPr>
        <w:ind w:left="600" w:right="160" w:hanging="404"/>
        <w:spacing w:after="0" w:line="250"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Periodic Report by Robert A. Bruggeworth, as Chief Executive Officer, pursuant to Rule 13a-14(a) or 15d-14(a) of the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Act, as adopted pursuant to Section 302 of the Sarbanes-Oxley Act of 2002</w:t>
      </w:r>
    </w:p>
    <w:p>
      <w:pPr>
        <w:spacing w:after="0" w:line="203" w:lineRule="exact"/>
        <w:rPr>
          <w:sz w:val="20"/>
          <w:szCs w:val="20"/>
          <w:color w:val="auto"/>
        </w:rPr>
      </w:pPr>
    </w:p>
    <w:p>
      <w:pPr>
        <w:ind w:left="600" w:right="200" w:hanging="404"/>
        <w:spacing w:after="0" w:line="250"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Certification of Periodic Report by Grant A. Brown, as Chief Financial Officer, pursuant to Rule 13a-14(a) or 15d-14(a) of the Exchange Act,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adopted pursuant to Section 302 of the Sarbanes-Oxley Act of 2002</w:t>
      </w:r>
    </w:p>
    <w:p>
      <w:pPr>
        <w:spacing w:after="0" w:line="203" w:lineRule="exact"/>
        <w:rPr>
          <w:sz w:val="20"/>
          <w:szCs w:val="20"/>
          <w:color w:val="auto"/>
        </w:rPr>
      </w:pPr>
    </w:p>
    <w:p>
      <w:pPr>
        <w:ind w:left="600" w:right="180" w:hanging="404"/>
        <w:spacing w:after="0" w:line="250"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FF"/>
        </w:rPr>
        <w:t>Certification of Periodic Report by Robert A. Bruggeworth, as Chief Executive Officer, pursuant to 18 U.S.C. Section 1350, as adopted pursuant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to Section 906 of the Sarbanes-Oxley Act of 2002</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0000FF"/>
        </w:rPr>
        <w:t>Certification of Periodic Report by Grant A. Brown, as Chief Financial Officer, pursuant to 18 U.S.C. Section 1350, as adopted pursuant to Section</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906 of the Sarbanes-Oxley Act of 2002</w:t>
      </w:r>
    </w:p>
    <w:p>
      <w:pPr>
        <w:spacing w:after="0" w:line="219" w:lineRule="exact"/>
        <w:rPr>
          <w:sz w:val="20"/>
          <w:szCs w:val="20"/>
          <w:color w:val="auto"/>
        </w:rPr>
      </w:pPr>
    </w:p>
    <w:p>
      <w:pPr>
        <w:ind w:left="600" w:right="560" w:hanging="367"/>
        <w:spacing w:after="0" w:line="223" w:lineRule="auto"/>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our Quarterly Report on Form 10-Q for the quarter ended December 30, 2023, formatted in iXBRL (Inline eXtensible Business Reporting Language): (i) the Condensed Consolidated Balance Sheets; (ii) the Condensed Consolidated Statements of Operations; (iii) the Condensed Consolidated Statements of Comprehensive (Loss) Income; (iv) the Condensed Consolidated Statements of Stockholders' Equity; (v) the Condensed Consolidated Statements of Cash Flows; and (vi) the Notes to Condensed Consolidated Financial Statements</w:t>
      </w:r>
    </w:p>
    <w:p>
      <w:pPr>
        <w:spacing w:after="0" w:line="213" w:lineRule="exact"/>
        <w:rPr>
          <w:sz w:val="20"/>
          <w:szCs w:val="20"/>
          <w:color w:val="auto"/>
        </w:rPr>
      </w:pPr>
    </w:p>
    <w:p>
      <w:pPr>
        <w:ind w:right="1660" w:firstLine="233"/>
        <w:spacing w:after="0" w:line="673" w:lineRule="auto"/>
        <w:tabs>
          <w:tab w:leader="none" w:pos="5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our Quarterly Report on Form 10-Q for the quarter ended December 30, 2023, formatted in iXBRL Our SEC file number for documents filed with the SEC pursuant to the Securities Exchange Act of 1934, as amended, is 001-36801.</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Qorvo, Inc.</w:t>
            </w: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 2024</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Grant A. Brown</w:t>
            </w:r>
          </w:p>
        </w:tc>
      </w:tr>
      <w:tr>
        <w:trPr>
          <w:trHeight w:val="218"/>
        </w:trPr>
        <w:tc>
          <w:tcPr>
            <w:tcW w:w="54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A. Brown</w:t>
            </w:r>
          </w:p>
        </w:tc>
      </w:tr>
      <w:tr>
        <w:trPr>
          <w:trHeight w:val="234"/>
        </w:trPr>
        <w:tc>
          <w:tcPr>
            <w:tcW w:w="54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118"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1.750% Senior Notes due 2024, the 4.375% Senior Notes due 2029 and the 3.375% Senior Notes due 2031 are guaranteed, jointly and severally, on an unsecured basis, by the following 100% owned subsidiaries of Qorvo, Inc., a Delaware corporation, as of December 30, 2023:</w:t>
      </w:r>
    </w:p>
    <w:p>
      <w:pPr>
        <w:spacing w:after="0" w:line="214" w:lineRule="exact"/>
        <w:rPr>
          <w:sz w:val="20"/>
          <w:szCs w:val="20"/>
          <w:color w:val="auto"/>
        </w:rPr>
      </w:pPr>
    </w:p>
    <w:tbl>
      <w:tblPr>
        <w:tblLayout w:type="fixed"/>
        <w:tblInd w:w="1550" w:type="dxa"/>
        <w:tblCellMar>
          <w:top w:w="0" w:type="dxa"/>
          <w:left w:w="0" w:type="dxa"/>
          <w:bottom w:w="0" w:type="dxa"/>
          <w:right w:w="0" w:type="dxa"/>
        </w:tblCellMar>
      </w:tblPr>
      <w:tr>
        <w:trPr>
          <w:trHeight w:val="234"/>
        </w:trPr>
        <w:tc>
          <w:tcPr>
            <w:tcW w:w="4220" w:type="dxa"/>
            <w:vAlign w:val="bottom"/>
            <w:tcBorders>
              <w:top w:val="single" w:sz="8" w:color="auto"/>
              <w:left w:val="single" w:sz="8" w:color="auto"/>
              <w:right w:val="single" w:sz="8" w:color="auto"/>
            </w:tcBorders>
            <w:shd w:val="clear" w:color="auto" w:fill="D9D9D9"/>
          </w:tcPr>
          <w:p>
            <w:pPr>
              <w:ind w:left="186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3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r>
      <w:tr>
        <w:trPr>
          <w:trHeight w:val="270"/>
        </w:trPr>
        <w:tc>
          <w:tcPr>
            <w:tcW w:w="4220" w:type="dxa"/>
            <w:vAlign w:val="bottom"/>
            <w:tcBorders>
              <w:left w:val="single" w:sz="8" w:color="auto"/>
              <w:bottom w:val="single" w:sz="8" w:color="D9D9D9"/>
              <w:right w:val="single" w:sz="8" w:color="auto"/>
            </w:tcBorders>
            <w:shd w:val="clear" w:color="auto" w:fill="D9D9D9"/>
          </w:tcPr>
          <w:p>
            <w:pPr>
              <w:spacing w:after="0"/>
              <w:rPr>
                <w:sz w:val="23"/>
                <w:szCs w:val="23"/>
                <w:color w:val="auto"/>
              </w:rPr>
            </w:pPr>
          </w:p>
        </w:tc>
        <w:tc>
          <w:tcPr>
            <w:tcW w:w="3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r>
      <w:tr>
        <w:trPr>
          <w:trHeight w:val="237"/>
        </w:trPr>
        <w:tc>
          <w:tcPr>
            <w:tcW w:w="42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Amalfi Semiconductor, Inc.</w:t>
            </w:r>
          </w:p>
        </w:tc>
        <w:tc>
          <w:tcPr>
            <w:tcW w:w="3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RFMD, LLC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California,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US,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Texas, LLC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Oregon,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Oregon</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160"/>
          </w:cols>
          <w:pgMar w:left="320" w:top="1413"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Bruggeworth,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Qorvo, Inc.;</w:t>
      </w:r>
    </w:p>
    <w:p>
      <w:pPr>
        <w:spacing w:after="0" w:line="252" w:lineRule="exact"/>
        <w:rPr>
          <w:rFonts w:ascii="Times New Roman" w:cs="Times New Roman" w:eastAsia="Times New Roman" w:hAnsi="Times New Roman"/>
          <w:sz w:val="18"/>
          <w:szCs w:val="18"/>
          <w:color w:val="auto"/>
        </w:rPr>
      </w:pPr>
    </w:p>
    <w:p>
      <w:pPr>
        <w:ind w:right="60" w:firstLine="8"/>
        <w:spacing w:after="0" w:line="312" w:lineRule="auto"/>
        <w:tabs>
          <w:tab w:leader="none" w:pos="64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Times New Roman" w:cs="Times New Roman" w:eastAsia="Times New Roman" w:hAnsi="Times New Roman"/>
          <w:sz w:val="17"/>
          <w:szCs w:val="17"/>
          <w:color w:val="auto"/>
        </w:rPr>
      </w:pPr>
    </w:p>
    <w:p>
      <w:pPr>
        <w:ind w:right="20" w:firstLine="8"/>
        <w:spacing w:after="0" w:line="282"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hanging="4"/>
        <w:spacing w:after="0" w:line="266"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180" w:hanging="4"/>
        <w:spacing w:after="0" w:line="282" w:lineRule="auto"/>
        <w:tabs>
          <w:tab w:leader="none" w:pos="129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right="160" w:hanging="4"/>
        <w:spacing w:after="0" w:line="266"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20" w:firstLine="8"/>
        <w:spacing w:after="0" w:line="282"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100" w:hanging="4"/>
        <w:spacing w:after="0" w:line="282"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February 1, 2024</w:t>
      </w: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17145</wp:posOffset>
            </wp:positionV>
            <wp:extent cx="23056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Robert A. Bruggeworth</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180"/>
          </w:cols>
          <w:pgMar w:left="320" w:top="887"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Grant A. Brown, certify that:</w:t>
      </w:r>
    </w:p>
    <w:p>
      <w:pPr>
        <w:spacing w:after="0" w:line="252"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Qorvo, Inc.;</w:t>
      </w:r>
    </w:p>
    <w:p>
      <w:pPr>
        <w:spacing w:after="0" w:line="252" w:lineRule="exact"/>
        <w:rPr>
          <w:rFonts w:ascii="Times New Roman" w:cs="Times New Roman" w:eastAsia="Times New Roman" w:hAnsi="Times New Roman"/>
          <w:sz w:val="18"/>
          <w:szCs w:val="18"/>
          <w:color w:val="auto"/>
        </w:rPr>
      </w:pPr>
    </w:p>
    <w:p>
      <w:pPr>
        <w:ind w:right="220" w:firstLine="8"/>
        <w:spacing w:after="0" w:line="282" w:lineRule="auto"/>
        <w:tabs>
          <w:tab w:leader="none" w:pos="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380" w:firstLine="8"/>
        <w:spacing w:after="0" w:line="282" w:lineRule="auto"/>
        <w:tabs>
          <w:tab w:leader="none" w:pos="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40" w:firstLine="8"/>
        <w:spacing w:after="0" w:line="266" w:lineRule="auto"/>
        <w:tabs>
          <w:tab w:leader="none" w:pos="3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0" w:hanging="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20" w:hanging="4"/>
        <w:spacing w:after="0" w:line="266" w:lineRule="auto"/>
        <w:tabs>
          <w:tab w:leader="none" w:pos="9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520" w:hanging="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120" w:firstLine="8"/>
        <w:spacing w:after="0" w:line="282" w:lineRule="auto"/>
        <w:tabs>
          <w:tab w:leader="none" w:pos="3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760" w:hanging="4"/>
        <w:spacing w:after="0" w:line="282" w:lineRule="auto"/>
        <w:tabs>
          <w:tab w:leader="none" w:pos="97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440" w:hanging="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February 1, 2024</w:t>
      </w:r>
    </w:p>
    <w:p>
      <w:pPr>
        <w:spacing w:after="0" w:line="200" w:lineRule="exact"/>
        <w:rPr>
          <w:sz w:val="20"/>
          <w:szCs w:val="20"/>
          <w:color w:val="auto"/>
        </w:rPr>
      </w:pPr>
    </w:p>
    <w:p>
      <w:pPr>
        <w:spacing w:after="0" w:line="21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29229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Grant A. Brown</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00"/>
          </w:cols>
          <w:pgMar w:left="320" w:top="887"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ind w:right="9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Robert A. Bruggeworth, President and Chief Executive Officer of Qorvo, Inc. (the “Company”), certify pursuant to Section 906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Sarbanes-Oxley Act of 2002, 18 U.S.C. Section 1350, that, to my knowledge:</w:t>
      </w:r>
    </w:p>
    <w:p>
      <w:pPr>
        <w:spacing w:after="0" w:line="234" w:lineRule="exact"/>
        <w:rPr>
          <w:sz w:val="20"/>
          <w:szCs w:val="20"/>
          <w:color w:val="auto"/>
        </w:rPr>
      </w:pPr>
    </w:p>
    <w:p>
      <w:pPr>
        <w:ind w:left="660" w:hanging="652"/>
        <w:spacing w:after="0" w:line="283" w:lineRule="auto"/>
        <w:tabs>
          <w:tab w:leader="none" w:pos="44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fiscal quarter ended December 30, 2023 (the “Report”) fully complies with the requirements of Section 13(a) or 15(d) of the Securities Exchange Act of 1934, as amended; and</w:t>
      </w:r>
    </w:p>
    <w:p>
      <w:pPr>
        <w:spacing w:after="0" w:line="173" w:lineRule="exact"/>
        <w:rPr>
          <w:rFonts w:ascii="Times New Roman" w:cs="Times New Roman" w:eastAsia="Times New Roman" w:hAnsi="Times New Roman"/>
          <w:sz w:val="20"/>
          <w:szCs w:val="20"/>
          <w:color w:val="auto"/>
        </w:rPr>
      </w:pPr>
    </w:p>
    <w:p>
      <w:pPr>
        <w:ind w:left="660" w:right="140" w:hanging="652"/>
        <w:spacing w:after="0" w:line="283" w:lineRule="auto"/>
        <w:tabs>
          <w:tab w:leader="none" w:pos="44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22860</wp:posOffset>
            </wp:positionV>
            <wp:extent cx="27260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Robert A. Bruggeworth</w:t>
      </w:r>
    </w:p>
    <w:p>
      <w:pPr>
        <w:spacing w:after="0" w:line="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1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February 1, 2024</w:t>
      </w:r>
    </w:p>
    <w:p>
      <w:pPr>
        <w:sectPr>
          <w:pgSz w:w="11900" w:h="16838" w:orient="portrait"/>
          <w:cols w:equalWidth="0" w:num="1">
            <w:col w:w="11140"/>
          </w:cols>
          <w:pgMar w:left="320" w:top="8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99" w:lineRule="exact"/>
        <w:rPr>
          <w:sz w:val="20"/>
          <w:szCs w:val="20"/>
          <w:color w:val="auto"/>
        </w:rPr>
      </w:pPr>
    </w:p>
    <w:p>
      <w:pPr>
        <w:ind w:right="9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Grant A. Brown, Senior Vice President and Chief Financial Officer of Qorvo, Inc. (the “Company”), certify pursuant to Section 906 of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Sarbanes-Oxley Act of 2002, 18 U.S.C. Section 1350, that, to my knowledge:</w:t>
      </w:r>
    </w:p>
    <w:p>
      <w:pPr>
        <w:spacing w:after="0" w:line="234" w:lineRule="exact"/>
        <w:rPr>
          <w:sz w:val="20"/>
          <w:szCs w:val="20"/>
          <w:color w:val="auto"/>
        </w:rPr>
      </w:pPr>
    </w:p>
    <w:p>
      <w:pPr>
        <w:ind w:left="660" w:hanging="652"/>
        <w:spacing w:after="0" w:line="283" w:lineRule="auto"/>
        <w:tabs>
          <w:tab w:leader="none" w:pos="44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fiscal quarter ended December 30, 2023 (the “Report”) fully complies with the requirements of Section 13(a) or 15(d) of the Securities Exchange Act of 1934, as amended; and</w:t>
      </w:r>
    </w:p>
    <w:p>
      <w:pPr>
        <w:spacing w:after="0" w:line="173" w:lineRule="exact"/>
        <w:rPr>
          <w:rFonts w:ascii="Times New Roman" w:cs="Times New Roman" w:eastAsia="Times New Roman" w:hAnsi="Times New Roman"/>
          <w:sz w:val="20"/>
          <w:szCs w:val="20"/>
          <w:color w:val="auto"/>
        </w:rPr>
      </w:pPr>
    </w:p>
    <w:p>
      <w:pPr>
        <w:ind w:left="660" w:right="140" w:hanging="652"/>
        <w:spacing w:after="0" w:line="283" w:lineRule="auto"/>
        <w:tabs>
          <w:tab w:leader="none" w:pos="44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22860</wp:posOffset>
            </wp:positionV>
            <wp:extent cx="46374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Grant A. Brown</w:t>
      </w:r>
    </w:p>
    <w:p>
      <w:pPr>
        <w:spacing w:after="0" w:line="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Senior Vice President and Chief Financial Officer</w:t>
      </w:r>
    </w:p>
    <w:p>
      <w:pPr>
        <w:spacing w:after="0" w:line="13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February 1, 2024</w:t>
      </w:r>
    </w:p>
    <w:sectPr>
      <w:pgSz w:w="11900" w:h="16838" w:orient="portrait"/>
      <w:cols w:equalWidth="0" w:num="1">
        <w:col w:w="11140"/>
      </w:cols>
      <w:pgMar w:left="320" w:top="88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22"/>
    </w:lvl>
  </w:abstractNum>
  <w:abstractNum w:abstractNumId="9">
    <w:nsid w:val="140E0F76"/>
    <w:multiLevelType w:val="hybridMultilevel"/>
    <w:lvl w:ilvl="0">
      <w:lvlJc w:val="left"/>
      <w:lvlText w:val="%1"/>
      <w:numFmt w:val="decimal"/>
      <w:start w:val="10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2024-02-01T15:15:12Z</dcterms:created>
  <dcterms:modified xsi:type="dcterms:W3CDTF">2024-02-01T15:15:12Z</dcterms:modified>
</cp:coreProperties>
</file>