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403860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376555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29"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9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 the fiscal year ended March 29, 2025</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7" w:lineRule="exact"/>
        <w:rPr>
          <w:sz w:val="24"/>
          <w:szCs w:val="24"/>
          <w:color w:val="auto"/>
        </w:rPr>
      </w:pPr>
    </w:p>
    <w:p>
      <w:pPr>
        <w:ind w:left="640" w:hanging="621"/>
        <w:spacing w:after="0"/>
        <w:tabs>
          <w:tab w:leader="none" w:pos="6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48"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_____to _____</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5"/>
          <w:szCs w:val="15"/>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45085</wp:posOffset>
            </wp:positionV>
            <wp:extent cx="1515745" cy="444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5745" cy="444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Qorvo, Inc.</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7"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140" w:type="dxa"/>
            <w:vAlign w:val="bottom"/>
            <w:gridSpan w:val="2"/>
          </w:tcPr>
          <w:p>
            <w:pPr>
              <w:jc w:val="center"/>
              <w:ind w:right="1709"/>
              <w:spacing w:after="0"/>
              <w:rPr>
                <w:sz w:val="20"/>
                <w:szCs w:val="20"/>
                <w:color w:val="auto"/>
              </w:rPr>
            </w:pPr>
            <w:r>
              <w:rPr>
                <w:rFonts w:ascii="Times New Roman" w:cs="Times New Roman" w:eastAsia="Times New Roman" w:hAnsi="Times New Roman"/>
                <w:sz w:val="14"/>
                <w:szCs w:val="14"/>
                <w:b w:val="1"/>
                <w:bCs w:val="1"/>
                <w:color w:val="auto"/>
              </w:rPr>
              <w:t>46-5288992</w:t>
            </w:r>
          </w:p>
        </w:tc>
      </w:tr>
      <w:tr>
        <w:trPr>
          <w:trHeight w:val="166"/>
        </w:trPr>
        <w:tc>
          <w:tcPr>
            <w:tcW w:w="440" w:type="dxa"/>
            <w:vAlign w:val="bottom"/>
          </w:tcPr>
          <w:p>
            <w:pPr>
              <w:spacing w:after="0"/>
              <w:rPr>
                <w:sz w:val="14"/>
                <w:szCs w:val="14"/>
                <w:color w:val="auto"/>
              </w:rPr>
            </w:pPr>
          </w:p>
        </w:tc>
        <w:tc>
          <w:tcPr>
            <w:tcW w:w="49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4140" w:type="dxa"/>
            <w:vAlign w:val="bottom"/>
            <w:gridSpan w:val="2"/>
          </w:tcPr>
          <w:p>
            <w:pPr>
              <w:jc w:val="center"/>
              <w:ind w:right="1709"/>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242"/>
        </w:trPr>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7628 Thorndike Road</w:t>
            </w:r>
          </w:p>
        </w:tc>
        <w:tc>
          <w:tcPr>
            <w:tcW w:w="15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86"/>
        </w:trPr>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0" w:type="dxa"/>
            <w:vAlign w:val="bottom"/>
            <w:gridSpan w:val="3"/>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Greensboro, North Carolina</w:t>
            </w:r>
          </w:p>
        </w:tc>
        <w:tc>
          <w:tcPr>
            <w:tcW w:w="4140" w:type="dxa"/>
            <w:vAlign w:val="bottom"/>
            <w:gridSpan w:val="2"/>
          </w:tcPr>
          <w:p>
            <w:pPr>
              <w:jc w:val="center"/>
              <w:ind w:right="1709"/>
              <w:spacing w:after="0"/>
              <w:rPr>
                <w:sz w:val="20"/>
                <w:szCs w:val="20"/>
                <w:color w:val="auto"/>
              </w:rPr>
            </w:pPr>
            <w:r>
              <w:rPr>
                <w:rFonts w:ascii="Times New Roman" w:cs="Times New Roman" w:eastAsia="Times New Roman" w:hAnsi="Times New Roman"/>
                <w:sz w:val="14"/>
                <w:szCs w:val="14"/>
                <w:b w:val="1"/>
                <w:bCs w:val="1"/>
                <w:color w:val="auto"/>
              </w:rPr>
              <w:t>27409-9421</w:t>
            </w:r>
          </w:p>
        </w:tc>
      </w:tr>
      <w:tr>
        <w:trPr>
          <w:trHeight w:val="166"/>
        </w:trPr>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8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4140" w:type="dxa"/>
            <w:vAlign w:val="bottom"/>
            <w:gridSpan w:val="2"/>
          </w:tcPr>
          <w:p>
            <w:pPr>
              <w:jc w:val="center"/>
              <w:ind w:right="1709"/>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48"/>
        </w:trPr>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60" w:type="dxa"/>
            <w:vAlign w:val="bottom"/>
            <w:gridSpan w:val="2"/>
          </w:tcPr>
          <w:p>
            <w:pPr>
              <w:jc w:val="center"/>
              <w:ind w:left="1970"/>
              <w:spacing w:after="0"/>
              <w:rPr>
                <w:sz w:val="20"/>
                <w:szCs w:val="20"/>
                <w:color w:val="auto"/>
              </w:rPr>
            </w:pPr>
            <w:r>
              <w:rPr>
                <w:rFonts w:ascii="Times New Roman" w:cs="Times New Roman" w:eastAsia="Times New Roman" w:hAnsi="Times New Roman"/>
                <w:sz w:val="14"/>
                <w:szCs w:val="14"/>
                <w:b w:val="1"/>
                <w:bCs w:val="1"/>
                <w:color w:val="auto"/>
              </w:rPr>
              <w:t>(336) 664-1233</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65"/>
        </w:trPr>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540" w:type="dxa"/>
            <w:vAlign w:val="bottom"/>
            <w:gridSpan w:val="5"/>
          </w:tcPr>
          <w:p>
            <w:pPr>
              <w:jc w:val="center"/>
              <w:ind w:right="2269"/>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r>
      <w:tr>
        <w:trPr>
          <w:trHeight w:val="338"/>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40" w:type="dxa"/>
            <w:vAlign w:val="bottom"/>
            <w:gridSpan w:val="5"/>
          </w:tcPr>
          <w:p>
            <w:pPr>
              <w:jc w:val="center"/>
              <w:ind w:right="224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55"/>
        </w:trPr>
        <w:tc>
          <w:tcPr>
            <w:tcW w:w="44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3"/>
                <w:szCs w:val="13"/>
                <w:color w:val="auto"/>
              </w:rPr>
            </w:pPr>
          </w:p>
        </w:tc>
        <w:tc>
          <w:tcPr>
            <w:tcW w:w="3400" w:type="dxa"/>
            <w:vAlign w:val="bottom"/>
            <w:gridSpan w:val="3"/>
          </w:tcPr>
          <w:p>
            <w:pPr>
              <w:jc w:val="center"/>
              <w:ind w:left="173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140" w:type="dxa"/>
            <w:vAlign w:val="bottom"/>
            <w:gridSpan w:val="2"/>
          </w:tcPr>
          <w:p>
            <w:pPr>
              <w:jc w:val="center"/>
              <w:ind w:left="1432"/>
              <w:spacing w:after="0" w:line="155"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192"/>
        </w:trPr>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20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QRVO</w:t>
            </w:r>
          </w:p>
        </w:tc>
        <w:tc>
          <w:tcPr>
            <w:tcW w:w="15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None</w:t>
      </w:r>
    </w:p>
    <w:p>
      <w:pPr>
        <w:spacing w:after="0" w:line="24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9"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5" w:lineRule="exact"/>
        <w:rPr>
          <w:sz w:val="24"/>
          <w:szCs w:val="24"/>
          <w:color w:val="auto"/>
        </w:rPr>
      </w:pPr>
    </w:p>
    <w:p>
      <w:pPr>
        <w:ind w:right="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451485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214"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 emerging growth company. See the definitions of "large accelerated filer," "accelerated filer," "smaller reporting company," and "emerging growth company" in Rule 12b-2 of the Exchange Act.</w:t>
      </w:r>
    </w:p>
    <w:p>
      <w:pPr>
        <w:spacing w:after="0" w:line="395"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7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8" w:lineRule="exact"/>
        <w:rPr>
          <w:sz w:val="20"/>
          <w:szCs w:val="20"/>
          <w:color w:val="auto"/>
        </w:r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4" w:lineRule="exact"/>
        <w:rPr>
          <w:sz w:val="20"/>
          <w:szCs w:val="20"/>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5" w:lineRule="exact"/>
        <w:rPr>
          <w:sz w:val="20"/>
          <w:szCs w:val="20"/>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5" w:lineRule="exact"/>
        <w:rPr>
          <w:sz w:val="20"/>
          <w:szCs w:val="20"/>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36"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was approximately $9,777,465,384 as of September 28, 2024.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May 12, 2025, there were 93,025,179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120650</wp:posOffset>
            </wp:positionV>
            <wp:extent cx="15157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5745" cy="6985"/>
                    </a:xfrm>
                    <a:prstGeom prst="rect">
                      <a:avLst/>
                    </a:prstGeom>
                    <a:noFill/>
                  </pic:spPr>
                </pic:pic>
              </a:graphicData>
            </a:graphic>
          </wp:anchor>
        </w:drawing>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3"/>
          <w:szCs w:val="13"/>
          <w:color w:val="auto"/>
        </w:rPr>
        <w:t>The registrant has incorporated by reference into Part III of this report certain portions of its proxy statement for its 2025 annual meeting of stockholders, which is expected to be filed within 120 days after the end of the registrant’s fiscal year ended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980" w:type="dxa"/>
            <w:vAlign w:val="bottom"/>
            <w:gridSpan w:val="14"/>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QORVO, INC.</w:t>
            </w: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980" w:type="dxa"/>
            <w:vAlign w:val="bottom"/>
            <w:gridSpan w:val="14"/>
          </w:tcPr>
          <w:p>
            <w:pPr>
              <w:jc w:val="center"/>
              <w:ind w:right="2840"/>
              <w:spacing w:after="0" w:line="138" w:lineRule="exact"/>
              <w:rPr>
                <w:sz w:val="20"/>
                <w:szCs w:val="20"/>
                <w:color w:val="auto"/>
              </w:rPr>
            </w:pPr>
            <w:r>
              <w:rPr>
                <w:rFonts w:ascii="Times New Roman" w:cs="Times New Roman" w:eastAsia="Times New Roman" w:hAnsi="Times New Roman"/>
                <w:sz w:val="14"/>
                <w:szCs w:val="14"/>
                <w:b w:val="1"/>
                <w:bCs w:val="1"/>
                <w:color w:val="auto"/>
              </w:rPr>
              <w:t>FORM 10-K</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20" w:type="dxa"/>
            <w:vAlign w:val="bottom"/>
            <w:gridSpan w:val="17"/>
          </w:tcPr>
          <w:p>
            <w:pPr>
              <w:jc w:val="center"/>
              <w:ind w:right="1600"/>
              <w:spacing w:after="0" w:line="143" w:lineRule="exact"/>
              <w:rPr>
                <w:sz w:val="20"/>
                <w:szCs w:val="20"/>
                <w:color w:val="auto"/>
              </w:rPr>
            </w:pPr>
            <w:r>
              <w:rPr>
                <w:rFonts w:ascii="Times New Roman" w:cs="Times New Roman" w:eastAsia="Times New Roman" w:hAnsi="Times New Roman"/>
                <w:sz w:val="14"/>
                <w:szCs w:val="14"/>
                <w:b w:val="1"/>
                <w:bCs w:val="1"/>
                <w:color w:val="auto"/>
              </w:rPr>
              <w:t>FOR THE FISCAL YEAR ENDED MARCH 29, 2025</w:t>
            </w: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15"/>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Forward-Looking Information.</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11"/>
          </w:tcPr>
          <w:p>
            <w:pPr>
              <w:jc w:val="center"/>
              <w:ind w:right="316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42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Business.</w:t>
            </w:r>
          </w:p>
        </w:tc>
        <w:tc>
          <w:tcPr>
            <w:tcW w:w="460" w:type="dxa"/>
            <w:vAlign w:val="bottom"/>
            <w:tcBorders>
              <w:top w:val="single" w:sz="8" w:color="0000FF"/>
            </w:tcBorders>
            <w:gridSpan w:val="2"/>
          </w:tcPr>
          <w:p>
            <w:pPr>
              <w:spacing w:after="0"/>
              <w:rPr>
                <w:sz w:val="24"/>
                <w:szCs w:val="24"/>
                <w:color w:val="auto"/>
              </w:rPr>
            </w:pPr>
          </w:p>
        </w:tc>
        <w:tc>
          <w:tcPr>
            <w:tcW w:w="3180" w:type="dxa"/>
            <w:vAlign w:val="bottom"/>
            <w:gridSpan w:val="8"/>
          </w:tcPr>
          <w:p>
            <w:pPr>
              <w:spacing w:after="0"/>
              <w:rPr>
                <w:sz w:val="24"/>
                <w:szCs w:val="24"/>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Risk Factors.</w:t>
            </w:r>
          </w:p>
        </w:tc>
        <w:tc>
          <w:tcPr>
            <w:tcW w:w="7120" w:type="dxa"/>
            <w:vAlign w:val="bottom"/>
            <w:gridSpan w:val="28"/>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1B.</w:t>
            </w:r>
          </w:p>
        </w:tc>
        <w:tc>
          <w:tcPr>
            <w:tcW w:w="16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Unresolved Staff Comments.</w:t>
            </w:r>
          </w:p>
        </w:tc>
        <w:tc>
          <w:tcPr>
            <w:tcW w:w="6220" w:type="dxa"/>
            <w:vAlign w:val="bottom"/>
            <w:gridSpan w:val="21"/>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1C.</w:t>
            </w:r>
          </w:p>
        </w:tc>
        <w:tc>
          <w:tcPr>
            <w:tcW w:w="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7"/>
              </w:rPr>
              <w:t>Cybersecurity.</w:t>
            </w:r>
          </w:p>
        </w:tc>
        <w:tc>
          <w:tcPr>
            <w:tcW w:w="7040" w:type="dxa"/>
            <w:vAlign w:val="bottom"/>
            <w:gridSpan w:val="27"/>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6"/>
              </w:rPr>
              <w:t>Properties.</w:t>
            </w:r>
          </w:p>
        </w:tc>
        <w:tc>
          <w:tcPr>
            <w:tcW w:w="7260" w:type="dxa"/>
            <w:vAlign w:val="bottom"/>
            <w:gridSpan w:val="30"/>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1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Legal Proceedings.</w:t>
            </w:r>
          </w:p>
        </w:tc>
        <w:tc>
          <w:tcPr>
            <w:tcW w:w="6780" w:type="dxa"/>
            <w:vAlign w:val="bottom"/>
            <w:gridSpan w:val="25"/>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11"/>
          </w:tcPr>
          <w:p>
            <w:pPr>
              <w:jc w:val="center"/>
              <w:ind w:right="3160"/>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5.</w:t>
            </w:r>
          </w:p>
        </w:tc>
        <w:tc>
          <w:tcPr>
            <w:tcW w:w="63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6.</w:t>
            </w: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[Reserved]</w:t>
            </w:r>
          </w:p>
        </w:tc>
        <w:tc>
          <w:tcPr>
            <w:tcW w:w="7240" w:type="dxa"/>
            <w:vAlign w:val="bottom"/>
            <w:gridSpan w:val="29"/>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7.</w:t>
            </w: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7A.</w:t>
            </w:r>
          </w:p>
        </w:tc>
        <w:tc>
          <w:tcPr>
            <w:tcW w:w="34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tcBorders>
              <w:top w:val="single" w:sz="8" w:color="0000FF"/>
            </w:tcBorders>
            <w:gridSpan w:val="11"/>
          </w:tcPr>
          <w:p>
            <w:pPr>
              <w:spacing w:after="0"/>
              <w:rPr>
                <w:sz w:val="13"/>
                <w:szCs w:val="13"/>
                <w:color w:val="auto"/>
              </w:rPr>
            </w:pPr>
          </w:p>
        </w:tc>
        <w:tc>
          <w:tcPr>
            <w:tcW w:w="2780" w:type="dxa"/>
            <w:vAlign w:val="bottom"/>
            <w:gridSpan w:val="4"/>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8.</w:t>
            </w: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w:t>
            </w: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9A.</w:t>
            </w:r>
          </w:p>
        </w:tc>
        <w:tc>
          <w:tcPr>
            <w:tcW w:w="14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Controls and Procedures.</w:t>
            </w:r>
          </w:p>
        </w:tc>
        <w:tc>
          <w:tcPr>
            <w:tcW w:w="3720" w:type="dxa"/>
            <w:vAlign w:val="bottom"/>
            <w:tcBorders>
              <w:top w:val="single" w:sz="8" w:color="0000FF"/>
            </w:tcBorders>
            <w:gridSpan w:val="20"/>
          </w:tcPr>
          <w:p>
            <w:pPr>
              <w:spacing w:after="0"/>
              <w:rPr>
                <w:sz w:val="13"/>
                <w:szCs w:val="13"/>
                <w:color w:val="auto"/>
              </w:rPr>
            </w:pPr>
          </w:p>
        </w:tc>
        <w:tc>
          <w:tcPr>
            <w:tcW w:w="2720" w:type="dxa"/>
            <w:vAlign w:val="bottom"/>
            <w:gridSpan w:val="3"/>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9B.</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Other Information.</w:t>
            </w:r>
          </w:p>
        </w:tc>
        <w:tc>
          <w:tcPr>
            <w:tcW w:w="6800" w:type="dxa"/>
            <w:vAlign w:val="bottom"/>
            <w:gridSpan w:val="26"/>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9C.</w:t>
            </w: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312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10.</w:t>
            </w: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11.</w:t>
            </w:r>
          </w:p>
        </w:tc>
        <w:tc>
          <w:tcPr>
            <w:tcW w:w="32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620" w:type="dxa"/>
            <w:vAlign w:val="bottom"/>
            <w:gridSpan w:val="16"/>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8"/>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12.</w:t>
            </w:r>
          </w:p>
        </w:tc>
        <w:tc>
          <w:tcPr>
            <w:tcW w:w="57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100" w:type="dxa"/>
            <w:vAlign w:val="bottom"/>
            <w:gridSpan w:val="2"/>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13.</w:t>
            </w:r>
          </w:p>
        </w:tc>
        <w:tc>
          <w:tcPr>
            <w:tcW w:w="786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14.</w:t>
            </w:r>
          </w:p>
        </w:tc>
        <w:tc>
          <w:tcPr>
            <w:tcW w:w="43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560" w:type="dxa"/>
            <w:vAlign w:val="bottom"/>
            <w:gridSpan w:val="9"/>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12"/>
          </w:tcPr>
          <w:p>
            <w:pPr>
              <w:jc w:val="center"/>
              <w:ind w:right="314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15.</w:t>
            </w:r>
          </w:p>
        </w:tc>
        <w:tc>
          <w:tcPr>
            <w:tcW w:w="41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40" w:type="dxa"/>
            <w:vAlign w:val="bottom"/>
            <w:tcBorders>
              <w:top w:val="single" w:sz="8" w:color="0000FF"/>
            </w:tcBorders>
            <w:gridSpan w:val="6"/>
          </w:tcPr>
          <w:p>
            <w:pPr>
              <w:spacing w:after="0"/>
              <w:rPr>
                <w:sz w:val="24"/>
                <w:szCs w:val="24"/>
                <w:color w:val="auto"/>
              </w:rPr>
            </w:pPr>
          </w:p>
        </w:tc>
        <w:tc>
          <w:tcPr>
            <w:tcW w:w="3140" w:type="dxa"/>
            <w:vAlign w:val="bottom"/>
            <w:gridSpan w:val="6"/>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16.</w:t>
            </w:r>
          </w:p>
        </w:tc>
        <w:tc>
          <w:tcPr>
            <w:tcW w:w="12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8"/>
              </w:rPr>
              <w:t>Form 10-K Summary.</w:t>
            </w:r>
          </w:p>
        </w:tc>
        <w:tc>
          <w:tcPr>
            <w:tcW w:w="1260" w:type="dxa"/>
            <w:vAlign w:val="bottom"/>
            <w:tcBorders>
              <w:top w:val="single" w:sz="8" w:color="0000FF"/>
            </w:tcBorders>
            <w:gridSpan w:val="6"/>
          </w:tcPr>
          <w:p>
            <w:pPr>
              <w:spacing w:after="0"/>
              <w:rPr>
                <w:sz w:val="13"/>
                <w:szCs w:val="13"/>
                <w:color w:val="auto"/>
              </w:rPr>
            </w:pPr>
          </w:p>
        </w:tc>
        <w:tc>
          <w:tcPr>
            <w:tcW w:w="5360" w:type="dxa"/>
            <w:vAlign w:val="bottom"/>
            <w:gridSpan w:val="18"/>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Exhibit Index.</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5"/>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gridSpan w:val="19"/>
          </w:tcPr>
          <w:p>
            <w:pPr>
              <w:ind w:left="398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this Annual Report on Form 10-K, the words "Qorvo," "we," "our," "ours," "us" and "the Company" refer only to Qorvo, Inc. and our subsidiaries and not any other person or entity. The following discussion should be read in conjunction with the consolidated financial statements and notes thereto included elsewhere in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Information</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federal securities laws, particularly in Item 1: "Business," Item 1A: "Risk Factors" and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Additionally, statements concerning future matters such as our future business, prospects, results of operations or financial condition; our expectations regarding our ability to sufficiently fund capital expenditures; research and development or technology investments; new or enhanced products, services or technologies; emerging industries or business models; design wins or product launches; industry, market or technology trends, dynamics or transitions, such as technology upgrade cycles; our future demand or supply conditions or macroeconomic factors; strategic investments, acquisitions, divestitures, or restructuring initiatives and the anticipated timing or benefits thereof; impacts of government actions or regulations, including changes in trade policies or tax laws, on our business; legal or regulatory matters; U.S./China trade and national security tensions; global hostilities, including the war in Ukraine and the ongoing conflict in the Middle East; vertical integration by our customers; competition; and other statements regarding matters that are not historical are also forward-looking statements.</w:t>
      </w:r>
    </w:p>
    <w:p>
      <w:pPr>
        <w:spacing w:after="0" w:line="171"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Although forward-looking statements reflect the good faith judgment of our management as of the date the statement is first made,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We caution you not to place undue reliance upon any such forward-looking statements. Material factors that could cause actual results to differ materially from our expectations are summarized and disclosed under "Risk Factors" in Part I, Item 1A of this Annual Report on Form 10-K.</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undertake no obligation to revise or update any forward-looking statements in order to reflect any event or circumstance that may arise after the date of this Annual Report. Readers are cautioned to review carefully and consider the various disclosures made in this Annual Report, which attempt to advise interested parties of the risks and factors that may affect our business, financial condition, results of operations and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Company Overview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Qorvo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global leader in the development and commercialization of technologies and products for wireless, wired and power markets.</w:t>
      </w:r>
    </w:p>
    <w:p>
      <w:pPr>
        <w:spacing w:after="0" w:line="15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are organized into three operating and reportable segments that align our technologies and applications with customers and end markets: High Performance Analog ("HPA"), Connectivity and Sensors Group ("CSG") and Advanced Cellular Group ("ACG").</w:t>
      </w:r>
    </w:p>
    <w:p>
      <w:pPr>
        <w:spacing w:after="0" w:line="145"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4"/>
          <w:szCs w:val="14"/>
          <w:color w:val="auto"/>
        </w:rPr>
        <w:t>HPA is a leading global supplier of radio frequency ("RF"), analog mixed signal and power management solutions. CSG is a leading global supplier of connectivity and sensor solutions, with broad expertise spanning ultra-wideband ("UWB"), Matter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Bluetooth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Low Energy ("BLE"), Zigbee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Thread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Wi-Fi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cellular solutions for the Internet of Things ("IoT") and microelectromechanical system ("MEMS")-based sensors. ACG is a leading global supplier of advanced cellular solutions for smartphones, wearables, laptops, tablets and other devices.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 Trends, Markets, Products and Applications</w:t>
      </w:r>
    </w:p>
    <w:p>
      <w:pPr>
        <w:spacing w:after="0" w:line="20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Global connectivity trends and the proliferation of more intelligent, data-intensive applications are increasing demand for technologies that efficiently increase data throughput, improve user experiences and enable new methods of human-machine interaction. These and other global macro trends are increasing the demand for our technologies and products.</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Qorvo serves six primary end markets: automotive, consumer, defense and aerospace ("D&amp;A"), industrial and enterprise, infrastructure and mobile. Our products solve our customers’ most complex challenges while enhancing performance, improving efficiency, increasing functionality, enabling new form factors and addressing other critical challenges.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High Performance Analog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HPA primarily serves the D&amp;A, infrastructure, industrial and enterprise, and consumer markets.</w:t>
      </w:r>
    </w:p>
    <w:p>
      <w:pPr>
        <w:spacing w:after="0" w:line="18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 the D&amp;A market, Qorvo focuses primarily on high-power phased array radar for electronic military applications and communications systems for both defense and commercial space satellite communications. Within these markets, there are expanding opportunities for HPA's products and technologies driven by global macrotrends including upgrades to legacy radar systems; the shift to new, higher frequency bands; and the trend of “one to many,” which requires a greater number of smaller, more highly integrated and scalable networked platforms to achieve mission success.</w:t>
      </w:r>
    </w:p>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addition, investment is increasing in low Earth orbit ("LEO") satellite communication ("SATCOM") networks that enable both commercial and military connectivity around the globe. HPA is a leading supplier of RF products and compound semiconductor foundry services to U.S. defense primes and other global D&amp;A customers. We supply the top tier companies in LEO SATCOM constellation ecosystems with products for satellites and airborne flat panel array terminals. We also engage directly with U.S. government agencies, including the Department of Defense ("DoD"), to develop next-generation semiconductor and packaging technologies. Our standard product portfolio of industry-leading D&amp;A solutions includes high-power RF amplifiers, low noise amplifiers ("LNAs"), switches, limiters, filters, phase shifters, mixers, multiplexers, attenuators, beamforming integrated circuits ("ICs"), power management ICs ("PMICs") and control ICs and fully integrated RF front end modules ("FEMs"). Our services portfolio includes an extensive set of compound semiconductor foundry services, wafer processing, advanced packaging and heterogeneous integration solutions.</w:t>
      </w:r>
    </w:p>
    <w:p>
      <w:pPr>
        <w:spacing w:after="0" w:line="1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the infrastructure market, data-intensive use cases such as machine learning, industrial automation, robotics and augmented reality/virtual reality ("AR/VR") are increasing the performance and capacity requirements of wired and wireless 5G networks. In cellular base stations, the migration to 5G increases capacity, expands coverage and lowers the cost per bit of data. Qorvo supports cellular base station original equipment manufacturers ("OEMs") with a broad portfolio of infrastructure solutions to address their most critical requirements for data capacity, throughput and efficiency. Qorvo's cellular infrastructure products include switches, filters, LNA modules, discrete LNAs, variable gain amplifiers and control circuits. In broadband infrastructure, network operators are migrating from Data Over Cable Service Interface Specification ("DOCSIS") 3.1 to DOCSIS 4.0 to increase the efficiency of existing infrastructure and significantly increase download and upload speeds for end users. Qorvo is enabling the transition to DOCSIS 4.0 with a broad portfolio of products including high-output power doublers, drivers, preamplifiers, return amplifiers, voltage-controlled attenuators, digital step attenuators, switches and voltage variable equalizers.</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HPA serves industrial and enterprise markets with solutions that leverage our configurable power management intellectual property ("IP"). We provide unique solutions for power management, motor control and battery management systems across a broad set of applications, including factory motor drives and controls, large power tools, factory transport systems, robotics, industrial drones, pumps and fans. We also provide solutions to meet artificial intelligence ("AI")-driven demand for highly efficient data center solid-state drive power. The requirement for enhanced power efficiency in all electronics, furthered by the need to extend battery life in the growing number of battery-powered devices, is driving greater demand for advanced power management, motor control and battery management system solutions.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consumer and mobile markets, HPA’s configurable power management IP enables rapid product development across multiple generations of products. We provide PMICs for consumer applications including wearables, chargers, portable video processing devices and solid-state drives for client computing applications. We also provide motor control and drive products and battery management system solutions to industry-leading providers of appliances and electric power and garden tools. Our products reduce solution size, improve battery life, lower cost, improve system reliability and shorten customers’ product development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Connectivity and Sensor Group</w:t>
      </w:r>
    </w:p>
    <w:p>
      <w:pPr>
        <w:spacing w:after="0" w:line="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CSG serves the automotive, consumer, industrial and enterprise and mobile markets. The proliferation of data-driven, connected devices that sense, process and communicate are driving demand for Qorvo's wireless connectivity solutions, which increase throughput, reduce latency, enhance security and maximize efficiency.</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automotive markets, new use cases including vehicle-to-everything ("V2X") communications, advanced connectivity services and secure car access are supporting the migration to more connected, more intelligent vehicles. This is increasing the content opportunity across multiple connectivity and sensing technologies, including cellular, V2X, Wi-Fi, satellite radio, MEMS-based force-sensing and UWB. V2X assists autonomous driving and our UWB solutions enable Child Presence Detection systems, which detect and alert if a child or pet is accidentally left behind in a vehicle. Our UWB solutions also contribute to vehicle security as we leverage ultra-low latency communication and precision location accuracy to enable and significantly improve the security of digital key access and digital key sharing compared to legacy technologies. Our connectivity and sensor products for automotive applications include Bulk Acoustic Wave ("BAW") filters, LNAs, switches, power amplifiers ("PAs"), front end solutions, force-sensing touch sensors and UWB solutions. All of our automotive products meet or exceed AEC-Q100 quality and reliability standards, and our customers include market leading Tier-1 suppliers.</w:t>
      </w:r>
    </w:p>
    <w:p>
      <w:pPr>
        <w:spacing w:after="0" w:line="1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consumer and mobile markets, continuing trends within AR/VR, connected home, context awareness, gaming, secure home access, secure transactions and other applications are driving requirements for connectivity and accurate location solutions. For example, in the connected home, entertainment, comfort, health monitoring, property monitoring and security can be accessed and controlled remotely through a tablet, smartphone, or peer-to-peer device such as a voice-enabled remote control or home control assistant. UWB is also enabling contextual awareness through location-based interactions, or presence detection, by leveraging the radar capabilities of UWB technology.</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industrial and enterprise markets, connectivity solutions improve operational efficiency and worker safety by enabling precise indoor turn-by-turn navigation, virtual fences and virtual replicas of physical manufacturing systems, referred to as digital twins. Real-time location tracking of mobile assets such as forklifts, robots and tools helps prevent losses and optimizes usage, while monitoring work-in-progress materials across production lines helps reduce bottlenecks and ensures just-in-time/just-in-place delivery. Geofencing of restricted areas can alert workers when they enter hazardous zones or unauthorized areas, or in the case of an incident, help direct responders locate workers more quickly.</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Qorvo’s connectivity product portfolio includes Wi-Fi RF front end solutions, multi-protocol (BLE, Zigbee, Matter and Thread) system-on-a-chip ("SoC") solutions, UWB SoCs and UWB system-in-package ("SiP") solutions. Qorvo’s multi-protocol SoCs enable multiple radios to connect concurrently. The coexistence of multiple low-power wireless protocols in a SoC reduces form factor, extends battery life and helps advance the proliferation of IoT devices. Qorvo’s UWB SoC and SiP solutions, in combination with our broad ecosystem of hardware, software and solutions partners, enable precision location accuracy and security in use cases including secure home access, secure car access, indoor navigation and other applications.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 Wi-Fi, new standards and architectures, such as 802.11ax (Wi-Fi 6 and Wi-Fi 6E) and 802.11be (Wi-Fi 7), are enhancing performance, increasing range and capacity and enabling new use cases. The Wi-Fi 7 standard doubles the channel bandwidth and number of spatial streams compared to Wi-Fi 6E and uses multi-link operation to combine portions of the 5 GHz and 6 GHz bands into a single link, enabling faster speeds over longer distances. We have begun development for Wi-Fi 8 front end solutions in alignment with market leading chipset providers. As standards and architectures evolve, functional requirements increase and demand more highly integrated RF front end solutions. Qorvo’s Wi-Fi portfolio includes PAs, switches, LNAs and BAW filters, as well as solutions including FEMs and iFEMs featuring integrated filters.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Advanced Cellular Group</w:t>
      </w:r>
    </w:p>
    <w:p>
      <w:pPr>
        <w:spacing w:after="0" w:line="25"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4"/>
          <w:szCs w:val="14"/>
          <w:color w:val="auto"/>
        </w:rPr>
        <w:t>ACG primarily serves the mobile market, which is characterized by highly complex devices and large unit volumes of smartphones, wearables, laptops, tablets and other devices. Our portfolio includes highly integrated and functionally dense RF modules, envelope tracking ("ET") RF PMICs, antenna tuners, filters and switches. Our advanced cellular products leverage multiple manufacturing processes and packaging technologies, including highly differentiated Qorvo technologies.</w:t>
      </w:r>
    </w:p>
    <w:p>
      <w:pPr>
        <w:spacing w:after="0" w:line="16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Advances in mobile devices are transforming how end users around the world access content, interact with communities and transact commerce. The migration to 5G enables higher data throughput, lower signal latency and massive machine-type communication. 5G devices operate over a wide range of frequencies and face challenges related to efficiency, linearity, signal coexistence, signal integrity and form factor. 5G architectures are more complex and include Multiple-Input/Multiple-Output, higher frequencies with wider bandwidths and new paths featuring carrier aggregation.</w:t>
      </w:r>
    </w:p>
    <w:p>
      <w:pPr>
        <w:spacing w:after="0" w:line="157"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These challenges, along with increases in device functionality and complexity, are driving requirements for more advanced and more highly integrated system-level solutions that improve performance, enhance power efficiency and increase functional density.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invest in research and development ("R&amp;D") to develop advanced technologies and products to best serve our markets. Our R&amp;D activities support large competitive design win opportunities for major programs at key customers, which require best-in-class performance, size, cost and functional density. We also invest in R&amp;D to develop new products for broader market applications. Our R&amp;D efforts focus on innovation in fundamental areas including materials, software, semiconductor process technologies, simulation and modeling, systems architecture, circuit design, device packaging, module integration and test capabilities.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developed multiple generations of gallium arsenide ("GaAs"), gallium nitride ("GaN"), BAW and surface acoustic wave ("SAW") process technologies that we manufacture. We invest in these technologies to improve device performance, reduce die size and lower manufacturing costs. We also source technologies in cooperation with key suppliers, including GaAs; silicon on insulator ("SOI") for LNAs, switches and tuners; silicon germanium ("SiGe") for amplifiers and LNAs; complementary metal oxide semiconductor ("CMOS") for digital controllers; specialized CMOS for PMICs, SoC solutions, ET and average power tracking ("APT") power management, and power control in cellular modules; and MEMS technology for switches and tuners. We are leveraging AI and machine learning in areas including product design, and we are integrating AI and machine learning functionality through integrated software in products including PMICs and SoCs. We combine these technologies with proprietary design methods, IP and other expertise to improve performance, increase integration and reduce the size and cost of our products.</w:t>
      </w:r>
    </w:p>
    <w:p>
      <w:pPr>
        <w:spacing w:after="0" w:line="16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We develop and qualify advanced packaging technologies to reduce component size, improve performance and reduce package costs. We also invest in packaging R&amp;D internally, including at our advanced microwave module assembly facility in Richardson, Texas, and in cooperation with outsourced semiconductor assembly and test companies to support the performance, size and cost roadmap required by our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Raw Materials and Manufacturing</w:t>
      </w:r>
    </w:p>
    <w:p>
      <w:pPr>
        <w:spacing w:after="0" w:line="202"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We purchase numerous raw materials and parts, such as silicon, passive components and substrates for our manufacturing processes. In our GaN and GaAs manufacturing operations, we use several raw materials, including GaN on silicon carbide ("SiC") wafers and GaAs wafers. In our acoustic filter manufacturing operations, raw materials include silicon, lithium niobate and lithium tantalate.</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procurement and supply chain functions are centralized and serve all three operating segments. We procure our materials, parts and supplies from a large number of sources through established purchase contracts with suppliers or on a purchase order basis. We enter into supply agreements, for certain items, to address short-term and long-term supply requirements. We routinely qualify additional manufacturing sites and sources of supply to reduce the risk of supply interruptions or price increases, and we continuously monitor our suppliers’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4"/>
          <w:szCs w:val="14"/>
          <w:color w:val="auto"/>
        </w:rPr>
        <w:t>A substantial portion of our revenue comes from multi-chip modules utilizing multiple semiconductor and acoustic material processing technologies. These products have varying degrees of complexity and contain semiconductors and other components that are manufactured internally or sourced from outside supply chain partners. These individual components are combined and assembled into various, miniaturized packages and tested to ensure compliance with customer specifications.</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operate fabrication facilities for the production of BAW, GaAs, GaN and SAW wafers in North Carolina, Oregon and Texas. We also use multiple silicon-based process technologies, including SOI, SiGe and bulk CMOS, which are sourced from leading silicon foundries located throughout the world. We have a global supply chain and ship millions of units per day.</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have our own flip chip, wire bond and wafer-level packaging technologies that we can deploy in internal and external assembly and packaging facilities. In fiscal 2025, we used internal assembly facilities in Costa Rica, Germany and the U.S., and we also used external suppliers for these and other packaging technologies.</w:t>
      </w:r>
    </w:p>
    <w:p>
      <w:pPr>
        <w:spacing w:after="0" w:line="145"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4"/>
          <w:szCs w:val="14"/>
          <w:color w:val="auto"/>
        </w:rPr>
        <w:t>Manufacturing yields can vary significantly between products, based on a number of factors including product complexity, performance requirements and the maturity of our manufacturing processes. To maximize wafer yields and quality, we test products multiple times, maintain continuous reliability monitoring and conduct numerous quality control inspections throughout the production flow.</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internal manufacturing facilities require a high level of fixed costs, consisting primarily of occupancy costs, maintenance, repair, equipment depreciation and labor costs related to manufacturing and process engineering. We attempt to match our manufacturing capacity with the varying level of demand we anticipate from our customers to optimize our factory utilization and cost efficiency.</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manufacturing strategy is to internally produce only the most differentiated elements of our products, geographically align production with customers and suppliers, and leverage the scale, capabilities, and cost effectiveness of our outsourced partners. We continuously evaluate opportunities to enhance operational efficiencies and reduce capital intensity and product costs. In the first quarter of fiscal 2025, we completed the sale of our assembly and test operations in China to Luxshare Precision Industry Co., Ltd. ("Luxshare"), who is providing assembly and test services to us under a supply agreement. In the fourth quarter of fiscal 2025, we announced our intention to wind down our operations in Costa Rica, which is expected to be completed in early calendar year 2026, and we plan to further leverage the scale, capabilities and cost effectiveness of our outsourced partners.</w:t>
      </w:r>
    </w:p>
    <w:p>
      <w:pPr>
        <w:spacing w:after="0" w:line="16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Semiconductor fabrication requires highly controlled and clean environments. Die on a wafer can be found to be nonfunctional or wafers can be rejected due to a number of reasons, including minute impurities, variances in the fabrication process or defects in the masks used to transfer circuit patterns onto the wafers.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manufacturing facilities worldwide are certified to the International Organization for Standardization ("ISO") 9001 quality standard and select locations are certified to additional automotive (IATF 16949), aerospace (AS 9100) and environmental (ISO 14001) standards. These stringent standards are audited and certified by third-party auditors in addition to our ongoing internal 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("EMS"). We require that all of our key vendors and suppliers be compliant with applicable standards.</w:t>
      </w:r>
    </w:p>
    <w:p>
      <w:pPr>
        <w:spacing w:after="0" w:line="16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Qorvo's Richardson, Texas manufacturing facility is a U.S. DoD Category 1A "Trusted Source" foundry. This accreditation encompasses design, wafer fabrication, post-processing, packaging, assembly, and testing services. Qorvo offers an extensive portfolio of GaN and GaAs foundry processes.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design, develop, manufacture and market our products and solutions for leading U.S. and international OEMs and original design manufacturers ("ODMs"). We also collaborate with leading reference design partners and provide foundry services to defense primes and other D&amp;A customers.</w:t>
      </w:r>
    </w:p>
    <w:p>
      <w:pPr>
        <w:spacing w:after="0" w:line="1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provide products to our largest end customer, Apple Inc. ("Apple"), through sales to multiple contract manufacturers, which in the aggregate accounted for 47% and 46% of total revenue in fiscal years 2025 and 2024, respectively. Samsung Electronics Co., Ltd. ("Samsung") accounted for 10% and 12% of total revenue in fiscal years 2025 and 2024, respectively. These customers primarily purchase RF solutions for a variety of mobile devices.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We sell our products worldwide both directly to customers and through a network of U.S. and foreign sales representative firms and distributors. We select our sales representative firms and distributors based on a variety of factors, including market coverage, sales expertise, technical capability and support and logistics capability. We provide ongoing educational training about our products to our internal and external sales representatives and distributors.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16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Our website contains extensive product information where customers can learn about our products, download product information, order products and samples and request evaluation boards. Qorvo also provides its customers with the use of a proprietary simulator (QSPICE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for analog and mixed signal systems, which gives circuit designers the ability to more efficiently model and evaluate their designs.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provide them with strong technical support to enhance the customer experience and anticipate future product needs.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Seasonality</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Our sales are the result of standard purchase orders or specific agreements with customers. Our revenue fluctuates based on consumer demand for devices as well as the timing of customer device launches and large defense programs. Other factors such as macroeconomic effects and the timing of the next generation of technologies can also impact the fluctuations in demand.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operate in a competitive industry generally characterized by rapid advances in technology and new product introductions. Our customers’ product life cycles can be short, especially in mobile devices,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including technical support, and in some cases our ability to design customized products that address certain customer’s specific requirements. The selection process for our products is highly competitive and our customers provide no guarantees that our products will be included in the next generation of products introduced.</w:t>
      </w:r>
    </w:p>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HPA competes primarily with Analog Devices, Inc.; MACOM Technology Solutions Holdings, Inc.; Monolithic Power Systems, Inc.; NXP Semiconductors N.V.; Scientific Components Corporation (d/b/a Mini-Circuits); Silergy Corp; and Texas Instruments, Inc. CSG competes primarily with Broadcom Inc.; Murata Manufacturing Co., Ltd.; Nordic Semiconductor; NXP Semiconductors N.V.; Qualcomm Technologies, Inc.; RichWave Technology Corporation; Silicon Laboratories Inc.; Skyworks Solutions, Inc; and Vanchip (Tianjin) Technology Co., Ltd. ACG</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competes primarily with Broadcom Inc.; Maxscend Microelectronics Co., Ltd.; Murata Manufacturing Co., Ltd.; Qualcomm Technologies, Inc.; Skyworks Solutions, Inc.; and Vanchip (Tianjin) Technology Co., Ltd.</w:t>
      </w:r>
    </w:p>
    <w:p>
      <w:pPr>
        <w:spacing w:after="0" w:line="14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Many of our current and potential competitors have strong market positions and customer relationships, established patents and other IP and substantial technological capabilities. In some cases, our competitors are also our customers or suppliers. Additionally, many of our competitors have significant financial, technical, manufacturing and marketing resources which may allow them to more quickly implement new technologies and develop new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IP (including patents, copyrights, trademarks and trade secrets) is important to our business and we actively seek opportunities to leverage our IP portfolio to promote our business interests. We also actively monitor and protect our global IP rights to deter unauthorized use of our IP and other assets. These efforts can be difficult because of the absence of consistent international standards and laws. In addition, the laws of some foreign countries do not protect IP rights to the same extent as U.S. laws. We respect the IP rights of others and have implemented policies and procedures to mitigate the risk of infringing or misappropriating third-party IP.</w:t>
      </w:r>
    </w:p>
    <w:p>
      <w:pPr>
        <w:spacing w:after="0" w:line="16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Patent applications are filed within the U.S. and in other strategic countries where we have a market presence. On occasion, some applications do not mature into patents for various reasons including rejections based on prior art. We have approximately 2,500 patents that have expiration dates between 2025 and 2043. We also continue to acquire patents through acquisitions or direct prosecution efforts and engage in licensing transactions to secure the right to use third-parties’ patents. In view of our rapid innovation and product development and the comparative pace of governments’ patenting processes, there is no guarantee that patented technology for our products and services will not be obsolete before the related patents expire or are granted. However, we believe the duration and scope of our most relevant patents are sufficient to support our business, which as a whole is not significantly dependent on any particular patent or other IP right. As we expand our products and offerings, we also seek to expand our patent prosecution efforts to cover such products.</w:t>
      </w:r>
    </w:p>
    <w:p>
      <w:pPr>
        <w:spacing w:after="0" w:line="167"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4"/>
          <w:szCs w:val="14"/>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Human Capital</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believe that our employees are our greatest assets, and we must continue to attract, develop, retain and motivate our employees to remain competitive and execute our business strategy. We strive to meet these objectives by offering competitive pay and benefits in a diverse, inclusive and safe workplace and by providing opportunities for our employees to grow and develop their careers.</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March 29, 2025, we employed approximately 6,200 full and part-time employees in 23 countries. By region, approximately 78% of our total employees were in the Americas, 11% were in Asia and 11% were in Europe. Engineering or technician roles comprise approximately 64% of our global workforce.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Competitive Pay and Benefits</w:t>
      </w:r>
    </w:p>
    <w:p>
      <w:pPr>
        <w:spacing w:after="0" w:line="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We use a combination of compensation and other programs (which vary by region and salary grade) to attract, develop, motivate and retain our employees, including semiannual performance bonuses, stock awards, an employee stock purchase plan, retirement programs, health savings and flexible spending accounts, paid time off, family leave, family care resources, flexible work schedules, employee assistance programs, tuition assistance, health and wellness benefits and programs and on-site fitness centers. We routinely benchmark our compensation and benefits packages to ensure we remain competitive with our peers and continue to attract and retain talent throughout our organization.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Recruitment, Retention and Development</w:t>
      </w:r>
    </w:p>
    <w:p>
      <w:pPr>
        <w:spacing w:after="0" w:line="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are committed to equal opportunity in recruiting, hiring, retaining, promoting and engaging a highly skilled workforce to best serve our global customers. We have established relationships with professional associations and industry groups to proactively attract talent and we partner with universities for our internship program that focus on technologies that support our roadmaps. We believe that our internship program and university partnerships contribute to developing the next generation of talent, including engineers in our industry, and provide a pipeline of recent college graduates into our talent pool.</w:t>
      </w:r>
    </w:p>
    <w:p>
      <w:pPr>
        <w:spacing w:after="0" w:line="16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high-performance culture is supported by a process of goal setting, continuous feedback and coaching, all geared towards fostering skill and competency growth. Complementing these efforts are a variety of talent and leadership development programs tailored to address the needs of employees across all organizational levels. Additionally, our educational assistance program, which enables employees to pursue their career aspirations, also enhances their professional capabilities and further contributes to our organizational success.</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our competitive compensation and benefits programs, along with career growth, development and internal mobility opportunities promote longer employee tenure and reduce turnover. We regularly monitor voluntary employee turnover, as our success depends upon retaining highly trained personnel with the technical skills necessary to execute our business objectives. Our global attrition rate has consistently been below the technology industry average.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Engagement</w:t>
      </w:r>
    </w:p>
    <w:p>
      <w:pPr>
        <w:spacing w:after="0" w:line="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Qorvo is dedicated to fostering a connected and thriving workforce. To assess and improve employee engagement, we conduct a biannual global engagement survey, which is administered by a third party to ensure confidentiality. We are committed to actively listening to our employees and solicit feedback on a variety of factors including strategy, culture, execution, inclusion, work environment, growth and development, collaboration and engagement. The results are reviewed by senior management, who analyze areas of progress or opportunities for improvement and work with their teams to develop targeted action plans.</w:t>
      </w:r>
    </w:p>
    <w:p>
      <w:pPr>
        <w:spacing w:after="0" w:line="16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Employee-driven groups, called Qorvo Employee Networks, are open to all of our employees and provide platforms to connect based on shared interests, fostering both professional and personal growth. Through our Qorvo Cares program, we sponsor a diverse array of employee events to further engage our workforce, facilitating connections and cultivating an enjoyable work environment. Moreover, our community engagement initiatives empower employees to make a tangible difference in their neighborhoods, working alongside their colleagues. Through these efforts, we are dedicated to nurturing a culture of engagement and collective impact within our organization.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Safety, Health and Wellness</w:t>
      </w:r>
    </w:p>
    <w:p>
      <w:pPr>
        <w:spacing w:after="0" w:line="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We are a member of the Responsible Business Alliance (the "RBA"), an industry coalition dedicated to driving sustainable value for workers in global supply chains, among other things. As a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In addition, Qorvo is committed to complying with applicable laws and regulations of the countries in which we operate and supporting ethical labor practices that do not infringe on human rights.</w:t>
      </w:r>
    </w:p>
    <w:p>
      <w:pPr>
        <w:spacing w:after="0" w:line="16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prioritize safe working conditions for our employees as well as our on-site contractors and visitors. We are committed to an injury-free workplace and provide dedicated workplace training and leadership support to reduce or eliminate health and safety risks. Our site-specific health and safety teams are critical in fostering a positive safety culture and our recordable injury rate has consistently been below the semiconductor industry average. Team members utilize our online near miss and hazard reporting system, a system critical to prevent worker injury.</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success of our business is fundamentally connected to the well-being of our employees. We provide our employees with work arrangements that support flexibility while maintaining our strong culture of innovation, collaboration and camaraderie. We provide our employees and their families access to a variety of health and wellness programs that support their physical and mental health. These programs provide tools and resources, such as health coaches and wellness incentives, that emphasize preventive care, encourage healthy behaviors and are designed to help cultivate a productive work environment while also focusing on the well-being of our employees.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Regulations</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We are subject to a variety of extensive and changing domestic and international federal, state and local governmental laws, regulations and ordinances related to the discharge of pollutants into the environment; the treatment, transport and disposal of hazardous waste; recycling and product packaging; worker health and safety; and other activities affecting the environment, our workforce and the management of our manufacturing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continuously improve the environmental aspects of our manufacturing processes and are dedicated to:</w:t>
      </w:r>
    </w:p>
    <w:p>
      <w:pPr>
        <w:spacing w:after="0" w:line="200"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a safe and healthy work environment for our employees;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regulatory and other requirements;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natural resources, energy and materials efficiently;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ways to substitute sustainable resources in place of non-renewable resources;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reusing or recycling materials wherever technically possible and economically reasonable;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minimizing waste and disposing of waste safely and responsibly;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raw material responsibly;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specific measures to prevent and minimize hazards to humans and the environment including pollution prevention.</w:t>
      </w:r>
    </w:p>
    <w:p>
      <w:pPr>
        <w:spacing w:after="0" w:line="2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We believe that our operations and facilities comply in all material respects with applicable environmental laws and worker health and safety laws, and our efforts help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 We are an ISO 14001:2015 certified manufacturer with a comprehensive EMS in place to help ensure control of the environmental aspects and impacts of the manufacturing process. Our EMS mandates compliance, continuous improvement and establishes appropriate checks and balances to minimize the potential for non-compliance with environmental laws and regulations.</w:t>
      </w:r>
    </w:p>
    <w:p>
      <w:pPr>
        <w:spacing w:after="0" w:line="16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We are also subject to import/export controls, tariffs and other trade-related regulations and restrictions in countries in which we have operations or otherwise do business. These controls, tariffs, regulations and restrictions (including those related to, or affected by, U.S./China relations, as discussed below in Item 1A, "Risk Factors") may have a material impact on our business, including our ability to sell products and to manufacture or source components.</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Government regulations are subject to change and accordingly we are unable to assess the possible effect of compliance with future requirements or whether our compliance with such regulations will materially impact our business, results of operations or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 Information</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We make available, free of charge through our website (https://www.qorvo.com), our annual and quarterly reports on Forms 10-K and 10-Q (including exhibits and related filings in iXBRL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U.S. Securities and Exchange Commission (the "SEC"). The SEC maintains a website at https://www.sec.gov that contains reports, proxy and information statements and other information regarding issuers that file electronically with the SEC. The public may also request a copy of our forms filed with the SEC, without charge upon written request, directed 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Relations Department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Qorvo,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7628 Thorndike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Greensboro, NC 27409-9421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accessible through our website is not incorporated by reference or considered to be a part of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and adversely impacted by any of these risks. The risks and uncertainties described below are not the only ones we face. Additional risks not currently known to us, or other factors not perceived by us to present material risks to our business at this time, may impair our business operations, financial condition, 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principal risks that could adversely affect our business, financial condition or results of operations.</w:t>
      </w:r>
    </w:p>
    <w:p>
      <w:pPr>
        <w:spacing w:after="0" w:line="200" w:lineRule="exact"/>
        <w:rPr>
          <w:sz w:val="20"/>
          <w:szCs w:val="20"/>
          <w:color w:val="auto"/>
        </w:rPr>
      </w:pPr>
    </w:p>
    <w:p>
      <w:pPr>
        <w:ind w:left="520" w:right="2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fluctuate and are substantially dependent on developing new products and achieving design wins as our customers' requirements can change rapidly and product life cycles can be short.</w:t>
      </w:r>
    </w:p>
    <w:p>
      <w:pPr>
        <w:spacing w:after="0" w:line="145"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several large customers for a substantial portion of our revenue and the loss of a large customer or loss of share at one or more of these customers could have a material adverse effect on our business, financial condition and results of operations.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of a loss of revenue if contracts with the U.S. government or D&amp;A contractors are canceled or delayed or if defense spending is reduced.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heavily on third parties.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related to sales through distributors.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associated with the operation of our manufacturing facilities, and if we experience poor manufacturing yields, our operating results may suffer.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inventory risks and costs because we purchase materials and build our products based on forecasts provided by customers before receiving purchase orders for the products.</w:t>
      </w:r>
    </w:p>
    <w:p>
      <w:pPr>
        <w:spacing w:after="0" w:line="199"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sell certain of our products based on reference designs of chipset suppliers, and our inability to effectively manage or maintain relationships with these companies may have an adverse effect on our business.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Fluctuating demand could cause us to underutilize our manufacturing facilities and have a material adverse effect on our financial performance.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acquisitions and other strategic investments could fail to achieve our financial or strategic objectives, disrupt our ongoing business and adversely impact our results of operations.</w:t>
      </w:r>
    </w:p>
    <w:p>
      <w:pPr>
        <w:spacing w:after="0" w:line="199"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effectively execute on restructuring initiatives, which could result in total costs that are greater than expected and cause us not to achieve the expected long-term operational benefits.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attract, retain, and motivate key employees in order to compete, and our failure to do so could harm our business and our results of operations.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favorable tax status of our subsidiaries in Costa Rica and Singapore would have an adverse impact on our operating results.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from international sales and operations.</w:t>
      </w:r>
    </w:p>
    <w:p>
      <w:pPr>
        <w:spacing w:after="0" w:line="19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trade policies, including the imposition of tariffs and export restrictions, have limited and could continue to limit our ability to sell or provide our products to certain customers.</w:t>
      </w:r>
    </w:p>
    <w:p>
      <w:pPr>
        <w:spacing w:after="0" w:line="145"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IP portfolio and may not be able to successfully protect against the use of our IP by third parties, and we may be subject to claims of infringement of third-party IP rights.</w:t>
      </w:r>
    </w:p>
    <w:p>
      <w:pPr>
        <w:spacing w:after="0" w:line="199"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and other disruptions to our IT systems, or other misappropriation of proprietary information, could expose us to liability or disrupt our ability to operate critical business functions, which would cause our business and reputation to suffer.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more complete discussion of the material risks facing our business, see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operating results fluctuate on a quarterly and annual basis.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revenue, earnings, margins and other operating results have fluctuated significantly in the past and may fluctuate significantly in the future. Historically, worldwide semiconductor industry sales have tracked the impacts of financial crises, subsequent recoveries and persistent economic uncertainty. Global economic slowdowns could potentially result in certain economies dipping into economic recessions, including the U.S. If demand for our products fluctuates as a result of economic conditions or for other reasons, our revenue and profitability could be impacted. Our future operating results will depend on many factors, including the following:</w:t>
      </w:r>
    </w:p>
    <w:p>
      <w:pPr>
        <w:spacing w:after="0" w:line="162" w:lineRule="exact"/>
        <w:rPr>
          <w:sz w:val="20"/>
          <w:szCs w:val="20"/>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and macroeconomic changes, including trade restrictions and tariffs, foreign governments subsidizing local suppliers, recession or slowing growth in the semiconductor industry and the overall global economy;</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and/or civil unrest, acts of war or other military actions, including any resulting sanctions or other restrictive actions;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inflationary pressures, which vary across jurisdictions in which we do business, resulting in increased costs or reduced demand for our products due to increased prices of those products;</w:t>
      </w:r>
    </w:p>
    <w:p>
      <w:pPr>
        <w:spacing w:after="0" w:line="199"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confidence caused by many factors, including changes in interest rates, credit markets, unemployment levels, energy or other commodity prices as well as changes in existing and expected rates of inflation;</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demand for our customers’ products;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our customers’ demand for our products accurately;</w:t>
      </w:r>
    </w:p>
    <w:p>
      <w:pPr>
        <w:spacing w:after="0" w:line="199"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third-party foundries and other third-party suppliers to manufacture, assemble and test our products and otherwise deliver on their commitments to us in a timely and cost-effective manner;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and distributors’ ability to manage the inventory that they hold and to accurately forecast their demand for our products;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widespread deployment and commercialization of new technologies;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cost savings and improve yields and margins on our new and existing products;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integrate into our business, and realize the expected benefits of, our acquisitions and strategic investments;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disaggregate and divest elements of our business and realize the expected benefits of doing so; and</w:t>
      </w:r>
    </w:p>
    <w:p>
      <w:pPr>
        <w:spacing w:after="0" w:line="199"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align production capacity to customer demand, which may lead to underutilization of our capacity in periods of lower demand or the lack of capacity in periods of excess demand.</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Our operating results have been and our future operating results could be adversely affected by one or more of the factors set forth above or other similar factors. If our future operating results or forecasts are below the expectations of stock market analysts or our investors, our stock price may decline.</w:t>
      </w:r>
    </w:p>
    <w:p>
      <w:pPr>
        <w:spacing w:after="0" w:line="143"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are substantially dependent on developing new products and achieving design wins while our customers' requirements can change rapidly and product life cycles can be short.</w:t>
      </w:r>
    </w:p>
    <w:p>
      <w:pPr>
        <w:spacing w:after="0" w:line="14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largest markets are characterized by the frequent introduction of new products in response to evolving product requirements. Our largest customers typically refresh some or all of their product portfolios by releasing new models each year. In some cases, product designs we pursue represent either opportunities to substantially increase our revenue by winning a new design or a risk of a substantial decrease in revenue by losing a product on which we are the incumbent.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success depends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Our successful product development depends on a number of factors, including the following:</w:t>
      </w:r>
    </w:p>
    <w:p>
      <w:pPr>
        <w:spacing w:after="0" w:line="157"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predict market requirements and define and design new products that address those requirements;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design products that meet our customers’ cost, size and performance requirements;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introduce new products that are competitive and can be manufactured at lower costs or that command higher prices based on superior performance;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new product designs;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qualified product design engineers;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timely completion of product designs and ramp up of new products according to our customers’ needs with acceptable manufacturing yields;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customers’ products and the duration of the life cycle of such products.</w:t>
      </w:r>
    </w:p>
    <w:p>
      <w:pPr>
        <w:spacing w:after="0" w:line="2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performance. If we are unsuccessful in achieving design wins, our revenue and operating results will be adversely affected. Even when a design win is achieved, our success is not assured. Design wins may require significant expenditures by us before realizing revenue six to nine months or more later. Many customers</w:t>
      </w: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spacing w:after="0" w:line="15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depend on several large customers for a substantial portion of our revenue and the loss of a large customer or loss of share at one or more of these customers could have a material adverse effect on our business, financial condition and results of operations.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 substantial portion of our revenue comes from several large customers. Our future operating results will be affected by both the success of our largest customers and our success in diversifying our products and customer base. Collectively, our two largest end customers accounted for an aggregate of approximately 57%, 58% and 49% of our revenue for fiscal years 2025, 2024 and 2023, respectively. If demand for their products increases, they may increase the purchases of our products and our results may be favorably impacted, while if demand for their products decreases, they may reduce their purchases of, or stop purchasing our products and our operating results would suffer. Even if we achieve a design win, our customers can delay or cancel the release of a new device for any reason. Most of our customers can cease incorporating our products into their devices with little notice to us and with little or no penalty. The loss of a large customer or loss of share at a large customer, failure to add new customers to replace lost revenue, a shift in consumer demand to refurbished or secondhand devices, or a decline in consumers' rates of replacement of smartphones or other devices,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of a loss of revenue if contracts with the U.S. government or D&amp;A contractors are canceled or delayed or if defense spending is reduced.</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receive a portion of our revenue from the U.S. government and from prime contractors on U.S. government-sponsored programs, principally for D&amp;A applications. These programs are subject to delays or cancellation. Further, spending on D&amp;A programs can vary significantly depending on funding from the U.S. government. We believe our government and D&amp;A business has been negatively affected in the past by external factors such as sequestration and political pressure to reduce federal defense spending. Reductions in D&amp;A funding or the loss of a significant D&amp;A program or contract could have a material adverse effect on our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heavily on third parties.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purchase numerous component parts, substrates and silicon-based products from external suppliers. We also utilize third-party suppliers for numerous services, including die processing, wafer bumping, assembly, test and tape and reel. In the third quarter of fiscal 2024, we entered into a definitive agreement with Luxshare to divest our assembly and test operations in China. In connection with this transaction, which was completed on May 2, 2024, Luxshare is providing assembly and test services to us under a supply agreement.</w:t>
      </w:r>
    </w:p>
    <w:p>
      <w:pPr>
        <w:spacing w:after="0" w:line="15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use of external suppliers involves a number of risks, including the possibility of material disruptions in the supply of key components and the lack of control over delivery schedules, capacity constraints, manufacturing yields, product quality and cost increases. Furthermore, supply chain disruptions and labor market constraints have created heightened risk that external suppliers may be unable to meet their obligations to us. If we experience any significant difficulty in obtaining the materials or services used in the conduct of our business, these supply challenges may limit our ability to fully satisfy customer demand.</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As the semiconductor industry may experience supply constraints for certain items, from time to time, we enter into certain supply agreements to address short-term and long-term supply requirements. However, even with supply agreements, we are still subject to risks that a supplier will be unable to meet its supply commitments, achieve anticipated manufacturing yields, produce wafers or other components on a timely basis, or provide additional capacity beyond contractual commitments sufficient to meet our supply needs. If so, we may experience delays in product launches or supply shortages for certain products, which could cause an unanticipated decline in our sales and damage our existing customer relationships and our ability to establish new customer relationships. In addition, if a supplier experiences financial difficulties or goes into bankruptcy, it could be difficult or impossible, or may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require substantial time and expense, for us to recover any or all of our fees and deposits made as part of any supply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Although our key suppliers commit to us to be compliant with applicable ISO 9001 and/or TS-16949 quality standards, we have experienced quality and reliability issues with suppliers in the past.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Quality or reliability issues in our supply chain could negatively affect our products, our reputation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sales through distributors.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sell a significant portion of our products through third-party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incentivize the distributors to focus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the operation of our manufacturing facilities.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operate wafer fabrication facilities in North Carolina, Oregon and Texas. We use several international and domestic assembly suppliers, as well as internal assembly facilities in Costa Rica, Germany and the U.S., to assemble and test our products. We currently have our own test and tape and reel facilities located in Costa Rica and the U.S., and we also utilize contract suppliers and partners in Asia. In the fourth quarter of fiscal 2025, we announced our intention to wind down our operations in Costa Rica, which is expected to be completed in early calendar year 2026, and we plan to further leverage the scale, capabilities and cost effectiveness of our outsourced partners.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number of factors related to our facilities will affect our business and financial results, including the following:</w:t>
      </w:r>
    </w:p>
    <w:p>
      <w:pPr>
        <w:spacing w:after="0" w:line="200"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adjust production capacity in a timely fashion, including the migration of production amongst our various factories, in response to changes in demand for our products;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fixed costs of operating the facilities;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factory utilization rates;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qualify our facilities for new products and new technologies in a timely manner;</w:t>
      </w:r>
    </w:p>
    <w:p>
      <w:pPr>
        <w:spacing w:after="0" w:line="19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raw materials, the impact of the volatility of commodity pricing and tariffs imposed on raw materials, including substrates, gold, platinum and high-purity source materials such as gallium, aluminum, arsenic, indium, silicon, phosphorous and palladium;</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manufacturing cycle times;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manufacturing yields;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political, regulatory and economic risks associated with our international manufacturing operations;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violations by our employees or third-party agents of international or U.S. laws relevant to foreign operations;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train and manage qualified production personnel;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compliance with applicable environmental and other laws and regulations, as well as our ability to satisfy our customers' environmental initiatives for their supply chains;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prolonged periods of down-time in our facilities for any reason.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disruptions could harm our business, lead to a decline in revenue and increase our costs.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worldwide operations and business could be, and in some cases have been, disrupted by natural disasters, industrial accidents, cybersecurity incidents, telecommunications failures, power or water shortages, extreme weather conditions, public health issues (including pandemics such as COVID-19), terrorist attacks, political and/or civil unrest, acts of war or other military actions, political or regulatory issues and other man-made disasters or catastrophic events. Global climate change could result in certain natural disasters, such as drought, wildfires, storms and flooding, occurring more frequently or with greater intensity.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or suppliers cannot timely resume their own operations due to a business disruption, natural disaster or catastrophic event, customers may reduce or cancel their orders and suppliers may delay manufacturing and delivery of our products, which may adversely affect our results of operations.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experience poor manufacturing yields, our operating results may suffer.</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Our products have unique designs and are fabricated using multiple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 Furthermore, as our customers test our products once assembled into their products, we may be exposed to additional quality issues and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usable products that result from our production process can fluctuate as a result of many factors, including:</w:t>
      </w:r>
    </w:p>
    <w:p>
      <w:pPr>
        <w:spacing w:after="0" w:line="200"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errors;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photomasks (which are used to print circuits on a wafer);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minute impurities and variations in materials used;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contamination of the manufacturing environment;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failure or variations in manufacturing processes;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arising from human error;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substrates and packaging.</w:t>
      </w:r>
    </w:p>
    <w:p>
      <w:pPr>
        <w:spacing w:after="0" w:line="20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 Costs of product defects and deviations from required specifications can include the following:</w:t>
      </w:r>
    </w:p>
    <w:p>
      <w:pPr>
        <w:spacing w:after="0" w:line="145"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writing off inventory;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scrapping products that cannot be reworked;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accepting returns of products that have been shipped;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product replacements at no charge;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of direct and indirect costs incurred by our customers in recalling or reworking their products due to defects in our products;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 and personnel costs to investigate potential product quality issues and to identify or confirm the failure mechanism or root cause of product defects;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defending against litigation.</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These costs could be significant and could impact our results of operations. Our reputation with customers also could be damaged as a result of product defects and quality issues, and product demand could be reduced, which could harm our business and financial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inventory risks and costs because we purchase materials and build our products based on forecasts provided by customers before receiving purchase orders for the products.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 order to ensure availability of our products for some of our largest end customers, we purchase materials and start manufacturing certain products in advance of receiving purchase orders based on forecasts provided by these customers. These forecasts, however, do not represent binding purchase commitments and we do not recognize sales for these products until they are shipped to, or consumed by, the customer. As a result, we incur significant inventory and manufacturing costs in advance of anticipated sales. In addition, a divestment of individual manufacturing locations or the transfer of a production line from one internal facility to another internal or third-party facility may lead to supply chain disruptions while qualifying a new manufacturing site. In anticipation of such disruptions, we may establish buffer inventory to accommodate our customers’ anticipated demand, which may not materialize.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w:t>
      </w:r>
    </w:p>
    <w:p>
      <w:pPr>
        <w:spacing w:after="0" w:line="17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In fiscal 2022, amidst industry-wide supply constraints, we entered into a long-term capacity reservation agreement with a foundry supplier to purchase a certain number of silicon wafers for each year over a term of five years. In periods subsequent to fiscal 2022, we experienced unexpectedly weakened demand for 5G handsets in China and EMEA resulting, in part, from measures taken in China to control the COVID-19 pandemic, and the war in Ukraine. As a result, the minimum purchase commitments in the agreement exceeded our forecasted demand and we recorded total charges of $181.0 million to "Cost of goods sold" over the course of fiscal 2023 based on the actual and estimated purchase shortfalls. During fiscal 2024, the agreement was terminated effective December 31, 2023, and we are no longer obligated to order silicon wafers from the foundry supplier. Total charges of $38.4 million were recorded to "Cost of goods sold" in fiscal 2024, primarily due to a contract termination fee. Future circumstances may warrant us to enter into similar agreements, and to the extent management's estimates of anticipated future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demand are incorrect, we may incur charges which would have a negative impact on our gross margin and other operating results.</w:t>
      </w:r>
    </w:p>
    <w:p>
      <w:pPr>
        <w:spacing w:after="0" w:line="198"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sell certain of our products based on reference designs of chipset suppliers, and our inability to effectively manage or maintain our relationships with these companies may have an adverse effect on our business.</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Chipset suppliers are typically large companies that provide system reference designs for OEMs and ODMs that include the chipset supplier's baseband and other complementary products. A chipset supplier may own or control IP that gives it a strong market position for its baseband products for certain air interface standards, which provides it with significant influence and control over sales of RF products for these standards. Chipset suppliers historically relied on us and our competitors to provide RF products to their customers as part of the overall system design, and we competed with other RF companies to have our products included in the chipset supplier's system reference design. This market dynamic has evolved as chipset suppliers have worked to develop more fully integrated solutions that include their own RF technologies and components.</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Chipset suppliers may be in a different business from ours or we may be their customer or direct competitor. Accordingly, we must balance our interest in obtaining new business with competitive and other factors. Because chipset suppliers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 however, there can be no assurance that we will be successful in securing the design of our products in OEM and ODM devices.</w:t>
      </w:r>
    </w:p>
    <w:p>
      <w:pPr>
        <w:spacing w:after="0" w:line="16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Our relationships with chipset suppliers are complex, and the inability to effectively manage or maintain these relationships could have an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very competitive industry and must continue to innovate.</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compete with companies primarily engaged in the business of designing, manufacturing and selling RF solutions, as well as suppliers of discrete ICs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 For example, due to lower profitability from increased competition, our decision in fiscal 2025 to reduce our exposure in the mass-market Android business to focus on more profitable revenue streams has impacted, and we expect will continue to impact, our revenue.</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Many of our existing and potential competitors have entrenched market positions, historical affiliations with OEMs, considerable internal manufacturing capacity, established IP rights and substantial technological capabilities. In addition, the increasing use of machine learning and AI to meet evolving industry requirements comes with inherent risks, including timely adoption and incorporation of these technologies into our business strategy to stay competitive.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Fluctuating demand could cause us to underutilize our manufacturing facilities and have a material adverse effect on our financial performance.</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It is difficult to predict future demand for our products and to estimate future requirements for production capacity in order to avoid periods of overcapacity. Fluctuations in the growth rate of industry capacity relative to the growth rate in demand for our products also can lead to overcapacity and contribute to cyclicality in the semiconductor market.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 many of our manufacturing costs are fixed, these costs cannot be reduced in proportion to the reduced revenue experienced during periods of underutilization. Global macroeconomic conditions could create weakness in demand, which may result in elevated inventory levels at our customers, underutilization of our manufacturing facilities and higher inventory costs, which adversely affects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 To the extent management's estimates of anticipated future demand or production capacity are incorrect, our manufacturing facilities may be underutilized, which could have a material adverse effect on our financial performance.</w:t>
      </w:r>
    </w:p>
    <w:p>
      <w:pPr>
        <w:spacing w:after="0" w:line="16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Unfavorable changes in interest rates, pricing of certain precious metals, utility rates and foreign currency exchange rates may adversely affect our financial condition, liquidity and results of operations.</w:t>
      </w:r>
    </w:p>
    <w:p>
      <w:pPr>
        <w:spacing w:after="0" w:line="1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our hedging strategies will be effective in minimizing risk.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acquisitions and other strategic investments could fail to achieve our financial or strategic objectives, disrupt our ongoing business and adversely impact our results of operations.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 part of our business strategy, we expect to continue to review potential acquisitions and strategic investments. These opportunities can enhance our current product offerings, augment our market coverage or enhance our technical capabilities, or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spacing w:after="0" w:line="164" w:lineRule="exact"/>
        <w:rPr>
          <w:sz w:val="20"/>
          <w:szCs w:val="20"/>
          <w:color w:val="auto"/>
        </w:rPr>
      </w:pPr>
    </w:p>
    <w:p>
      <w:pPr>
        <w:ind w:left="520" w:right="34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complete a transaction in a timely manner, if at all, due to our inability to obtain required government or other approvals, IP disputes or other litigation, difficulty in obtaining financing on terms acceptable to us, or other unforeseen factors;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controls, processes and procedures of an acquired business may not adequately ensure compliance with laws and regulations, and we may fail to identify compliance issues or liabilities;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costs, capital expenditures or working capital requirements;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transaction-related charges and amortization of acquired technology and other intangibles;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key employees from a company we acquire or in which we invest;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our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our ongoing operations;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dis-synergies or other harm to existing business relationships with suppliers and customers;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or impairment of investments from unsuccessful R&amp;D by companies in which we invest;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acquired intangible assets, goodwill or other assets as a result of changing business conditions or technological advancements;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than expected market adoption or attach rates for any of our new technologies;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expected synergies, resulting in a failure to achieve the economic benefits of a transaction.</w:t>
      </w:r>
    </w:p>
    <w:p>
      <w:pPr>
        <w:spacing w:after="0" w:line="2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 failure to achieve the expected benefits of an acquisition may adversely affect our operating results, and the carrying amount of certain assets, including goodwill and intangible assets, may not be recoverable. We have in the past recorded, and may in the future be required to record, significant charges in our consolidated financial statements during the period in which any impairments are determined, negatively affecting our financial position and results of operations.</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Moreover, our resources are limited and our decision to pursue a transaction has opportunity costs; accordingly, if we pursue a particular transaction, we may need to forgo the prospect of entering into other transactions that could help us achieve our financial or strategic objectives. Any of these risks could have a material adverse effect on our business, results of operations, financial condition, or cash flows, particularly in the case of a large acquisition.</w:t>
      </w:r>
    </w:p>
    <w:p>
      <w:pPr>
        <w:spacing w:after="0" w:line="155" w:lineRule="exact"/>
        <w:rPr>
          <w:sz w:val="20"/>
          <w:szCs w:val="20"/>
          <w:color w:val="auto"/>
        </w:rPr>
      </w:pPr>
    </w:p>
    <w:p>
      <w:pPr>
        <w:ind w:right="6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effectively execute on restructuring initiatives, which could result in total costs that are greater than expected and cause us not to achieve the expected long-term operational benefits.</w:t>
      </w:r>
    </w:p>
    <w:p>
      <w:pPr>
        <w:spacing w:after="0" w:line="1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have from time to time implemented restructuring initiatives in the past and may continue to implement initiatives in the future that are aimed at reducing operating costs, streamlining our manufacturing footprint, and exiting certain product lines and businesses to focus on opportunities that align with our long-term profitability objectives. Because restructuring activities may involve changes to many aspects of our business, including but not limited to the location of our production facilities and personnel and the potential exit from certain product lines and businesses, our ability to successfully implement restructuring actions depends on a number of factors that we may not be able to predict. Risks associated with these actions include unexpected transition costs, disruption of our existing operations and productivity, diversion of management's attention, employee attrition beyond any planned changes in personnel and the inability to replace the loss of revenue associated with a divested business. The failure to successfully and timely realize the anticipated benefits of these restructuring actions could have a material adverse effect on our profitability, financial condition or results of operations. In addition, even if we fully execute and implement these actions, there may be other unforeseeable and unintended consequences that could materially adversely impact our profitability and business, including unintended employee attrition, harm to our competitive position or inability to effectively scale our business in response to shifting demand. To the extent that we do not achieve the profitability enhancement or other anticipated benefits of restructuring initiatives, our results of operations may be materially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must attract, retain, and motivate key employees in order to compete, and our failure to do so could harm our business and our results of operations.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We must hire and retain qualified employees, continue to develop leaders for key business units and functions, expand our presence in international locations, adapt to cultural norms of foreign locations and train and motivate our employee base in order to compete effectively. Labor is further subject to external factors that are beyond our control, including our industry's highly competitive market for skilled workers and leaders, cost inflation and workforce participation rates. Our future operating results and success depend on retaining and recruiting key R&amp;D and technical personnel, as well as sales and marketing and administrative support. We do not have employment agreements with the vast majority of our employees. We must also continue to attract qualified personnel. The competition for qualified personnel is intense, and the number of people with experience, particularly in design engineering, software engineering, integrated circuit and filter design, and technical marketing and support, is limited. In addition, existing or new immigration laws, policies or regulations in the U.S. may limit the pool of available talent. Difficulties obtaining visas and other restrictions on international travel could make it more onerous to effectively manage our international operations, operate as a global company or service our international customer base. Changes in the interpretation and application of employment-related laws to our workforce practices may also result in increased operating costs and less flexibility in how we meet our changing workforce needs. Further, any transition from flexible work arrangements to more stringent on-site work requirements may result in higher</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employee attrition and make it more difficult for us to compete in the job market. We cannot be sure that we will be able to attract and retain skilled personnel in the future, which could harm our business and our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warranty claims, product recalls and product liability.</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effective tax rate may adversely impact our results of operations and cash flow.</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are subject to taxation in China, Germany, Singapore, the U.S. and numerous other foreign jurisdictions. Our effective tax rate is subject to fluctuations and impacted by a number of factors, including the following:</w:t>
      </w:r>
    </w:p>
    <w:p>
      <w:pPr>
        <w:spacing w:after="0" w:line="145"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overall profitability and the amount of profit determined to be earned and taxed in jurisdictions with differing statutory tax rates;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operating structure, strategy and investment decisions;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resolution of issues arising from tax audits with various tax authorities, including those described in Note 13 of the Notes to Consolidated Financial Statements;</w:t>
      </w:r>
    </w:p>
    <w:p>
      <w:pPr>
        <w:spacing w:after="0" w:line="199"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either our gross deferred tax assets or gross deferred tax liabilities;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income taxes upon finalization of various tax returns;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expenses not deductible for tax purposes;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available tax credits;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domestic and foreign, or the interpretation of such tax laws and changes in generally accepted accounting principles.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significant increase in our future effective tax rates could reduce net income and cash flow for future periods.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enactment of international or domestic tax legislation, or changes in regulatory guidance, may adversely impact our results of operations and cash flow.</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are subject to taxation in the U.S. and numerous foreign jurisdictions worldwide. To the extent that tax laws and regulations in these various regions change, it could adversely impact our tax expense and liability.</w:t>
      </w:r>
    </w:p>
    <w:p>
      <w:pPr>
        <w:spacing w:after="0" w:line="14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Corporate tax reform, base-erosion efforts and increased tax transparency continue to be high priorities in many tax jurisdictions in which we have business operations. In 2017, the U.S. enacted comprehensive tax legislation, commonly referred to as the Tax Cuts and Jobs Act (the "TCJA"), which included a number of changes to U.S. tax</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laws that impacted us, including the one-time transition tax on certain unrepatriated earnings of foreign subsidiaries and the Global Intangible Low-Taxed Income ("GILTI") provisions, for which a 50% deduction is currently permitted subject to certain limitations. This deduction changes to 37.5% for tax years beginning after January 1, 2026. In addition, the TCJA requires the capitalization of research expenses previously deducted beginning in fiscal 2023, permitting the expenses to be deducted over a 5- or 15-year period. In August 2022, the U.S. enacted the Inflation Reduction Act ("IRA"), establishing a new book minimum tax of 15% on consolidated adjusted GAAP pre-tax earnings for corporations with average income in excess of $1 billion. Due to the complex nature of these changes in U.S. tax law and their corresponding calculations and estimates, as well as the continued changes in legal interpretations and guidance issued under these laws, our final tax liability may differ from our initial income tax provisions.</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addition, other countries in which we operate have implemented legislation and other guidance to align their international tax rules with the Organization for Economic Co-operation and Development’s Base Erosion and Profit Shifting recommendations and action plan, which aim to standardize and modernize global corporate tax policy, including changes to cross-border tax, transfer pricing documentation rules, nexus-based tax incentive practices, allocating greater taxing rights to countries where customers are located and establishing a minimum tax of 15% on global income. The impact of the global minimum tax regime (Pillar Two) was effective for us in fiscal 2025 with additional components becoming effective in fiscal 2026. We expect this legislation will result in an increase in our effective tax rate beginning in fiscal 2026, which could have a material adverse impact on our financial position, results of operations and cash flows.</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Future legislative changes, interpretations and guidance, and changes in prior tax rulings and decisions by tax authorities regarding treatments and positions of corporate income taxes resulting from these initiatives, could increase complexity and tax uncertainty, increase our effective tax rate and result in taxes we previously paid being subject to change, which may adversely impact our financial position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the favorable tax status of our subsidiaries in Costa Rica and Singapore would have an adverse impact on our operating results.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Our subsidiaries in Costa Rica and Singapore have been granted tax holidays that minimize our tax expense and are expected to be effective through December 2027 and December 2031, respectively, subject to meeting various conditions. In their efforts to deal with budget deficits, governments around the world are focusing on increasing tax revenue through increased audits and, potentially, increased tax rates for corporations. As part of this effort, governments continue to review their policies on granting tax holidays. Future changes in our tax holiday status could have a negative effect on our net income in future years. The overall benefit derived from our tax holidays could also be adversely impacted by the implementation of minimum tax regimes in countries in which we operate, including Singapore’s adoption of Pillar Two domestic minimum tax and primary top-up taxes beginning in fiscal 2026. We anticipate Pillar Two will have a dilutive impact on the benefits we currently recognize from our tax holidays in Singapore and Costa Rica.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social, environmental, health and safety regulations, including those related to climate change.</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are subject to a broad array of U.S. and foreign social, environmental, health and safety laws and regulations. Environmental laws and regulations include those related to the use, transportation, storage, handling, emission, discharge and recycling or disposal of hazardous materials used in our manufacturing, assembly and testing processes. Additional laws and regulations include those related to human rights and supply chain due diligence. Such laws and regulations, as well as the associated frameworks for reporting, vary greatly by jurisdiction in which we do business and are continually evolving. Our failure to comply with any of these existing or future laws or regulations could result in:</w:t>
      </w:r>
    </w:p>
    <w:p>
      <w:pPr>
        <w:spacing w:after="0" w:line="162"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penalties and fines;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liabilities, including financial responsibility for remedial measures if our properties are contaminated;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secure required permits and governmental approvals;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damage;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curtailment of our manufacturing, assembly and test processes; and</w:t>
      </w:r>
    </w:p>
    <w:p>
      <w:pPr>
        <w:spacing w:after="0" w:line="199"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to acquire pollution abatement or remediation equipment or to modify our equipment, facilities or manufacturing processes to bring them into compliance with applicable laws and regulations.</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Existing and future laws and regulations could also impact our product designs and limit or restrict the materials or components that are included in our products. In addition, many of our largest end customers require companies within their supply chain to comply with corporate social responsibility policies that exceed applicable legal requirements, and often include employment, human rights, health, safety, and environmental initiatives. Further, certain jurisdictions may require companies to disclose environmental and social policies, practices and metrics, on topics such as climate change, carbon emissions, water usage, waste management and human capital. Compliance with these policies increases our operating expenses, and non-compliance can adversely affect customer relationships and harm our business and the price of our common stock.</w:t>
      </w:r>
    </w:p>
    <w:p>
      <w:pPr>
        <w:spacing w:after="0" w:line="16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conflict-free.</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Finally, there is legislation globally which could require us to align programs to the expectations of investors, customers or other stakeholders and disclose an increasing amount of information and data to illustrate our position and progress. If we do not adapt our strategy or execution quickly enough to meet the evolving expectations of our investors, customers and regulators, or if our environmental or social metrics are incomplete or inaccurate, our business, financial condition, results of operations, brand and reputation could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International Sales and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from international sales and operations.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spacing w:after="0" w:line="145"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local economic, social and political conditions and uncertainty;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controls and currency exchange rate fluctuations;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as well as changes in existing and expected rates of inflation, which vary across the jurisdictions in which we do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formal or informal imposition of export, import or doing-business regulations, including trade sanctions, tariffs and other related restrictions;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market conditions and workers’ rights affecting our manufacturing operations or those of our customers or suppliers;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capital and securities and commodities trading markets;</w:t>
      </w:r>
    </w:p>
    <w:p>
      <w:pPr>
        <w:spacing w:after="0" w:line="199"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occurrences of geopolitical crises such as terrorist activity, armed conflict, civil or military unrest or political instability, or global hostilities such as the war in Ukraine and the ongoing conflict in the Middle</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East, may disrupt manufacturing, assembly, logistics, security and communications and result in reduced demand for our products;</w:t>
      </w:r>
    </w:p>
    <w:p>
      <w:pPr>
        <w:spacing w:after="0" w:line="200" w:lineRule="exact"/>
        <w:rPr>
          <w:sz w:val="20"/>
          <w:szCs w:val="20"/>
          <w:color w:val="auto"/>
        </w:rPr>
      </w:pPr>
    </w:p>
    <w:p>
      <w:pPr>
        <w:ind w:left="520" w:right="16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laws and regulations that differ among jurisdictions, including those covering taxes, IP ownership and infringement, imports and exports, anti-corruption and anti-bribery, antitrust and competition, cybersecurity, data privacy, and social, environment, health, and safety;</w:t>
      </w:r>
    </w:p>
    <w:p>
      <w:pPr>
        <w:spacing w:after="0" w:line="145"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markets for 5G or future technology infrastructure not developing in the manner or in the time periods we anticipate, including as a result of unfavorable developments with evolving laws and regulations worldwide; and</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pandemics and similar major health concerns, which could adversely affect our business and our customer order patterns.</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Sales to customers located outside the U.S. accounted for approximately 40% of our revenue in fiscal 2025, of which approximately 17% was attributable to sales to customers located in China. We expect revenue from international sales will continue to be a significant part of our total revenue. Any weakness in the Chinese economy, heightened tensions between the U.S. and China, China and Taiwan, or other countries,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customers in China may have a material adverse impact on our business, including our ability to sell products and to manufacture or source components and materials.</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Central America.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Renminbi and Singapore Dollar. If the U.S. dollar weakens compared to these and other currencies, our operating expenses for foreign operations will be higher when remeasured back into U.S. dollars.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regulation in China could adversely impact our business and results of operations.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For many years, the Chinese economy has experienced periods of rapid growth and wide fluctuations in the rate of inflation. In response to these factors, the Chinese government has, from time to time, adopted measures to regulate growth and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strengthen China-based competitors, decrease the demand for our products in China and reduce the supply of critical materials for our products, which could have a material adverse effect on our business and results of operations.</w:t>
      </w:r>
    </w:p>
    <w:p>
      <w:pPr>
        <w:spacing w:after="0" w:line="162"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export restrictions, have limited and could continue to limit our ability to sell or provide our products and other items to certain customers and suppliers, which may materially adversely affect our sales and results of operations.</w:t>
      </w:r>
    </w:p>
    <w:p>
      <w:pPr>
        <w:spacing w:after="0" w:line="14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Export restrictions and sanctions imposed by the U.S., United Kingdom, European Union, and other jurisdictions are complex and have intensified in recent years. Unless rescinded or exemptions apply, tariffs and any escalations in the global trade war could significantly harm our business, financial condition and results of operations.</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U.S. and foreign governments have taken and may continue to take administrative, legislative or regulatory action that could materially interfere with our ability to export, reexport, import and transfer products and other items to certain countries, particularly China. For example, the imposition of tariffs has resulted in higher duties owed on certain products that are imported from China to the U.S., and countermeasures from China could result in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increased costs for our products, which may, in turn lead to decreased demand for our products, and has the potential to adversely impact our business and operations.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Furthermore, we have experienced and may continue to experience restrictions on our ability to export, reexport, and transfer our products and other items to certain foreign customers and suppliers where governmental policy prohibits such activity or export licenses are required. The U.S. government has imposed export restrictions that effectively banned American companies from exporting, reexporting, and transferring products to certain of our customers, and imposed significant restrictions on the ability to obtain export licenses for our products. Such restrictions could have a continuing negative impact on our future revenue and results of operations. In addition, our customers or suppliers affected by U.S. government sanctions or threats of sanctions may respond by developing their own solutions to replace our products or by adopting our foreign competitors' solutions and products.</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cannot predict what further actions may ultimately be taken with respect to tariffs, which are increasing under the new U.S. administration, along with the potential for new export restrictions or other trade measures between the U.S. and other countries, what products or entities may be subject to such actions, or what reciprocation may be taken by other countries in response to these U.S. actions. However, the tariffs imposed by the U.S. will increase the cost of importing foreign sourced components to our U.S. facilities to build the products that we manufacture in the U.S. China’s reciprocal tariffs, and any other reciprocal tariffs that may be imposed or reinstated by other countries, may harm demand for our products from customers in those regions, or may cause our customers in those regions to push out or cancel previously placed purchase orders. The loss of foreign customers or suppliers or the imposition of restrictions on our ability to sell or transfer products to such customers or suppliers as a result of tariffs, export restrictions or other U.S. regulatory actions could materially adversely affect our sales, business and results of operations. Countermeasures by other countries, including China, in reaction to increasing such U.S. government actions may impact our operations and future revenue as the compliance landscape becomes more challenging.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200"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14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Our ability to make scheduled payments on or to refinance our debt obligations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If our cash flows and capital resources are insufficient to fund our debt service obligations, we may face liquidity issues and be forced to reduce or delay investments and capital expenditures, or to sell assets, seek additional capital or restructure or refinance our debt. These alternative measures may not be successful and may not permit us to meet our scheduled debt service and other obligations. Additionally, the indentures governing our senior notes limit the use of the proceeds from any disposition; as a result, we may not be allowed under these documents to use proceeds from such dispositions to satisfy our debt service obligations. Further, we may need to refinance all or a portion of our debt at or before maturity, and we cannot be sure that we will be able to refinance any of our debt on commercially reasonable terms or at 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agreements and instruments governing our debt impose restrictions that may limit our operating and financial flexibility.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agreement governing our revolving facility and the indentures governing our senior notes contain a number of significant restrictions and covenants that limit our ability to:</w:t>
      </w:r>
    </w:p>
    <w:p>
      <w:pPr>
        <w:spacing w:after="0" w:line="200"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debt;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make other distributions or repurchase or redeem our capital stock;</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debt;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loans and investments;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permit to exist certain liens;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types of transactions with affiliates;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restricting our subsidiaries’ ability to pay dividends;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amalgamate, merge or sell all or substantially all of our assets.</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These covenants could have the effect of limiting our flexibility in planning for or reacting to changes in our business and the markets in which we compete. In addition, our credit agreement requires us to comply with a financial maintenance covenant. Operating results below current levels or other adverse factors, including a significant increase in interest rates, could result in our being unable to comply with the financial covenant contained in our revolving facility. If we violate covenants under our credit agreement and are unable to obtain a waiver from our lenders, our debt under our revolving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 Cybersecurity, Information Technology and Data Privacy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intellectual property portfolio and may not be able to successfully protect against the use of our intellectual property by third parties.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We rely on a combination of patents, copyrights, trademarks, trade secret laws, confidentiality procedures and licensing arrangements to protect our IP rights. We cannot be certain that patents will be issued from any of our pending applications or that patents will be issued in all countries where our products can be sold. Further, we cannot be certain that any claims of patents issued from pending applications will be of sufficient scope or strength to provide meaningful protection against our competitors. Our competitors may also be able to design around our patents.</w:t>
      </w:r>
    </w:p>
    <w:p>
      <w:pPr>
        <w:spacing w:after="0" w:line="15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The laws of some countries in which our products are developed, manufactured or sold may not protect our products or IP rights to the same extent as U.S. laws. This increases the possibility of misappropriation or infringement of our technology and products. Although we intend to vigorously defend our IP rights, we may not be able to prevent misappropriation of our technology. Additionally, our competitors may be able to independently develop non-infringing technologies that are substantially equivalent or superior to ours.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use of AI and machine learning applications by our employees may also increase the risk of unintended or inadvertent transmission of proprietary or sensitive information.</w:t>
      </w:r>
    </w:p>
    <w:p>
      <w:pPr>
        <w:spacing w:after="0" w:line="20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We are currently engaged in legal actions to enforce or defend our IP rights and may engage in future actions as the need arises. Generally, IP litigation is both expensive and unpredictable. Our involvement in IP litigation could divert the attention of our management and technical personnel and have a material, adverse effect on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of infringement of third-party intellectual property rights.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Our operating results may be adversely affected if third parties were to assert claims that our products infringed their patent, copyright or other IP rights. Such assertions could lead to expensive and unpredictable litigation, diverting the attention of management and technical personnel. An unsuccessful result in any such litigation could have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adverse effects on our business, which may include injunctions, exclusion orders and royalty payments to third parties. In addition, if one of our customers or another supplier to one of our customers were found to be infringing on third-party IP rights, such a finding could adversely affect the demand for our products.</w:t>
      </w:r>
    </w:p>
    <w:p>
      <w:pPr>
        <w:spacing w:after="0" w:line="143"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Security breaches, failed system upgrades or regular maintenance and other disruptions to our IT systems, or other misappropriation of proprietary information could expose us to liability or disrupt our ability to operate critical business functions, which would cause our business and reputation to suffer.</w:t>
      </w:r>
    </w:p>
    <w:p>
      <w:pPr>
        <w:spacing w:after="0" w:line="14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or dissemination of, our proprietary information.</w:t>
      </w:r>
    </w:p>
    <w:p>
      <w:pPr>
        <w:spacing w:after="0" w:line="15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w:t>
      </w:r>
    </w:p>
    <w:p>
      <w:pPr>
        <w:spacing w:after="0" w:line="14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We are also subject to significant system or network disruptions from numerous causes, including computer viruses and other cyber-attacks, facility access issues, new system implementations and energy blackouts. Geopolitical tensions or conflicts, such as the ongoing war between Russia and Ukraine and the tensions between China and Taiwan, may create a heightened risk of cybersecurity incidents.</w:t>
      </w:r>
    </w:p>
    <w:p>
      <w:pPr>
        <w:spacing w:after="0" w:line="15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have, from time to time, experienced threats to and breaches of our data and systems. Security breaches, computer malware, phishing, spoofing and other cyber-attacks have become more prevalent and sophisticated in recent years. Because the techniques used by computer hackers and others to access or sabotage networks constantly evolve and generally are not recognized until launched against a target, we may be unable to anticipate, detect, or counter all of these techniques or identify all security vulnerabilities. Evolving AI capabilities could be used in new and significantly more sophisticated ways to identify vulnerabilities, craft targeted social engineering and fraud attempts, generate malicious code and launch phishing attempts or other cyber-attacks. As a result, our and our customers’ proprietary information may be misappropriated, and the impact of any future incident cannot be predicted. Any misappropriation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IT systems. We cannot, however, assure that such system improvements will be sufficient to prevent or limit the damage from any future cyber-attack or network disruptions.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Furthermore, we rely on products and services provided by third-party suppliers, which may include open-source code, to operate certain critical business systems, including without limitation, cloud-based infrastructure, encryption and authentication technology, employee email and other functions, which exposes us to supply chain attacks or other business disruptions. The use of AI applications could increase the risk of cybersecurity incidents, such as through unintended or inadvertent transmissions of proprietary or sensitive information. We cannot guarantee that third parties and infrastructure in our supply chain or our partners’ supply chains have not been compromised or that they do not contain exploitable defects or bugs that could result in a breach of or disruption to our IT systems, including our products and services, or the third-party IT systems that support our services. Our ability to identify all security vulnerabilities and monitor these third-parties’ information security practices is limited, and these third parties may not have adequate information security measures in place. In addition, if one of our third-party suppliers suffers a security breach, our response may be limited or more difficult because we may not have direct access to their systems, logs and other information related to the security breach.</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any of our systems are damaged, fail to function properly or otherwise become unavailable, we may incur substantial costs to repair or replace them and may experience loss or corruption of critical data and interruptions or delays in our ability to perform critical functions, which could adversely affect our business and results of operations. Furthermore, the costs related to cyber-attacks or other security threats or computer systems disruptions typically would not be fully insured or indemnified by others. Our efforts to comply with evolving laws and regulations related to cybersecurity incidents may be costly, and any failure to comply could result in investigations,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proceedings, lawsuits and reputational damage. Occurrence of any of the events described above could also result in loss of competitive advantages derived from our R&amp;D efforts or our IP. Moreover, these events may result in the early obsolescence of our products, product development delays, or diversion of the attention of management and key IT and other resources, or otherwise adversely affect our operations and reputation.</w:t>
      </w:r>
    </w:p>
    <w:p>
      <w:pPr>
        <w:spacing w:after="0" w:line="155"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43"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In the ordinary course of our business, we have access to sensitive, confidential or personal data or information regarding our employees and others that is subject to privacy and security laws and regulations, as well as our own policies and standards.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16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China has also implemented laws and regulations requiring companies' IT security environment to meet certain standards and may require unique certifications.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Owning our Common Stock</w:t>
      </w:r>
    </w:p>
    <w:p>
      <w:pPr>
        <w:spacing w:after="0" w:line="200"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4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145" w:lineRule="exact"/>
        <w:rPr>
          <w:sz w:val="20"/>
          <w:szCs w:val="20"/>
          <w:color w:val="auto"/>
        </w:rPr>
      </w:pPr>
    </w:p>
    <w:p>
      <w:pPr>
        <w:ind w:left="520" w:right="4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45"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of directors to designate and issue one or more series of preferred stock without stockholder approval, the terms of which may be determined at the sole discretion of the board of directors;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advance notice requirements for stockholder proposals and nominations for election to the board of directors at stockholder meetings;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stockholders to act by written consent.</w:t>
      </w:r>
    </w:p>
    <w:p>
      <w:pPr>
        <w:spacing w:after="0" w:line="20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by stockholder activism.</w:t>
      </w:r>
    </w:p>
    <w:p>
      <w:pPr>
        <w:spacing w:after="0" w:line="20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 recent years, stockholder activists have become involved in numerous public companies. Stockholder activists frequently propose to involve themselves in the strategic direction and operations of companies, including companies’ efforts regarding governance standards, capital allocation and portfolio review. For example, Starboard Value L.P., an activist investor, has reported, as of March 2025, that it holds an approximately 8.9% beneficial ownership interest in our outstanding common stock. In April 2025, Starboard delivered a letter to the Company nominating a candidate for election to our board of directors at the Company’s upcoming 2025 Annual Meeting of Stockholders. Responding to actions by activist stockholders, such as requests for special meetings, nominations of candidates for election to our board of directors, requests to pursue a strategic combination or other transaction, or other special requests may disrupt our business, cause us to incur substantial costs and divert the attention of management and employees. In addition,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any of which could negatively impact our business. Stockholder activism could result in substantial costs. In addition, actions of activist stockholders may cause significant fluctuations in our stock price based on temporary or speculative market perceptions or other factors that do not necessarily reflect the underlying fundamentals of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recently been and may in the future be volatile.</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145"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and economic and political conditions, including market conditions in the semiconductor industry;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expected variations in quarterly operating results;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pandemics, such as the COVID-19 pandemic and similar major health concerns;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between actual operating results and those expected by management, investors and analysts;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recommendations by securities analysts, social media or press;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stock performance of competitors and major customers;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charges, including charges relating to the impairment of goodwill or intangible assets and restructuring;</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acquisitions, strategic alliances, capital commitments, or new products announced by us or by our competitors;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whether actual or perceived, between our corporate social responsibility practices and disclosure and investor expectations;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including sales by our directors and officers or significant investors;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or departure of key personnel;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customers.</w:t>
      </w:r>
    </w:p>
    <w:p>
      <w:pPr>
        <w:spacing w:after="0" w:line="20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cannot assure that the price of our common stock will not fluctuate or decline significantly in the future. In addition, the stock market in general can experience considerable price and volume fluctuations that are unrelated to our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We recognize the critical importance of maintaining the safety and security of our systems and data and have a cross-organizational approach to addressing cybersecurity risk. We are committed to maintaining robust governance and oversight of cybersecurity risk and have implemented mechanisms, controls, technologies and processes designed to help us assess, identify and manage these risks. The Board of Directors, its Audit Committee and our management, including our Chief Information Officer (“CIO”) and Chief Information Security Officer (“CISO”), contribute to our cybersecurity and risk management processes designed to help us respond in a timely and effective manner to emerging threats in a dynamic cybersecurity landscape.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202"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Cybersecurity risks are identified as part of our Enterprise Risk Management Program and regular cybersecurity assessment and planning. We aim to incorporate industry best practices throughout our cybersecurity program. Our cybersecurity strategy focuses on implementing effective and efficient controls, technologies and other processes to assess, identify and manage cybersecurity risks. We engage with industry groups for benchmarking and awareness of cybersecurity best practices. We monitor internal and external cybersecurity developments that may affect our systems and our supply chain partners' systems, and have procedures to assess those issues for potential cybersecurity impact or risk.</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devoted significant financial and personnel resources to implement and maintain security measures to meet regulatory requirements, customer expectations, business priorities and emerging cybersecurity risks, and we expect to continue to make investments to maintain the security of our data and infrastructure. The underlying controls of the cyber risk management program are based on industry standards for cybersecurity and IT, including the National Institute of Standards and Technology (“NIST”) frameworks and ISO 27001 requirements, although this does not mean that we meet all technical standards, specifications or requirements under NIST or ISO 27001 standards.</w:t>
      </w:r>
    </w:p>
    <w:p>
      <w:pPr>
        <w:spacing w:after="0" w:line="162"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We provide awareness training to our employees to help identify, avoid and mitigate cybersecurity threats and to remind them of the importance of handling and protecting our information. We engage third parties to conduct evaluations of our security controls, including testing both the design and operational effectiveness of our controls. We conduct regular vulnerability testing and tabletop exercises to test our readiness for a variety of potential incidents. We also participate in cybersecurity information-sharing with our peers, industry groups and government agencies.</w:t>
      </w:r>
    </w:p>
    <w:p>
      <w:pPr>
        <w:spacing w:after="0" w:line="15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We rely heavily on our supply chain to deliver our products and services to our customers, and require our key suppliers to comply with our security terms and conditions, in addition to any requirements from our customers, as a condition of doing business with us. We also require each key supplier to notify us in the event of known or suspected cyber incidents.</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face numerous cybersecurity risks in connection with our business. Such risks can impact our systems, results of operations and financial condition. We have, from time to time, experienced threats to, and breaches of, our data and systems, including malware, ransomware and computer viruses. Our customers, suppliers, subcontractors and business partners face similar cybersecurity threats, and a cybersecurity incident impacting us or any of these entities could materially adversely affect our operations, performance and results of operations. As of the date of this Form 10-K, we have not identified any risks or incidents from cybersecurity threats that have materially affected our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business strategy, our results of operations or our financial condition. For more information about the cybersecurity risks we face and the potential impacts on our Company due to a cybersecurity incident, please refer to Item 1A - Risk Factors - "Risks Related to Intellectual Property, Cybersecurity, Information Technology and Data Privacy".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Audit Committee oversees management’s processes for identifying and mitigating risks, including cybersecurity risks, to help align our risk exposure with our strategic objectives. Senior leadership, our CIO and our CISO regularly brief the Audit Committee on cybersecurity matters. In its oversight role, the Audit Committee receives reports on cybersecurity, including internal and external cybersecurity audits, on at least a quarterly basis. We have procedures led by our CISO which govern our assessment, response and notification of internal and external parties upon the occurrence of a cybersecurity incident. Depending on the nature and severity of an incident, this process provides for escalating notification to our executive team, to evaluate the overall impact and determine the appropriate or required external notifications. Based on an incident's nature and severity, the Audit Committee would be informed of an incident by our executive team.</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CISO reports to the CIO and is generally responsible for management of cybersecurity risk and the protection and defense of our networks and systems. Our CIO, who reports to our Chief Financial Officer, has over 30 years of experience in various IT and cybersecurity leadership roles throughout the industry. Our CISO has over 24 years of experience in cybersecurity, encompassing leadership roles in cybersecurity architecture, risk and compliance, incident response, cybersecurity operations, and identity management. The CISO works with a team of cybersecurity professionals with broad experience and expertise, including in cybersecurity threat assessments and detection, mitigation technologies, cybersecurity training, incident response, cyber forensics, insider threats and regulatory compliance. This team manages and works to enhance the IT security structure with the goal of preventing significant cybersecurity incidents and increasing the resilience of our systems to minimize the business impact should an incident occur. Our CISO is informed about and monitors prevention, detection, mitigation and remediation efforts through regular communication and reporting from professionals on the information security team.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headquarters (leased) is located in Greensboro, North Carolina.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primary production facilities as of March 29,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Function</w:t>
            </w:r>
          </w:p>
        </w:tc>
      </w:tr>
      <w:tr>
        <w:trPr>
          <w:trHeight w:val="171"/>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Greensboro, North Carolina</w:t>
            </w:r>
          </w:p>
        </w:tc>
        <w:tc>
          <w:tcPr>
            <w:tcW w:w="24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Owned</w:t>
            </w:r>
          </w:p>
        </w:tc>
        <w:tc>
          <w:tcPr>
            <w:tcW w:w="240" w:type="dxa"/>
            <w:vAlign w:val="bottom"/>
            <w:tcBorders>
              <w:top w:val="single" w:sz="8" w:color="CCEEFF"/>
            </w:tcBorders>
            <w:shd w:val="clear" w:color="auto" w:fill="CCEEFF"/>
          </w:tcPr>
          <w:p>
            <w:pPr>
              <w:spacing w:after="0"/>
              <w:rPr>
                <w:sz w:val="14"/>
                <w:szCs w:val="14"/>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Wafer fabrication</w:t>
            </w: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Hillsboro, Oregon</w:t>
            </w:r>
          </w:p>
        </w:tc>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Owned</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Wafer fabrication</w:t>
            </w:r>
          </w:p>
        </w:tc>
      </w:tr>
      <w:tr>
        <w:trPr>
          <w:trHeight w:val="18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Richardson, Texas</w:t>
            </w: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Owned</w:t>
            </w: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Wafer fabrication, assembly and test</w:t>
            </w:r>
          </w:p>
        </w:tc>
      </w:tr>
      <w:tr>
        <w:trPr>
          <w:trHeight w:val="18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Heredia, Costa Rica</w:t>
            </w:r>
          </w:p>
        </w:tc>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Owned</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Module and filter assembly and test</w:t>
            </w:r>
          </w:p>
        </w:tc>
      </w:tr>
      <w:tr>
        <w:trPr>
          <w:trHeight w:val="18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Nuremberg, Germany</w:t>
            </w: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Leased</w:t>
            </w: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Packaging and test</w:t>
            </w:r>
          </w:p>
        </w:tc>
      </w:tr>
    </w:tbl>
    <w:p>
      <w:pPr>
        <w:spacing w:after="0" w:line="25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In the first quarter of fiscal 2025, we completed the sale of our assembly and test operations in Beijing and Dezhou to Luxshare, who is providing assembly and test services to us under a supply agreement.</w:t>
      </w:r>
    </w:p>
    <w:p>
      <w:pPr>
        <w:spacing w:after="0" w:line="14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The majority of our production facilities are shared by our operating segments.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information under the heading "Legal Matters" in Note 11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"QRVO." As of May 12, 2025, there were 596 holders of record of our common stock, which does not include beneficial owners of stock held in street name (i.e., through a brokerage firm, bank, broker-dealer, trust or other similar organization).</w:t>
      </w:r>
    </w:p>
    <w:p>
      <w:pPr>
        <w:spacing w:after="0" w:line="1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dividends on our common stock. We currently intend to retain any future earnings to invest in the growth and operation of our business and do not intend to pay any dividends for the foreseeable future. Any future determination related to our dividend policy will be made at the discretion of our Board of Directors.</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following graph and table compare the cumulative total shareholder return of our common stock, the S&amp;P 500 Index and the S&amp;P 500 Semiconductors Index for the five years ended March 29, 2025. The graph and table assume an initial investment of $100 was made on March 28, 2020 in each of our common stock and the indexes, reflecting compounded daily returns as well as reinvestment of all dividends. The indexes are reweighted daily using the market capitalization on the previous trading day. The comparisons in the graph and table are based on historical data and are not indicative of, or intended to forecast, the possible future performance of our common stock.</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15875</wp:posOffset>
            </wp:positionV>
            <wp:extent cx="4204335" cy="2816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04335" cy="281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19"/>
        </w:trPr>
        <w:tc>
          <w:tcPr>
            <w:tcW w:w="3000" w:type="dxa"/>
            <w:vAlign w:val="bottom"/>
          </w:tcPr>
          <w:p>
            <w:pPr>
              <w:spacing w:after="0"/>
              <w:rPr>
                <w:sz w:val="10"/>
                <w:szCs w:val="10"/>
                <w:color w:val="auto"/>
              </w:rPr>
            </w:pPr>
          </w:p>
        </w:tc>
        <w:tc>
          <w:tcPr>
            <w:tcW w:w="9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March 28,</w:t>
            </w:r>
          </w:p>
        </w:tc>
        <w:tc>
          <w:tcPr>
            <w:tcW w:w="3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
              <w:spacing w:after="0" w:line="119" w:lineRule="exact"/>
              <w:rPr>
                <w:sz w:val="20"/>
                <w:szCs w:val="20"/>
                <w:color w:val="auto"/>
              </w:rPr>
            </w:pPr>
            <w:r>
              <w:rPr>
                <w:rFonts w:ascii="Times New Roman" w:cs="Times New Roman" w:eastAsia="Times New Roman" w:hAnsi="Times New Roman"/>
                <w:sz w:val="11"/>
                <w:szCs w:val="11"/>
                <w:b w:val="1"/>
                <w:bCs w:val="1"/>
                <w:color w:val="auto"/>
              </w:rPr>
              <w:t>April 3,</w:t>
            </w: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
              <w:spacing w:after="0" w:line="119" w:lineRule="exact"/>
              <w:rPr>
                <w:sz w:val="20"/>
                <w:szCs w:val="20"/>
                <w:color w:val="auto"/>
              </w:rPr>
            </w:pPr>
            <w:r>
              <w:rPr>
                <w:rFonts w:ascii="Times New Roman" w:cs="Times New Roman" w:eastAsia="Times New Roman" w:hAnsi="Times New Roman"/>
                <w:sz w:val="11"/>
                <w:szCs w:val="11"/>
                <w:b w:val="1"/>
                <w:bCs w:val="1"/>
                <w:color w:val="auto"/>
              </w:rPr>
              <w:t>April 2,</w:t>
            </w:r>
          </w:p>
        </w:tc>
        <w:tc>
          <w:tcPr>
            <w:tcW w:w="4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423"/>
              <w:spacing w:after="0" w:line="119" w:lineRule="exact"/>
              <w:rPr>
                <w:sz w:val="20"/>
                <w:szCs w:val="20"/>
                <w:color w:val="auto"/>
              </w:rPr>
            </w:pPr>
            <w:r>
              <w:rPr>
                <w:rFonts w:ascii="Times New Roman" w:cs="Times New Roman" w:eastAsia="Times New Roman" w:hAnsi="Times New Roman"/>
                <w:sz w:val="11"/>
                <w:szCs w:val="11"/>
                <w:b w:val="1"/>
                <w:bCs w:val="1"/>
                <w:color w:val="auto"/>
              </w:rPr>
              <w:t>April 1,</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63"/>
              <w:spacing w:after="0" w:line="119" w:lineRule="exact"/>
              <w:rPr>
                <w:sz w:val="20"/>
                <w:szCs w:val="20"/>
                <w:color w:val="auto"/>
              </w:rPr>
            </w:pPr>
            <w:r>
              <w:rPr>
                <w:rFonts w:ascii="Times New Roman" w:cs="Times New Roman" w:eastAsia="Times New Roman" w:hAnsi="Times New Roman"/>
                <w:sz w:val="11"/>
                <w:szCs w:val="11"/>
                <w:b w:val="1"/>
                <w:bCs w:val="1"/>
                <w:color w:val="auto"/>
              </w:rPr>
              <w:t>March 30,</w:t>
            </w: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403"/>
              <w:spacing w:after="0" w:line="119" w:lineRule="exact"/>
              <w:rPr>
                <w:sz w:val="20"/>
                <w:szCs w:val="20"/>
                <w:color w:val="auto"/>
              </w:rPr>
            </w:pPr>
            <w:r>
              <w:rPr>
                <w:rFonts w:ascii="Times New Roman" w:cs="Times New Roman" w:eastAsia="Times New Roman" w:hAnsi="Times New Roman"/>
                <w:sz w:val="11"/>
                <w:szCs w:val="11"/>
                <w:b w:val="1"/>
                <w:bCs w:val="1"/>
                <w:color w:val="auto"/>
              </w:rPr>
              <w:t>March 29,</w:t>
            </w:r>
          </w:p>
        </w:tc>
      </w:tr>
      <w:tr>
        <w:trPr>
          <w:trHeight w:val="153"/>
        </w:trPr>
        <w:tc>
          <w:tcPr>
            <w:tcW w:w="30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Qorvo, Inc.</w:t>
            </w:r>
          </w:p>
        </w:tc>
        <w:tc>
          <w:tcPr>
            <w:tcW w:w="9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239.06</w:t>
            </w:r>
          </w:p>
        </w:tc>
        <w:tc>
          <w:tcPr>
            <w:tcW w:w="96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150.59</w:t>
            </w: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125.88</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142.31</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88.61</w:t>
            </w:r>
          </w:p>
        </w:tc>
      </w:tr>
      <w:tr>
        <w:trPr>
          <w:trHeight w:val="153"/>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S&amp;P 500</w:t>
            </w:r>
          </w:p>
        </w:tc>
        <w:tc>
          <w:tcPr>
            <w:tcW w:w="98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156.35</w:t>
            </w:r>
          </w:p>
        </w:tc>
        <w:tc>
          <w:tcPr>
            <w:tcW w:w="96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180.81</w:t>
            </w: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166.84</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216.69</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234.58</w:t>
            </w:r>
          </w:p>
        </w:tc>
      </w:tr>
      <w:tr>
        <w:trPr>
          <w:trHeight w:val="16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S&amp;P 500 Semiconductors</w:t>
            </w:r>
          </w:p>
        </w:tc>
        <w:tc>
          <w:tcPr>
            <w:tcW w:w="9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96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225.03</w:t>
            </w: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218.29</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463.10</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495.89</w:t>
            </w:r>
          </w:p>
        </w:tc>
      </w:tr>
    </w:tbl>
    <w:p>
      <w:pPr>
        <w:spacing w:after="0" w:line="132"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i w:val="1"/>
          <w:iCs w:val="1"/>
          <w:color w:val="auto"/>
        </w:rPr>
        <w:t>The graph and the table above shall not be deemed "filed" with the SEC for the purpose of Section 18 of the Exchange Act or otherwise subject to the liabilities of that section, nor shall they be deemed incorporated by reference in any filings made by us with the SEC, regardless of any general incorporation language in such filing.</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Average price paid</w:t>
            </w:r>
          </w:p>
        </w:tc>
        <w:tc>
          <w:tcPr>
            <w:tcW w:w="2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 purchased as part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Approximate dollar value of shares that</w:t>
            </w:r>
          </w:p>
        </w:tc>
        <w:tc>
          <w:tcPr>
            <w:tcW w:w="0" w:type="dxa"/>
            <w:vAlign w:val="bottom"/>
          </w:tcPr>
          <w:p>
            <w:pPr>
              <w:spacing w:after="0"/>
              <w:rPr>
                <w:sz w:val="1"/>
                <w:szCs w:val="1"/>
                <w:color w:val="auto"/>
              </w:rPr>
            </w:pPr>
          </w:p>
        </w:tc>
      </w:tr>
      <w:tr>
        <w:trPr>
          <w:trHeight w:val="127"/>
        </w:trPr>
        <w:tc>
          <w:tcPr>
            <w:tcW w:w="3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3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publicly announced plans or programs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may yet be purchased under the plans or</w:t>
            </w:r>
          </w:p>
        </w:tc>
        <w:tc>
          <w:tcPr>
            <w:tcW w:w="0" w:type="dxa"/>
            <w:vAlign w:val="bottom"/>
          </w:tcPr>
          <w:p>
            <w:pPr>
              <w:spacing w:after="0"/>
              <w:rPr>
                <w:sz w:val="1"/>
                <w:szCs w:val="1"/>
                <w:color w:val="auto"/>
              </w:rPr>
            </w:pPr>
          </w:p>
        </w:tc>
      </w:tr>
      <w:tr>
        <w:trPr>
          <w:trHeight w:val="138"/>
        </w:trPr>
        <w:tc>
          <w:tcPr>
            <w:tcW w:w="3400" w:type="dxa"/>
            <w:vAlign w:val="bottom"/>
            <w:gridSpan w:val="2"/>
            <w:vMerge w:val="continue"/>
          </w:tcPr>
          <w:p>
            <w:pPr>
              <w:spacing w:after="0"/>
              <w:rPr>
                <w:sz w:val="11"/>
                <w:szCs w:val="11"/>
                <w:color w:val="auto"/>
              </w:rPr>
            </w:pPr>
          </w:p>
        </w:tc>
        <w:tc>
          <w:tcPr>
            <w:tcW w:w="1500" w:type="dxa"/>
            <w:vAlign w:val="bottom"/>
          </w:tcPr>
          <w:p>
            <w:pPr>
              <w:jc w:val="right"/>
              <w:ind w:right="101"/>
              <w:spacing w:after="0" w:line="138"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9"/>
                <w:szCs w:val="9"/>
                <w:b w:val="1"/>
                <w:bCs w:val="1"/>
                <w:color w:val="auto"/>
              </w:rPr>
              <w:t>(in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w w:val="99"/>
              </w:rPr>
              <w:t>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(in 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tcPr>
          <w:p>
            <w:pPr>
              <w:jc w:val="center"/>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 xml:space="preserve">programs </w:t>
            </w:r>
            <w:r>
              <w:rPr>
                <w:rFonts w:ascii="Times New Roman" w:cs="Times New Roman" w:eastAsia="Times New Roman" w:hAnsi="Times New Roman"/>
                <w:sz w:val="9"/>
                <w:szCs w:val="9"/>
                <w:b w:val="1"/>
                <w:bCs w:val="1"/>
                <w:color w:val="auto"/>
              </w:rPr>
              <w:t>(in millions)</w:t>
            </w:r>
          </w:p>
        </w:tc>
        <w:tc>
          <w:tcPr>
            <w:tcW w:w="0" w:type="dxa"/>
            <w:vAlign w:val="bottom"/>
          </w:tcPr>
          <w:p>
            <w:pPr>
              <w:spacing w:after="0"/>
              <w:rPr>
                <w:sz w:val="1"/>
                <w:szCs w:val="1"/>
                <w:color w:val="auto"/>
              </w:rPr>
            </w:pPr>
          </w:p>
        </w:tc>
      </w:tr>
      <w:tr>
        <w:trPr>
          <w:trHeight w:val="150"/>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29, 2024 to January 25, 2025</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74.89</w:t>
            </w:r>
          </w:p>
        </w:tc>
        <w:tc>
          <w:tcPr>
            <w:tcW w:w="10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984.8</w:t>
            </w: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January 26, 2025 to February 22, 2025</w:t>
            </w: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80.92</w:t>
            </w:r>
          </w:p>
        </w:tc>
        <w:tc>
          <w:tcPr>
            <w:tcW w:w="100" w:type="dxa"/>
            <w:vAlign w:val="bottom"/>
          </w:tcPr>
          <w:p>
            <w:pPr>
              <w:spacing w:after="0"/>
              <w:rPr>
                <w:sz w:val="13"/>
                <w:szCs w:val="13"/>
                <w:color w:val="auto"/>
              </w:rPr>
            </w:pPr>
          </w:p>
        </w:tc>
        <w:tc>
          <w:tcPr>
            <w:tcW w:w="238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969.2</w:t>
            </w: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23, 2025 to March 29, 2025</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282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72.75</w:t>
            </w:r>
          </w:p>
        </w:tc>
        <w:tc>
          <w:tcPr>
            <w:tcW w:w="100" w:type="dxa"/>
            <w:vAlign w:val="bottom"/>
            <w:shd w:val="clear" w:color="auto" w:fill="CCEEFF"/>
          </w:tcPr>
          <w:p>
            <w:pPr>
              <w:spacing w:after="0"/>
              <w:rPr>
                <w:sz w:val="13"/>
                <w:szCs w:val="13"/>
                <w:color w:val="auto"/>
              </w:rPr>
            </w:pPr>
          </w:p>
        </w:tc>
        <w:tc>
          <w:tcPr>
            <w:tcW w:w="2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282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948.7</w:t>
            </w:r>
          </w:p>
        </w:tc>
        <w:tc>
          <w:tcPr>
            <w:tcW w:w="0" w:type="dxa"/>
            <w:vAlign w:val="bottom"/>
          </w:tcPr>
          <w:p>
            <w:pPr>
              <w:spacing w:after="0"/>
              <w:rPr>
                <w:sz w:val="1"/>
                <w:szCs w:val="1"/>
                <w:color w:val="auto"/>
              </w:rPr>
            </w:pPr>
          </w:p>
        </w:tc>
      </w:tr>
      <w:tr>
        <w:trPr>
          <w:trHeight w:val="156"/>
        </w:trPr>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4"/>
              </w:rPr>
              <w:t>Total</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660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75.74</w:t>
            </w:r>
          </w:p>
        </w:tc>
        <w:tc>
          <w:tcPr>
            <w:tcW w:w="100" w:type="dxa"/>
            <w:vAlign w:val="bottom"/>
          </w:tcPr>
          <w:p>
            <w:pPr>
              <w:spacing w:after="0"/>
              <w:rPr>
                <w:sz w:val="13"/>
                <w:szCs w:val="13"/>
                <w:color w:val="auto"/>
              </w:rPr>
            </w:pPr>
          </w:p>
        </w:tc>
        <w:tc>
          <w:tcPr>
            <w:tcW w:w="2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660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Refer to Note 16 of the Notes to Consolidated Financial Statements for further discussion of our share repurchase program.</w:t>
      </w:r>
    </w:p>
    <w:p>
      <w:pPr>
        <w:spacing w:after="0" w:line="15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 of January 1, 2023, our share repurchases in excess of issuances are subject to a 1% excise tax enacted by the Inflation Reduction Act. The excise tax is recognized as part of the cost basis of shares acquired in the Consolidated Statements of Stockholders' Equity for fiscal years 2025, 2024 and 2023 and is excluded from amounts presented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and is qualified in its entirety by reference to, our audited consolidated financial statements, including the notes thereto, set forth in Part II, Item 8 of this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Qorvo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global leader in the development and commercialization of technologies and products for wireless, wired and power markets.</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design, develop, manufacture and market our products to U.S. and international OEMs and ODMs in three reportable operating segments: HPA, CSG and ACG. HPA is a leading global supplier of RF, analog mixed signal and power management solutions. CSG is a leading global supplier of connectivity and sensor solutions, with broad expertise spanning UWB, Matter, BLE, Zigbee, Thread, Wi-Fi, cellular solutions for the IoT and MEMS-based sensors. ACG is a leading global supplier of advanced cellular solutions for smartphones, wearables, laptops, tablets and other devices.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2025 Overview</w:t>
      </w:r>
    </w:p>
    <w:p>
      <w:pPr>
        <w:spacing w:after="0" w:line="202" w:lineRule="exact"/>
        <w:rPr>
          <w:sz w:val="20"/>
          <w:szCs w:val="20"/>
          <w:color w:val="auto"/>
        </w:rPr>
      </w:pPr>
    </w:p>
    <w:p>
      <w:pPr>
        <w:ind w:left="520" w:right="40" w:hanging="260"/>
        <w:spacing w:after="0" w:line="26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decreased 1.3% in fiscal 2025 to $3,719.0 million, compared to $3,769.5 million in fiscal 2024, resulting from a decrease in our ACG segment revenue driven by a mix shift among smartphone customers to lower RF content 5G smartphones. Revenue increased in our HPA segment driven by higher demand for our D&amp;A products supporting the radar, communications and electronic warfare markets. Revenue increased in our CSG segment driven by our Wi-Fi components and UWB solutions as a result of new product releases and improved channel inventory levels.</w:t>
      </w:r>
    </w:p>
    <w:p>
      <w:pPr>
        <w:spacing w:after="0" w:line="1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margin for fiscal 2025 was 41.3%, compared to 39.5% in fiscal 2024, driven by improved factory utilization and favorable business mix, while average selling-price erosion negatively impacted gross margin. Charges related to a long-term capacity reservation agreement negatively impacted gross margin by 1.0% in fiscal 2024.</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was $95.5 million in fiscal 2025, compared to $91.7 million in fiscal 2024.</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per diluted share was $0.58 for fiscal 2025, compared to net loss per share of $0.72 for fiscal 2024.</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activities in fiscal 2025 generated cash of $622.2 million, compared to $833.2 million in fiscal 2024.</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were $137.6 million in fiscal 2025, compared to $127.2 million in fiscal 2024.</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repurchased approximately 4.0 million shares of our common stock for approximately $358.8 million.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We completed the divestiture of our assembly and test operations in China in May 2024 and are operating under a supply agreement with Luxshare.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repaid the remaining balance of $412.5 million on our 1.750% senior notes due 2024 (the "2024 Notes") with cash on hand at maturity in December 2024.</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the divestiture of our SiC power device business in January 2025.</w:t>
      </w:r>
    </w:p>
    <w:p>
      <w:pPr>
        <w:spacing w:after="0" w:line="199"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recorded $280.8 million in restructuring-related charges, which includes goodwill and intangible asset impairment charges of $192.6 million. The restructuring-related charges were primarily from actions to reduce operating expenses, streamline our manufacturing footprint and focus on opportunities that align with our long-term profitability objectives.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U.S. government has imposed a series of tariffs on U.S. trading partners to address trade imbalances, cross-border issues, and other foreign policy disputes that have been met with both real and threatened retaliatory measures by impacted countries. We continue to closely monitor these developments (and any escalation thereof) and any retaliatory measures and are actively implementing contingency plans, including alternative sourcing strategies and supplier diversification, to support supply chain continuity, maintain operational efficiency and help mitigate potential future impacts.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Consolidated</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table below presents a summary of our results of operations for fiscal years 2025 and 2024 along with a year-over-year comparison. Refer to Part II, Item 7, "Management's Discussion and Analysis of Financial Condition and Results of Operations" of our Annual Report on Form 10-K for the fiscal year ended March 30, 2024, filed with the SEC on May 20, 2024, which is incorporated by reference herein, for a summary of our results of operations for the fiscal year ended April 1, 2023 along with a year-over-year comparison between fiscal years 2024 and 2023.</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80" w:type="dxa"/>
            <w:vAlign w:val="bottom"/>
          </w:tcPr>
          <w:p>
            <w:pPr>
              <w:spacing w:after="0"/>
              <w:rPr>
                <w:sz w:val="11"/>
                <w:szCs w:val="11"/>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280" w:type="dxa"/>
            <w:vAlign w:val="bottom"/>
          </w:tcPr>
          <w:p>
            <w:pPr>
              <w:spacing w:after="0"/>
              <w:rPr>
                <w:sz w:val="11"/>
                <w:szCs w:val="11"/>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220" w:type="dxa"/>
            <w:vAlign w:val="bottom"/>
          </w:tcPr>
          <w:p>
            <w:pPr>
              <w:spacing w:after="0"/>
              <w:rPr>
                <w:sz w:val="11"/>
                <w:szCs w:val="11"/>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Increase</w:t>
            </w:r>
          </w:p>
        </w:tc>
        <w:tc>
          <w:tcPr>
            <w:tcW w:w="100" w:type="dxa"/>
            <w:vAlign w:val="bottom"/>
          </w:tcPr>
          <w:p>
            <w:pPr>
              <w:spacing w:after="0"/>
              <w:rPr>
                <w:sz w:val="11"/>
                <w:szCs w:val="11"/>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0" w:type="dxa"/>
            <w:vAlign w:val="bottom"/>
          </w:tcPr>
          <w:p>
            <w:pPr>
              <w:spacing w:after="0"/>
              <w:rPr>
                <w:sz w:val="1"/>
                <w:szCs w:val="1"/>
                <w:color w:val="auto"/>
              </w:rPr>
            </w:pPr>
          </w:p>
        </w:tc>
      </w:tr>
      <w:tr>
        <w:trPr>
          <w:trHeight w:val="154"/>
        </w:trPr>
        <w:tc>
          <w:tcPr>
            <w:tcW w:w="3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(Decrease)</w:t>
            </w: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3,718,971</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3,769,506</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(50,535)</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Cost of goods sold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2,183,382</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2,281,011</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(97,629)</w:t>
            </w:r>
          </w:p>
        </w:tc>
        <w:tc>
          <w:tcPr>
            <w:tcW w:w="126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1,535,589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1,488,495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47,094</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3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747,709</w:t>
            </w:r>
          </w:p>
        </w:tc>
        <w:tc>
          <w:tcPr>
            <w:tcW w:w="10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682,249</w:t>
            </w:r>
          </w:p>
        </w:tc>
        <w:tc>
          <w:tcPr>
            <w:tcW w:w="10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65,460</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389,140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14,484</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operating expense </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288,729</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325,405</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(36,676)</w:t>
            </w:r>
          </w:p>
        </w:tc>
        <w:tc>
          <w:tcPr>
            <w:tcW w:w="126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95,527</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91,701</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97"/>
              </w:rPr>
              <w:t>4.2 %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operating expense includes goodwill and intangible asset impairment charges of $192.6 million and $221.4 million for fiscal years 2025 and 2024,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decrease in consolidated revenue resulted from a $152.8 million decrease in ACG revenue and increases in revenue of $64.3 million and $38.0 million in HPA and CSG, respectively, which are further discussed in our Operating Segments results below.</w:t>
      </w:r>
    </w:p>
    <w:p>
      <w:pPr>
        <w:spacing w:after="0" w:line="14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provide products to our largest end customer (Apple) through sales to multiple contract manufacturers, which in the aggregate accounted for approximately 47% and 46% of total revenue in fiscal years 2025 and 2024, respectively. Samsung accounted for approximately 10% and 12% of total revenue in fiscal years 2025 and 2024, respectively. These customers primarily purchase RF solutions for a variety of mobile devices.</w:t>
      </w:r>
    </w:p>
    <w:p>
      <w:pPr>
        <w:spacing w:after="0" w:line="13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International shipments amounted to $1,491.8 million in fiscal 2025 (approximately 40% of revenue) compared to $1,593.6 million in fiscal 2024 (approximately 42% of revenue). Shipments to Asia totaled $1,405.9 million in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fiscal 2025 (approximately 38% of revenue) compared to $1,505.3 million in fiscal 2024 (approximately 40% of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increase in gross margin in fiscal 2025 was driven by improved factory utilization and favorable business mix, while average selling-price erosion negatively impacted gross margin. Charges related to a long-term capacity reservation agreement, which included a contract termination fee, negatively impacted gross margin by 1.0% in fiscal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increase in research and development expense was driven by a $54.8 million increase in employee-related costs (including salaries and benefits and stock-based compensation expense) related to the development of new process technologies and the expansion of our product portfolio as we support diversification in our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selling, general and administrative expense was driven by a $15.2 million increase in employee-related costs (including salaries and benefits and stock-based compensation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Operating Expense</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fiscal 2025, "Other operating expense" includes goodwill and intangible asset impairment charges of $192.6 million, other restructuring-related charges of $60.3 million and $14.9 million of expenses associated with multiyear projects to upgrade our core business systems, prior to cancellation of certain projects in the third quarter of fiscal 2025. In fiscal 2024, "Other operating expense" includes goodwill impairment charges of $221.4 million, restructuring-related charges of $70.4 million and $12.0 million of expenses associated with certain multiyear projects to upgrade our core business systems. Refer to Note 6 of the Notes to Consolidated Financial Statements for additional information on goodwill and intangible asset impairment charges and Note 12 of the Notes to Consolidated Financial Statements for additional information on restructuring-related charges.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Operating Segments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 Performance Analog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1060" w:type="dxa"/>
            <w:vAlign w:val="bottom"/>
          </w:tcPr>
          <w:p>
            <w:pPr>
              <w:jc w:val="center"/>
              <w:ind w:left="599"/>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599"/>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Dollar</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54"/>
        </w:trPr>
        <w:tc>
          <w:tcPr>
            <w:tcW w:w="4120" w:type="dxa"/>
            <w:vAlign w:val="bottom"/>
            <w:gridSpan w:val="2"/>
            <w:vMerge w:val="continue"/>
          </w:tcPr>
          <w:p>
            <w:pPr>
              <w:spacing w:after="0"/>
              <w:rPr>
                <w:sz w:val="13"/>
                <w:szCs w:val="1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637,261</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572,953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64,308</w:t>
            </w:r>
          </w:p>
        </w:tc>
        <w:tc>
          <w:tcPr>
            <w:tcW w:w="12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60" w:type="dxa"/>
            <w:vAlign w:val="bottom"/>
          </w:tcPr>
          <w:p>
            <w:pPr>
              <w:spacing w:after="0"/>
              <w:rPr>
                <w:sz w:val="15"/>
                <w:szCs w:val="15"/>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108,895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82,501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26,394</w:t>
            </w:r>
          </w:p>
        </w:tc>
        <w:tc>
          <w:tcPr>
            <w:tcW w:w="120" w:type="dxa"/>
            <w:vAlign w:val="bottom"/>
          </w:tcPr>
          <w:p>
            <w:pPr>
              <w:spacing w:after="0"/>
              <w:rPr>
                <w:sz w:val="15"/>
                <w:szCs w:val="15"/>
                <w:color w:val="auto"/>
              </w:rPr>
            </w:pPr>
          </w:p>
        </w:tc>
        <w:tc>
          <w:tcPr>
            <w:tcW w:w="1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as a % of revenue</w:t>
            </w: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$64.3 million increase in HPA revenue was attributable to a $60.9 million increase in revenue from D&amp;A, infrastructure and power management. The increase in revenue from D&amp;A was driven by higher demand for our products supporting the radar, communications and electronic warfare markets, as well as incremental revenue resulting from the acquisition of Anokiwave, Inc. ("Anokiwave") in the fourth quarter of fiscal 2024. The increase in revenue from infrastructure was driven by the timing of infrastructure deployment cycles, and the increase in revenue from power management (which included our SiC-based products and products supporting solid-state drives and power tools) was driven by improved channel inventory levels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The increase in HPA operating income was driven by higher revenue and improved factory utilization, partially offset by an increase in operating expenses of $28.6 million, resulting from the acquisition of Anokiwave and higher salaries and benefits primarily associated with investments in our D&amp;A and power management businesses.</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HPA results for fiscal 2025 include $27.7 million in revenue and an operating loss of $15.3 million from the SiC power device business, which was sold in January 2025. HPA results for fiscal 2024 included $21.0 million in revenue and an operating loss of $20.1 million from the SiC power device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Connectivity and Sensors Group</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1060" w:type="dxa"/>
            <w:vAlign w:val="bottom"/>
          </w:tcPr>
          <w:p>
            <w:pPr>
              <w:jc w:val="center"/>
              <w:ind w:left="639"/>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639"/>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Dollar</w:t>
            </w:r>
          </w:p>
        </w:tc>
        <w:tc>
          <w:tcPr>
            <w:tcW w:w="1760" w:type="dxa"/>
            <w:vAlign w:val="bottom"/>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54"/>
        </w:trPr>
        <w:tc>
          <w:tcPr>
            <w:tcW w:w="4100" w:type="dxa"/>
            <w:vAlign w:val="bottom"/>
            <w:gridSpan w:val="2"/>
            <w:vMerge w:val="continue"/>
          </w:tcPr>
          <w:p>
            <w:pPr>
              <w:spacing w:after="0"/>
              <w:rPr>
                <w:sz w:val="13"/>
                <w:szCs w:val="1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760" w:type="dxa"/>
            <w:vAlign w:val="bottom"/>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6"/>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472,521</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434,537</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37,984</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180"/>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1060" w:type="dxa"/>
            <w:vAlign w:val="bottom"/>
          </w:tcPr>
          <w:p>
            <w:pPr>
              <w:spacing w:after="0"/>
              <w:rPr>
                <w:sz w:val="15"/>
                <w:szCs w:val="15"/>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(55,842)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(88,649)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32,807</w:t>
            </w:r>
          </w:p>
        </w:tc>
        <w:tc>
          <w:tcPr>
            <w:tcW w:w="100" w:type="dxa"/>
            <w:vAlign w:val="bottom"/>
          </w:tcPr>
          <w:p>
            <w:pPr>
              <w:spacing w:after="0"/>
              <w:rPr>
                <w:sz w:val="15"/>
                <w:szCs w:val="15"/>
                <w:color w:val="auto"/>
              </w:rPr>
            </w:pPr>
          </w:p>
        </w:tc>
        <w:tc>
          <w:tcPr>
            <w:tcW w:w="17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8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loss as a % of revenue</w:t>
            </w: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$38.0 million increase in CSG revenue was attributable to a $45.1 million increase in revenue for our Wi-Fi components, UWB solutions, automotive connectivity and sensing products, reflecting new product releases and improved channel inventory levels. These revenue increases were partially offset by a $7.1 million decrease in revenue from our biotechnology business, which was sold in fiscal 2024.</w:t>
      </w:r>
    </w:p>
    <w:p>
      <w:pPr>
        <w:spacing w:after="0" w:line="15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decrease in CSG operating loss was due to improved factory utilization, favorable product mix and the impact of higher revenue, partially offset by an increase in operating expenses. Research and development expenses increased $7.7 million in our automotive connectivity business related to expanding our product portfolio. Fiscal 2024 operating expenses related to our biotechnology business (which was sold in the third quarter of fiscal 2024) totaled $9.4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Advanced Cellular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420" w:type="dxa"/>
            <w:vAlign w:val="bottom"/>
          </w:tcPr>
          <w:p>
            <w:pPr>
              <w:spacing w:after="0"/>
              <w:rPr>
                <w:sz w:val="11"/>
                <w:szCs w:val="11"/>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400" w:type="dxa"/>
            <w:vAlign w:val="bottom"/>
          </w:tcPr>
          <w:p>
            <w:pPr>
              <w:spacing w:after="0"/>
              <w:rPr>
                <w:sz w:val="11"/>
                <w:szCs w:val="11"/>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340" w:type="dxa"/>
            <w:vAlign w:val="bottom"/>
          </w:tcPr>
          <w:p>
            <w:pPr>
              <w:spacing w:after="0"/>
              <w:rPr>
                <w:sz w:val="11"/>
                <w:szCs w:val="11"/>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Dollar</w:t>
            </w:r>
          </w:p>
        </w:tc>
        <w:tc>
          <w:tcPr>
            <w:tcW w:w="1740" w:type="dxa"/>
            <w:vAlign w:val="bottom"/>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53"/>
        </w:trPr>
        <w:tc>
          <w:tcPr>
            <w:tcW w:w="40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740" w:type="dxa"/>
            <w:vAlign w:val="bottom"/>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5"/>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2,609,189</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2,762,016</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(152,827)</w:t>
            </w:r>
          </w:p>
        </w:tc>
        <w:tc>
          <w:tcPr>
            <w:tcW w:w="12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Pr>
          <w:p>
            <w:pPr>
              <w:spacing w:after="0"/>
              <w:rPr>
                <w:sz w:val="15"/>
                <w:szCs w:val="15"/>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602,447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727,906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(125,459)</w:t>
            </w:r>
          </w:p>
        </w:tc>
        <w:tc>
          <w:tcPr>
            <w:tcW w:w="120" w:type="dxa"/>
            <w:vAlign w:val="bottom"/>
          </w:tcPr>
          <w:p>
            <w:pPr>
              <w:spacing w:after="0"/>
              <w:rPr>
                <w:sz w:val="15"/>
                <w:szCs w:val="15"/>
                <w:color w:val="auto"/>
              </w:rPr>
            </w:pPr>
          </w:p>
        </w:tc>
        <w:tc>
          <w:tcPr>
            <w:tcW w:w="174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8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as a % of revenue</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$152.8 million decrease in ACG revenue was driven by a mix shift among smartphone customers to lower RF content 5G smartphones. We made the decision in the third quarter of fiscal 2025 to strategically focus on opportunities in the flagship and premium tiers within the Android ecosystem and reduce our exposure in mass-market Android smartphones.</w:t>
      </w:r>
    </w:p>
    <w:p>
      <w:pPr>
        <w:spacing w:after="0" w:line="14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decrease in ACG operating income was driven by lower revenue, an increase in operating expenses of $38.9 million and average selling-price erosion. The increase in operating expenses was driven by research and development expenses, including salaries and benefits, related to developing new process technologies and expanding our product portfolio.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17 of the Notes to Consolidated Financial Statements for a reconciliation of segment operating income to the consolidated operating income for fiscal years 2025,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OTHER INCOME AND INCOME TAXES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1320" w:type="dxa"/>
            <w:vAlign w:val="bottom"/>
            <w:tcBorders>
              <w:bottom w:val="single" w:sz="8" w:color="auto"/>
            </w:tcBorders>
          </w:tcPr>
          <w:p>
            <w:pPr>
              <w:spacing w:after="0"/>
              <w:rPr>
                <w:sz w:val="13"/>
                <w:szCs w:val="13"/>
                <w:color w:val="auto"/>
              </w:rPr>
            </w:pPr>
          </w:p>
        </w:tc>
      </w:tr>
      <w:tr>
        <w:trPr>
          <w:trHeight w:val="154"/>
        </w:trPr>
        <w:tc>
          <w:tcPr>
            <w:tcW w:w="7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440" w:type="dxa"/>
            <w:vAlign w:val="bottom"/>
          </w:tcPr>
          <w:p>
            <w:pPr>
              <w:spacing w:after="0"/>
              <w:rPr>
                <w:sz w:val="13"/>
                <w:szCs w:val="13"/>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4"/>
                <w:szCs w:val="14"/>
                <w:color w:val="auto"/>
              </w:rPr>
              <w:t>(78,328)</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(69,245)</w:t>
            </w:r>
          </w:p>
        </w:tc>
      </w:tr>
      <w:tr>
        <w:trPr>
          <w:trHeight w:val="180"/>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440" w:type="dxa"/>
            <w:vAlign w:val="bottom"/>
          </w:tcPr>
          <w:p>
            <w:pPr>
              <w:spacing w:after="0"/>
              <w:rPr>
                <w:sz w:val="15"/>
                <w:szCs w:val="15"/>
                <w:color w:val="auto"/>
              </w:rPr>
            </w:pPr>
          </w:p>
        </w:tc>
        <w:tc>
          <w:tcPr>
            <w:tcW w:w="1360" w:type="dxa"/>
            <w:vAlign w:val="bottom"/>
          </w:tcPr>
          <w:p>
            <w:pPr>
              <w:jc w:val="center"/>
              <w:ind w:left="815"/>
              <w:spacing w:after="0"/>
              <w:rPr>
                <w:sz w:val="20"/>
                <w:szCs w:val="20"/>
                <w:color w:val="auto"/>
              </w:rPr>
            </w:pPr>
            <w:r>
              <w:rPr>
                <w:rFonts w:ascii="Times New Roman" w:cs="Times New Roman" w:eastAsia="Times New Roman" w:hAnsi="Times New Roman"/>
                <w:sz w:val="14"/>
                <w:szCs w:val="14"/>
                <w:color w:val="auto"/>
              </w:rPr>
              <w:t>48,700</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51,104</w:t>
            </w:r>
          </w:p>
        </w:tc>
      </w:tr>
      <w:tr>
        <w:trPr>
          <w:trHeight w:val="180"/>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4"/>
                <w:szCs w:val="14"/>
                <w:color w:val="auto"/>
              </w:rPr>
              <w:t>(10,284)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(143,882)</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During fiscal years 2025 and 2024, we recorded interest expense primarily related to the 4.375% senior notes due 2029 (the "2029 Notes"), the 3.375% senior notes due 2031 (the "2031 Notes") and the 2024 Notes. Interest expense for fiscal 2025 also includes financing costs related to certain inventory (subject to repurchase) in connection with a supply agreement. Interest expense in the preceding table for fiscal years 2025 and 2024 is net of capitalized interest of $3.9 million and $2.9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During fiscal years 2025 and 2024, we recorded interest income of $47.1 million and $38.3 million, respectively. Interest income increased in fiscal 2025 primarily due to higher cash balances. In addition, we recorded gains of $2.8 million and $9.9 million on investments in our non-qualified deferred compensation plan in fiscal years 2025 and 2024, respectively. Refer to Note 10 of the Notes to Consolidated Financial Statements for additional information regarding our non-qualified deferred compensation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Income tax expense for fiscal 2025 was $10.3 million, which was primarily comprised of tax expense related to international operations generating pre-tax book income and the impact of GILTI, partially offset by a tax benefit related to domestic and international operations generating pre-tax book losses and domestic tax credits. During fiscal 2025, we also incurred incremental tax expense associated with various restructuring initiatives. This resulted in an annual effective tax rate of 15.6% for fiscal 2025.</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Income tax expense for fiscal 2024 was $143.9 million, which was primarily comprised of tax expense related to international operations generating pre-tax book income and the impact of GILTI, offset by a tax benefit related to domestic and international operations generating pre-tax book losses and domestic tax credits. During fiscal 2024, we also incurred incremental tax expense associated with the reversal of our permanent reinvestment assertion related to a fiscal 2024 restructuring initiative. This resulted in an annual effective tax rate of 195.6% for fiscal 2024.</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March 29, 2025 and March 30, 2024, the valuation allowance against domestic and foreign deferred tax assets was $85.7 million and $43.6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13 of the Notes to Consolidated Financial Statements for additional information regarding income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20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In accordance with Accounting Standards Codification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stock-based compensation cost is measured at the grant date, based on the estimated fair value of the awards. The fair value of employee stock purchase plan awards is estimated on the date of grant using a Black-Scholes pricing model based on the historical volatility, dividend yield, term and risk-free interest rate. The fair value per unit of each restricted stock unit is determined on the grant date using market price and is recognized as expense over the requisite service period based on awards ultimately expected to vest.</w:t>
      </w:r>
    </w:p>
    <w:p>
      <w:pPr>
        <w:spacing w:after="0" w:line="1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March 29, 2025, total remaining unearned compensation cost related to unvested restricted stock units was $186.8 million, which will be amortized over the weighted-average remaining service period of approximately 1.4 years.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15 of the Notes to Consolidated Financial Statements for additional information regarding stock-based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Cash generated by operations is our primary source of liquidity. As of March 29, 2025, we had working capital of approximately $1,384.1 million, including $1,021.2 million in cash and cash equivalents, compared to working capital of approximately $1,215.9 million, including $1,029.3 million in cash and cash equivalents, as of March 30, 2024.</w:t>
      </w:r>
    </w:p>
    <w:p>
      <w:pPr>
        <w:spacing w:after="0" w:line="145"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Our $1,021.2 million of total cash and cash equivalents as of March 29, 2025, includes $848.7 million held by our foreign subsidiaries, of which $665.2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April 23, 2024, we entered into a five-year unsecured senior credit facility pursuant to a credit agreement with Bank of America, N.A., as administrative agent, swing line lender and letter of credit issuer and a syndicate of lenders (the “Credit Agreement”), which replaced our previous credit agreement.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We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During fiscal 2025, there were no borrowings under the Revolving Facility.</w:t>
      </w:r>
    </w:p>
    <w:p>
      <w:pPr>
        <w:spacing w:after="0" w:line="16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Credit Agreement contains various conditions, covenants and representations with which we must be in compliance in order to borrow funds and to avoid an event of default. As of March 29, 2025, we were in compliance with these covenants. Refer to Note 9 of the Notes to Consolidated Financial Statements for further information about the Credit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6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During fiscal years 2025, 2024 and 2023, we repurchased approximately 4.0 million shares, 4.0 million shares and 8.7 million shares of our common stock, respectively, for approximately $358.8 million, $403.0 million and $862.2 million, respectively (including transaction costs and excise tax, as applicable) under the prior and current share repurchase programs. As of March 29, 2025, approximately $948.7 million remains authorized for repurchases under the current share repurchase program.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Operating activities in fiscal 2025 generated cash of $622.2 million, compared to $833.2 million in fiscal 2024. This decrease in cash provided by operating activities was primarily due to changes in working capital. The decrease was also attributable to lower profitability when adjusted for non-cash items (which includes depreciation, intangible assets amortization, deferred income taxes, asset impairments, goodwill and intangible asset impairment, stock-based compensation expense and other non-cash items).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Net cash provided by investing activities in fiscal 2025 was $36.6 million, compared to net cash used in investing activities of $136.5 million in fiscal 2024. During fiscal 2025, we received net cash proceeds of $117.5 million from the divestiture of our SiC power device business and we received net cash proceeds of $55.6 million from the divestiture of our assembly and test operations in China. During fiscal 2024, we received proceeds of $49.5 million, primarily from the sale of our BAW manufacturing facility in Farmers Branch, Texas. Additionally, we acquired Anokiwave in fiscal 2024, resulting in net cash outflows of $83.0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Net cash used in financing activities in fiscal 2025 was $684.4 million, compared to net cash used in financing activities of $459.6 million in fiscal 2024. During fiscal 2025, we received net proceeds of $130.2 million from Luxshare for inventory (subject to repurchase) in connection with our supply agreement (refer to Note 4 of the Notes to Consolidated Financial Statements for additional information), and we repaid $439.1 million of the principal amount of our 2024 Notes, which matured in December 2024. During fiscal 2024, we repurchased $58.3 million of the principal amount of our 2024 Notes.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202"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4"/>
          <w:szCs w:val="14"/>
          <w:color w:val="auto"/>
        </w:rPr>
        <w:t>The following table summarizes our significant contractual obligations and commitments (in thousands) as of March 29, 2025, and the effect such obligations are expected to have on our liquidity and cash flows in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Payments Due By Fiscal Period</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 Payments</w:t>
            </w:r>
          </w:p>
        </w:tc>
        <w:tc>
          <w:tcPr>
            <w:tcW w:w="340" w:type="dxa"/>
            <w:vAlign w:val="bottom"/>
          </w:tcPr>
          <w:p>
            <w:pPr>
              <w:spacing w:after="0"/>
              <w:rPr>
                <w:sz w:val="13"/>
                <w:szCs w:val="13"/>
                <w:color w:val="auto"/>
              </w:rPr>
            </w:pPr>
          </w:p>
        </w:tc>
        <w:tc>
          <w:tcPr>
            <w:tcW w:w="1080" w:type="dxa"/>
            <w:vAlign w:val="bottom"/>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2027-2028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2029-2030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2031 and thereafter</w:t>
            </w:r>
          </w:p>
        </w:tc>
      </w:tr>
      <w:tr>
        <w:trPr>
          <w:trHeight w:val="17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Capital commitments </w:t>
            </w:r>
            <w:r>
              <w:rPr>
                <w:rFonts w:ascii="Times New Roman" w:cs="Times New Roman" w:eastAsia="Times New Roman" w:hAnsi="Times New Roman"/>
                <w:sz w:val="7"/>
                <w:szCs w:val="7"/>
                <w:color w:val="auto"/>
              </w:rPr>
              <w:t>(1)</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95,132</w:t>
            </w: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82,646</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Purchase obligations </w:t>
            </w:r>
            <w:r>
              <w:rPr>
                <w:rFonts w:ascii="Times New Roman" w:cs="Times New Roman" w:eastAsia="Times New Roman" w:hAnsi="Times New Roman"/>
                <w:sz w:val="7"/>
                <w:szCs w:val="7"/>
                <w:color w:val="auto"/>
              </w:rPr>
              <w:t>(2)</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522,097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484,742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69,251</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28,339</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w:t>
            </w:r>
          </w:p>
        </w:tc>
      </w:tr>
      <w:tr>
        <w:trPr>
          <w:trHeight w:val="18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Long-term debt obligations </w:t>
            </w:r>
            <w:r>
              <w:rPr>
                <w:rFonts w:ascii="Times New Roman" w:cs="Times New Roman" w:eastAsia="Times New Roman" w:hAnsi="Times New Roman"/>
                <w:sz w:val="7"/>
                <w:szCs w:val="7"/>
                <w:color w:val="auto"/>
              </w:rPr>
              <w:t>(3)</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1,889,499</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60,813</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133,437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959,813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735,436</w:t>
            </w:r>
          </w:p>
        </w:tc>
      </w:tr>
      <w:tr>
        <w:trPr>
          <w:trHeight w:val="196"/>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2,575,979</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646,899</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211,617</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970,671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746,792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right="240" w:firstLine="5"/>
        <w:spacing w:after="0" w:line="258" w:lineRule="auto"/>
        <w:tabs>
          <w:tab w:leader="none" w:pos="1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commitments represent obligations for the purchase of equipment and software, a majority of which are not recorded as liabilities in our Consolidated Balance Sheet because we had not received the related goods or services as of March 29, 2025.</w:t>
      </w:r>
    </w:p>
    <w:p>
      <w:pPr>
        <w:ind w:right="160" w:firstLine="5"/>
        <w:spacing w:after="0"/>
        <w:tabs>
          <w:tab w:leader="none" w:pos="1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obligations represent payments due related to the purchase of materials and manufacturing services, a majority of which are not recorded as liabilities in our Consolidated Balance Sheet because we had not received the related goods or services as of March 29, 2025.</w:t>
      </w:r>
    </w:p>
    <w:p>
      <w:pPr>
        <w:spacing w:after="0" w:line="1" w:lineRule="exact"/>
        <w:rPr>
          <w:rFonts w:ascii="Times New Roman" w:cs="Times New Roman" w:eastAsia="Times New Roman" w:hAnsi="Times New Roman"/>
          <w:sz w:val="13"/>
          <w:szCs w:val="13"/>
          <w:color w:val="auto"/>
        </w:rPr>
      </w:pPr>
    </w:p>
    <w:p>
      <w:pPr>
        <w:jc w:val="both"/>
        <w:ind w:right="520" w:firstLine="5"/>
        <w:spacing w:after="0" w:line="254" w:lineRule="auto"/>
        <w:tabs>
          <w:tab w:leader="none" w:pos="1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Long-term debt obligations represent future cash payments of principal and interest over the life of the 2029 Notes and the 2031 Notes, including anticipated interest payments not recorded as liabilities in our Consolidated Balance Sheet as of March 29, 2025. Debt obligations are presented based on their stated maturity date, and any future redemptions would impact our cash payments. Refer to Note 9 of the Notes to Consolidated Financial Statements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Contractual Obligations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As of March 29, 2025, in addition to the amounts shown in the contractual obligations table above, we have $49.5 million of unrecognized income tax benefits and accrued interest and penalties which have been recorded as a liability. We are uncertain as to if, or when, such amounts may be settled.</w:t>
      </w:r>
    </w:p>
    <w:p>
      <w:pPr>
        <w:spacing w:after="0" w:line="14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discussed in Note 10 of the Notes to Consolidated Financial Statements, we have two pension plans in Germany with a combined benefit obligation of approximately $9.2 million as of March 29, 2025. Pension benefit payments are not included in the schedule above due to the uncertainty regarding the amount and timing of any future cash outflows. Pension benefit payments were approximately $0.4 million in fiscal 2025 and are expected to be approximately $0.4 million in fiscal 2026.</w:t>
      </w:r>
    </w:p>
    <w:p>
      <w:pPr>
        <w:spacing w:after="0" w:line="15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also offer a non-qualified deferred compensation plan to eligible participants to defer and invest a specified percentage of their cash compensation. We record an obligation under the plan for the distributions to be made to participants upon certain triggering events. Although participants are required to make distribution elections at the time of enrollment, the amount and timing of any future cash outflows is uncertain until such triggering events occur. The total deferred compensation obligation as of March 29, 2025 was $58.4 million, of which $2.9 million is estimated to be paid in fiscal 2026. Refer to Note 10 of the Notes to Consolidated Financial Statements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PARENT AND GUARANTOR FINANCIAL INFORMATION</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accordance with the indentures governing the 2029 Notes and the 2031 Notes (together, the "Notes"), our obligations under the Notes are fully and unconditionally guaranteed on a joint and several unsecured basis by certain of our U.S. subsidiaries (the "Guarantors"), which are listed on Exhibit 22 to this Annual Report on Form 10-K. Each Guarantor is 100% owned, directly or indirectly, by Qorvo, Inc. (the "Parent"). A Guarantor can be released in certain customary circumstances. Our other U.S. subsidiaries and our non-U.S. subsidiaries do not guarantee the Notes (such subsidiaries are referred to as the "Non-Guarantors").</w:t>
      </w:r>
    </w:p>
    <w:p>
      <w:pPr>
        <w:spacing w:after="0" w:line="1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may not necessarily be indicative of the financial position and results of operations had the combined Parent and Guarantors operated independently from the Non-Guarantors.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bl>
      <w:tblPr>
        <w:tblLayout w:type="fixed"/>
        <w:tblInd w:w="20" w:type="dxa"/>
        <w:tblCellMar>
          <w:top w:w="0" w:type="dxa"/>
          <w:left w:w="0" w:type="dxa"/>
          <w:bottom w:w="0" w:type="dxa"/>
          <w:right w:w="0" w:type="dxa"/>
        </w:tblCellMar>
      </w:tblPr>
      <w:tr>
        <w:trPr>
          <w:trHeight w:val="151"/>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300" w:type="dxa"/>
            <w:vAlign w:val="bottom"/>
          </w:tcPr>
          <w:p>
            <w:pPr>
              <w:spacing w:after="0"/>
              <w:rPr>
                <w:sz w:val="13"/>
                <w:szCs w:val="13"/>
                <w:color w:val="auto"/>
              </w:rPr>
            </w:pPr>
          </w:p>
        </w:tc>
        <w:tc>
          <w:tcPr>
            <w:tcW w:w="1440" w:type="dxa"/>
            <w:vAlign w:val="bottom"/>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March 30, 2024</w:t>
            </w:r>
          </w:p>
        </w:tc>
      </w:tr>
      <w:tr>
        <w:trPr>
          <w:trHeight w:val="163"/>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180"/>
        </w:trPr>
        <w:tc>
          <w:tcPr>
            <w:tcW w:w="76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Current assets </w:t>
            </w:r>
            <w:r>
              <w:rPr>
                <w:rFonts w:ascii="Times New Roman" w:cs="Times New Roman" w:eastAsia="Times New Roman" w:hAnsi="Times New Roman"/>
                <w:sz w:val="18"/>
                <w:szCs w:val="18"/>
                <w:color w:val="auto"/>
                <w:vertAlign w:val="superscript"/>
              </w:rPr>
              <w:t>(1)</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827,998</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803,900</w:t>
            </w:r>
          </w:p>
        </w:tc>
      </w:tr>
      <w:tr>
        <w:trPr>
          <w:trHeight w:val="18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2,338,086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2,311,618</w:t>
            </w:r>
          </w:p>
        </w:tc>
      </w:tr>
      <w:tr>
        <w:trPr>
          <w:trHeight w:val="212"/>
        </w:trPr>
        <w:tc>
          <w:tcPr>
            <w:tcW w:w="7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270,634</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727,138</w:t>
            </w:r>
          </w:p>
        </w:tc>
      </w:tr>
      <w:tr>
        <w:trPr>
          <w:trHeight w:val="180"/>
        </w:trPr>
        <w:tc>
          <w:tcPr>
            <w:tcW w:w="76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Long-term liabilities </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2,408,648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2,306,883</w:t>
            </w:r>
          </w:p>
        </w:tc>
      </w:tr>
    </w:tbl>
    <w:p>
      <w:pPr>
        <w:spacing w:after="0" w:line="127" w:lineRule="exact"/>
        <w:rPr>
          <w:sz w:val="20"/>
          <w:szCs w:val="20"/>
          <w:color w:val="auto"/>
        </w:rPr>
      </w:pPr>
    </w:p>
    <w:p>
      <w:pPr>
        <w:ind w:left="180" w:hanging="175"/>
        <w:spacing w:after="0"/>
        <w:tabs>
          <w:tab w:leader="none" w:pos="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net amounts due from Non-Guarantor subsidiaries of $259.4 million and $129.8 million as of March 29, 2025 and March 30, 2024, respectively.</w:t>
      </w:r>
    </w:p>
    <w:p>
      <w:pPr>
        <w:spacing w:after="0" w:line="15"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net amounts due to Non-Guarantor subsidiaries of $687.6 million and $597.3 million as of March 29, 2025 and March 30, 2024, respectively.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Summarized Statement of Operations</w:t>
      </w:r>
    </w:p>
    <w:tbl>
      <w:tblPr>
        <w:tblLayout w:type="fixed"/>
        <w:tblInd w:w="20" w:type="dxa"/>
        <w:tblCellMar>
          <w:top w:w="0" w:type="dxa"/>
          <w:left w:w="0" w:type="dxa"/>
          <w:bottom w:w="0" w:type="dxa"/>
          <w:right w:w="0" w:type="dxa"/>
        </w:tblCellMar>
      </w:tblPr>
      <w:tr>
        <w:trPr>
          <w:trHeight w:val="151"/>
        </w:trPr>
        <w:tc>
          <w:tcPr>
            <w:tcW w:w="9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Fiscal 2025</w:t>
            </w:r>
          </w:p>
        </w:tc>
      </w:tr>
      <w:tr>
        <w:trPr>
          <w:trHeight w:val="174"/>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1,187,319</w:t>
            </w:r>
          </w:p>
        </w:tc>
      </w:tr>
      <w:tr>
        <w:trPr>
          <w:trHeight w:val="180"/>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305,109</w:t>
            </w:r>
          </w:p>
        </w:tc>
      </w:tr>
      <w:tr>
        <w:trPr>
          <w:trHeight w:val="180"/>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(224,075)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materially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Refer to Note 1 of the Notes to Consolidated Financial Statements.</w:t>
      </w:r>
    </w:p>
    <w:p>
      <w:pPr>
        <w:spacing w:after="0" w:line="16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Inventory Reserves. </w:t>
      </w:r>
      <w:r>
        <w:rPr>
          <w:rFonts w:ascii="Times New Roman" w:cs="Times New Roman" w:eastAsia="Times New Roman" w:hAnsi="Times New Roman"/>
          <w:sz w:val="14"/>
          <w:szCs w:val="14"/>
          <w:color w:val="auto"/>
        </w:rPr>
        <w:t>The valuation of inventory requires us to estimate obsolete or excess inventory. The determination of obsolete or excess inventory requires us to estimate the future demand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products within specific time horizons, generally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 Historically, inventory reserves have fluctuated as new technologies have been introduced and customers’ demand has shifted.</w:t>
      </w:r>
    </w:p>
    <w:p>
      <w:pPr>
        <w:spacing w:after="0" w:line="16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These valuations and estimates require significant judgment. If actual results are not consistent with our estimates or assumptions, we may be exposed to an impairment charge that could materially adversely impact our consolidated financial position and results of operations.</w:t>
      </w:r>
    </w:p>
    <w:p>
      <w:pPr>
        <w:spacing w:after="0" w:line="143"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Acquisitions. </w:t>
      </w:r>
      <w:r>
        <w:rPr>
          <w:rFonts w:ascii="Times New Roman" w:cs="Times New Roman" w:eastAsia="Times New Roman" w:hAnsi="Times New Roman"/>
          <w:sz w:val="14"/>
          <w:szCs w:val="14"/>
          <w:color w:val="auto"/>
        </w:rPr>
        <w:t>We allocate the fair value of the purchase price to the assets acquired and liabilities assumed based on their estimated fair value. The excess of the purchase price over the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values of the identifiable assets and liabilities is recorded to goodwill. Goodwill is assigned to the reporting unit that is expected to benefit from the synergies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A number of significant assumptions, estimates and judgments are used in determining the fair value of acquired assets and liabilities, particularly with respect to the intangible assets acquired. The valuation of intangible assets requires the use of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15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After the measurement period, any purchase price adjustments are recorded to the income statement.</w:t>
      </w:r>
    </w:p>
    <w:p>
      <w:pPr>
        <w:spacing w:after="0" w:line="15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Impairment Testing. </w:t>
      </w:r>
      <w:r>
        <w:rPr>
          <w:rFonts w:ascii="Times New Roman" w:cs="Times New Roman" w:eastAsia="Times New Roman" w:hAnsi="Times New Roman"/>
          <w:sz w:val="14"/>
          <w:szCs w:val="14"/>
          <w:color w:val="auto"/>
        </w:rPr>
        <w:t>In accordance with ASC 350,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goodwill is not amortized but is subject to impairment testing at least annually or when an event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occurs or circumstances change that indicate it is more likely than not an impairment exists. Management tests goodwill for impairment at the reporting unit level.</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As required by our policy, goodwill is tested for impairment on the first day of our fourth quarter of each fiscal year, or when there is evidence that events or changes in circumstances indicate it is more likely than not that the fair value of a reporting unit is less than its carrying amount, including goodwill. We may first assess qualitative factors for each reporting unit to determine whether it is necessary to perform a quantitative goodwill impairment test. In performing qualitative assessments, we consider the following factors which could trigger a goodwill impairment review: (i) significant underperformance relative to historical or projected future operating results; (ii) significant changes in the manner or our use of the acquired assets or the strategy for our overall business;</w:t>
      </w:r>
    </w:p>
    <w:p>
      <w:pPr>
        <w:spacing w:after="0" w:line="1" w:lineRule="exact"/>
        <w:rPr>
          <w:sz w:val="20"/>
          <w:szCs w:val="20"/>
          <w:color w:val="auto"/>
        </w:rPr>
      </w:pPr>
    </w:p>
    <w:p>
      <w:pPr>
        <w:ind w:right="280" w:firstLine="5"/>
        <w:spacing w:after="0" w:line="266" w:lineRule="auto"/>
        <w:tabs>
          <w:tab w:leader="none" w:pos="24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negative industry or economic trends; (iv) a significant decline in our stock price for a sustained period; and (v) a significant change in our market capitalization relative to our net book value.</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Our quantitative assessments generally consider both the income and market approaches to estimate the fair value of each reporting unit. Inherent in the fair value determinations are significant judgments and estimates, including assumptions about future revenue, profitability and cash flows, discount rates used to determine the present value of future cash flows, our operational plans and our interpretation of current economic indicators and market valuations. The income approach is based on the discounted cash flow method that uses estimates of the reporting units’ revenue growth rates and operating margins as part of our long-term planning process, taking into consideration historical data and industry and market conditions. The discount rate used to determine the present value of future cash flows is based on the weighted-average cost of capital adjusted for the relevant risk associated with business-specific characteristics and the uncertainty related to the ability to execute on the projected cash flows. The market approach estimates fair value based on market multiples of revenue and earnings derived from comparable publicly traded companies with similar operating and investment characteristics.</w:t>
      </w:r>
    </w:p>
    <w:p>
      <w:pPr>
        <w:spacing w:after="0" w:line="16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If the carrying value of a reporting unit (including the value of goodwill) is greater than its estimated fair value, an impairment charge would be recorded for the amount that the carrying amount of the reporting unit exceeded its fair value, up to the total amount of goodwill allocated to that reporting unit.</w:t>
      </w:r>
    </w:p>
    <w:p>
      <w:pPr>
        <w:spacing w:after="0" w:line="14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the second quarter of fiscal 2025, our decision to sell our SiC power device business (a reporting unit within the HPA segment) resulted in a goodwill impairment charge of approximately $96.5 million, representing the entire goodwill of this reporting unit.</w:t>
      </w:r>
    </w:p>
    <w:p>
      <w:pPr>
        <w:spacing w:after="0" w:line="1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Our fiscal 2025 annual assessment was performed using a qualitative approach as of the first day of our fourth quarter (December 29, 2024) on our five reporting units with a remaining goodwill balance. Based on our fiscal 2025 qualitative assessment, we concluded there were no events or circumstances that indicated it was more likely than not that the fair value of each reporting unit was less than its respective carrying value. Subsequently in March 2025, we revised the long-term forecasts for our MEMS-based sensing solutions business due to slower than</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expected market adoption of this technology into mobile handsets as compared to previous assumptions. As part of ongoing efforts to focus on opportunities that align with long-term profitability objectives, we began to seek strategic alternatives related to our MEMS-based sensing solutions business, which constitutes a reporting unit within the CSG segment. Given the future funding requirements necessary to further develop these solutions and achieve the desired results, we decided not to invest further in this business. Therefore, we determined that there was a more-likely-than-not expectation of divesting this reporting unit, and impairment testing was triggered. The impairment testing resulted in a goodwill impairment charge of approximately $47.8 million, representing the entire remaining goodwill of this reporting unit.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6 of the Notes to Consolidated Financial Statements for additional information regarding our goodwill.</w:t>
      </w:r>
    </w:p>
    <w:p>
      <w:pPr>
        <w:spacing w:after="0" w:line="198"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Identified Intangible Assets. </w:t>
      </w:r>
      <w:r>
        <w:rPr>
          <w:rFonts w:ascii="Times New Roman" w:cs="Times New Roman" w:eastAsia="Times New Roman" w:hAnsi="Times New Roman"/>
          <w:sz w:val="14"/>
          <w:szCs w:val="14"/>
          <w:color w:val="auto"/>
        </w:rPr>
        <w:t>We amortize definite-lived intangible assets (including developed technology, customer relationships, technology licenses and trade names) on a straight-line basis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their estimated useful lives. Upon completion of development, in-process R&amp;D assets are transferred to developed technology and are amortized over their useful lives. The asset balances relating to abandoned projects are impaired and expensed to R&amp;D.</w:t>
      </w:r>
    </w:p>
    <w:p>
      <w:pPr>
        <w:spacing w:after="0" w:line="15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evaluate definite-lived intangible assets for impairment to determine whether facts and circumstances indicate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 When measuring impairment, we make significant assumptions and apply judgment in estimating future cash flows and asset fair values, including annual revenue growth rates and a terminal year growth rate that reflects the inherent risk in future cash flows. If actual results are not consistent with our estimates or assumptions, we may be exposed to an impairment charge that could materially adversely impact our consolidated financial position and results of operations.</w:t>
      </w:r>
    </w:p>
    <w:p>
      <w:pPr>
        <w:spacing w:after="0" w:line="1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the second quarter of fiscal 2025, our decision to sell our SiC power device business (a reporting unit within the HPA segment) resulted in an intangible asset impairment charge of $16.6 million. In March 2025, we revised the long-term forecasts for our MEMS-based sensing solutions business due to slower than expected market adoption of this technology into mobile handsets as compared to previous assumptions. As part of ongoing efforts to focus on opportunities that align with long-term profitability objectives, we began to seek strategic alternatives related to our MEMS-based sensing solutions business. Given the future funding requirements necessary to further develop these solutions and achieve the desired results, we decided not to invest further in this business. Therefore, we determined that there was a more-likely-than-not expectation of divesting this reporting unit, and impairment testing was triggered. The impairment testing resulted in an intangible asset impairment charge of approximately $31.7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6 of the Notes to Consolidated Financial Statements for additional information regarding our identified intangible assets.</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auto"/>
        </w:rPr>
        <w:t>Revenue is recognized when control of the promised goods or services is transferred to our customers, in an amount that reflects the consideration we expect to be entitled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exchange for those goods or services. A majority of our revenue is recognized at a point in time, either on shipment or delivery of the product, depending on individual customer terms and conditions.</w:t>
      </w:r>
    </w:p>
    <w:p>
      <w:pPr>
        <w:spacing w:after="0" w:line="143"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5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revenue recognition accounting methodology contains uncertainties because it requires us to make significant estimates and assumptions and to apply judgment. For example, for arrangements that have multiple performance obligations, we must exercise judgment and use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selling-price basis; and (4) determine whether revenue for each performance obligation should be recognized at a point in time or over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were to change any of these judgments or estimates, it could cause a material increase or decrease in the amount of revenue or deferred revenue that we report in a particular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1 of the Notes to Consolidated Financial Statements for a complete discussion of our revenue recognition policies.</w:t>
      </w:r>
    </w:p>
    <w:p>
      <w:pPr>
        <w:spacing w:after="0" w:line="198" w:lineRule="exact"/>
        <w:rPr>
          <w:sz w:val="20"/>
          <w:szCs w:val="20"/>
          <w:color w:val="auto"/>
        </w:rPr>
      </w:pPr>
    </w:p>
    <w:p>
      <w:pPr>
        <w:ind w:right="6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In determining income for financial statement purposes, we must make certain estimates and judgments in the calculation of tax expense, the resultant tax liabilities and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recoverability of deferred tax assets that arise from temporary differences between the tax and financial statement recognition of revenue and expense.</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assess the likelihood that our deferred tax assets can be recovered, recording a reserve in the form of a valuation allowance if the deferred tax assets are ultimately estimated to not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Refer to Note 13 of the Notes to Consolidated Financial Statements for additional information regarding changes in the valuation allowance and net deferred tax assets.</w:t>
      </w:r>
    </w:p>
    <w:p>
      <w:pPr>
        <w:spacing w:after="0" w:line="16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Refer to Note 13 of the Notes to Consolidated Financial Statements for additional information regarding our uncertain tax positions and the amount of unrecognized tax benefits.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Risk Management</w:t>
      </w:r>
    </w:p>
    <w:p>
      <w:pPr>
        <w:spacing w:after="0" w:line="202"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The primary objective of our financial risk management activities is to reduce the negative financial impact resulting from changes in interest rates, foreign currency exchange rates and commodity prices (the "Underlying Exposures"). We manage these Underlying Exposures through operational means and balance sheet management, as well as through the use of various financial instruments when deemed appropriate. The method and extent to which we are able to reduce the financial impact related to the Underlying Exposures may vary over time. Similarly, there can be no assurance that our financial risk management activities will be successful in mitigating the financial impact resulting from movements in the Underlying Exposures.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may be exposed to interest rate risk via the terms of the Revolving Facility. If the Revolving Facility were to be drawn, it would bear interest at a variable rate. Refer to Note 9 of the Notes to Consolidated Financial Statements for further information. As of March 29, 2025, we did not have any outstanding borrowings under the Revolving Facility.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Rate Risk</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Central America and Europe, and a significant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Renminbi and Singapore Dollar. If the U.S. dollar weakens compared to these and other currencies, our operating expenses for foreign operations will be higher when remeasured back into U.S. dollars. We seek to manage our foreign currency exchange risk in part through operational means.</w:t>
      </w:r>
    </w:p>
    <w:p>
      <w:pPr>
        <w:spacing w:after="0" w:line="16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For fiscal 2025, we incurred a foreign currency loss of $0.3 million as compared to a gain of $0.4 million in fiscal 2024, which is recorded in "Other income, net" in the Consolidated Statements of Operations.</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financial instrument holdings, including foreign receivables, cash and payables at March 29, 2025,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$1.5 million in fiscal 2025. If the U.S. dollar increased in value 10% in relation to the re-measured foreign currency instruments, our net income would have increased by approximately $1.2 million in fiscal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Commodity Price Risk</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commodity-related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6000" w:type="dxa"/>
            <w:vAlign w:val="bottom"/>
          </w:tcPr>
          <w:p>
            <w:pPr>
              <w:spacing w:after="0"/>
              <w:rPr>
                <w:sz w:val="16"/>
                <w:szCs w:val="16"/>
                <w:color w:val="auto"/>
              </w:rPr>
            </w:pPr>
          </w:p>
        </w:tc>
        <w:tc>
          <w:tcPr>
            <w:tcW w:w="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6000" w:type="dxa"/>
            <w:vAlign w:val="bottom"/>
          </w:tcPr>
          <w:p>
            <w:pPr>
              <w:spacing w:after="0"/>
              <w:rPr>
                <w:sz w:val="13"/>
                <w:szCs w:val="13"/>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0000FF"/>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2760" w:type="dxa"/>
            <w:vAlign w:val="bottom"/>
            <w:gridSpan w:val="6"/>
          </w:tcPr>
          <w:p>
            <w:pPr>
              <w:spacing w:after="0"/>
              <w:rPr>
                <w:sz w:val="13"/>
                <w:szCs w:val="13"/>
                <w:color w:val="auto"/>
              </w:rPr>
            </w:pPr>
          </w:p>
        </w:tc>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(Loss)</w:t>
            </w:r>
          </w:p>
        </w:tc>
        <w:tc>
          <w:tcPr>
            <w:tcW w:w="1640" w:type="dxa"/>
            <w:vAlign w:val="bottom"/>
            <w:gridSpan w:val="2"/>
          </w:tcPr>
          <w:p>
            <w:pPr>
              <w:spacing w:after="0"/>
              <w:rPr>
                <w:sz w:val="13"/>
                <w:szCs w:val="13"/>
                <w:color w:val="auto"/>
              </w:rPr>
            </w:pPr>
          </w:p>
        </w:tc>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600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00" w:type="dxa"/>
            <w:vAlign w:val="bottom"/>
            <w:tcBorders>
              <w:top w:val="single" w:sz="8" w:color="0000FF"/>
            </w:tcBorders>
            <w:gridSpan w:val="2"/>
          </w:tcPr>
          <w:p>
            <w:pPr>
              <w:spacing w:after="0"/>
              <w:rPr>
                <w:sz w:val="13"/>
                <w:szCs w:val="13"/>
                <w:color w:val="auto"/>
              </w:rPr>
            </w:pPr>
          </w:p>
        </w:tc>
        <w:tc>
          <w:tcPr>
            <w:tcW w:w="2220" w:type="dxa"/>
            <w:vAlign w:val="bottom"/>
            <w:gridSpan w:val="3"/>
          </w:tcPr>
          <w:p>
            <w:pPr>
              <w:spacing w:after="0"/>
              <w:rPr>
                <w:sz w:val="13"/>
                <w:szCs w:val="13"/>
                <w:color w:val="auto"/>
              </w:rPr>
            </w:pPr>
          </w:p>
        </w:tc>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500" w:type="dxa"/>
            <w:vAlign w:val="bottom"/>
            <w:gridSpan w:val="4"/>
          </w:tcPr>
          <w:p>
            <w:pPr>
              <w:spacing w:after="0"/>
              <w:rPr>
                <w:sz w:val="13"/>
                <w:szCs w:val="13"/>
                <w:color w:val="auto"/>
              </w:rPr>
            </w:pPr>
          </w:p>
        </w:tc>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Reports of Independent Registered Public Accounting Firm</w:t>
            </w:r>
          </w:p>
        </w:tc>
        <w:tc>
          <w:tcPr>
            <w:tcW w:w="6000" w:type="dxa"/>
            <w:vAlign w:val="bottom"/>
          </w:tcPr>
          <w:p>
            <w:pPr>
              <w:jc w:val="right"/>
              <w:ind w:right="3469"/>
              <w:spacing w:after="0"/>
              <w:rPr>
                <w:sz w:val="20"/>
                <w:szCs w:val="20"/>
                <w:color w:val="auto"/>
              </w:rPr>
            </w:pPr>
            <w:r>
              <w:rPr>
                <w:rFonts w:ascii="Times New Roman" w:cs="Times New Roman" w:eastAsia="Times New Roman" w:hAnsi="Times New Roman"/>
                <w:sz w:val="14"/>
                <w:szCs w:val="14"/>
                <w:color w:val="auto"/>
              </w:rPr>
              <w:t>PCAOB ID: 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7"/>
        </w:trPr>
        <w:tc>
          <w:tcPr>
            <w:tcW w:w="20" w:type="dxa"/>
            <w:vAlign w:val="bottom"/>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20" w:type="dxa"/>
            <w:vAlign w:val="bottom"/>
          </w:tcPr>
          <w:p>
            <w:pPr>
              <w:spacing w:after="0"/>
              <w:rPr>
                <w:sz w:val="24"/>
                <w:szCs w:val="24"/>
                <w:color w:val="auto"/>
              </w:rPr>
            </w:pPr>
          </w:p>
        </w:tc>
        <w:tc>
          <w:tcPr>
            <w:tcW w:w="6000" w:type="dxa"/>
            <w:vAlign w:val="bottom"/>
          </w:tcPr>
          <w:p>
            <w:pPr>
              <w:jc w:val="right"/>
              <w:ind w:right="5209"/>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6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7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320" w:type="dxa"/>
            <w:vAlign w:val="bottom"/>
          </w:tcPr>
          <w:p>
            <w:pPr>
              <w:spacing w:after="0"/>
              <w:rPr>
                <w:sz w:val="13"/>
                <w:szCs w:val="13"/>
                <w:color w:val="auto"/>
              </w:rPr>
            </w:pP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March 30, 2024</w:t>
            </w:r>
          </w:p>
        </w:tc>
      </w:tr>
      <w:tr>
        <w:trPr>
          <w:trHeight w:val="170"/>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1,021,176</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1,029,258</w:t>
            </w:r>
          </w:p>
        </w:tc>
      </w:tr>
      <w:tr>
        <w:trPr>
          <w:trHeight w:val="180"/>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 of allowance of $309 and $313 as of March 29, 2025 and March 30, 2024, respectively</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386,719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412,960</w:t>
            </w: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640,992</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710,555</w:t>
            </w:r>
          </w:p>
        </w:tc>
      </w:tr>
      <w:tr>
        <w:trPr>
          <w:trHeight w:val="180"/>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40,563</w:t>
            </w: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receivables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11,023</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14,427</w:t>
            </w:r>
          </w:p>
        </w:tc>
      </w:tr>
      <w:tr>
        <w:trPr>
          <w:trHeight w:val="180"/>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74,557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78,993</w:t>
            </w: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Assets of disposal group held for sale</w:t>
            </w:r>
          </w:p>
        </w:tc>
        <w:tc>
          <w:tcPr>
            <w:tcW w:w="3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159,278</w:t>
            </w:r>
          </w:p>
        </w:tc>
      </w:tr>
      <w:tr>
        <w:trPr>
          <w:trHeight w:val="17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2,167,275</w:t>
            </w: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2,446,034</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801,895</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870,982</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2,389,741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2,534,601</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273,478</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509,383</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23,252</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277,309</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170,383</w:t>
            </w:r>
          </w:p>
        </w:tc>
      </w:tr>
      <w:tr>
        <w:trPr>
          <w:trHeight w:val="17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5,933,131</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6,554,635</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42"/>
        </w:trPr>
        <w:tc>
          <w:tcPr>
            <w:tcW w:w="7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260,663</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252,993</w:t>
            </w:r>
          </w:p>
        </w:tc>
      </w:tr>
      <w:tr>
        <w:trPr>
          <w:trHeight w:val="180"/>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liabilities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287,981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336,767</w:t>
            </w: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438,740</w:t>
            </w:r>
          </w:p>
        </w:tc>
      </w:tr>
      <w:tr>
        <w:trPr>
          <w:trHeight w:val="180"/>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234,538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113,215</w:t>
            </w: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Liabilities of disposal group held for sale</w:t>
            </w:r>
          </w:p>
        </w:tc>
        <w:tc>
          <w:tcPr>
            <w:tcW w:w="3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88,372</w:t>
            </w:r>
          </w:p>
        </w:tc>
      </w:tr>
      <w:tr>
        <w:trPr>
          <w:trHeight w:val="17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783,182</w:t>
            </w: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1,230,087</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1,549,215</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1,549,272</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208,422</w:t>
            </w: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218,904</w:t>
            </w:r>
          </w:p>
        </w:tc>
      </w:tr>
      <w:tr>
        <w:trPr>
          <w:trHeight w:val="17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2,540,819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2,998,263</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Commitments and contingent liabilities </w:t>
            </w:r>
            <w:r>
              <w:rPr>
                <w:rFonts w:ascii="Times New Roman" w:cs="Times New Roman" w:eastAsia="Times New Roman" w:hAnsi="Times New Roman"/>
                <w:sz w:val="14"/>
                <w:szCs w:val="14"/>
                <w:i w:val="1"/>
                <w:iCs w:val="1"/>
                <w:color w:val="auto"/>
              </w:rPr>
              <w:t>(Note 11)</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 $.0001 par value; 5,000 shares authorized; no shares issued and outstanding</w:t>
            </w:r>
          </w:p>
        </w:tc>
        <w:tc>
          <w:tcPr>
            <w:tcW w:w="320" w:type="dxa"/>
            <w:vAlign w:val="bottom"/>
          </w:tcPr>
          <w:p>
            <w:pPr>
              <w:spacing w:after="0"/>
              <w:rPr>
                <w:sz w:val="15"/>
                <w:szCs w:val="15"/>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716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Common stock and additional paid-in capital, $.0001 par value; 405,000 shares authorized; 92,920 and 95,798 shares</w:t>
            </w:r>
          </w:p>
        </w:tc>
        <w:tc>
          <w:tcPr>
            <w:tcW w:w="3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91"/>
        </w:trPr>
        <w:tc>
          <w:tcPr>
            <w:tcW w:w="7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issued and outstanding at March 29, 2025 and March 30, 2024, respectively</w:t>
            </w: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3,431,308</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3,651,067</w:t>
            </w:r>
          </w:p>
        </w:tc>
      </w:tr>
      <w:tr>
        <w:trPr>
          <w:trHeight w:val="180"/>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(5,097)</w:t>
            </w:r>
          </w:p>
        </w:tc>
      </w:tr>
      <w:tr>
        <w:trPr>
          <w:trHeight w:val="180"/>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(33,983)</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(89,598)</w:t>
            </w:r>
          </w:p>
        </w:tc>
      </w:tr>
      <w:tr>
        <w:trPr>
          <w:trHeight w:val="171"/>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3,392,312</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3,556,372</w:t>
            </w:r>
          </w:p>
        </w:tc>
      </w:tr>
      <w:tr>
        <w:trPr>
          <w:trHeight w:val="19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5,933,131</w:t>
            </w:r>
          </w:p>
        </w:tc>
        <w:tc>
          <w:tcPr>
            <w:tcW w:w="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6,554,635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3,718,971</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3,769,506</w:t>
            </w:r>
          </w:p>
        </w:tc>
        <w:tc>
          <w:tcPr>
            <w:tcW w:w="20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3,569,399</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2,183,382</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2,281,011</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2,272,457</w:t>
            </w:r>
          </w:p>
        </w:tc>
      </w:tr>
      <w:tr>
        <w:trPr>
          <w:trHeight w:val="171"/>
        </w:trPr>
        <w:tc>
          <w:tcPr>
            <w:tcW w:w="6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1,535,589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1,488,495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1,296,942</w:t>
            </w:r>
          </w:p>
        </w:tc>
      </w:tr>
      <w:tr>
        <w:trPr>
          <w:trHeight w:val="202"/>
        </w:trPr>
        <w:tc>
          <w:tcPr>
            <w:tcW w:w="6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747,709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682,249</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649,841</w:t>
            </w:r>
          </w:p>
        </w:tc>
      </w:tr>
      <w:tr>
        <w:trPr>
          <w:trHeight w:val="180"/>
        </w:trPr>
        <w:tc>
          <w:tcPr>
            <w:tcW w:w="6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Marketing and selling</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231,912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217,273</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210,690</w:t>
            </w:r>
          </w:p>
        </w:tc>
      </w:tr>
      <w:tr>
        <w:trPr>
          <w:trHeight w:val="180"/>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171,712</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171,867</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148,100</w:t>
            </w:r>
          </w:p>
        </w:tc>
      </w:tr>
      <w:tr>
        <w:trPr>
          <w:trHeight w:val="180"/>
        </w:trPr>
        <w:tc>
          <w:tcPr>
            <w:tcW w:w="6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Goodwill and intangible asset impairment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192,569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221,414</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12,411</w:t>
            </w:r>
          </w:p>
        </w:tc>
      </w:tr>
      <w:tr>
        <w:trPr>
          <w:trHeight w:val="180"/>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operating expense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96,160</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103,991</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92,732</w:t>
            </w:r>
          </w:p>
        </w:tc>
      </w:tr>
      <w:tr>
        <w:trPr>
          <w:trHeight w:val="17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1,440,062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1,396,794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1,113,774</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95,527</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91,701</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183,168</w:t>
            </w:r>
          </w:p>
        </w:tc>
      </w:tr>
      <w:tr>
        <w:trPr>
          <w:trHeight w:val="202"/>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(78,328)</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(69,245)</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(68,463)</w:t>
            </w:r>
          </w:p>
        </w:tc>
      </w:tr>
      <w:tr>
        <w:trPr>
          <w:trHeight w:val="18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48,700</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51,104</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9,924</w:t>
            </w: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65,899</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73,560</w:t>
            </w:r>
          </w:p>
        </w:tc>
        <w:tc>
          <w:tcPr>
            <w:tcW w:w="2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124,629</w:t>
            </w:r>
          </w:p>
        </w:tc>
      </w:tr>
      <w:tr>
        <w:trPr>
          <w:trHeight w:val="182"/>
        </w:trPr>
        <w:tc>
          <w:tcPr>
            <w:tcW w:w="6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(10,284)</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(143,882)</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(21,477)</w:t>
            </w:r>
          </w:p>
        </w:tc>
      </w:tr>
      <w:tr>
        <w:trPr>
          <w:trHeight w:val="17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(70,322)</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103,152</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6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5"/>
        </w:trPr>
        <w:tc>
          <w:tcPr>
            <w:tcW w:w="6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4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0.58</w:t>
            </w: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(0.72)</w:t>
            </w:r>
          </w:p>
        </w:tc>
        <w:tc>
          <w:tcPr>
            <w:tcW w:w="200" w:type="dxa"/>
            <w:vAlign w:val="bottom"/>
          </w:tcPr>
          <w:p>
            <w:pPr>
              <w:spacing w:after="0"/>
              <w:rPr>
                <w:sz w:val="12"/>
                <w:szCs w:val="12"/>
                <w:color w:val="auto"/>
              </w:rPr>
            </w:pPr>
          </w:p>
        </w:tc>
        <w:tc>
          <w:tcPr>
            <w:tcW w:w="36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6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of common stock outstanding:</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5"/>
        </w:trPr>
        <w:tc>
          <w:tcPr>
            <w:tcW w:w="6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94,586</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97,557</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102,206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4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95,450</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97,557</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103,019</w:t>
            </w:r>
          </w:p>
        </w:tc>
      </w:tr>
      <w:tr>
        <w:trPr>
          <w:trHeight w:val="20"/>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6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(70,322)</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103,152</w:t>
            </w:r>
          </w:p>
        </w:tc>
      </w:tr>
      <w:tr>
        <w:trPr>
          <w:trHeight w:val="16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pension liability</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r>
      <w:tr>
        <w:trPr>
          <w:trHeight w:val="138"/>
        </w:trPr>
        <w:tc>
          <w:tcPr>
            <w:tcW w:w="660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Foreign currency translation adjustment, including intra-entity foreign currency transactions that are of a long-</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91"/>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term investment nature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(10,254)</w:t>
            </w:r>
          </w:p>
        </w:tc>
      </w:tr>
      <w:tr>
        <w:trPr>
          <w:trHeight w:val="18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adjustments, net of tax:</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gain realized upon liquidation of subsidiary</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pension actuarial (gain) loss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(8,407)</w:t>
            </w: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55,699</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(72,244)</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36"/>
        </w:trPr>
        <w:tc>
          <w:tcPr>
            <w:tcW w:w="3940" w:type="dxa"/>
            <w:vAlign w:val="bottom"/>
          </w:tcPr>
          <w:p>
            <w:pPr>
              <w:spacing w:after="0"/>
              <w:rPr>
                <w:sz w:val="11"/>
                <w:szCs w:val="11"/>
                <w:color w:val="auto"/>
              </w:rPr>
            </w:pPr>
          </w:p>
        </w:tc>
        <w:tc>
          <w:tcPr>
            <w:tcW w:w="18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gridSpan w:val="2"/>
            <w:vMerge w:val="restart"/>
          </w:tcPr>
          <w:p>
            <w:pPr>
              <w:jc w:val="center"/>
              <w:ind w:right="280"/>
              <w:spacing w:after="0" w:line="96"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4"/>
                <w:szCs w:val="4"/>
                <w:color w:val="auto"/>
              </w:rPr>
            </w:pPr>
          </w:p>
        </w:tc>
        <w:tc>
          <w:tcPr>
            <w:tcW w:w="1380" w:type="dxa"/>
            <w:vAlign w:val="bottom"/>
            <w:gridSpan w:val="2"/>
            <w:vMerge w:val="restart"/>
          </w:tcPr>
          <w:p>
            <w:pPr>
              <w:jc w:val="center"/>
              <w:ind w:right="300"/>
              <w:spacing w:after="0" w:line="96" w:lineRule="exact"/>
              <w:rPr>
                <w:sz w:val="20"/>
                <w:szCs w:val="20"/>
                <w:color w:val="auto"/>
              </w:rPr>
            </w:pPr>
            <w:r>
              <w:rPr>
                <w:rFonts w:ascii="Times New Roman" w:cs="Times New Roman" w:eastAsia="Times New Roman" w:hAnsi="Times New Roman"/>
                <w:sz w:val="11"/>
                <w:szCs w:val="11"/>
                <w:b w:val="1"/>
                <w:bCs w:val="1"/>
                <w:color w:val="auto"/>
              </w:rPr>
              <w:t>(Accumulated Deficit)</w:t>
            </w: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line="20" w:lineRule="exact"/>
              <w:rPr>
                <w:sz w:val="1"/>
                <w:szCs w:val="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vMerge w:val="restart"/>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4"/>
        </w:trPr>
        <w:tc>
          <w:tcPr>
            <w:tcW w:w="39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April 2,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w:t>
            </w: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4,035,849</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512,137</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4,553,218</w:t>
            </w:r>
          </w:p>
        </w:tc>
        <w:tc>
          <w:tcPr>
            <w:tcW w:w="0" w:type="dxa"/>
            <w:vAlign w:val="bottom"/>
          </w:tcPr>
          <w:p>
            <w:pPr>
              <w:spacing w:after="0"/>
              <w:rPr>
                <w:sz w:val="1"/>
                <w:szCs w:val="1"/>
                <w:color w:val="auto"/>
              </w:rPr>
            </w:pPr>
          </w:p>
        </w:tc>
      </w:tr>
      <w:tr>
        <w:trPr>
          <w:trHeight w:val="180"/>
        </w:trPr>
        <w:tc>
          <w:tcPr>
            <w:tcW w:w="3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103,152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103,152</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0" w:type="dxa"/>
            <w:vAlign w:val="bottom"/>
          </w:tcPr>
          <w:p>
            <w:pPr>
              <w:spacing w:after="0"/>
              <w:rPr>
                <w:sz w:val="1"/>
                <w:szCs w:val="1"/>
                <w:color w:val="auto"/>
              </w:rPr>
            </w:pPr>
          </w:p>
        </w:tc>
      </w:tr>
      <w:tr>
        <w:trPr>
          <w:trHeight w:val="138"/>
        </w:trPr>
        <w:tc>
          <w:tcPr>
            <w:tcW w:w="394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Exercise of stock options and vesting of restricted stock units,</w:t>
            </w: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of shares withheld for employee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w:t>
            </w: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30,169</w:t>
            </w:r>
          </w:p>
        </w:tc>
        <w:tc>
          <w:tcPr>
            <w:tcW w:w="0" w:type="dxa"/>
            <w:vAlign w:val="bottom"/>
          </w:tcPr>
          <w:p>
            <w:pPr>
              <w:spacing w:after="0"/>
              <w:rPr>
                <w:sz w:val="1"/>
                <w:szCs w:val="1"/>
                <w:color w:val="auto"/>
              </w:rPr>
            </w:pPr>
          </w:p>
        </w:tc>
      </w:tr>
      <w:tr>
        <w:trPr>
          <w:trHeight w:val="138"/>
        </w:trPr>
        <w:tc>
          <w:tcPr>
            <w:tcW w:w="394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Repurchase of common stock, including transaction costs and</w:t>
            </w: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excise tax</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(331,406)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(530,794)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(862,200)</w:t>
            </w: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107,709</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April 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98,649</w:t>
            </w:r>
          </w:p>
        </w:tc>
        <w:tc>
          <w:tcPr>
            <w:tcW w:w="16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3,821,474</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84,495</w:t>
            </w:r>
          </w:p>
        </w:tc>
        <w:tc>
          <w:tcPr>
            <w:tcW w:w="1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3,902,794</w:t>
            </w: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(70,322)</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(70,322)</w:t>
            </w:r>
          </w:p>
        </w:tc>
        <w:tc>
          <w:tcPr>
            <w:tcW w:w="0" w:type="dxa"/>
            <w:vAlign w:val="bottom"/>
          </w:tcPr>
          <w:p>
            <w:pPr>
              <w:spacing w:after="0"/>
              <w:rPr>
                <w:sz w:val="1"/>
                <w:szCs w:val="1"/>
                <w:color w:val="auto"/>
              </w:rPr>
            </w:pPr>
          </w:p>
        </w:tc>
      </w:tr>
      <w:tr>
        <w:trPr>
          <w:trHeight w:val="180"/>
        </w:trPr>
        <w:tc>
          <w:tcPr>
            <w:tcW w:w="3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Exercise of stock options and vesting of restricted stock units,</w:t>
            </w:r>
          </w:p>
        </w:tc>
        <w:tc>
          <w:tcPr>
            <w:tcW w:w="1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of shares withheld for employee taxes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(25,787)</w:t>
            </w:r>
          </w:p>
        </w:tc>
        <w:tc>
          <w:tcPr>
            <w:tcW w:w="0" w:type="dxa"/>
            <w:vAlign w:val="bottom"/>
          </w:tcPr>
          <w:p>
            <w:pPr>
              <w:spacing w:after="0"/>
              <w:rPr>
                <w:sz w:val="1"/>
                <w:szCs w:val="1"/>
                <w:color w:val="auto"/>
              </w:rPr>
            </w:pPr>
          </w:p>
        </w:tc>
      </w:tr>
      <w:tr>
        <w:trPr>
          <w:trHeight w:val="138"/>
        </w:trPr>
        <w:tc>
          <w:tcPr>
            <w:tcW w:w="394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35,045</w:t>
            </w: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Repurchase of common stock, including transaction costs and</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excise tax</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(299,204)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(103,771)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(402,975)</w:t>
            </w:r>
          </w:p>
        </w:tc>
        <w:tc>
          <w:tcPr>
            <w:tcW w:w="0" w:type="dxa"/>
            <w:vAlign w:val="bottom"/>
          </w:tcPr>
          <w:p>
            <w:pPr>
              <w:spacing w:after="0"/>
              <w:rPr>
                <w:sz w:val="1"/>
                <w:szCs w:val="1"/>
                <w:color w:val="auto"/>
              </w:rPr>
            </w:pPr>
          </w:p>
        </w:tc>
      </w:tr>
      <w:tr>
        <w:trPr>
          <w:trHeight w:val="180"/>
        </w:trPr>
        <w:tc>
          <w:tcPr>
            <w:tcW w:w="3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119,539</w:t>
            </w:r>
          </w:p>
        </w:tc>
        <w:tc>
          <w:tcPr>
            <w:tcW w:w="0" w:type="dxa"/>
            <w:vAlign w:val="bottom"/>
          </w:tcPr>
          <w:p>
            <w:pPr>
              <w:spacing w:after="0"/>
              <w:rPr>
                <w:sz w:val="1"/>
                <w:szCs w:val="1"/>
                <w:color w:val="auto"/>
              </w:rPr>
            </w:pPr>
          </w:p>
        </w:tc>
      </w:tr>
      <w:tr>
        <w:trPr>
          <w:trHeight w:val="17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30,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95,798</w:t>
            </w:r>
          </w:p>
        </w:tc>
        <w:tc>
          <w:tcPr>
            <w:tcW w:w="1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3,651,067</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(89,598)</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3,556,372</w:t>
            </w:r>
          </w:p>
        </w:tc>
        <w:tc>
          <w:tcPr>
            <w:tcW w:w="0" w:type="dxa"/>
            <w:vAlign w:val="bottom"/>
          </w:tcPr>
          <w:p>
            <w:pPr>
              <w:spacing w:after="0"/>
              <w:rPr>
                <w:sz w:val="1"/>
                <w:szCs w:val="1"/>
                <w:color w:val="auto"/>
              </w:rPr>
            </w:pPr>
          </w:p>
        </w:tc>
      </w:tr>
      <w:tr>
        <w:trPr>
          <w:trHeight w:val="171"/>
        </w:trPr>
        <w:tc>
          <w:tcPr>
            <w:tcW w:w="3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38"/>
        </w:trPr>
        <w:tc>
          <w:tcPr>
            <w:tcW w:w="394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Exercise of stock options and vesting of restricted stock units,</w:t>
            </w: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of shares withheld for employee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(31,214)</w:t>
            </w: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34,234</w:t>
            </w:r>
          </w:p>
        </w:tc>
        <w:tc>
          <w:tcPr>
            <w:tcW w:w="0" w:type="dxa"/>
            <w:vAlign w:val="bottom"/>
          </w:tcPr>
          <w:p>
            <w:pPr>
              <w:spacing w:after="0"/>
              <w:rPr>
                <w:sz w:val="1"/>
                <w:szCs w:val="1"/>
                <w:color w:val="auto"/>
              </w:rPr>
            </w:pPr>
          </w:p>
        </w:tc>
      </w:tr>
      <w:tr>
        <w:trPr>
          <w:trHeight w:val="138"/>
        </w:trPr>
        <w:tc>
          <w:tcPr>
            <w:tcW w:w="394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Repurchase of common stock, including transaction costs and</w:t>
            </w: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excise tax</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(358,761)</w:t>
            </w: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135,982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135,982</w:t>
            </w: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29,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92,920</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3,431,308</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(33,983)</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3,392,312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73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16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(70,322)</w:t>
            </w:r>
          </w:p>
        </w:tc>
        <w:tc>
          <w:tcPr>
            <w:tcW w:w="1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103,152</w:t>
            </w: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193,035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206,423</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amortization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133,614</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127,898</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132,425</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(84,737)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(66,145)</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impairments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36,715</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227,101</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 and intangible asset impairment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192,569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221,414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12,411</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136,346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120,834</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105,580</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25,299</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(105,776)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264,781</w:t>
            </w:r>
          </w:p>
        </w:tc>
      </w:tr>
      <w:tr>
        <w:trPr>
          <w:trHeight w:val="180"/>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92,909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(81,450)</w:t>
            </w:r>
          </w:p>
        </w:tc>
      </w:tr>
      <w:tr>
        <w:trPr>
          <w:trHeight w:val="180"/>
        </w:trPr>
        <w:tc>
          <w:tcPr>
            <w:tcW w:w="7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43,240</w:t>
            </w:r>
          </w:p>
        </w:tc>
      </w:tr>
      <w:tr>
        <w:trPr>
          <w:trHeight w:val="180"/>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89,139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(115,495)</w:t>
            </w:r>
          </w:p>
        </w:tc>
      </w:tr>
      <w:tr>
        <w:trPr>
          <w:trHeight w:val="180"/>
        </w:trPr>
        <w:tc>
          <w:tcPr>
            <w:tcW w:w="7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130,979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(17,613)</w:t>
            </w:r>
          </w:p>
        </w:tc>
      </w:tr>
      <w:tr>
        <w:trPr>
          <w:trHeight w:val="180"/>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payable and receivable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(33,240)</w:t>
            </w:r>
          </w:p>
        </w:tc>
      </w:tr>
      <w:tr>
        <w:trPr>
          <w:trHeight w:val="180"/>
        </w:trPr>
        <w:tc>
          <w:tcPr>
            <w:tcW w:w="7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(50,354)</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36,762</w:t>
            </w:r>
          </w:p>
        </w:tc>
      </w:tr>
      <w:tr>
        <w:trPr>
          <w:trHeight w:val="17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622,202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833,189</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843,231</w:t>
            </w: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(137,600)</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(127,230)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(158,953)</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49,548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businesses, net of cash acquired</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(82,974)</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sales of businesses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173,117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r>
      <w:tr>
        <w:trPr>
          <w:trHeight w:val="171"/>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(136,470)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(153,409)</w:t>
            </w: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and repurchase of debt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proceeds from sale of inventory subject to repurchase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130,204</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common stock, including transaction costs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(356,336)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(400,054)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(861,751)</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36,918</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32,507</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withholding paid on behalf of employees for restricted stock units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(23,415)</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(23,597)</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(11,018)</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171"/>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(684,362)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(459,574)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(853,353)</w:t>
            </w: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71"/>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240,315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(163,862)</w:t>
            </w: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1,049,258</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808,943</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972,805</w:t>
            </w:r>
          </w:p>
        </w:tc>
      </w:tr>
      <w:tr>
        <w:trPr>
          <w:trHeight w:val="171"/>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end of the period</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1,021,176</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1,049,258</w:t>
            </w: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808,943</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7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1,021,176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1,029,258</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808,757</w:t>
            </w: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included in "Other current assets" and "Other non-current assets"</w:t>
            </w: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96"/>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1,021,176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808,943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during the year for interest, net of amounts capitalized</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76,336</w:t>
            </w:r>
          </w:p>
        </w:tc>
        <w:tc>
          <w:tcPr>
            <w:tcW w:w="16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55,270</w:t>
            </w:r>
          </w:p>
        </w:tc>
        <w:tc>
          <w:tcPr>
            <w:tcW w:w="1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66,115</w:t>
            </w:r>
          </w:p>
        </w:tc>
      </w:tr>
      <w:tr>
        <w:trPr>
          <w:trHeight w:val="18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during the year for income taxes, net of refunds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87,256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105,788</w:t>
            </w:r>
          </w:p>
        </w:tc>
      </w:tr>
      <w:tr>
        <w:trPr>
          <w:trHeight w:val="184"/>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liabilities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65,221</w:t>
            </w:r>
          </w:p>
        </w:tc>
        <w:tc>
          <w:tcPr>
            <w:tcW w:w="16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70,127</w:t>
            </w:r>
          </w:p>
        </w:tc>
        <w:tc>
          <w:tcPr>
            <w:tcW w:w="16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33,107</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March 29,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THE COMPANY AND ITS SIGNIFICANT ACCOUNTING POLICIES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Qorvo, Inc. (the "Company" or "Qorvo") is a global leader in the development and commercialization of technologies and products for wireless, wired and power markets. Qorvo was formed as the result of a business combination (the "Business Combination") of RF Micro Devices, Inc. and TriQuint Semiconductor, Inc. ("TriQuint"), which closed on January 1, 2015.</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design expertise and manufacturing capabilities span multiple process technologies. In fiscal 2025, the Company's primary wafer fabrication facilities were in North Carolina, Oregon and Texas, and its primary assembly and test facilities were in Costa Rica, Germany and Texas. The Company also sources products and materials through external suppliers. The Company operates design, sales and other manufacturing facilities throughout Asia, Europe and North America.</w:t>
      </w:r>
    </w:p>
    <w:p>
      <w:pPr>
        <w:spacing w:after="0" w:line="157" w:lineRule="exact"/>
        <w:rPr>
          <w:sz w:val="20"/>
          <w:szCs w:val="20"/>
          <w:color w:val="auto"/>
        </w:rPr>
      </w:pPr>
    </w:p>
    <w:p>
      <w:pPr>
        <w:jc w:val="both"/>
        <w:ind w:right="140"/>
        <w:spacing w:after="0" w:line="287" w:lineRule="auto"/>
        <w:rPr>
          <w:sz w:val="20"/>
          <w:szCs w:val="20"/>
          <w:color w:val="auto"/>
        </w:rPr>
      </w:pPr>
      <w:r>
        <w:rPr>
          <w:rFonts w:ascii="Times New Roman" w:cs="Times New Roman" w:eastAsia="Times New Roman" w:hAnsi="Times New Roman"/>
          <w:sz w:val="14"/>
          <w:szCs w:val="14"/>
          <w:color w:val="auto"/>
        </w:rPr>
        <w:t>The Company is organized into three operating and reportable segments that align technologies and applications with customers and end markets: High Performance Analog ("HPA"), Connectivity and Sensors Group ("CSG") and Advanced Cellular Group ("ACG").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Basis of Presentation</w:t>
      </w:r>
    </w:p>
    <w:p>
      <w:pPr>
        <w:spacing w:after="0" w:line="20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wholly-owned subsidiaries. All significant intercompany accounts and transactions have been eliminated in consolidation. Certain prior period amounts have been reclassified to conform to the fiscal 2025 presentation.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Periods</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Company uses a 52- or 53-week fiscal year ending on the Saturday closest to March 31 of each year. Approximately every five to six years, the Company reports a 53-week fiscal year to align with the foregoing policy. The most recent three fiscal years ended on March 29, 2025, March 30, 2024 and April 1, 2023. Fiscal years 2025, 2024, and 2023 were 52-week years, with each fiscal quarter consisting of 13 weeks.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U.S. generally accepted accounting principles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tax-related contingencies, valuation of long-lived and intangible assets, other contingencies and litigation, among others. The Company generally bases its estimates on historical experience, expected future conditions and third-party evaluations. Actual results could differ materially from these estimates, and such differences could affect the results of operations reported in future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consist of demand deposit accounts, money market funds and other short-term, highly liquid investments with original maturities of three months or less when purchased.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invests in limited partnerships which are accounted for using the equity method. These equity method investments are classified as "Long-term investments" in the Consolidated Balance Sheets. The Company records its share of the financial results of the limited partnerships in "Other income, net"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also invests in other privately held entities. These investments are measured using the most appropriate valuation methodology based on the specific characteristics of the security and are classified as "Long-term investments" in the Consolidated Balance Sheets.</w:t>
      </w:r>
    </w:p>
    <w:p>
      <w:pPr>
        <w:spacing w:after="0" w:line="1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Company assesses its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spacing w:after="0" w:line="157"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includes instruments for which inputs are quoted prices in active markets for identical assets or liabilities that the Company has the ability to access.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includes instruments for which the inputs are other than quoted prices that are observable for the asset or liability, either directly or indirectly.</w:t>
      </w:r>
    </w:p>
    <w:p>
      <w:pPr>
        <w:spacing w:after="0" w:line="19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 Goodwill and intangible assets are adjusted to fair value after initial recognition only if an impairment charge is recognized, which is generally determined using a discounted cash flow model based on significant unobservable inputs (Level 3).</w:t>
      </w:r>
    </w:p>
    <w:p>
      <w:pPr>
        <w:spacing w:after="0" w:line="15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carrying values of cash, cash equivalents and restricted cash, accounts receivable, accounts payable and other accrued liabilities approximate fair values because of the relatively short-term maturities of these instruments.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 xml:space="preserve">Inventories are stated at the lower of cost or net realizable value (cost is based on standard cost, which approximates actual average cost). Cost includes labor, materials and manufacturing overhead related to the purchase and production of inventories. In accordance with Accounting Standards Codification ("ASC") 330, </w:t>
      </w:r>
      <w:r>
        <w:rPr>
          <w:rFonts w:ascii="Times New Roman" w:cs="Times New Roman" w:eastAsia="Times New Roman" w:hAnsi="Times New Roman"/>
          <w:sz w:val="14"/>
          <w:szCs w:val="14"/>
          <w:i w:val="1"/>
          <w:iCs w:val="1"/>
          <w:color w:val="auto"/>
        </w:rPr>
        <w:t>"Inventory" ("</w:t>
      </w:r>
      <w:r>
        <w:rPr>
          <w:rFonts w:ascii="Times New Roman" w:cs="Times New Roman" w:eastAsia="Times New Roman" w:hAnsi="Times New Roman"/>
          <w:sz w:val="14"/>
          <w:szCs w:val="14"/>
          <w:color w:val="auto"/>
        </w:rPr>
        <w:t>ASC 330"), abnormal manufacturing costs are charged to "Cost of goods sold" in the Consolidated Statements of Operations in the period incurred rather than as a portion of inventory cost.</w:t>
      </w:r>
    </w:p>
    <w:p>
      <w:pPr>
        <w:spacing w:after="0" w:line="1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Product-specific facts and circumstances reviewed in the inventory valuation process include a review of the customer base, market conditions and customer acceptance of the Company's products and technologies, as well as an assessment of the selling price in relation to the product cost. In the event the Company sells inventory that had been covered by a specific inventory reserve, the sale is recorded at the actual selling price and the related cost of goods sold is recorded at the full inventory cost, net of the reserve.</w:t>
      </w:r>
    </w:p>
    <w:p>
      <w:pPr>
        <w:spacing w:after="0" w:line="16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In connection with an ongoing supply agreement, legal title to inventory sold by the Company to Luxshare Precision Industry Co., Ltd. ("Luxshare") resides with Luxshare. In accordance with ASC 606 </w:t>
      </w:r>
      <w:r>
        <w:rPr>
          <w:rFonts w:ascii="Times New Roman" w:cs="Times New Roman" w:eastAsia="Times New Roman" w:hAnsi="Times New Roman"/>
          <w:sz w:val="14"/>
          <w:szCs w:val="14"/>
          <w:i w:val="1"/>
          <w:iCs w:val="1"/>
          <w:color w:val="auto"/>
        </w:rPr>
        <w:t>"Revenue from Contracts with</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Customers" </w:t>
      </w:r>
      <w:r>
        <w:rPr>
          <w:rFonts w:ascii="Times New Roman" w:cs="Times New Roman" w:eastAsia="Times New Roman" w:hAnsi="Times New Roman"/>
          <w:sz w:val="14"/>
          <w:szCs w:val="14"/>
          <w:color w:val="auto"/>
        </w:rPr>
        <w:t>("ASC 606"), the Company will continue to recognize the inventory on its balance sheet and record a financial liability (which is included in "Other current liabilities" in the 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 Sheet) equal to the cash received by the Company attributable to the inventory subject to repurchase. Changes in the amount outstanding under the supply agreement related to inventory subject to repurchase are included in cash flows from financing activities in the Consolidated Statement of Cash Flows. In accordance with ASC 330, the Company capitalizes costs incurred by Luxshare to enhance the inventory by increasing its carrying value on the Company’s balance sheet and recognizing a corresponding liability. Cash paid for inventory enhancements is included in cash flows from operating activities in the Consolidated Statement of Cash Flows. Financing costs related to inventory subject to repurchase are included in "Interest expense" in the Consolidated Statement of Operations. Refer to Note 4 for additional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Warranty</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Company generally sells products with a limited warranty against defects in materials and workmanship and non-conformance to applicable specifications. The majority of the Company’s product warranty claims are settled through the return of the defective product and the shipment of replacement product. Accruals are estimated based upon both historical experience as well as specifically identified claims. If there is a significant increase in the rate of customer claims compared with the Company's historical experience or if the Company's estimates of probable losses relating to specifically identified warranty exposures require revision, the Company may record a charge against future cost of sales. Product warranty accruals and related expenses were immaterial for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of property and equipment is computed using the straight-line method over the estimated useful lives of the assets, ranging from one to 39 years. The Company capitalizes interest on borrowings related to eligible capital expenditures. Capitalized interest is added to the cost of qualified assets and depreciated together with the asset cost. The Company’s assets acquired under finance leases and leasehold improvements are amortized over the lesser of the asset life or lease term (which is reasonably assured) and included in depreciation. The Company records capital-related government grants earned as a reduction to property and equipment and depreciates the net asset over the estimated useful lives of the associated assets.</w:t>
      </w:r>
    </w:p>
    <w:p>
      <w:pPr>
        <w:spacing w:after="0" w:line="16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1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of those assets, if any, is based on the excess of the carrying amount over the fair value less costs to sell.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Right-of-use assets and lease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options to extend or terminate the lease when it is reasonably certain such options will be exercised. To the extent that the Company's agreements have variable lease payments, 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from the balance sheet leases with an initial term of 12 months or less. The Company assesses right-of-use assets for impairment in accordance with its long-lived asset impairment policy.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Acquisitions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157"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14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 Testing</w:t>
      </w:r>
    </w:p>
    <w:p>
      <w:pPr>
        <w:spacing w:after="0" w:line="20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In accordance with ASC 350,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("ASC 350"), goodwill is not amortized, but rather is reviewed for impairment at the reporting unit level on the first day of the Company's fourth quarter of each fiscal year, or when there is evidence that events or changes in circumstances indicate it is more likely than not that the fair value of a reporting unit is less than its carrying amount, including goodwill.</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Under ASC 350, the Company has the option to first assess qualitatively whether it is more likely than not that the fair value of a reporting unit is less than its carrying amount, including goodwill. In performing qualitative assessments, the Company considers the following factors which could trigger a goodwill impairment review: (i) significant underperformance relative to historical or projected future operating results; (ii) significant changes in the manner or use of the acquired assets or the strategy for the Company's overall business; (iii) significant negative industry or economic trends; (iv) a significant decline in the Company's stock price for a sustained period; and (v) a significant change in the Company's market capitalization relative to its net book value.</w:t>
      </w:r>
    </w:p>
    <w:p>
      <w:pPr>
        <w:spacing w:after="0" w:line="16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If qualitative assessments conclude that it is more likely than not that the fair value of any reporting unit is less than its carrying value, quantitative assessments are performed on the applicable reporting units. The quantitative assessments may consider both the income and market approaches to estimate the fair value of a reporting unit. The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income approach is based on the discounted cash flow method that uses estimates of the reporting unit's revenue growth rates and operating margins as part of the Company's long-term planning process, taking into consideration historical data and industry and market conditions. The discount rate used to determine the present value of future cash flows is based on the weighted-average cost of capital adjusted for the relevant risk associated with business-specific characteristics and the uncertainty related to the ability to execute on the projected cash flows. The market approach estimates fair value based on market multiples of revenue and earnings derived from comparable publicly traded companies with similar operating and investment characteristics.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Identified Intangible Assets</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amortizes definite-lived intangible assets (including developed technology, customer relationships, technology licenses and trade names) on a straight-line basis over their estimated useful lives. In-process research and development ("IPRD") assets represent the fair value of incomplete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spacing w:after="0" w:line="16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The Company evaluates definite-lived intangible assets for impairment in accordance with ASC 360-10-35, "</w:t>
      </w:r>
      <w:r>
        <w:rPr>
          <w:rFonts w:ascii="Times New Roman" w:cs="Times New Roman" w:eastAsia="Times New Roman" w:hAnsi="Times New Roman"/>
          <w:sz w:val="14"/>
          <w:szCs w:val="14"/>
          <w:i w:val="1"/>
          <w:iCs w:val="1"/>
          <w:color w:val="auto"/>
        </w:rPr>
        <w:t>Impairment or Disposal of Long-Lived Assets</w:t>
      </w:r>
      <w:r>
        <w:rPr>
          <w:rFonts w:ascii="Times New Roman" w:cs="Times New Roman" w:eastAsia="Times New Roman" w:hAnsi="Times New Roman"/>
          <w:sz w:val="14"/>
          <w:szCs w:val="14"/>
          <w:color w:val="auto"/>
        </w:rPr>
        <w:t>"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are recognized in the period in which the impairment determination was made.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less than 4% of overall revenue. The Company applies a five-step approach, as defined in ASC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7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approximately 10% of net revenue in fiscal 2025.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reserves for product returns and allowances, rebate programs and scrap allowance based on historical experience or specific identification depending on the contractual terms of the arrangement.</w:t>
      </w:r>
    </w:p>
    <w:p>
      <w:pPr>
        <w:spacing w:after="0" w:line="200"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There have been no material impairment losses on accounts receivable for fiscal years 2025, 2024 or 2023. Contract assets and contract liabilities recorded in the Consolidated Balance Sheets were immaterial as of March 29, 2025 and March 30, 2024.</w:t>
      </w:r>
    </w:p>
    <w:p>
      <w:pPr>
        <w:spacing w:after="0" w:line="16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The Company invoices customers upon shipment and recognizes revenue in accordance with delivery terms. As of March 29, 2025, the Company had $114.9 million in remaining unsatisfied performance obligations with an original duration greater than one year, of which the majority is expected to be recognized as income over the next 12 months.</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includes shipping charges billed to customers in "Revenue" and includes the related shipping costs in "Cost of goods sold" in the Consolidated Statements of Operations. Taxes assessed by government authorities on revenue-producing transactions, including tariffs, value-added taxes and excise taxes, are excluded from revenue in the Consolidated Statements of Operations.</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incurs commission expense that is incremental to obtaining contracts with customers. Sales commissions (which are recorded in the "Marketing and selling"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charges all research and development ("R&amp;D") costs to expense as incurred.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16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A more-likely-than-not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4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Company recognizes a deferred tax liability for income taxes on unremitted foreign earnings of foreign subsidiaries which the Company intends to repatriate. If the Company asserts that such earnings will be permanently reinvested, a deferred tax liability is not recognized related to such earnings. It is the Company’s intent to repatriate all previously taxed earnings of foreign subsidiaries from outside the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("ASC 718"), stock-based compensation cost is measured at the grant date, based on the estimated fair value of the awards. The fair value of employee stock purchase plan awards is estimated on the date of grant using a Black-Scholes pricing model based on the historical volatility, dividend yield, term and risk-free interest rate. The fair value per unit of each restricted stock unit is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determined on the grant date using market price and is recognized as expense over the requisite service period based on awards ultimately expected to vest.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20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financial statements of foreign subsidiaries have been translated into U.S. dollars in accordance with ASC 830, "</w:t>
      </w:r>
      <w:r>
        <w:rPr>
          <w:rFonts w:ascii="Times New Roman" w:cs="Times New Roman" w:eastAsia="Times New Roman" w:hAnsi="Times New Roman"/>
          <w:sz w:val="14"/>
          <w:szCs w:val="14"/>
          <w:i w:val="1"/>
          <w:iCs w:val="1"/>
          <w:color w:val="auto"/>
        </w:rPr>
        <w:t>Foreign Currency Matters.</w:t>
      </w:r>
      <w:r>
        <w:rPr>
          <w:rFonts w:ascii="Times New Roman" w:cs="Times New Roman" w:eastAsia="Times New Roman" w:hAnsi="Times New Roman"/>
          <w:sz w:val="14"/>
          <w:szCs w:val="14"/>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 and expenses are translated using the weighted-average exchange rates throughout the year. Translation adjustments are shown separately as a component of "Accumulated other comprehensive loss" within "Stockholders’ equity" in the Consolidated Balance Sheets. Foreign currency transaction gains or losses (transactions denominated in a currency other than the functional currency) are reported in "Other income, net" in the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Financial Information</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"Accrued liabilities" balance as of March 29, 2025 includes accrued compensation and benefits of $89.7 million and accrued rebates of $77.9 million. The "Accrued liabilities" balance as of March 30, 2024 includes accrued compensation and benefits of $116.0 million and accrued rebates of $106.9 million.</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"Other current liabilities" balance as of March 29, 2025 includes a liability of $130.2 million for inventory subject to repurchase in connection with a supply agreement and income taxes payable of $54.7 million. The "Other current liabilities" balance as of March 30, 2024 includes income taxes payable of $59.9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includes $47.1 million, $38.3 million and $21.1 million of interest income in fiscal years 2025,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(the "FASB") issued Accounting Standards Update ("ASU") 2023-07, </w:t>
      </w:r>
      <w:r>
        <w:rPr>
          <w:rFonts w:ascii="Times New Roman" w:cs="Times New Roman" w:eastAsia="Times New Roman" w:hAnsi="Times New Roman"/>
          <w:sz w:val="14"/>
          <w:szCs w:val="14"/>
          <w:i w:val="1"/>
          <w:iCs w:val="1"/>
          <w:color w:val="auto"/>
        </w:rPr>
        <w:t>"Segment Reporting (Topic 280): Improvements to Reportable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Segment Disclosures"</w:t>
      </w:r>
      <w:r>
        <w:rPr>
          <w:rFonts w:ascii="Times New Roman" w:cs="Times New Roman" w:eastAsia="Times New Roman" w:hAnsi="Times New Roman"/>
          <w:sz w:val="14"/>
          <w:szCs w:val="14"/>
          <w:color w:val="auto"/>
        </w:rPr>
        <w:t>, which requires enhanced disclosures related to significant segment expenses. The Company adopted this standard for the year ended March 29, 2025 retrospectively for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periods presented in the financial statements. Refer to Note 17 for additional information.</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(“ASU 2023-09”), which requires enhanced disclosures related to income taxes. The amendments in this ASU require a public entity to disclose specified additional information in its income tax rate reconciliation and to provide additional information for reconciling items that meet a quantitative threshold. The amendments in this ASU will also require the Company to disaggregate its taxes paid disclosure by federal, state and foreign taxes, with further disaggregation required for significant individual jurisdictions. The provisions of ASU 2023-09 are effective for fiscal years beginning after December 15, 2024, with early adoption permitted. The Company is currently evaluating the effect this new standard will have on its fiscal 2026 disclosures.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CONCENTRATIONS OF CREDIT RISK</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customer-specific factors. The Company has adopted credit policies and standards intended to accommodate industry growth and inherent risk and believes that credit risks are moderated by the financial stability of its major customers, conservative payment terms and the Company’s strict credit policies.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Company provides products to its largest end customer, Apple Inc., through sales to multiple contract manufacturers, which in the aggregate accounted for approximately 47%, 46% and 37% of total revenue in fiscal years 2025, 2024 and 2023, respectively. Samsung Electronics Co., Ltd., accounted for approximately 10%, 12% and 12% of total revenue in fiscal years 2025, 2024 and 2023, respectively. These customers primarily purchase radio frequency ("RF") solutions for a variety of mobile devices from the Company's ACG segment.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three largest accounts receivable balances comprised approximately 64% and 60% of aggregate gross accounts receivable as of March 29, 2025 and March 30,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inventories, net of reserves, are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March 30, 2024</w:t>
            </w:r>
          </w:p>
        </w:tc>
      </w:tr>
      <w:tr>
        <w:trPr>
          <w:trHeight w:val="18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30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184,695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201,748</w:t>
            </w:r>
          </w:p>
        </w:tc>
      </w:tr>
      <w:tr>
        <w:trPr>
          <w:trHeight w:val="180"/>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322,814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347,175</w:t>
            </w:r>
          </w:p>
        </w:tc>
      </w:tr>
      <w:tr>
        <w:trPr>
          <w:trHeight w:val="18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133,483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161,632</w:t>
            </w:r>
          </w:p>
        </w:tc>
      </w:tr>
      <w:tr>
        <w:trPr>
          <w:trHeight w:val="171"/>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inventories</w:t>
            </w:r>
          </w:p>
        </w:tc>
        <w:tc>
          <w:tcPr>
            <w:tcW w:w="130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640,992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710,555</w:t>
            </w:r>
          </w:p>
        </w:tc>
      </w:tr>
      <w:tr>
        <w:trPr>
          <w:trHeight w:val="20"/>
        </w:trPr>
        <w:tc>
          <w:tcPr>
            <w:tcW w:w="7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BUSINESS DIVESTITURES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Silicon carbide power device business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In the second quarter of fiscal 2025, the Company determined that there was a more-likely-than-not expectation of divesting its silicon carbide ("SiC") power device business and impairment testing was triggered. The inventory and long-lived assets that were held and used by this business were reviewed for impairment in accordance with ASC 330 and ASC 360, </w:t>
      </w:r>
      <w:r>
        <w:rPr>
          <w:rFonts w:ascii="Times New Roman" w:cs="Times New Roman" w:eastAsia="Times New Roman" w:hAnsi="Times New Roman"/>
          <w:sz w:val="14"/>
          <w:szCs w:val="14"/>
          <w:i w:val="1"/>
          <w:iCs w:val="1"/>
          <w:color w:val="auto"/>
        </w:rPr>
        <w:t>"Property, Plant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Equipment" </w:t>
      </w:r>
      <w:r>
        <w:rPr>
          <w:rFonts w:ascii="Times New Roman" w:cs="Times New Roman" w:eastAsia="Times New Roman" w:hAnsi="Times New Roman"/>
          <w:sz w:val="14"/>
          <w:szCs w:val="14"/>
          <w:color w:val="auto"/>
        </w:rPr>
        <w:t>("ASC 360"), respectively, resulting in inventory write-downs of $13.7 million (for inventory expected to be disposed of) and impairments of intangible assets (primarily developed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technology) of $16.6 million. In addition, as the SiC power device business constituted a reporting unit, the goodwill of the reporting unit was also subject to an impairment assessment in accordance with ASC 350, and it was determined that the carrying value exceeded the fair value of this reporting unit, resulting in a goodwill impairment charge of approximately $96.5 million (representing the entire goodwill assigned to this reporting unit).</w:t>
      </w:r>
    </w:p>
    <w:p>
      <w:pPr>
        <w:spacing w:after="0" w:line="14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December 2024, the Company entered into a definitive agreement to divest its SiC power device business (the "SiC Disposal Group") and in January 2025, the sale was completed for net cash proceeds of approximately $117.5 million. The sale of the SiC Disposal Group, which had a carrying value of $90.6 million (subsequent to the total impairments recorded in the second quarter of fiscal 2025 of $126.8 million), resulted in a gain of $26.9 million, which is recorded in "Other operating expense" in the Consolidated Statements of Operations. The divestiture of the SiC Disposal Group did not meet the criteria to be reported as discontinued operations per ASC 205-20, "</w:t>
      </w:r>
      <w:r>
        <w:rPr>
          <w:rFonts w:ascii="Times New Roman" w:cs="Times New Roman" w:eastAsia="Times New Roman" w:hAnsi="Times New Roman"/>
          <w:sz w:val="14"/>
          <w:szCs w:val="14"/>
          <w:i w:val="1"/>
          <w:iCs w:val="1"/>
          <w:color w:val="auto"/>
        </w:rPr>
        <w:t>Presentation of Financial Statements: Discontinued Operations</w:t>
      </w:r>
      <w:r>
        <w:rPr>
          <w:rFonts w:ascii="Times New Roman" w:cs="Times New Roman" w:eastAsia="Times New Roman" w:hAnsi="Times New Roman"/>
          <w:sz w:val="14"/>
          <w:szCs w:val="14"/>
          <w:color w:val="auto"/>
        </w:rPr>
        <w:t>" ("ASC 205-20").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cash received from the sale of the SiC Disposal Group is included in cash flows from investing activities in the Consolidated Statement of Cash Flows for the fiscal year ended March 29, 2025.</w:t>
      </w:r>
    </w:p>
    <w:p>
      <w:pPr>
        <w:spacing w:after="0" w:line="2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Refer to Note 6 for additional information regarding the impairment of goodwill and intangible assets and refer to Note 12 for information regarding additional charges associated with the sale of the SiC Disposal Group.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Assembly and test operations in Beijing and Dezhou</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December 16, 2023, the Company entered into a definitive agreement (the "Purchase Agreement") with Luxshare to divest its assembly and test operations in Beijing and Dezhou, China (the "China Disposal Group"). The China Disposal Group met the criteria to be classified as held for sale in accordance with ASC 360 in the fourth quarter of fiscal 2024. As the carrying value of the China Disposal Group exceeded the fair value less costs to sell, a loss of $35.3 million (which included a goodwill write-off of $22.0 million) was recorded in "Other operating expense" in the fiscal 2024 Consolidated Statement of Operations. The divestiture of the China Disposal Group did not meet the criteria to be reported as discontinued operations per ASC 205-20. As of March 30, 2024, the assets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the liabilities of the China Disposal Group classified as held for sale totaled $159.3 million and $88.4 million, respectively.</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Company completed the sale of its assembly and test operations in China on May 2, 2024 for a purchase price of approximately $234.0 million, resulting in an incremental loss of $6.0 million (which included an additional goodwill write-off of $1.0 million) recorded in "Other operating expense" in the fiscal 2025 Consolidated Statement of Operations. The consideration received was for the cash on hand of the disposed business of $29.0 million, the assets and liabilities of the China Disposal Group of $76.0 million and inventory of $129.0 million. The cash received for inventory related to inventory that the Company sold to Luxshare and is obligated to repurchase at a future date subsequent to the performance of assembly and test services by Luxshare pursuant to a supply agreement.</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cash received from the sale of the assets and liabilities of the China Disposal Group of $76.0 million is included in cash flows from investing activities in the fiscal 2025 Consolidated Statement of Cash Flows, net of a $20.0 million deposit received in fiscal 2024 upon execution of the Purchase Agreement (which was included in investing activities in the fiscal 2024 Consolidated Statement of Cash Flows). The net proceeds from the sale of inventory subject to repurchase by the Company is included in cash flows from financing activities in the fiscal 2025 Consolidated Statement of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PROPERTY &amp;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property and equipment are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Borders>
              <w:bottom w:val="single" w:sz="8" w:color="CCEEFF"/>
            </w:tcBorders>
          </w:tcPr>
          <w:p>
            <w:pPr>
              <w:spacing w:after="0"/>
              <w:rPr>
                <w:sz w:val="13"/>
                <w:szCs w:val="13"/>
                <w:color w:val="auto"/>
              </w:rPr>
            </w:pPr>
          </w:p>
        </w:tc>
        <w:tc>
          <w:tcPr>
            <w:tcW w:w="45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March 30, 2024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Building and leasehold improvements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354,037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2,159,937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2,091,268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9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86,230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property and equipment, gross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2,647,260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2,554,574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9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(1,845,365)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(1,683,592)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801,895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870,982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GOODWILL AND INTANGIBLE ASSETS</w:t>
            </w: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6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changes in the carrying amount of goodwill for fiscal 2025 are as follows (in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HPA</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CSG</w:t>
            </w:r>
          </w:p>
        </w:tc>
        <w:tc>
          <w:tcPr>
            <w:tcW w:w="100" w:type="dxa"/>
            <w:vAlign w:val="bottom"/>
          </w:tcPr>
          <w:p>
            <w:pPr>
              <w:spacing w:after="0"/>
              <w:rPr>
                <w:sz w:val="14"/>
                <w:szCs w:val="14"/>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ACG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Balance as of March 30, 2024 </w:t>
            </w:r>
            <w:r>
              <w:rPr>
                <w:rFonts w:ascii="Times New Roman" w:cs="Times New Roman" w:eastAsia="Times New Roman" w:hAnsi="Times New Roman"/>
                <w:sz w:val="8"/>
                <w:szCs w:val="8"/>
                <w:color w:val="auto"/>
              </w:rPr>
              <w:t>(1)</w:t>
            </w:r>
          </w:p>
        </w:tc>
        <w:tc>
          <w:tcPr>
            <w:tcW w:w="98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517,542</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300,299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1,716,760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2,534,601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(96,458)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Measurement period adjustments related to a fiscal 2024 acquisition</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Goodwill written off related to sale of business </w:t>
            </w:r>
            <w:r>
              <w:rPr>
                <w:rFonts w:ascii="Times New Roman" w:cs="Times New Roman" w:eastAsia="Times New Roman" w:hAnsi="Times New Roman"/>
                <w:sz w:val="18"/>
                <w:szCs w:val="18"/>
                <w:color w:val="auto"/>
                <w:vertAlign w:val="superscript"/>
              </w:rPr>
              <w:t>(2)</w:t>
            </w:r>
          </w:p>
        </w:tc>
        <w:tc>
          <w:tcPr>
            <w:tcW w:w="9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Balance as of March 29, 2025 </w:t>
            </w:r>
            <w:r>
              <w:rPr>
                <w:rFonts w:ascii="Times New Roman" w:cs="Times New Roman" w:eastAsia="Times New Roman" w:hAnsi="Times New Roman"/>
                <w:sz w:val="8"/>
                <w:szCs w:val="8"/>
                <w:color w:val="auto"/>
              </w:rPr>
              <w:t>(1)</w:t>
            </w:r>
          </w:p>
        </w:tc>
        <w:tc>
          <w:tcPr>
            <w:tcW w:w="98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1,715,960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280" w:firstLine="5"/>
        <w:spacing w:after="0" w:line="249" w:lineRule="auto"/>
        <w:tabs>
          <w:tab w:leader="none" w:pos="1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goodwill balance is presented net of accumulated impairment losses totaling $1,047.6 million and $903.4 million as of March 29, 2025 and March 30, 2024, respectively, which were recognized in fiscal years 2009, 2013, 2014, 2022, 2023, 2024 and 2025.</w:t>
      </w:r>
    </w:p>
    <w:p>
      <w:pPr>
        <w:ind w:left="180" w:hanging="175"/>
        <w:spacing w:after="0"/>
        <w:tabs>
          <w:tab w:leader="none" w:pos="1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4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operates under three segments with a total of six reporting units as of March 29, 2025.</w:t>
      </w:r>
    </w:p>
    <w:p>
      <w:pPr>
        <w:spacing w:after="0" w:line="200"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In the second quarter of fiscal 2025, the Company determined that there was a more-likely-than-not expectation of divesting its SiC power device business, which constituted a reporting unit within the HPA segment, and impairment testing was triggered. The impairment testing resulted in impairments of goodwill and intangible assets (primarily developed technology) of approximately $96.5 million and $16.6 million, respectively, recorded in "Goodwill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intangible asset impairment" in the Consolidated Statement of Operations. The estimated fair values of the intangible assets and the reporting unit were determined using a market approach, and the significant inputs related to valuing these assets are classified as Level 3 in the fair value hierarchy. The Company completed the sale of its SiC power device business in January 2025. Refer to Note 4 for additional information.</w:t>
      </w:r>
    </w:p>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In March 2025, the Company revised its long-term forecasts for its microelectromechanical system ("MEMS")-based sensing solutions business due to slower than expected market adoption of this technology into mobile handsets as compared to previous assumptions. As part of ongoing efforts to focus on opportunities that align with long-term profitability objectives, the Company began to seek strategic alternatives related to its MEMS-based sensing solutions business, which constitutes a reporting unit within the CSG segment. Given the future funding requirements necessary to further develop these solutions and achieve the desired results, the Company decided not to invest further in this business. Therefore, the Company determined that there was a more-likely-than-not expectation of divesting this reporting unit, and impairment testing was triggered. The impairment testing resulted in impairment charges to goodwill and intangible assets (developed technology) of approximately $47.8 million and $31.7 million, respectively, recorded in "Goodwill and intangible asset impairment" in the Consolidated Statement of Operations. The estimated fair values of the intangible assets and the reporting unit were determined using the income approach, and the significant inputs related to valuing these assets are classified as Level 3 in the fair value hierarchy.</w:t>
      </w:r>
    </w:p>
    <w:p>
      <w:pPr>
        <w:spacing w:after="0" w:line="16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fiscal 2024, the Company recorded goodwill impairment charges totaling $221.4 million for a reporting unit within the CSG segment as a result of the Company's interim goodwill impairment assessments. In fiscal 2023, the Company recorded a goodwill impairment charge of $12.4 million related to the expected divestiture of its biotechnology business, which constituted a reporting unit within the CSG segment. These impairment charges are recorded in "Goodwill and intangible asset impairment" in the Consolidated Statements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information regarding the gross carrying amounts and accumulated amortization of intangible assets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1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March 30, 2024</w:t>
            </w: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440" w:type="dxa"/>
            <w:vAlign w:val="bottom"/>
          </w:tcPr>
          <w:p>
            <w:pPr>
              <w:spacing w:after="0"/>
              <w:rPr>
                <w:sz w:val="9"/>
                <w:szCs w:val="9"/>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0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440" w:type="dxa"/>
            <w:vAlign w:val="bottom"/>
          </w:tcPr>
          <w:p>
            <w:pPr>
              <w:spacing w:after="0"/>
              <w:rPr>
                <w:sz w:val="9"/>
                <w:szCs w:val="9"/>
                <w:color w:val="auto"/>
              </w:rPr>
            </w:pPr>
          </w:p>
        </w:tc>
        <w:tc>
          <w:tcPr>
            <w:tcW w:w="1360" w:type="dxa"/>
            <w:vAlign w:val="bottom"/>
            <w:vMerge w:val="restart"/>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20" w:type="dxa"/>
            <w:vAlign w:val="bottom"/>
            <w:gridSpan w:val="2"/>
          </w:tcPr>
          <w:p>
            <w:pPr>
              <w:jc w:val="center"/>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4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520" w:type="dxa"/>
            <w:vAlign w:val="bottom"/>
            <w:gridSpan w:val="2"/>
          </w:tcPr>
          <w:p>
            <w:pPr>
              <w:jc w:val="center"/>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4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400" w:type="dxa"/>
            <w:vAlign w:val="bottom"/>
          </w:tcPr>
          <w:p>
            <w:pPr>
              <w:spacing w:after="0"/>
              <w:rPr>
                <w:sz w:val="13"/>
                <w:szCs w:val="13"/>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40" w:type="dxa"/>
            <w:vAlign w:val="bottom"/>
          </w:tcPr>
          <w:p>
            <w:pPr>
              <w:spacing w:after="0"/>
              <w:rPr>
                <w:sz w:val="13"/>
                <w:szCs w:val="13"/>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0" w:type="dxa"/>
            <w:vAlign w:val="bottom"/>
          </w:tcPr>
          <w:p>
            <w:pPr>
              <w:spacing w:after="0"/>
              <w:rPr>
                <w:sz w:val="1"/>
                <w:szCs w:val="1"/>
                <w:color w:val="auto"/>
              </w:rPr>
            </w:pPr>
          </w:p>
        </w:tc>
      </w:tr>
      <w:tr>
        <w:trPr>
          <w:trHeight w:val="17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627,038</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427,366</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903,089</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484,347</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100,040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67,999</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licenses</w:t>
            </w: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IPRD</w:t>
            </w: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1"/>
        </w:trPr>
        <w:tc>
          <w:tcPr>
            <w:tcW w:w="3760" w:type="dxa"/>
            <w:vAlign w:val="bottom"/>
          </w:tcPr>
          <w:p>
            <w:pPr>
              <w:ind w:left="14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(1)</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793,093</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519,615</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1,069,193</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559,810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Amounts include the impact of foreign currency translation.</w:t>
      </w:r>
    </w:p>
    <w:p>
      <w:pPr>
        <w:spacing w:after="0" w:line="19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intangible assets amortization expense was $133.6 million, $127.9 million and $132.4 million in fiscal years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color w:val="0000FF"/>
        </w:rPr>
        <w:t>Table of Contents</w:t>
      </w:r>
    </w:p>
    <w:tbl>
      <w:tblPr>
        <w:tblLayout w:type="fixed"/>
        <w:tblInd w:w="0" w:type="dxa"/>
        <w:tblCellMar>
          <w:top w:w="0" w:type="dxa"/>
          <w:left w:w="0" w:type="dxa"/>
          <w:bottom w:w="0" w:type="dxa"/>
          <w:right w:w="0" w:type="dxa"/>
        </w:tblCellMar>
      </w:tblPr>
      <w:tr>
        <w:trPr>
          <w:trHeight w:val="154"/>
        </w:trPr>
        <w:tc>
          <w:tcPr>
            <w:tcW w:w="900" w:type="dxa"/>
            <w:vAlign w:val="bottom"/>
            <w:tcBorders>
              <w:top w:val="single" w:sz="8" w:color="0000FF"/>
            </w:tcBorders>
          </w:tcPr>
          <w:p>
            <w:pPr>
              <w:spacing w:after="0"/>
              <w:rPr>
                <w:sz w:val="13"/>
                <w:szCs w:val="13"/>
                <w:color w:val="auto"/>
              </w:rPr>
            </w:pPr>
          </w:p>
        </w:tc>
        <w:tc>
          <w:tcPr>
            <w:tcW w:w="8580" w:type="dxa"/>
            <w:vAlign w:val="bottom"/>
          </w:tcPr>
          <w:p>
            <w:pPr>
              <w:ind w:left="3860"/>
              <w:spacing w:after="0" w:line="155" w:lineRule="exact"/>
              <w:rPr>
                <w:sz w:val="20"/>
                <w:szCs w:val="20"/>
                <w:color w:val="auto"/>
              </w:rPr>
            </w:pPr>
            <w:r>
              <w:rPr>
                <w:rFonts w:ascii="Times New Roman" w:cs="Times New Roman" w:eastAsia="Times New Roman" w:hAnsi="Times New Roman"/>
                <w:sz w:val="14"/>
                <w:szCs w:val="14"/>
                <w:b w:val="1"/>
                <w:bCs w:val="1"/>
                <w:color w:val="auto"/>
              </w:rPr>
              <w:t>Qorvo, Inc. and Subsidiaries</w:t>
            </w: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858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7"/>
        </w:trPr>
        <w:tc>
          <w:tcPr>
            <w:tcW w:w="9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provides the Company's estimated amortization expense for intangible assets for the periods indicated (in thousands):</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90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5"/>
        </w:trPr>
        <w:tc>
          <w:tcPr>
            <w:tcW w:w="9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40" w:type="dxa"/>
            <w:vAlign w:val="bottom"/>
          </w:tcPr>
          <w:p>
            <w:pPr>
              <w:spacing w:after="0"/>
              <w:rPr>
                <w:sz w:val="9"/>
                <w:szCs w:val="9"/>
                <w:color w:val="auto"/>
              </w:rPr>
            </w:pPr>
          </w:p>
        </w:tc>
        <w:tc>
          <w:tcPr>
            <w:tcW w:w="1460" w:type="dxa"/>
            <w:vAlign w:val="bottom"/>
          </w:tcPr>
          <w:p>
            <w:pPr>
              <w:jc w:val="center"/>
              <w:ind w:right="275"/>
              <w:spacing w:after="0" w:line="115"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0" w:type="dxa"/>
            <w:vAlign w:val="bottom"/>
          </w:tcPr>
          <w:p>
            <w:pPr>
              <w:spacing w:after="0"/>
              <w:rPr>
                <w:sz w:val="1"/>
                <w:szCs w:val="1"/>
                <w:color w:val="auto"/>
              </w:rPr>
            </w:pPr>
          </w:p>
        </w:tc>
      </w:tr>
      <w:tr>
        <w:trPr>
          <w:trHeight w:val="150"/>
        </w:trPr>
        <w:tc>
          <w:tcPr>
            <w:tcW w:w="9480" w:type="dxa"/>
            <w:vAlign w:val="bottom"/>
            <w:tcBorders>
              <w:bottom w:val="single" w:sz="8" w:color="CCEEFF"/>
            </w:tcBorders>
            <w:gridSpan w:val="2"/>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5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108,000</w:t>
            </w:r>
          </w:p>
        </w:tc>
        <w:tc>
          <w:tcPr>
            <w:tcW w:w="0" w:type="dxa"/>
            <w:vAlign w:val="bottom"/>
          </w:tcPr>
          <w:p>
            <w:pPr>
              <w:spacing w:after="0"/>
              <w:rPr>
                <w:sz w:val="1"/>
                <w:szCs w:val="1"/>
                <w:color w:val="auto"/>
              </w:rPr>
            </w:pPr>
          </w:p>
        </w:tc>
      </w:tr>
      <w:tr>
        <w:trPr>
          <w:trHeight w:val="18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37,000</w:t>
            </w:r>
          </w:p>
        </w:tc>
        <w:tc>
          <w:tcPr>
            <w:tcW w:w="0" w:type="dxa"/>
            <w:vAlign w:val="bottom"/>
          </w:tcPr>
          <w:p>
            <w:pPr>
              <w:spacing w:after="0"/>
              <w:rPr>
                <w:sz w:val="1"/>
                <w:szCs w:val="1"/>
                <w:color w:val="auto"/>
              </w:rPr>
            </w:pPr>
          </w:p>
        </w:tc>
      </w:tr>
      <w:tr>
        <w:trPr>
          <w:trHeight w:val="18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8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INVESTMENTS AND FAIR VALUE OF FINANCIAL INSTRUMENTS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 and are considered Level 1 in the fair value hierarchy. The fair value of the mutual funds as of March 29, 2025 and March 30, 2024 was $58.4 million and $52.3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leases certain of its corporate, manufacturing and other facilities from multiple third-party real estate developers. The Company also leases various machinery and office equipment.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operating leases expire at various dates through 2034, and some of these leases have renewal options, with the longest ranging up to two, ten-year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leases are classified in the Consolidated Balance Sheets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March 30, 2024</w:t>
            </w: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58,511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61,293</w:t>
            </w:r>
          </w:p>
        </w:tc>
      </w:tr>
      <w:tr>
        <w:trPr>
          <w:trHeight w:val="18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16,562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15,601</w:t>
            </w: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45,283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50,578</w:t>
            </w:r>
          </w:p>
        </w:tc>
      </w:tr>
      <w:tr>
        <w:trPr>
          <w:trHeight w:val="42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Details of operating leases are as follows (in thousands):</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56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54"/>
        </w:trPr>
        <w:tc>
          <w:tcPr>
            <w:tcW w:w="56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19,172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21,531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20,162</w:t>
            </w:r>
          </w:p>
        </w:tc>
      </w:tr>
      <w:tr>
        <w:trPr>
          <w:trHeight w:val="18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11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8,342</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7,798</w:t>
            </w: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1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4,243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w:t>
            </w:r>
          </w:p>
        </w:tc>
      </w:tr>
      <w:tr>
        <w:trPr>
          <w:trHeight w:val="202"/>
        </w:trPr>
        <w:tc>
          <w:tcPr>
            <w:tcW w:w="5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1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20,392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22,471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21,480</w:t>
            </w:r>
          </w:p>
        </w:tc>
      </w:tr>
      <w:tr>
        <w:trPr>
          <w:trHeight w:val="202"/>
        </w:trPr>
        <w:tc>
          <w:tcPr>
            <w:tcW w:w="5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1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14,363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28,940</w:t>
            </w:r>
          </w:p>
        </w:tc>
      </w:tr>
      <w:tr>
        <w:trPr>
          <w:trHeight w:val="435"/>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weighted-average remaining lease term and weighted-average discount rate for operating leases are as follows: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56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March 30, 2024</w:t>
            </w: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6.3</w:t>
            </w:r>
          </w:p>
        </w:tc>
      </w:tr>
      <w:tr>
        <w:trPr>
          <w:trHeight w:val="18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4.02 %</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color w:val="0000FF"/>
        </w:rPr>
        <w:t>Table of Contents</w:t>
      </w:r>
    </w:p>
    <w:tbl>
      <w:tblPr>
        <w:tblLayout w:type="fixed"/>
        <w:tblInd w:w="0" w:type="dxa"/>
        <w:tblCellMar>
          <w:top w:w="0" w:type="dxa"/>
          <w:left w:w="0" w:type="dxa"/>
          <w:bottom w:w="0" w:type="dxa"/>
          <w:right w:w="0" w:type="dxa"/>
        </w:tblCellMar>
      </w:tblPr>
      <w:tr>
        <w:trPr>
          <w:trHeight w:val="154"/>
        </w:trPr>
        <w:tc>
          <w:tcPr>
            <w:tcW w:w="900" w:type="dxa"/>
            <w:vAlign w:val="bottom"/>
            <w:tcBorders>
              <w:top w:val="single" w:sz="8" w:color="0000FF"/>
            </w:tcBorders>
          </w:tcPr>
          <w:p>
            <w:pPr>
              <w:spacing w:after="0"/>
              <w:rPr>
                <w:sz w:val="13"/>
                <w:szCs w:val="13"/>
                <w:color w:val="auto"/>
              </w:rPr>
            </w:pPr>
          </w:p>
        </w:tc>
        <w:tc>
          <w:tcPr>
            <w:tcW w:w="6660" w:type="dxa"/>
            <w:vAlign w:val="bottom"/>
          </w:tcPr>
          <w:p>
            <w:pPr>
              <w:ind w:left="3860"/>
              <w:spacing w:after="0" w:line="155" w:lineRule="exact"/>
              <w:rPr>
                <w:sz w:val="20"/>
                <w:szCs w:val="20"/>
                <w:color w:val="auto"/>
              </w:rPr>
            </w:pPr>
            <w:r>
              <w:rPr>
                <w:rFonts w:ascii="Times New Roman" w:cs="Times New Roman" w:eastAsia="Times New Roman" w:hAnsi="Times New Roman"/>
                <w:sz w:val="14"/>
                <w:szCs w:val="14"/>
                <w:b w:val="1"/>
                <w:bCs w:val="1"/>
                <w:color w:val="auto"/>
              </w:rPr>
              <w:t>Qorvo, Inc. and Subsidiaries</w:t>
            </w: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66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7"/>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aggregate future lease payments for operating leases as of March 29, 2025 are as follows (in thousands):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Lease Payments</w:t>
            </w: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0" w:type="dxa"/>
            <w:vAlign w:val="bottom"/>
          </w:tcPr>
          <w:p>
            <w:pPr>
              <w:spacing w:after="0"/>
              <w:rPr>
                <w:sz w:val="1"/>
                <w:szCs w:val="1"/>
                <w:color w:val="auto"/>
              </w:rPr>
            </w:pPr>
          </w:p>
        </w:tc>
      </w:tr>
      <w:tr>
        <w:trPr>
          <w:trHeight w:val="18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15,578</w:t>
            </w: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12,761</w:t>
            </w:r>
          </w:p>
        </w:tc>
        <w:tc>
          <w:tcPr>
            <w:tcW w:w="0" w:type="dxa"/>
            <w:vAlign w:val="bottom"/>
          </w:tcPr>
          <w:p>
            <w:pPr>
              <w:spacing w:after="0"/>
              <w:rPr>
                <w:sz w:val="1"/>
                <w:szCs w:val="1"/>
                <w:color w:val="auto"/>
              </w:rPr>
            </w:pPr>
          </w:p>
        </w:tc>
      </w:tr>
      <w:tr>
        <w:trPr>
          <w:trHeight w:val="18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6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11,356</w:t>
            </w:r>
          </w:p>
        </w:tc>
        <w:tc>
          <w:tcPr>
            <w:tcW w:w="0" w:type="dxa"/>
            <w:vAlign w:val="bottom"/>
          </w:tcPr>
          <w:p>
            <w:pPr>
              <w:spacing w:after="0"/>
              <w:rPr>
                <w:sz w:val="1"/>
                <w:szCs w:val="1"/>
                <w:color w:val="auto"/>
              </w:rPr>
            </w:pPr>
          </w:p>
        </w:tc>
      </w:tr>
      <w:tr>
        <w:trPr>
          <w:trHeight w:val="171"/>
        </w:trPr>
        <w:tc>
          <w:tcPr>
            <w:tcW w:w="7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69,251</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3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(7,406)</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9. DEBT</w:t>
            </w:r>
          </w:p>
        </w:tc>
        <w:tc>
          <w:tcPr>
            <w:tcW w:w="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outstanding debt (in thousands):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300" w:type="dxa"/>
            <w:vAlign w:val="bottom"/>
          </w:tcPr>
          <w:p>
            <w:pPr>
              <w:spacing w:after="0"/>
              <w:rPr>
                <w:sz w:val="14"/>
                <w:szCs w:val="14"/>
                <w:color w:val="auto"/>
              </w:rPr>
            </w:pPr>
          </w:p>
        </w:tc>
        <w:tc>
          <w:tcPr>
            <w:tcW w:w="150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March 30, 2024</w:t>
            </w:r>
          </w:p>
        </w:tc>
        <w:tc>
          <w:tcPr>
            <w:tcW w:w="0" w:type="dxa"/>
            <w:vAlign w:val="bottom"/>
          </w:tcPr>
          <w:p>
            <w:pPr>
              <w:spacing w:after="0"/>
              <w:rPr>
                <w:sz w:val="1"/>
                <w:szCs w:val="1"/>
                <w:color w:val="auto"/>
              </w:rPr>
            </w:pPr>
          </w:p>
        </w:tc>
      </w:tr>
      <w:tr>
        <w:trPr>
          <w:trHeight w:val="180"/>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1.750% senior notes due 2024</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439,738</w:t>
            </w:r>
          </w:p>
        </w:tc>
        <w:tc>
          <w:tcPr>
            <w:tcW w:w="0" w:type="dxa"/>
            <w:vAlign w:val="bottom"/>
          </w:tcPr>
          <w:p>
            <w:pPr>
              <w:spacing w:after="0"/>
              <w:rPr>
                <w:sz w:val="1"/>
                <w:szCs w:val="1"/>
                <w:color w:val="auto"/>
              </w:rPr>
            </w:pPr>
          </w:p>
        </w:tc>
      </w:tr>
      <w:tr>
        <w:trPr>
          <w:trHeight w:val="18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4.375% senior notes due 2029</w:t>
            </w:r>
          </w:p>
        </w:tc>
        <w:tc>
          <w:tcPr>
            <w:tcW w:w="3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0" w:type="dxa"/>
            <w:vAlign w:val="bottom"/>
          </w:tcPr>
          <w:p>
            <w:pPr>
              <w:spacing w:after="0"/>
              <w:rPr>
                <w:sz w:val="1"/>
                <w:szCs w:val="1"/>
                <w:color w:val="auto"/>
              </w:rPr>
            </w:pPr>
          </w:p>
        </w:tc>
      </w:tr>
      <w:tr>
        <w:trPr>
          <w:trHeight w:val="18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3.375% senior notes due 2031</w:t>
            </w: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Unamortized premium, discount and issuance costs, net</w:t>
            </w: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171"/>
        </w:trPr>
        <w:tc>
          <w:tcPr>
            <w:tcW w:w="7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debt</w:t>
            </w: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1,549,215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1,988,012</w:t>
            </w:r>
          </w:p>
        </w:tc>
        <w:tc>
          <w:tcPr>
            <w:tcW w:w="0" w:type="dxa"/>
            <w:vAlign w:val="bottom"/>
          </w:tcPr>
          <w:p>
            <w:pPr>
              <w:spacing w:after="0"/>
              <w:rPr>
                <w:sz w:val="1"/>
                <w:szCs w:val="1"/>
                <w:color w:val="auto"/>
              </w:rPr>
            </w:pPr>
          </w:p>
        </w:tc>
      </w:tr>
      <w:tr>
        <w:trPr>
          <w:trHeight w:val="18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current portion of debt</w:t>
            </w:r>
          </w:p>
        </w:tc>
        <w:tc>
          <w:tcPr>
            <w:tcW w:w="32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(438,740)</w:t>
            </w:r>
          </w:p>
        </w:tc>
        <w:tc>
          <w:tcPr>
            <w:tcW w:w="0" w:type="dxa"/>
            <w:vAlign w:val="bottom"/>
          </w:tcPr>
          <w:p>
            <w:pPr>
              <w:spacing w:after="0"/>
              <w:rPr>
                <w:sz w:val="1"/>
                <w:szCs w:val="1"/>
                <w:color w:val="auto"/>
              </w:rPr>
            </w:pPr>
          </w:p>
        </w:tc>
      </w:tr>
      <w:tr>
        <w:trPr>
          <w:trHeight w:val="196"/>
        </w:trPr>
        <w:tc>
          <w:tcPr>
            <w:tcW w:w="75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long-term debt</w:t>
            </w: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1,549,215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1,549,272</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The Company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spacing w:after="0" w:line="16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Applicable Rate multiplied by the daily amount available to be drawn under any letter of credit, a fronting fee and any customary documentary and processing charges for any letter of credit issued under the Credit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fiscal 2025, there were no borrowings under the Revolving Facility.</w:t>
      </w:r>
    </w:p>
    <w:p>
      <w:pPr>
        <w:spacing w:after="0" w:line="20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Credit Agreement contains various conditions, covenants and representations with which the Company must be in compliance in order to borrow funds and to avoid an event of default. As of March 29, 2025, the Company was in compliance with these covenants.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 due 2024</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On December 14, 2021, the Company issued $500.0 million aggregate principal amount of its 1.750% senior notes due 2024 (the "2024 Notes"). The Company repurchased $27.3 million and $60.3 million of the principal amount of the 2024 Notes in fiscal years 2025 and 2024, respectively, plus accrued and unpaid interest, on the open market, and recognized net gains on debt extinguishment of $0.6 million and $1.8 million in fiscal years 2025 and 2024, respectively, which is included in "Other income, net" in the Consolidated Statements of Operations. The Company repaid the remaining principal balance of $412.5 million of the 2024 Notes, plus accrued and unpaid interest, with cash on hand upon maturity in December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paid on the 2024 Notes during fiscal years 2025, 2024 and 2023 was $7.2 million, $8.6 million and $8.8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 due 2029</w:t>
      </w:r>
    </w:p>
    <w:p>
      <w:pPr>
        <w:spacing w:after="0" w:line="20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Company may redeem the 2029 Notes, in whole or in part, at the redemption prices specified in the 2019 Indenture, plus accrued and unpaid interest. The 2019 Indenture contains customary events of default, including payment default, exchange default, failure to provide certain notices thereunder and certain provisions related to bankruptcy events. The 2019 Indenture also contains customary negative covenants.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is payable on the 2029 Notes on April 15 and October 15 of each year. Interest paid on the 2029 Notes during each of the fiscal years 2025, 2024 and 2023 was $37.2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 due 2031</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2031 Notes were issued pursuant to an indenture, dated as of September 29, 2020, by and among the Company, the Guarantors and MUFG Union Bank, N.A., as trustee (the "2020 Indenture").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2020 Indenture contains substantially the same customary events of default and negative covenants as the 2019 Indenture.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At any time prior to April 1, 2026, the Company may redeem all or part of the 2031 Notes, at a redemption price equal to 100% of their principal amount, plus a "make whole" premium as of the redemption date and accrued and unpaid interest. In addition, at any time prior to April 1, 2026, the Company may redeem up to 40% of the original aggregate principal amount of the 2031 Notes with the proceeds of one or more equity offerings, at a redemption price equal to 103.375%, plus accrued and unpaid interest. Furthermore, at any time on or after April 1, 2026, the Company may redeem the 2031 Notes, in whole or in part, at the redemption prices specified in the 2020 Indenture, plus accrued and unpaid interest.</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2031 Notes have not been and will not be registered under the Securities Act of 1933, as amended (the "Securities Act"), or any state securities laws, and may not be offered or sold in the United States absent an applicable exemption from the registration requirements of the Securities Act and applicable state securities laws.</w:t>
      </w:r>
    </w:p>
    <w:p>
      <w:pPr>
        <w:spacing w:after="0" w:line="14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Interest is payable on the 2031 Notes on April 1 and October 1 of each year. Interest paid on the 2031 Notes during fiscal years 2025, 2024 and 2023 was $23.6 million, $11.8 million and $23.6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debt is carried at amortized cost and is measured at fair value quarterly for disclosure purposes. The estimated fair value of the 2029 Notes and the 2031 Notes as of March 29,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 $812.8 million and $613.5 million, respectively (compared to the outstanding principal amount of $850.0 million and $700.0 million, respectively). The estimated fair value of the 2024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2029 Notes and the 2031 Notes as of March 30, 2024 was $426.9 million, $797.6 million and $603.8 million, respectively (compared to the outstanding principal amount of $439.7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$850.0 million and $700.0 million, respectively). The Company considers its debt to be Level 2 in the fair value hierarchy. Fair values are estimated based on quoted market prices for identical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similar instruments. The 2029 Notes and the 2031 Notes currently trade over-the-counter and the fair values were estimated based upon the value of the last trade at the end of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During fiscal 2025, the Company recognized $82.2 million of interest expense primarily related to the 2024 Notes, the 2029 Notes and the 2031 Notes, which was partially offset by $3.9 million of interest capitalized to property and equipment. Interest expense in fiscal 2025 also includes financing costs related to certain inventory (subject to repurchase) in connection with a supply agreement. During fiscal 2024, the Company recognized $72.1 million of interest expense primarily related to the 2024 Notes, 2029 Notes and the 2031 Notes, which was partially offset by $2.9 million of interest capitalized to property and equipment. During fiscal 2023, the Company recognized $72.3 million of interest expense primarily related to the 2024 Notes, the 2029 Notes and the 2031 Notes, which was partially offset by $3.9 million of interest capitalized to property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RETIREMENT BENEFIT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total, the Company contributed $23.5 million, $20.3 million and $18.8 million to its domestic and foreign defined contribution plans during fiscal years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Pension Plans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Company maintains two qualified defined benefit pension plans for its subsidiaries located in Germany. One of the plans is funded through a self-paid reinsurance program with assets valued at $3.8 million as of March 29, 2025 and March 30, 2024 (included in "Other non-current assets" in the Consolidated Balance Sheets). The pension benefit obligations of both plans were $9.2 million and $9.6 million as of March 29, 2025 and March 30, 2024, respectively, which is included in "Accrued liabilities" and "Other long-term liabilities" in the Consolidated Balance Sheets. The benefit obligations for the plans are calculated annually by an independent actuary and require the use of significant judgment including assumptions based on local economic conditions. The net periodic benefit cost was approximately $0.5 million for fiscal years 2025,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Non-Qualified Deferred Compensation Plan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general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$58.4 million and $52.3 million as of March 29, 2025 and March 30, 2024, respectively. The current portion of the deferred compensation obligation and fair value of the assets held in the rabbi trust were $2.9 million and $2.3 million as of March 29, 2025 and March 30, 2024, respectively, and are included in "Other current assets" and "Accrued liabilities" in the Consolidated Balance Sheets. The non-current portion of the deferred compensation obligation and fair value of the assets held in the rabbi trust were $55.5 million and $50.0 million as of March 29, 2025 and March 30, 2024, respectively, and are included in "Other non-current assets" and "Other long-term liabilities" in the Consolidated Balance Sheets. Fluctuations in the market value of the investments held in the rabbi trust result in the recognition of an investment gain or loss and deferred compensation expense or income. The change in the market value of the assets and the corresponding deferred compensation expense are recognized in “Other income, net” and “Other operating expenses,” respectively, in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CONTINGENT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purchase obligations include noncancelable purchases of materials, manufacturing services and equipment and software, with the majority of payments due within the next 12 months. The majority of noncancelable purchase obligations are not recorded as liabilities in the Consolidated Balance Sheet because the Company has not received the related goods or services as of March 29,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RESTRUCTURING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Restructuring Initiatives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fiscal 2025, the Company initiated actions to reduce operating expenses, streamline its manufacturing footprint and focus on opportunities that align with its long-term profitability objectives (the "2025 Restructuring Initiatives"). As part of these actions, the Company determined in the second quarter of fiscal 2025 that there was a more-likely-than-not expectation of divesting its SiC power device business and impairment testing was triggered, which resulted in inventory write-downs of $13.7 million (for inventory expected to be disposed of, which is recorded in "Cost of goods sold" in the Consolidated Statement of Operations), impairment of intangible assets of $16.6 million and a goodwill impairment charge of approximately $96.5 million. The sale of the SiC power device business was completed in the fourth quarter of fiscal 2025, which resulted in a gain of $26.9 million.</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 xml:space="preserve">In addition, the Company took actions in the third quarter of fiscal 2025 to streamline its manufacturing footprint and reduce operating expenses, which included workforce reductions primarily targeting the Company's mass-market Android business and the cancellation of certain multiyear projects to update the Company's core business systems. In accordance with ASC 420, </w:t>
      </w:r>
      <w:r>
        <w:rPr>
          <w:rFonts w:ascii="Times New Roman" w:cs="Times New Roman" w:eastAsia="Times New Roman" w:hAnsi="Times New Roman"/>
          <w:sz w:val="14"/>
          <w:szCs w:val="14"/>
          <w:i w:val="1"/>
          <w:iCs w:val="1"/>
          <w:color w:val="auto"/>
        </w:rPr>
        <w:t>"Exit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Disposal Cost Obligations," </w:t>
      </w:r>
      <w:r>
        <w:rPr>
          <w:rFonts w:ascii="Times New Roman" w:cs="Times New Roman" w:eastAsia="Times New Roman" w:hAnsi="Times New Roman"/>
          <w:sz w:val="14"/>
          <w:szCs w:val="14"/>
          <w:color w:val="auto"/>
        </w:rPr>
        <w:t>the Company recorded $6.4 million related to the termination of a contract before the end of its term, $27.7 million for costs that will continue to be incurred under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for its remaining term without economic benefit to the Company and asset impairments of $15.8 million related to the write-off of capitalized software costs in accordance with ASC 360 (all of which are included in "Other operating expense" in the Consolidated Statement of Operations).</w:t>
      </w:r>
    </w:p>
    <w:p>
      <w:pPr>
        <w:spacing w:after="0" w:line="1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the fourth quarter of fiscal 2025, the Company began to seek strategic alternatives related to its MEMS-based sensing solutions business. Given the future funding requirements necessary to further develop these solutions and achieve the desired results, the Company decided not to invest further in this business. Therefore, the Company determined that there was a more-likely-than-not expectation of divesting the MEMS-based sensing solutions business, and impairment testing was triggered. The impairment testing resulted in impairment charges to goodwill and intangible assets of approximately $47.8 million and $31.7 million, respectively.</w:t>
      </w:r>
    </w:p>
    <w:p>
      <w:pPr>
        <w:spacing w:after="0" w:line="16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Refer to Note 4 for additional information regarding the divestiture of the SiC power device business and Note 6 for additional information regarding the impairment of goodwill and intangible assets.</w:t>
      </w:r>
    </w:p>
    <w:p>
      <w:pPr>
        <w:spacing w:after="0" w:line="12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During fiscal 2026, the Company expects to incur additional charges associated with the 2025 Restructuring Initiatives of approximately $15.0 million to $20.0 million, primarily related to employee termination benefits and legal and consulting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charges resulting from the 2025 Restructuring Initiatives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1"/>
                <w:szCs w:val="11"/>
                <w:b w:val="1"/>
                <w:bCs w:val="1"/>
                <w:color w:val="auto"/>
              </w:rPr>
              <w:t>Fiscal 2025</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2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Goodwill and Intangible</w:t>
            </w:r>
          </w:p>
        </w:tc>
        <w:tc>
          <w:tcPr>
            <w:tcW w:w="80" w:type="dxa"/>
            <w:vAlign w:val="bottom"/>
            <w:shd w:val="clear" w:color="auto" w:fill="CCEEFF"/>
          </w:tcPr>
          <w:p>
            <w:pPr>
              <w:spacing w:after="0"/>
              <w:rPr>
                <w:sz w:val="9"/>
                <w:szCs w:val="9"/>
                <w:color w:val="auto"/>
              </w:rPr>
            </w:pPr>
          </w:p>
        </w:tc>
        <w:tc>
          <w:tcPr>
            <w:tcW w:w="1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Operating Expense</w:t>
            </w:r>
          </w:p>
        </w:tc>
        <w:tc>
          <w:tcPr>
            <w:tcW w:w="34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5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Asset Impairment</w:t>
            </w:r>
          </w:p>
        </w:tc>
        <w:tc>
          <w:tcPr>
            <w:tcW w:w="8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termination and other costs</w:t>
            </w: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43,443</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55,065</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Asset impairments and gain on sale of business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196,014</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One-time employee termination benefits</w:t>
            </w:r>
          </w:p>
        </w:tc>
        <w:tc>
          <w:tcPr>
            <w:tcW w:w="1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258,867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Operating Expense" includes a gain on sale of the SiC power device business.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liability activity related to the 2025 Restructuring Initiatives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20" w:type="dxa"/>
            <w:vAlign w:val="bottom"/>
          </w:tcPr>
          <w:p>
            <w:pPr>
              <w:spacing w:after="0"/>
              <w:rPr>
                <w:sz w:val="11"/>
                <w:szCs w:val="11"/>
                <w:color w:val="auto"/>
              </w:rPr>
            </w:pP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One-Time Employee Termination</w:t>
            </w:r>
          </w:p>
        </w:tc>
        <w:tc>
          <w:tcPr>
            <w:tcW w:w="80" w:type="dxa"/>
            <w:vAlign w:val="bottom"/>
          </w:tcPr>
          <w:p>
            <w:pPr>
              <w:spacing w:after="0"/>
              <w:rPr>
                <w:sz w:val="11"/>
                <w:szCs w:val="11"/>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Contract Termination and Other</w:t>
            </w:r>
          </w:p>
        </w:tc>
        <w:tc>
          <w:tcPr>
            <w:tcW w:w="420" w:type="dxa"/>
            <w:vAlign w:val="bottom"/>
          </w:tcPr>
          <w:p>
            <w:pPr>
              <w:spacing w:after="0"/>
              <w:rPr>
                <w:sz w:val="11"/>
                <w:szCs w:val="11"/>
                <w:color w:val="auto"/>
              </w:rPr>
            </w:pPr>
          </w:p>
        </w:tc>
        <w:tc>
          <w:tcPr>
            <w:tcW w:w="1360" w:type="dxa"/>
            <w:vAlign w:val="bottom"/>
            <w:vMerge w:val="restart"/>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Pr>
          <w:p>
            <w:pPr>
              <w:spacing w:after="0"/>
              <w:rPr>
                <w:sz w:val="13"/>
                <w:szCs w:val="13"/>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Costs</w:t>
            </w:r>
          </w:p>
        </w:tc>
        <w:tc>
          <w:tcPr>
            <w:tcW w:w="4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as of March 30, 2024</w:t>
            </w: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incurred and charged to expense</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51,231</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payments</w:t>
            </w: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0" w:type="dxa"/>
            <w:vAlign w:val="bottom"/>
          </w:tcPr>
          <w:p>
            <w:pPr>
              <w:spacing w:after="0"/>
              <w:rPr>
                <w:sz w:val="1"/>
                <w:szCs w:val="1"/>
                <w:color w:val="auto"/>
              </w:rPr>
            </w:pPr>
          </w:p>
        </w:tc>
      </w:tr>
      <w:tr>
        <w:trPr>
          <w:trHeight w:val="17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as of March 29, 2025</w:t>
            </w: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incurred additional immaterial legal fees and other costs in fiscal 2025 in connection with other miscellaneous restructuring initiatives.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Restructuring Initiative</w:t>
      </w:r>
    </w:p>
    <w:p>
      <w:pPr>
        <w:spacing w:after="0" w:line="202"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In the third quarter of fiscal 2024 the Company entered into a definitive agreement with Luxshare to divest its assembly and test operations in Beijing and Dezhou, China. The sale of these operations (the "2024 Restructuring Initiative") was completed in the first quarter of fiscal 2025 (refer to Note 4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by fiscal year, the charges resulting from the 2024 Restructuring Initiative (in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2025</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4"/>
        </w:trPr>
        <w:tc>
          <w:tcPr>
            <w:tcW w:w="56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 Operating Expense</w:t>
            </w:r>
          </w:p>
        </w:tc>
        <w:tc>
          <w:tcPr>
            <w:tcW w:w="420" w:type="dxa"/>
            <w:vAlign w:val="bottom"/>
          </w:tcPr>
          <w:p>
            <w:pPr>
              <w:spacing w:after="0"/>
              <w:rPr>
                <w:sz w:val="13"/>
                <w:szCs w:val="13"/>
                <w:color w:val="auto"/>
              </w:rPr>
            </w:pPr>
          </w:p>
        </w:tc>
        <w:tc>
          <w:tcPr>
            <w:tcW w:w="1360" w:type="dxa"/>
            <w:vAlign w:val="bottom"/>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6"/>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termination and other costs</w:t>
            </w:r>
          </w:p>
        </w:tc>
        <w:tc>
          <w:tcPr>
            <w:tcW w:w="1380" w:type="dxa"/>
            <w:vAlign w:val="bottom"/>
            <w:tcBorders>
              <w:top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 costs</w:t>
            </w:r>
          </w:p>
        </w:tc>
        <w:tc>
          <w:tcPr>
            <w:tcW w:w="13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One-time employee termination benefits</w:t>
            </w:r>
          </w:p>
        </w:tc>
        <w:tc>
          <w:tcPr>
            <w:tcW w:w="13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w:t>
            </w:r>
          </w:p>
        </w:tc>
      </w:tr>
      <w:tr>
        <w:trPr>
          <w:trHeight w:val="171"/>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auto"/>
              <w:bottom w:val="single" w:sz="8" w:color="auto"/>
            </w:tcBorders>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16,511</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18,265</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5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54"/>
        </w:trPr>
        <w:tc>
          <w:tcPr>
            <w:tcW w:w="56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2024</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5"/>
        </w:trPr>
        <w:tc>
          <w:tcPr>
            <w:tcW w:w="56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 Operating Expense</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termination and other costs</w:t>
            </w:r>
          </w:p>
        </w:tc>
        <w:tc>
          <w:tcPr>
            <w:tcW w:w="1380" w:type="dxa"/>
            <w:vAlign w:val="bottom"/>
            <w:tcBorders>
              <w:top w:val="single" w:sz="8" w:color="auto"/>
            </w:tcBorders>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7,213</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 costs</w:t>
            </w:r>
          </w:p>
        </w:tc>
        <w:tc>
          <w:tcPr>
            <w:tcW w:w="13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36,946</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One-time employee termination benefits</w:t>
            </w:r>
          </w:p>
        </w:tc>
        <w:tc>
          <w:tcPr>
            <w:tcW w:w="13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8,887</w:t>
            </w:r>
          </w:p>
        </w:tc>
      </w:tr>
      <w:tr>
        <w:trPr>
          <w:trHeight w:val="196"/>
        </w:trPr>
        <w:tc>
          <w:tcPr>
            <w:tcW w:w="5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auto"/>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53,046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As of March 29, 2025, the Company has recorded cumulative expenses of approximately $11.5 million, $44.4 million and $15.4 million for contract termination and other costs, asset impairment costs, and one-time employee termination benefits, respectively, as a result of the 2024 Restructuring Initiative. The Company does not expect to incur additional material charges related to the 2024 Restructuring Initiative.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liability activity related to the 2024 Restructuring Initiative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20" w:type="dxa"/>
            <w:vAlign w:val="bottom"/>
          </w:tcPr>
          <w:p>
            <w:pPr>
              <w:spacing w:after="0"/>
              <w:rPr>
                <w:sz w:val="11"/>
                <w:szCs w:val="11"/>
                <w:color w:val="auto"/>
              </w:rPr>
            </w:pP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One-Time Employee Termination</w:t>
            </w:r>
          </w:p>
        </w:tc>
        <w:tc>
          <w:tcPr>
            <w:tcW w:w="80" w:type="dxa"/>
            <w:vAlign w:val="bottom"/>
          </w:tcPr>
          <w:p>
            <w:pPr>
              <w:spacing w:after="0"/>
              <w:rPr>
                <w:sz w:val="11"/>
                <w:szCs w:val="11"/>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Contract Termination and Other</w:t>
            </w:r>
          </w:p>
        </w:tc>
        <w:tc>
          <w:tcPr>
            <w:tcW w:w="420" w:type="dxa"/>
            <w:vAlign w:val="bottom"/>
          </w:tcPr>
          <w:p>
            <w:pPr>
              <w:spacing w:after="0"/>
              <w:rPr>
                <w:sz w:val="11"/>
                <w:szCs w:val="11"/>
                <w:color w:val="auto"/>
              </w:rPr>
            </w:pPr>
          </w:p>
        </w:tc>
        <w:tc>
          <w:tcPr>
            <w:tcW w:w="1360" w:type="dxa"/>
            <w:vAlign w:val="bottom"/>
            <w:vMerge w:val="restart"/>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Pr>
          <w:p>
            <w:pPr>
              <w:spacing w:after="0"/>
              <w:rPr>
                <w:sz w:val="13"/>
                <w:szCs w:val="13"/>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Costs</w:t>
            </w:r>
          </w:p>
        </w:tc>
        <w:tc>
          <w:tcPr>
            <w:tcW w:w="4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April 1, 2023</w:t>
            </w:r>
          </w:p>
        </w:tc>
        <w:tc>
          <w:tcPr>
            <w:tcW w:w="40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incurred and charged to expense</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payments</w:t>
            </w: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0" w:type="dxa"/>
            <w:vAlign w:val="bottom"/>
          </w:tcPr>
          <w:p>
            <w:pPr>
              <w:spacing w:after="0"/>
              <w:rPr>
                <w:sz w:val="1"/>
                <w:szCs w:val="1"/>
                <w:color w:val="auto"/>
              </w:rPr>
            </w:pPr>
          </w:p>
        </w:tc>
      </w:tr>
      <w:tr>
        <w:trPr>
          <w:trHeight w:val="171"/>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March 30, 2024</w:t>
            </w:r>
          </w:p>
        </w:tc>
        <w:tc>
          <w:tcPr>
            <w:tcW w:w="4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11,512</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incurred and charged to expense</w:t>
            </w: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10,793</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Cash payments</w:t>
            </w: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(20,668)</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March 29, 2025</w:t>
            </w: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Restructuring Initiatives</w:t>
      </w:r>
    </w:p>
    <w:p>
      <w:pPr>
        <w:spacing w:after="0" w:line="20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During fiscal 2023, the Company initiated actions to improve efficiencies in its operations and further align the organization with its strategic objectives, which primarily included seeking strategic alternatives related to its biotechnology business (the "2023 Restructuring Initiatives" and, together with the 2025 Restructuring Initiatives and the 2024 Restructuring Initiative, the "Restructuring Initiatives"). The Company completed the sale of its biotechnology business in the third quarter of fiscal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incurred immaterial costs in fiscal 2025 as a result of the 2023 Restructuring Initiatives.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by fiscal year, the charges resulting from the 2023 Restructuring Initiatives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Fiscal 2024</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gridSpan w:val="4"/>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20" w:type="dxa"/>
            <w:vAlign w:val="bottom"/>
          </w:tcPr>
          <w:p>
            <w:pPr>
              <w:spacing w:after="0"/>
              <w:rPr>
                <w:sz w:val="13"/>
                <w:szCs w:val="13"/>
                <w:color w:val="auto"/>
              </w:rPr>
            </w:pPr>
          </w:p>
        </w:tc>
        <w:tc>
          <w:tcPr>
            <w:tcW w:w="18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Other Operating Expense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termination and other costs</w:t>
            </w: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19,028</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 costs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11,466</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One-time employee termination benefits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21,187</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37,419</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2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Fiscal 2023</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9"/>
        </w:trPr>
        <w:tc>
          <w:tcPr>
            <w:tcW w:w="20" w:type="dxa"/>
            <w:vAlign w:val="bottom"/>
            <w:shd w:val="clear" w:color="auto" w:fill="CCEEFF"/>
          </w:tcPr>
          <w:p>
            <w:pPr>
              <w:spacing w:after="0"/>
              <w:rPr>
                <w:sz w:val="13"/>
                <w:szCs w:val="13"/>
                <w:color w:val="auto"/>
              </w:rPr>
            </w:pPr>
          </w:p>
        </w:tc>
        <w:tc>
          <w:tcPr>
            <w:tcW w:w="4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60" w:type="dxa"/>
            <w:vAlign w:val="bottom"/>
            <w:shd w:val="clear" w:color="auto" w:fill="CCEEFF"/>
          </w:tcPr>
          <w:p>
            <w:pPr>
              <w:spacing w:after="0"/>
              <w:rPr>
                <w:sz w:val="13"/>
                <w:szCs w:val="13"/>
                <w:color w:val="auto"/>
              </w:rPr>
            </w:pPr>
          </w:p>
        </w:tc>
        <w:tc>
          <w:tcPr>
            <w:tcW w:w="14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Goodwill Impairment</w:t>
            </w:r>
          </w:p>
        </w:tc>
        <w:tc>
          <w:tcPr>
            <w:tcW w:w="8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Other Operating Expense</w:t>
            </w: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shd w:val="clear" w:color="auto" w:fill="CCEEFF"/>
          </w:tcPr>
          <w:p>
            <w:pPr>
              <w:spacing w:after="0"/>
              <w:rPr>
                <w:sz w:val="13"/>
                <w:szCs w:val="13"/>
                <w:color w:val="auto"/>
              </w:rPr>
            </w:pPr>
          </w:p>
        </w:tc>
      </w:tr>
      <w:tr>
        <w:trPr>
          <w:trHeight w:val="17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termination and other costs</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19,183</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22,783</w:t>
            </w:r>
          </w:p>
        </w:tc>
        <w:tc>
          <w:tcPr>
            <w:tcW w:w="20" w:type="dxa"/>
            <w:vAlign w:val="bottom"/>
            <w:tcBorders>
              <w:top w:val="single" w:sz="8" w:color="auto"/>
            </w:tcBorders>
          </w:tcPr>
          <w:p>
            <w:pPr>
              <w:spacing w:after="0"/>
              <w:rPr>
                <w:sz w:val="14"/>
                <w:szCs w:val="14"/>
                <w:color w:val="auto"/>
              </w:rPr>
            </w:pPr>
          </w:p>
        </w:tc>
      </w:tr>
      <w:tr>
        <w:trPr>
          <w:trHeight w:val="18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 costs</w:t>
            </w: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100,837</w:t>
            </w:r>
          </w:p>
        </w:tc>
        <w:tc>
          <w:tcPr>
            <w:tcW w:w="20" w:type="dxa"/>
            <w:vAlign w:val="bottom"/>
            <w:shd w:val="clear" w:color="auto" w:fill="CCEEFF"/>
          </w:tcPr>
          <w:p>
            <w:pPr>
              <w:spacing w:after="0"/>
              <w:rPr>
                <w:sz w:val="15"/>
                <w:szCs w:val="15"/>
                <w:color w:val="auto"/>
              </w:rPr>
            </w:pPr>
          </w:p>
        </w:tc>
      </w:tr>
      <w:tr>
        <w:trPr>
          <w:trHeight w:val="18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One-time employee termination benefits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20" w:type="dxa"/>
            <w:vAlign w:val="bottom"/>
          </w:tcPr>
          <w:p>
            <w:pPr>
              <w:spacing w:after="0"/>
              <w:rPr>
                <w:sz w:val="15"/>
                <w:szCs w:val="15"/>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126,505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As of March 29, 2025, the Company has recorded cumulative expenses of approximately $46.5 million, $99.9 million, $12.4 million and $5.9 million for contract termination and other costs, asset impairment costs, goodwill impairment charges, and one-time employee termination benefits, respectively, as a result of the 2023 Restructuring Initiatives. The Company does not expect to incur additional material charges related to the 2023 Restructuring Initiatives.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liability activity related to the 2023 Restructuring Initiatives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One-Time Employee Termination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6"/>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Contract Termination and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April 1, 2023</w:t>
            </w:r>
          </w:p>
        </w:tc>
        <w:tc>
          <w:tcPr>
            <w:tcW w:w="40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incurred and charged to expense</w:t>
            </w:r>
          </w:p>
        </w:tc>
        <w:tc>
          <w:tcPr>
            <w:tcW w:w="4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payments</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March 30, 2024</w:t>
            </w:r>
          </w:p>
        </w:tc>
        <w:tc>
          <w:tcPr>
            <w:tcW w:w="4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incurred and charged to expense</w:t>
            </w:r>
          </w:p>
        </w:tc>
        <w:tc>
          <w:tcPr>
            <w:tcW w:w="40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Cash payments</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restructuring balance, March 29, 2025</w:t>
            </w: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INCOME TAXES</w:t>
            </w: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income taxes consists of the following components (in thousands):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1"/>
                <w:szCs w:val="11"/>
                <w:b w:val="1"/>
                <w:bCs w:val="1"/>
                <w:color w:val="auto"/>
                <w:w w:val="97"/>
              </w:rPr>
              <w:t>Fiscal Year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(405,546)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(281,790)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(466,070)</w:t>
            </w:r>
          </w:p>
        </w:tc>
        <w:tc>
          <w:tcPr>
            <w:tcW w:w="0" w:type="dxa"/>
            <w:vAlign w:val="bottom"/>
          </w:tcPr>
          <w:p>
            <w:pPr>
              <w:spacing w:after="0"/>
              <w:rPr>
                <w:sz w:val="1"/>
                <w:szCs w:val="1"/>
                <w:color w:val="auto"/>
              </w:rPr>
            </w:pPr>
          </w:p>
        </w:tc>
      </w:tr>
      <w:tr>
        <w:trPr>
          <w:trHeight w:val="180"/>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471,445</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355,350</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590,699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65,899</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73,560</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124,629</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components of the income tax provision are as follows (in thousands):</w:t>
            </w:r>
          </w:p>
        </w:tc>
        <w:tc>
          <w:tcPr>
            <w:tcW w:w="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gridSpan w:val="2"/>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(expense) benefit:</w:t>
            </w: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400" w:type="dxa"/>
            <w:vAlign w:val="bottom"/>
          </w:tcPr>
          <w:p>
            <w:pPr>
              <w:spacing w:after="0"/>
              <w:rPr>
                <w:sz w:val="15"/>
                <w:szCs w:val="15"/>
                <w:color w:val="auto"/>
              </w:rPr>
            </w:pPr>
          </w:p>
        </w:tc>
        <w:tc>
          <w:tcPr>
            <w:tcW w:w="136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(19,482)</w:t>
            </w:r>
          </w:p>
        </w:tc>
        <w:tc>
          <w:tcPr>
            <w:tcW w:w="1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(36,155)</w:t>
            </w:r>
          </w:p>
        </w:tc>
        <w:tc>
          <w:tcPr>
            <w:tcW w:w="16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(21,704)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2"/>
              </w:rPr>
              <w:t>(232)</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(75,447)</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(88,090)</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(65,430)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(95,021)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(124,477)</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(87,622)</w:t>
            </w:r>
          </w:p>
        </w:tc>
        <w:tc>
          <w:tcPr>
            <w:tcW w:w="0" w:type="dxa"/>
            <w:vAlign w:val="bottom"/>
          </w:tcPr>
          <w:p>
            <w:pPr>
              <w:spacing w:after="0"/>
              <w:rPr>
                <w:sz w:val="1"/>
                <w:szCs w:val="1"/>
                <w:color w:val="auto"/>
              </w:rPr>
            </w:pPr>
          </w:p>
        </w:tc>
      </w:tr>
      <w:tr>
        <w:trPr>
          <w:trHeight w:val="16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91,101</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(6,315)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(13,963)</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84,737</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(19,405)</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66,145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(10,284)</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(143,882)</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(21,477)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4"/>
          <w:szCs w:val="14"/>
          <w:color w:val="auto"/>
        </w:rPr>
        <w:t>A reconciliation of the provision for income taxes to income tax expense computed by applying the statutory federal income tax rate to pre-tax income for fiscal years 2025, 2024 and 2023 is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1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0"/>
        </w:trPr>
        <w:tc>
          <w:tcPr>
            <w:tcW w:w="3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at statutory federal rate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(13,839)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(15,448)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resulting from:</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benefit (expense), net of federal impact</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4,448</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(1,028)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40" w:type="dxa"/>
            <w:vAlign w:val="bottom"/>
          </w:tcPr>
          <w:p>
            <w:pPr>
              <w:spacing w:after="0"/>
              <w:rPr>
                <w:sz w:val="15"/>
                <w:szCs w:val="15"/>
                <w:color w:val="auto"/>
              </w:rPr>
            </w:pPr>
          </w:p>
        </w:tc>
        <w:tc>
          <w:tcPr>
            <w:tcW w:w="12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61,037</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(92.6)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67,726</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(92.1)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97,809</w:t>
            </w: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38"/>
        </w:trPr>
        <w:tc>
          <w:tcPr>
            <w:tcW w:w="3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Effect of changes in income tax rate applied to net</w:t>
            </w: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657</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(150)</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rate difference</w:t>
            </w:r>
          </w:p>
        </w:tc>
        <w:tc>
          <w:tcPr>
            <w:tcW w:w="240" w:type="dxa"/>
            <w:vAlign w:val="bottom"/>
          </w:tcPr>
          <w:p>
            <w:pPr>
              <w:spacing w:after="0"/>
              <w:rPr>
                <w:sz w:val="15"/>
                <w:szCs w:val="15"/>
                <w:color w:val="auto"/>
              </w:rPr>
            </w:pPr>
          </w:p>
        </w:tc>
        <w:tc>
          <w:tcPr>
            <w:tcW w:w="12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60,131</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(91.2)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46,102</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(62.7)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73,491</w:t>
            </w: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permanent differences and related items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2,342</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(5,540)</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40" w:type="dxa"/>
            <w:vAlign w:val="bottom"/>
          </w:tcPr>
          <w:p>
            <w:pPr>
              <w:spacing w:after="0"/>
              <w:rPr>
                <w:sz w:val="15"/>
                <w:szCs w:val="15"/>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(12,812)</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(7,537)</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Expiration of state and foreign attributes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(2,444)</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(1,947)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5"/>
                <w:szCs w:val="15"/>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(13,054)</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(10,696)</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(9,036)</w:t>
            </w: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reserve adjustments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10,950</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(8,451)</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w:t>
            </w: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8"/>
        </w:trPr>
        <w:tc>
          <w:tcPr>
            <w:tcW w:w="3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U.S. tax on foreign earnings, including GILTI &amp; FDII</w:t>
            </w:r>
          </w:p>
        </w:tc>
        <w:tc>
          <w:tcPr>
            <w:tcW w:w="240" w:type="dxa"/>
            <w:vAlign w:val="bottom"/>
          </w:tcPr>
          <w:p>
            <w:pPr>
              <w:spacing w:after="0"/>
              <w:rPr>
                <w:sz w:val="11"/>
                <w:szCs w:val="11"/>
                <w:color w:val="auto"/>
              </w:rPr>
            </w:pPr>
          </w:p>
        </w:tc>
        <w:tc>
          <w:tcPr>
            <w:tcW w:w="12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(76,394)</w:t>
            </w:r>
          </w:p>
        </w:tc>
        <w:tc>
          <w:tcPr>
            <w:tcW w:w="10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115.9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(129,692)</w:t>
            </w: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176.4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(128,708)</w:t>
            </w:r>
          </w:p>
        </w:tc>
        <w:tc>
          <w:tcPr>
            <w:tcW w:w="14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42"/>
        </w:trPr>
        <w:tc>
          <w:tcPr>
            <w:tcW w:w="3140" w:type="dxa"/>
            <w:vAlign w:val="bottom"/>
            <w:vMerge w:val="restart"/>
          </w:tcPr>
          <w:p>
            <w:pPr>
              <w:ind w:left="140"/>
              <w:spacing w:after="0"/>
              <w:rPr>
                <w:sz w:val="20"/>
                <w:szCs w:val="20"/>
                <w:color w:val="auto"/>
              </w:rPr>
            </w:pPr>
            <w:r>
              <w:rPr>
                <w:rFonts w:ascii="Times New Roman" w:cs="Times New Roman" w:eastAsia="Times New Roman" w:hAnsi="Times New Roman"/>
                <w:sz w:val="8"/>
                <w:szCs w:val="8"/>
                <w:color w:val="auto"/>
              </w:rPr>
              <w:t>(1) (2)</w:t>
            </w:r>
          </w:p>
        </w:tc>
        <w:tc>
          <w:tcPr>
            <w:tcW w:w="2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3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unremitted foreign earnings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2,038</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(3,283)</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Restructuring-related adjustments </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5"/>
                <w:szCs w:val="15"/>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(32,390)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49.2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(42,715)</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Impairments and acquisition related adjustments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(31,717)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43.2</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tax (expense) benefit</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(954)</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494</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(10,284)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(143,882)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195.6 %</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right="40" w:firstLine="5"/>
        <w:spacing w:after="0" w:line="258" w:lineRule="auto"/>
        <w:tabs>
          <w:tab w:leader="none" w:pos="1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Global Intangible Low-Taxed Income ("GILTI") and Foreign-Derived Intangible Income ("FDII") provisions became effective for the Company in fiscal 2019, at which time the Company elected to treat taxes due on future GILTI inclusions in U.S. taxable income as a period cost.</w:t>
      </w:r>
    </w:p>
    <w:p>
      <w:pPr>
        <w:ind w:left="180" w:hanging="175"/>
        <w:spacing w:after="0"/>
        <w:tabs>
          <w:tab w:leader="none" w:pos="1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in fiscal 2023 and as required by the Tax Cuts and Jobs Act, the Company was required to capitalize and amortize R&amp;D expenses which were previously expensed for U.S. tax purposes.</w:t>
      </w:r>
    </w:p>
    <w:p>
      <w:pPr>
        <w:ind w:right="160" w:firstLine="5"/>
        <w:spacing w:after="0" w:line="258" w:lineRule="auto"/>
        <w:tabs>
          <w:tab w:leader="none" w:pos="1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tax impacts of impairments and other costs associated with the Restructuring Initiatives, as well as all other tax consequences of the Restructuring Initiatives (refer to Note 12 for additional information). Other tax consequences include impacts to tax reserves, valuation allowances, tax on remittances, and other related adjustments.</w:t>
      </w:r>
    </w:p>
    <w:p>
      <w:pPr>
        <w:spacing w:after="0" w:line="15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components of the Company’s net deferred income taxes are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220" w:type="dxa"/>
            <w:vAlign w:val="bottom"/>
          </w:tcPr>
          <w:p>
            <w:pPr>
              <w:spacing w:after="0"/>
              <w:rPr>
                <w:sz w:val="13"/>
                <w:szCs w:val="13"/>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March 30, 2024</w:t>
            </w:r>
          </w:p>
        </w:tc>
      </w:tr>
      <w:tr>
        <w:trPr>
          <w:trHeight w:val="170"/>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research and development expenses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96,198</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60,875</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other tax credits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42,066</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54,681</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28,225</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loss carryforwards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25,563</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16,290</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14,395</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14,012</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12,898</w:t>
            </w:r>
          </w:p>
        </w:tc>
      </w:tr>
      <w:tr>
        <w:trPr>
          <w:trHeight w:val="17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income tax assets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272,188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212,927</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(85,722)</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(43,636)</w:t>
            </w:r>
          </w:p>
        </w:tc>
      </w:tr>
      <w:tr>
        <w:trPr>
          <w:trHeight w:val="17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income tax assets, net of valuation allowance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186,466</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169,291</w:t>
            </w:r>
          </w:p>
        </w:tc>
      </w:tr>
      <w:tr>
        <w:trPr>
          <w:trHeight w:val="182"/>
        </w:trPr>
        <w:tc>
          <w:tcPr>
            <w:tcW w:w="8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(48,139)</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(71,912)</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(13,301)</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tax on unremitted foreign earnings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(40,912)</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w:t>
            </w:r>
          </w:p>
        </w:tc>
      </w:tr>
      <w:tr>
        <w:trPr>
          <w:trHeight w:val="17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(95,835)</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(178,098)</w:t>
            </w: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income tax asset (liability)</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90,631</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included in the Consolidated Balance Sheets: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101,439</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25,400</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(10,808)</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(34,207)</w:t>
            </w:r>
          </w:p>
        </w:tc>
      </w:tr>
      <w:tr>
        <w:trPr>
          <w:trHeight w:val="17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income tax asset (liability)</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90,631</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(8,807)</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has recorded a valuation allowance against certain U.S. and foreign deferred tax assets as of March 29, 2025 and March 30, 2024. These valuation allowances were established based upon management's opinion that it is more likely than not (a likelihood of more than 50 percent) that the benefit of these deferred tax assets will not be realized.</w:t>
      </w:r>
    </w:p>
    <w:p>
      <w:pPr>
        <w:spacing w:after="0" w:line="145"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14"/>
          <w:szCs w:val="14"/>
          <w:color w:val="auto"/>
        </w:rPr>
        <w:t>The valuation allowance against deferred tax assets increased in fiscal 2025 by $42.1 million and is primarily attributable to the valuation allowance against federal and state capital loss carryforwards of $29.3 million, which is presented as a component of the restructuring-related adjustments in the reconciliation of income tax expense.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the change in valuation allowances and ending balances are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6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valuation allowance</w:t>
            </w:r>
          </w:p>
        </w:tc>
        <w:tc>
          <w:tcPr>
            <w:tcW w:w="9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43,636</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35,896</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36,281</w:t>
            </w: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Charged (credited) to income tax provision:</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Domestic tax attributes and deferred tax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r>
      <w:tr>
        <w:trPr>
          <w:trHeight w:val="180"/>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tax attributes and deferred tax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r>
      <w:tr>
        <w:trPr>
          <w:trHeight w:val="180"/>
        </w:trPr>
        <w:tc>
          <w:tcPr>
            <w:tcW w:w="6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Translation and other charges </w:t>
            </w:r>
            <w:r>
              <w:rPr>
                <w:rFonts w:ascii="Times New Roman" w:cs="Times New Roman" w:eastAsia="Times New Roman" w:hAnsi="Times New Roman"/>
                <w:sz w:val="18"/>
                <w:szCs w:val="18"/>
                <w:color w:val="auto"/>
                <w:vertAlign w:val="superscript"/>
              </w:rPr>
              <w:t>(1)</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valuation allowance</w:t>
            </w:r>
          </w:p>
        </w:tc>
        <w:tc>
          <w:tcPr>
            <w:tcW w:w="9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85,722</w:t>
            </w:r>
          </w:p>
        </w:tc>
        <w:tc>
          <w:tcPr>
            <w:tcW w:w="1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43,636</w:t>
            </w:r>
          </w:p>
        </w:tc>
        <w:tc>
          <w:tcPr>
            <w:tcW w:w="1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6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ending valuation allowance:</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deferred tax assets</w:t>
            </w:r>
          </w:p>
        </w:tc>
        <w:tc>
          <w:tcPr>
            <w:tcW w:w="9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32,406</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35,570</w:t>
            </w:r>
          </w:p>
        </w:tc>
      </w:tr>
      <w:tr>
        <w:trPr>
          <w:trHeight w:val="18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deferred tax assets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19,953</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85,722</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43,636</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Charges outside of income tax primarily relate to purchase accounting adjustments.</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 of March 29, 2025, the Company had federal tax loss carryforwards of approximately $30.4 million, some of which expire in fiscal years 2026 to 2038, and state tax loss carryforwards of approximately $98.5 million, some of which expire in fiscal years 2026 to 2044, the remainders of which will carry forward indefinitely. Federal research credits of $72.4 million expire in fiscal years 2043 to 2045, and a portion of the Company's state research credits of $71.5 million expire in fiscal years 2026 to 2043, while the remainder carry forward indefinitely. The Company had foreign tax loss carryforwards of $86.0 million as of March 29, 2025, some of which expire in fiscal years 2026 to 2035. Each tax loss carryforward and tax credit expire only if unused prior to their respective expiration date. The utilization of acquired domestic tax assets is subject to certain annual limitations as required under Section 382 of the Internal Revenue Code of 1986, as amended, and similar state income tax provisions.</w:t>
      </w:r>
    </w:p>
    <w:p>
      <w:pPr>
        <w:spacing w:after="0" w:line="1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Company currently operates in numerous international jurisdictions, which expose the Company to taxation in various regions. The Company continually evaluates its global cash needs and has historically asserted that some of its unremitted earnings were permanently reinvested. In fiscal 2024, as a result of the Company's divestiture of its assembly and test operations in China (refer to Note 4 for additional information), it was determined the Company could no longer support its permanent reinvestment assertion on related, unremitted earnings. As a result, the Company is not permanently reinvested on earnings of its foreign subsidiaries which have been subject to U.S. federal taxation and has recognized a corresponding deferred tax liability for the estimated tax that would be incurred upon repatriation.</w:t>
      </w:r>
    </w:p>
    <w:p>
      <w:pPr>
        <w:spacing w:after="0" w:line="1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has foreign subsidiaries with tax holiday agreements in Costa Rica and Singapore. These tax holiday agreements have varying rates and expire in December 2027 and December 2031, respectively. Incentives from these countries are subject to the Company meeting certain employment and investment requirements. Relative to the statutory tax rate, income tax expense decreased by $54.0 million (an impact of approximately $0.57 per basic and diluted share) in fiscal 2025 and $57.2 million (an impact of approximately $0.59 per basic and diluted share) in fiscal 2024 as a result of these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gross unrecognized tax benefits totaled $145.7 million, $158.9 million and $152.3 million as of March 29, 2025, March 30, 2024 and April 1, 2023, respectively. Of these amounts,</w:t>
      </w:r>
    </w:p>
    <w:p>
      <w:pPr>
        <w:spacing w:after="0" w:line="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$139.6 million, $152.6 million and $145.9 million as of March 29, 2025, March 30, 2024 and April 1, 2023, respectively, represent the amounts of unrecognized tax benefits that, if recognized, would impact the effective tax rate in each of the fiscal years.</w:t>
      </w:r>
    </w:p>
    <w:p>
      <w:pPr>
        <w:spacing w:after="0" w:line="15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Company’s gross unrecognized tax benefits decreased from $158.9 million as of March 30, 2024 to $145.7 million as of March 29, 2025, primarily due to the expiration of statute of limitations on prior-year positions and reductions related to the divestiture of the SiC Disposal Group and the China Disposal Group, partially offset by increases in current year tax positions.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changes in the amount of gross unrecognized tax benefits is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6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158,899</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152,331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144,055</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based on positions related to current year</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for tax positions in prior years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for tax positions in prior years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Expiration of statute of limitations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(24,983)</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w:t>
            </w:r>
          </w:p>
        </w:tc>
      </w:tr>
      <w:tr>
        <w:trPr>
          <w:trHeight w:val="180"/>
        </w:trPr>
        <w:tc>
          <w:tcPr>
            <w:tcW w:w="66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(reductions) additions </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(5,952)</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145,717</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158,899</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152,331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Relates to divestitures and purchase accounting related adjustments.</w:t>
      </w:r>
    </w:p>
    <w:p>
      <w:pPr>
        <w:spacing w:after="0" w:line="19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It is the Company’s policy to recognize interest and penalties related to uncertain tax positions as a component of income tax expense. During fiscal years 2025, 2024 and 2023, the Company recognized $2.2 million, $3.5 million and $0.9 million, respectively, of interest and penalties related to uncertain tax positions. Accrued interest and penalties related to unrecognized tax benefits totaled $7.5 million, $5.3 million and $1.9 million as of March 29, 2025, March 30, 2024 and April 1, 2023, respectively.</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unrecognized tax benefits of $145.7 million and accrued interest and penalties of $7.5 million as of March 29, 2025 are recorded in the Consolidated Balance Sheet as a $49.5 million other long-term liability, with the balance reducing the carrying value of the gross deferred tax assets.</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Due to uncertainties regarding the timing of examinations and the amount of settlements that may be paid, if any, to tax authorities, the Company believes it is reasonably possible that $2.2 million of gross unrecognized tax benefits will be reduced within the next 12 months.</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 files a consolidated U.S. federal income tax return, as well as separate and combined income tax returns in numerous state and international jurisdictions. The Company’s fiscal 2021 U.S. federal and state tax returns and subsequent tax years remain open for examination, as well as all attributes brought forward into those years. The Company is also subject to examination by various international tax authorities. The tax years subject to examination vary by jurisdiction.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NET INCOME (LOSS)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64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Numerator for basic and diluted net income (loss) per share — net income (loss) available to common</w:t>
            </w:r>
          </w:p>
        </w:tc>
        <w:tc>
          <w:tcPr>
            <w:tcW w:w="920" w:type="dxa"/>
            <w:vAlign w:val="bottom"/>
            <w:vMerge w:val="restart"/>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55,615</w:t>
            </w:r>
          </w:p>
        </w:tc>
        <w:tc>
          <w:tcPr>
            <w:tcW w:w="160" w:type="dxa"/>
            <w:vAlign w:val="bottom"/>
          </w:tcPr>
          <w:p>
            <w:pPr>
              <w:spacing w:after="0"/>
              <w:rPr>
                <w:sz w:val="11"/>
                <w:szCs w:val="11"/>
                <w:color w:val="auto"/>
              </w:rPr>
            </w:pPr>
          </w:p>
        </w:tc>
        <w:tc>
          <w:tcPr>
            <w:tcW w:w="2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(70,322)</w:t>
            </w:r>
          </w:p>
        </w:tc>
        <w:tc>
          <w:tcPr>
            <w:tcW w:w="160" w:type="dxa"/>
            <w:vAlign w:val="bottom"/>
          </w:tcPr>
          <w:p>
            <w:pPr>
              <w:spacing w:after="0"/>
              <w:rPr>
                <w:sz w:val="11"/>
                <w:szCs w:val="11"/>
                <w:color w:val="auto"/>
              </w:rPr>
            </w:pPr>
          </w:p>
        </w:tc>
        <w:tc>
          <w:tcPr>
            <w:tcW w:w="3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103,152</w:t>
            </w:r>
          </w:p>
        </w:tc>
        <w:tc>
          <w:tcPr>
            <w:tcW w:w="0" w:type="dxa"/>
            <w:vAlign w:val="bottom"/>
          </w:tcPr>
          <w:p>
            <w:pPr>
              <w:spacing w:after="0"/>
              <w:rPr>
                <w:sz w:val="1"/>
                <w:szCs w:val="1"/>
                <w:color w:val="auto"/>
              </w:rPr>
            </w:pPr>
          </w:p>
        </w:tc>
      </w:tr>
      <w:tr>
        <w:trPr>
          <w:trHeight w:val="175"/>
        </w:trPr>
        <w:tc>
          <w:tcPr>
            <w:tcW w:w="6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stockholders</w:t>
            </w:r>
          </w:p>
        </w:tc>
        <w:tc>
          <w:tcPr>
            <w:tcW w:w="9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Denominator:</w:t>
            </w: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Denominator for basic net income (loss) per share — weighted-average shares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102,206</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awards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118"/>
        </w:trPr>
        <w:tc>
          <w:tcPr>
            <w:tcW w:w="6640" w:type="dxa"/>
            <w:vAlign w:val="bottom"/>
            <w:tcBorders>
              <w:top w:val="single" w:sz="8" w:color="CCEEFF"/>
            </w:tcBorders>
            <w:shd w:val="clear" w:color="auto" w:fill="CCEEFF"/>
          </w:tcPr>
          <w:p>
            <w:pPr>
              <w:ind w:left="280"/>
              <w:spacing w:after="0" w:line="118" w:lineRule="exact"/>
              <w:rPr>
                <w:sz w:val="20"/>
                <w:szCs w:val="20"/>
                <w:color w:val="auto"/>
              </w:rPr>
            </w:pPr>
            <w:r>
              <w:rPr>
                <w:rFonts w:ascii="Times New Roman" w:cs="Times New Roman" w:eastAsia="Times New Roman" w:hAnsi="Times New Roman"/>
                <w:sz w:val="13"/>
                <w:szCs w:val="13"/>
                <w:color w:val="auto"/>
              </w:rPr>
              <w:t>Denominator for diluted net income (loss) per share — adjusted weighted-average shares and assumed</w:t>
            </w:r>
          </w:p>
        </w:tc>
        <w:tc>
          <w:tcPr>
            <w:tcW w:w="9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95,450</w:t>
            </w: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97,557</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103,019</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conversions</w:t>
            </w: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40" w:type="dxa"/>
            <w:vAlign w:val="bottom"/>
            <w:vMerge w:val="continue"/>
          </w:tcPr>
          <w:p>
            <w:pPr>
              <w:spacing w:after="0"/>
              <w:rPr>
                <w:sz w:val="12"/>
                <w:szCs w:val="12"/>
                <w:color w:val="auto"/>
              </w:rPr>
            </w:pPr>
          </w:p>
        </w:tc>
        <w:tc>
          <w:tcPr>
            <w:tcW w:w="920" w:type="dxa"/>
            <w:vAlign w:val="bottom"/>
            <w:tcBorders>
              <w:bottom w:val="single" w:sz="8" w:color="auto"/>
            </w:tcBorders>
          </w:tcPr>
          <w:p>
            <w:pPr>
              <w:jc w:val="right"/>
              <w:ind w:right="773"/>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0.59</w:t>
            </w:r>
          </w:p>
        </w:tc>
        <w:tc>
          <w:tcPr>
            <w:tcW w:w="16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(0.72)</w:t>
            </w:r>
          </w:p>
        </w:tc>
        <w:tc>
          <w:tcPr>
            <w:tcW w:w="16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the computation of diluted net income per share for fiscal 2025, approximately 1.0 million shares of outstanding stock-based awards were excluded because the effect of their inclusion would have been anti-dilutive. In the computation of net loss per share for fiscal 2024, approximately 1.5 million shares of outstanding stock-based awards were excluded because the effect of their inclusion would have been anti-dilutive. In the computation of diluted net income per share for fiscal 2023, approximately 0.8 million shares of outstanding stock-based awards were excluded because the effect of their inclusion would have been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STOCK-BASED COMPENSATION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Total pre-tax stock-based compensation expense recognized in the Consolidated Statements of Operations was $136.3 million, $120.8 million and $105.6 million for fiscal years 2025, 2024 and 2023, respectively. The net tax benefit realized for the tax deduction from stock-based compensation was $17.3 million, $16.2 million and $14.5 million, for fiscal years 2025, 2024 and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Award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2012 Stock Incentive Plan – Qorvo, Inc.</w:t>
      </w:r>
    </w:p>
    <w:p>
      <w:pPr>
        <w:spacing w:after="0" w:line="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The 2012 Stock Incentive Plan (the "2012 Plan") was assumed by the Company in connection with the Business Combination and reapproved by the Company's stockholders on August 8, 2017 for purposes of Section 162(m) of the Internal Revenue Code. Under the 2012 Plan, the Company was permitted to grant stock options and other types of equity incentive awards, such as stock appreciation rights, restricted stock awards, performance shares and performance units. No further awards can be granted under this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2013 Incentive Plan – Qorvo, Inc.</w:t>
      </w:r>
    </w:p>
    <w:p>
      <w:pPr>
        <w:spacing w:after="0" w:line="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Effective upon the closing of the Business Combination, the Company assumed the TriQuint, Inc. 2013 Incentive Plan (the "2013 Incentive Plan"), originally adopted by TriQuint, allowing the Company to issue awards under this plan. The 2013 Incentive Plan replaced the TriQuint 2012 Incentive Plan and provided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became employed by the Company or its affiliates after the closing of the Business Combination. No further awards can be granted under this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Stock Incentive Plan – Qorvo, Inc.</w:t>
      </w:r>
    </w:p>
    <w:p>
      <w:pPr>
        <w:spacing w:after="0" w:line="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The Company currently grants equity-based awards to eligible employees, directors and independent contractors under the 2022 Stock Incentive Plan (the "2022 Plan"), which was approved by the Company's stockholders on August 9, 2022. Under the 2022 Plan, the Company is permitted to grant awards, such as restricted stock units, restricted stock awards, performance shares, performance units, stock options, stock appreciation rights and phantom stock awards, to eligible participants. The maximum number of shares issuable under the 2022 Plan may not exceed 4.5 million shares (subject to adjustment for anti-dilution purposes). As of March 29, 2025, approximately 1.7 million shares were available for issuance under the 2022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Restricted stock units ("RSUs") granted by the Company in fiscal years 2025, 2024 and 2023 are either service-based or performance-based. Service-based RSUs generally vest over a four-year period from the grant date. Performance-based awards are comprised of corporate objective-based awards and gross margin-based awards. Corporate objective-based awards are earned based on Company achievement of specific performance targets and, if earned, generally vest one-half when earned and the remaining balance vests in equal installments over each of the following two years. Gross margin-based awards are earned based on Company achievement of gross margin targets and, if earned, generally vest when earned. RSUs granted to non-employee directors generally vest over a one-year period from the grant date. In fiscal 2025, each non-employee director was eligible to receive an annual grant of RSUs.</w:t>
      </w:r>
    </w:p>
    <w:p>
      <w:pPr>
        <w:spacing w:after="0" w:line="16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RSUs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these awards are expensed at grant date. In fiscal 2025, stock-based compensation of $38.5 million was recognized upon the grant of 0.1 million service-based RSUs and 0.3 million performance-based RSUs to certain officers of the Company.</w:t>
      </w:r>
    </w:p>
    <w:p>
      <w:pPr>
        <w:spacing w:after="0" w:line="14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fair value per unit of each RSU is determined on the grant date, and the compensation expense is based on awards ultimately expected to vest. The Company has elected to estimate forfeitures at the time of grant and if actual forfeitures differ from those estimates, the Company revises the estimates in subsequent periods. Based upon historical pre-vesting forfeiture experience, the Company assumed an annualized forfeiture rate of 1.4% for restricted stock units.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activity with respect to RSUs under the Company’s director and employee stock plans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60" w:type="dxa"/>
            <w:vAlign w:val="bottom"/>
          </w:tcPr>
          <w:p>
            <w:pPr>
              <w:spacing w:after="0"/>
              <w:rPr>
                <w:sz w:val="11"/>
                <w:szCs w:val="11"/>
                <w:color w:val="auto"/>
              </w:rPr>
            </w:pPr>
          </w:p>
        </w:tc>
        <w:tc>
          <w:tcPr>
            <w:tcW w:w="1340" w:type="dxa"/>
            <w:vAlign w:val="bottom"/>
            <w:vMerge w:val="restart"/>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5"/>
        </w:trPr>
        <w:tc>
          <w:tcPr>
            <w:tcW w:w="75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jc w:val="center"/>
              <w:ind w:right="235"/>
              <w:spacing w:after="0" w:line="115" w:lineRule="exact"/>
              <w:rPr>
                <w:sz w:val="20"/>
                <w:szCs w:val="20"/>
                <w:color w:val="auto"/>
              </w:rPr>
            </w:pPr>
            <w:r>
              <w:rPr>
                <w:rFonts w:ascii="Times New Roman" w:cs="Times New Roman" w:eastAsia="Times New Roman" w:hAnsi="Times New Roman"/>
                <w:sz w:val="11"/>
                <w:szCs w:val="11"/>
                <w:b w:val="1"/>
                <w:bCs w:val="1"/>
                <w:color w:val="auto"/>
              </w:rPr>
              <w:t>Grant-Date</w:t>
            </w:r>
          </w:p>
        </w:tc>
        <w:tc>
          <w:tcPr>
            <w:tcW w:w="0" w:type="dxa"/>
            <w:vAlign w:val="bottom"/>
          </w:tcPr>
          <w:p>
            <w:pPr>
              <w:spacing w:after="0"/>
              <w:rPr>
                <w:sz w:val="1"/>
                <w:szCs w:val="1"/>
                <w:color w:val="auto"/>
              </w:rPr>
            </w:pPr>
          </w:p>
        </w:tc>
      </w:tr>
      <w:tr>
        <w:trPr>
          <w:trHeight w:val="155"/>
        </w:trPr>
        <w:tc>
          <w:tcPr>
            <w:tcW w:w="756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March 31, 2024</w:t>
            </w:r>
          </w:p>
        </w:tc>
        <w:tc>
          <w:tcPr>
            <w:tcW w:w="1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w:t>
            </w:r>
          </w:p>
        </w:tc>
        <w:tc>
          <w:tcPr>
            <w:tcW w:w="0" w:type="dxa"/>
            <w:vAlign w:val="bottom"/>
          </w:tcPr>
          <w:p>
            <w:pPr>
              <w:spacing w:after="0"/>
              <w:rPr>
                <w:sz w:val="1"/>
                <w:szCs w:val="1"/>
                <w:color w:val="auto"/>
              </w:rPr>
            </w:pPr>
          </w:p>
        </w:tc>
      </w:tr>
      <w:tr>
        <w:trPr>
          <w:trHeight w:val="18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0" w:type="dxa"/>
            <w:vAlign w:val="bottom"/>
          </w:tcPr>
          <w:p>
            <w:pPr>
              <w:spacing w:after="0"/>
              <w:rPr>
                <w:sz w:val="1"/>
                <w:szCs w:val="1"/>
                <w:color w:val="auto"/>
              </w:rPr>
            </w:pPr>
          </w:p>
        </w:tc>
      </w:tr>
      <w:tr>
        <w:trPr>
          <w:trHeight w:val="18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116.20</w:t>
            </w:r>
          </w:p>
        </w:tc>
        <w:tc>
          <w:tcPr>
            <w:tcW w:w="0" w:type="dxa"/>
            <w:vAlign w:val="bottom"/>
          </w:tcPr>
          <w:p>
            <w:pPr>
              <w:spacing w:after="0"/>
              <w:rPr>
                <w:sz w:val="1"/>
                <w:szCs w:val="1"/>
                <w:color w:val="auto"/>
              </w:rPr>
            </w:pPr>
          </w:p>
        </w:tc>
      </w:tr>
      <w:tr>
        <w:trPr>
          <w:trHeight w:val="18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109.24</w:t>
            </w:r>
          </w:p>
        </w:tc>
        <w:tc>
          <w:tcPr>
            <w:tcW w:w="0" w:type="dxa"/>
            <w:vAlign w:val="bottom"/>
          </w:tcPr>
          <w:p>
            <w:pPr>
              <w:spacing w:after="0"/>
              <w:rPr>
                <w:sz w:val="1"/>
                <w:szCs w:val="1"/>
                <w:color w:val="auto"/>
              </w:rPr>
            </w:pPr>
          </w:p>
        </w:tc>
      </w:tr>
      <w:tr>
        <w:trPr>
          <w:trHeight w:val="196"/>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March 29, 2025</w:t>
            </w:r>
          </w:p>
        </w:tc>
        <w:tc>
          <w:tcPr>
            <w:tcW w:w="134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of March 29, 2025, total remaining unearned compensation cost related to unvested RSUs was $186.8 million, which will be amortized over the weighted-average remaining service period of approximately 1.4 years.</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total intrinsic value of RSUs that vested during fiscal years 2025, 2024 and 2023 was $96.3 million, $85.8 million and $74.1 million, respectively, based upon the fair market value of the Company’s common stock on the vesting date. The Company settles RSUs with newly issued shares of the Company's common stock. For the majority of RSUs, shares are issued on the vesting date net of the amount of shares needed to satisfy statutory tax withholding obligations to be paid by the Company on behalf of the employees. As a result, the actual number of shares issued will be fewer than the number of RSUs unvested.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Effective upon closing of the Business Combination, the Company assumed the TriQuint Employee Stock Purchase Plan (the "ESPP"), which is intended to qualify as an "employee stock purchase plan" under Section 423 of the Internal Revenue Code. All regular full-time employees of the Company (including officers) and all other employees who meet the eligibility requirements of the plan may participate in the ESPP. The ESPP provides eligible employees an opportunity to acquire the Company’s common stock at 85% of the lower of the closing price per share of the Company’s common stock on the first or last day of each six-month purchase period. As of March 29, 2025, 1.7 million shares were available for future issuance under this plan. The Company makes no cash contributions to the ESPP but bears the expenses of its administration. The Company issued 0.5 million shares under the ESPP in fiscal 2025, 0.5 million shares in fiscal 2024 and 0.3 million shares in fiscal 2023.</w:t>
      </w:r>
    </w:p>
    <w:p>
      <w:pPr>
        <w:spacing w:after="0" w:line="16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Cash received from participation in the employee stock purchase plan (excluding accrued unremitted employee funds) was approximately $34.2 million for fiscal 2025 and is reflected in cash flows from financing activities in the Consolidated Statement of Cash Flows. The Company settles employee stock purchase plan purchases with newly issued shares of the Company's common stock. The fair value of each award is estimated on the date of grant using a Black-Scholes pricing model based on the historical volatility, dividend yield, term and risk-free interest rate.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STOCKHOLDERS'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As of January 1, 2023, the Company's share repurchases in excess of issuances are subject to a 1% excise tax enacted by the Inflation Reduction Act. The excise tax is recognized as part of the cost basis of shares acquired in the Consolidated Statements of Stockholders' Equity.</w:t>
      </w:r>
    </w:p>
    <w:p>
      <w:pPr>
        <w:spacing w:after="0" w:line="1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During fiscal years 2025, 2024 and 2023, the Company repurchased approximately 4.0 million shares, 4.0 million shares and 8.7 million shares of its common stock, respectively, for approximately $358.8 million, $403.0 million and $862.2 million, respectively (including transaction costs and excise tax, as applicable) under the prior and current share repurchase programs. As of March 29, 2025, approximately $948.7 million remains authorized for repurchases under the current share repurchase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Reserved For Future Issuance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29, 2025, the Company had reserved a total of approximately 6.1 million of its authorized 405.0 million shares of common stock for possible future issuance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stock incentive plans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w:t>
            </w:r>
          </w:p>
        </w:tc>
      </w:tr>
      <w:tr>
        <w:trPr>
          <w:trHeight w:val="18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r>
      <w:tr>
        <w:trPr>
          <w:trHeight w:val="18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r>
      <w:tr>
        <w:trPr>
          <w:trHeight w:val="171"/>
        </w:trPr>
        <w:tc>
          <w:tcPr>
            <w:tcW w:w="9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shares reserved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6,143</w:t>
            </w:r>
          </w:p>
        </w:tc>
      </w:tr>
      <w:tr>
        <w:trPr>
          <w:trHeight w:val="20"/>
        </w:trPr>
        <w:tc>
          <w:tcPr>
            <w:tcW w:w="94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OPERATING SEGMENT AND GEOGRAPHIC INFORMATION</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Company's three operating and reportable segments, HPA, CSG and ACG, are based on the organizational structure and information reviewed by the Company's Chief Executive Officer, who is also the Company's chief operating decision maker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record intercompany revenue. The Company does not allocate gains and losses from investments, interest expense, other income (expense), or taxes to operating segments. The CODM does not evaluate operating segments using discrete asset information.</w:t>
      </w:r>
    </w:p>
    <w:p>
      <w:pPr>
        <w:spacing w:after="0" w:line="16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HPA is a leading global supplier of RF, analog mixed signal and power management solutions. HPA leverages a diverse portfolio of differentiated process technologies and products to serve customers in consumer, defense and aerospace, infrastructure, industrial and enterprise, and mobile markets.</w:t>
      </w:r>
    </w:p>
    <w:p>
      <w:pPr>
        <w:spacing w:after="0" w:line="145"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4"/>
          <w:szCs w:val="14"/>
          <w:color w:val="auto"/>
        </w:rPr>
        <w:t>CSG is a leading global supplier of connectivity and sensor solutions, with broad expertise spanning ultra-wideband, Matter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Bluetooth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Low Energy, Zigbee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Thread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Wi-Fi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cellular solutions for the Internet of Things and microelectromechanical system-based sensors to serve customers in automotive, consumer, industrial and enterprise, and mobile markets.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unallocated amounts include operating expenses such as stock-based compensation expense, amortization of acquired intangible assets, restructuring-related charges, acquisition and integration-related costs, goodwill and other asset impairments, net adjustments related to a terminated capacity reservation agreement, gain or loss on assets, costs associated with upgrading certain of the Company's core business systems and other miscellaneous corporate overhead expenses that the Company does not allocate to its operating segments because these expenses are not included in the segment operating performance measures evaluated by the Company’s CODM. Except as discussed above regarding the unallocated amounts,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details of the Company’s operating and reportable segments and a reconciliation of segment operating income to consolidated income before income taxes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7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5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HPA</w:t>
            </w:r>
          </w:p>
        </w:tc>
        <w:tc>
          <w:tcPr>
            <w:tcW w:w="1080" w:type="dxa"/>
            <w:vAlign w:val="bottom"/>
          </w:tcPr>
          <w:p>
            <w:pPr>
              <w:jc w:val="right"/>
              <w:ind w:right="9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637,261</w:t>
            </w:r>
          </w:p>
        </w:tc>
        <w:tc>
          <w:tcPr>
            <w:tcW w:w="12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572,953</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727,187</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CSG</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472,521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474,364</w:t>
            </w:r>
          </w:p>
        </w:tc>
      </w:tr>
      <w:tr>
        <w:trPr>
          <w:trHeight w:val="180"/>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ACG</w:t>
            </w: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2,609,189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2,762,016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2,367,848</w:t>
            </w: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8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3,718,971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3,769,506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3,569,399</w:t>
            </w:r>
          </w:p>
        </w:tc>
      </w:tr>
      <w:tr>
        <w:trPr>
          <w:trHeight w:val="117"/>
        </w:trPr>
        <w:tc>
          <w:tcPr>
            <w:tcW w:w="5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expenses:</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HPA</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288,847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279,516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328,346</w:t>
            </w:r>
          </w:p>
        </w:tc>
      </w:tr>
      <w:tr>
        <w:trPr>
          <w:trHeight w:val="180"/>
        </w:trPr>
        <w:tc>
          <w:tcPr>
            <w:tcW w:w="5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151,139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125,611</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Marketing and selling</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51,134</w:t>
            </w:r>
          </w:p>
        </w:tc>
      </w:tr>
      <w:tr>
        <w:trPr>
          <w:trHeight w:val="180"/>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28,371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23,276</w:t>
            </w: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108,895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198,820</w:t>
            </w:r>
          </w:p>
        </w:tc>
      </w:tr>
      <w:tr>
        <w:trPr>
          <w:trHeight w:val="117"/>
        </w:trPr>
        <w:tc>
          <w:tcPr>
            <w:tcW w:w="5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CSG</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5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293,664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291,350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320,849</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133,252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137,702</w:t>
            </w:r>
          </w:p>
        </w:tc>
      </w:tr>
      <w:tr>
        <w:trPr>
          <w:trHeight w:val="180"/>
        </w:trPr>
        <w:tc>
          <w:tcPr>
            <w:tcW w:w="5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Marketing and selling</w:t>
            </w: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76,583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74,455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64,284</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22,536</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23,609</w:t>
            </w:r>
          </w:p>
        </w:tc>
      </w:tr>
      <w:tr>
        <w:trPr>
          <w:trHeight w:val="17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operating loss</w:t>
            </w:r>
          </w:p>
        </w:tc>
        <w:tc>
          <w:tcPr>
            <w:tcW w:w="1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(88,649)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(72,080)</w:t>
            </w:r>
          </w:p>
        </w:tc>
      </w:tr>
      <w:tr>
        <w:trPr>
          <w:trHeight w:val="117"/>
        </w:trPr>
        <w:tc>
          <w:tcPr>
            <w:tcW w:w="57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180"/>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ACG</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1,456,799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1,523,025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1,266,347</w:t>
            </w:r>
          </w:p>
        </w:tc>
      </w:tr>
      <w:tr>
        <w:trPr>
          <w:trHeight w:val="180"/>
        </w:trPr>
        <w:tc>
          <w:tcPr>
            <w:tcW w:w="5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406,776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346,293</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Marketing and selling</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59,355</w:t>
            </w:r>
          </w:p>
        </w:tc>
      </w:tr>
      <w:tr>
        <w:trPr>
          <w:trHeight w:val="180"/>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81,513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80,925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68,145</w:t>
            </w: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602,447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727,906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627,708</w:t>
            </w:r>
          </w:p>
        </w:tc>
      </w:tr>
      <w:tr>
        <w:trPr>
          <w:trHeight w:val="117"/>
        </w:trPr>
        <w:tc>
          <w:tcPr>
            <w:tcW w:w="5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operating income</w:t>
            </w:r>
          </w:p>
        </w:tc>
        <w:tc>
          <w:tcPr>
            <w:tcW w:w="108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721,758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754,448</w:t>
            </w:r>
          </w:p>
        </w:tc>
      </w:tr>
      <w:tr>
        <w:trPr>
          <w:trHeight w:val="117"/>
        </w:trPr>
        <w:tc>
          <w:tcPr>
            <w:tcW w:w="5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8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Unallocated amounts:</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5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(136,346)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(120,834)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(105,580)</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acquired intangible assets</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(110,081)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(121,809)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(132,126)</w:t>
            </w:r>
          </w:p>
        </w:tc>
      </w:tr>
      <w:tr>
        <w:trPr>
          <w:trHeight w:val="180"/>
        </w:trPr>
        <w:tc>
          <w:tcPr>
            <w:tcW w:w="57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Restructuring-related charges </w:t>
            </w:r>
            <w:r>
              <w:rPr>
                <w:rFonts w:ascii="Times New Roman" w:cs="Times New Roman" w:eastAsia="Times New Roman" w:hAnsi="Times New Roman"/>
                <w:sz w:val="18"/>
                <w:szCs w:val="18"/>
                <w:color w:val="auto"/>
                <w:vertAlign w:val="superscript"/>
              </w:rPr>
              <w:t>(1)</w:t>
            </w: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(88,182)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(114,094)</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and integration-related costs</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(23,311)</w:t>
            </w:r>
          </w:p>
        </w:tc>
      </w:tr>
      <w:tr>
        <w:trPr>
          <w:trHeight w:val="180"/>
        </w:trPr>
        <w:tc>
          <w:tcPr>
            <w:tcW w:w="57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Goodwill and intangible asset impairment </w:t>
            </w:r>
            <w:r>
              <w:rPr>
                <w:rFonts w:ascii="Times New Roman" w:cs="Times New Roman" w:eastAsia="Times New Roman" w:hAnsi="Times New Roman"/>
                <w:sz w:val="18"/>
                <w:szCs w:val="18"/>
                <w:color w:val="auto"/>
                <w:vertAlign w:val="superscript"/>
              </w:rPr>
              <w:t>(2)</w:t>
            </w: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(192,569)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(221,414)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(12,411)</w:t>
            </w:r>
          </w:p>
        </w:tc>
      </w:tr>
      <w:tr>
        <w:trPr>
          <w:trHeight w:val="18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adjustments related to a terminated capacity reservation agreement</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(181,000)</w:t>
            </w:r>
          </w:p>
        </w:tc>
      </w:tr>
      <w:tr>
        <w:trPr>
          <w:trHeight w:val="180"/>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w:t>
            </w: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operating income</w:t>
            </w:r>
          </w:p>
        </w:tc>
        <w:tc>
          <w:tcPr>
            <w:tcW w:w="10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95,527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183,168</w:t>
            </w:r>
          </w:p>
        </w:tc>
      </w:tr>
      <w:tr>
        <w:trPr>
          <w:trHeight w:val="117"/>
        </w:trPr>
        <w:tc>
          <w:tcPr>
            <w:tcW w:w="5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80"/>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(78,328)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(68,463)</w:t>
            </w:r>
          </w:p>
        </w:tc>
      </w:tr>
      <w:tr>
        <w:trPr>
          <w:trHeight w:val="180"/>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51,104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9,924</w:t>
            </w: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8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80" w:hanging="175"/>
        <w:spacing w:after="0"/>
        <w:tabs>
          <w:tab w:leader="none" w:pos="1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12 for additional information.</w:t>
      </w:r>
    </w:p>
    <w:p>
      <w:pPr>
        <w:spacing w:after="0" w:line="15"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revenue to customers by geographic region (based on the location of the customers' headquarters) that are summarized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4"/>
        </w:trPr>
        <w:tc>
          <w:tcPr>
            <w:tcW w:w="56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80"/>
        </w:trPr>
        <w:tc>
          <w:tcPr>
            <w:tcW w:w="5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10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2,227,177</w:t>
            </w:r>
          </w:p>
        </w:tc>
        <w:tc>
          <w:tcPr>
            <w:tcW w:w="10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2,175,937</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1,817,960</w:t>
            </w:r>
          </w:p>
        </w:tc>
      </w:tr>
      <w:tr>
        <w:trPr>
          <w:trHeight w:val="18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China</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741,405</w:t>
            </w:r>
          </w:p>
        </w:tc>
      </w:tr>
      <w:tr>
        <w:trPr>
          <w:trHeight w:val="180"/>
        </w:trPr>
        <w:tc>
          <w:tcPr>
            <w:tcW w:w="5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Asia</w:t>
            </w:r>
          </w:p>
        </w:tc>
        <w:tc>
          <w:tcPr>
            <w:tcW w:w="1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517,683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498,966</w:t>
            </w:r>
          </w:p>
        </w:tc>
      </w:tr>
      <w:tr>
        <w:trPr>
          <w:trHeight w:val="18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Taiwan</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260,839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308,642</w:t>
            </w:r>
          </w:p>
        </w:tc>
      </w:tr>
      <w:tr>
        <w:trPr>
          <w:trHeight w:val="18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Europe</w:t>
            </w: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85,858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88,237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202,426</w:t>
            </w:r>
          </w:p>
        </w:tc>
      </w:tr>
      <w:tr>
        <w:trPr>
          <w:trHeight w:val="196"/>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3,718,971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3,769,506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3,569,399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the following long-lived tangible asset amounts related to operations of the Company by geographic region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Borders>
              <w:bottom w:val="single" w:sz="8" w:color="CCEEFF"/>
            </w:tcBorders>
          </w:tcPr>
          <w:p>
            <w:pPr>
              <w:spacing w:after="0"/>
              <w:rPr>
                <w:sz w:val="13"/>
                <w:szCs w:val="13"/>
                <w:color w:val="auto"/>
              </w:rPr>
            </w:pPr>
          </w:p>
        </w:tc>
        <w:tc>
          <w:tcPr>
            <w:tcW w:w="40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29, 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March 30, 2024</w:t>
            </w:r>
          </w:p>
        </w:tc>
      </w:tr>
      <w:tr>
        <w:trPr>
          <w:trHeight w:val="17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tangible assets:</w:t>
            </w:r>
          </w:p>
        </w:tc>
        <w:tc>
          <w:tcPr>
            <w:tcW w:w="40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5300" w:type="dxa"/>
            <w:vAlign w:val="bottom"/>
            <w:gridSpan w:val="2"/>
          </w:tcPr>
          <w:p>
            <w:pPr>
              <w:jc w:val="right"/>
              <w:ind w:right="114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725,620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795,466</w:t>
            </w:r>
          </w:p>
        </w:tc>
      </w:tr>
      <w:tr>
        <w:trPr>
          <w:trHeight w:val="18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countries</w:t>
            </w:r>
          </w:p>
        </w:tc>
        <w:tc>
          <w:tcPr>
            <w:tcW w:w="40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75,516</w:t>
            </w:r>
          </w:p>
        </w:tc>
      </w:tr>
      <w:tr>
        <w:trPr>
          <w:trHeight w:val="763"/>
        </w:trPr>
        <w:tc>
          <w:tcPr>
            <w:tcW w:w="3560" w:type="dxa"/>
            <w:vAlign w:val="bottom"/>
          </w:tcPr>
          <w:p>
            <w:pPr>
              <w:spacing w:after="0"/>
              <w:rPr>
                <w:sz w:val="24"/>
                <w:szCs w:val="24"/>
                <w:color w:val="auto"/>
              </w:rPr>
            </w:pPr>
          </w:p>
        </w:tc>
        <w:tc>
          <w:tcPr>
            <w:tcW w:w="4000" w:type="dxa"/>
            <w:vAlign w:val="bottom"/>
          </w:tcPr>
          <w:p>
            <w:pPr>
              <w:jc w:val="right"/>
              <w:ind w:right="1769"/>
              <w:spacing w:after="0"/>
              <w:rPr>
                <w:sz w:val="20"/>
                <w:szCs w:val="20"/>
                <w:color w:val="auto"/>
              </w:rPr>
            </w:pPr>
            <w:r>
              <w:rPr>
                <w:rFonts w:ascii="Times New Roman" w:cs="Times New Roman" w:eastAsia="Times New Roman" w:hAnsi="Times New Roman"/>
                <w:sz w:val="14"/>
                <w:szCs w:val="14"/>
                <w:color w:val="auto"/>
              </w:rPr>
              <w:t>83</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7"/>
        </w:trPr>
        <w:tc>
          <w:tcPr>
            <w:tcW w:w="3560" w:type="dxa"/>
            <w:vAlign w:val="bottom"/>
            <w:tcBorders>
              <w:bottom w:val="single" w:sz="8" w:color="9A9A9A"/>
            </w:tcBorders>
          </w:tcPr>
          <w:p>
            <w:pPr>
              <w:spacing w:after="0"/>
              <w:rPr>
                <w:sz w:val="7"/>
                <w:szCs w:val="7"/>
                <w:color w:val="auto"/>
              </w:rPr>
            </w:pPr>
          </w:p>
        </w:tc>
        <w:tc>
          <w:tcPr>
            <w:tcW w:w="40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Qorvo,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Qorvo, Inc. and subsidiaries (the Company) as of March 29, 2025 and March 30, 2024, the related consolidated statements of operations, comprehensive income (loss), stockholders’ equity and cash flows for each of the three years in the period ended March 29, 2025, and the related notes (collectively referred to as the “consolidated financial statements”). In our opinion, the consolidated financial statements present fairly, in all material respects, the financial position of the Company at March 29, 2025 and March 30, 2024, and the results of its operations and its cash flows for each of the three years in the period ended March 29, 2025, in conformity with U.S. generally accepted accounting principles.</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March 29, 2025, based on criteria established in Internal Control—Integrated Framework issued by the Committee of Sponsoring Organizations of the Treadway Commission (2013 framework), and our report dated May 19, 2025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 - Valuation</w:t>
      </w:r>
    </w:p>
    <w:p>
      <w:pPr>
        <w:sectPr>
          <w:pgSz w:w="11900" w:h="16838" w:orient="portrait"/>
          <w:cols w:equalWidth="0" w:num="1">
            <w:col w:w="11260"/>
          </w:cols>
          <w:pgMar w:left="300" w:top="129" w:right="339" w:bottom="1440" w:gutter="0" w:footer="0" w:header="0"/>
        </w:sectPr>
      </w:pP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line="242" w:lineRule="auto"/>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inventory, net totaled $641.0 million as of March 29, 2025, representing approximately 10.8% of total assets. As explained in Note 1 to the consolidated financial statements, the Company assesses the valuation of inventories on a material or product family basis each reporting period. Obsolete inventory or inventory in excess of management’s demand forecasts is written down to its estimated net realizable value if less than cost by recording an inventory reserve at each reporting period.</w:t>
      </w:r>
    </w:p>
    <w:p>
      <w:pPr>
        <w:spacing w:after="0" w:line="14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Auditing management’s estimates for inventory reserves involved significant judgment because the assessment considers a number of factors, including demand forecasts, changes in the customer base, and customer acceptance of the Company’s products and technologies that are affected at least partially by market and economic conditions outside the Company’s control.</w:t>
      </w:r>
    </w:p>
    <w:p>
      <w:pPr>
        <w:spacing w:after="0" w:line="13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that address the risk of material misstatement relating to the Company’s inventory reserves estimation process, including controls over management's development and review of the assumptions and data underlying the inventory reserves.</w:t>
      </w:r>
    </w:p>
    <w:p>
      <w:pPr>
        <w:spacing w:after="0" w:line="13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Our audit procedures included, among others, testing the reasonableness of the significant assumptions and testing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demand forecast assumptions and the reserve estimate by comparing management’s historical estimates to actual results.</w:t>
      </w:r>
    </w:p>
    <w:p>
      <w:pPr>
        <w:spacing w:after="0" w:line="200" w:lineRule="exact"/>
        <w:rPr>
          <w:sz w:val="20"/>
          <w:szCs w:val="20"/>
          <w:color w:val="auto"/>
        </w:rPr>
      </w:pPr>
    </w:p>
    <w:p>
      <w:pPr>
        <w:sectPr>
          <w:pgSz w:w="11900" w:h="16838" w:orient="portrait"/>
          <w:cols w:equalWidth="0" w:num="2">
            <w:col w:w="1880" w:space="80"/>
            <w:col w:w="9300"/>
          </w:cols>
          <w:pgMar w:left="300" w:top="129"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Qorvo,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have audited Qorvo, Inc. and subsidiaries’ internal control over financial reporting as of March 29, 2025,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March 29, 2025, based on the COSO criteria.</w:t>
      </w:r>
    </w:p>
    <w:p>
      <w:pPr>
        <w:spacing w:after="0" w:line="1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W</w:t>
      </w:r>
      <w:r>
        <w:rPr>
          <w:rFonts w:ascii="Times New Roman" w:cs="Times New Roman" w:eastAsia="Times New Roman" w:hAnsi="Times New Roman"/>
          <w:sz w:val="14"/>
          <w:szCs w:val="14"/>
          <w:color w:val="auto"/>
        </w:rPr>
        <w:t>e also have audited, in accordance with the standards of the Public Company Accounting Oversight Board (United States) (PCAOB), the consolidated balance sheets of the Company as of March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29, 2025 and March 30, 2024, the related consolidated statements of operations, comprehensive income (loss), stockholders’ equity and cash flows for each of the three years in the period ended March 29, 2025, and the related notes and our report dated May 19, 2025 expressed an unqualified opinion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2025</w:t>
      </w: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2" w:lineRule="exact"/>
        <w:rPr>
          <w:sz w:val="20"/>
          <w:szCs w:val="20"/>
          <w:color w:val="auto"/>
        </w:rPr>
      </w:pPr>
    </w:p>
    <w:p>
      <w:pPr>
        <w:ind w:left="200" w:hanging="195"/>
        <w:spacing w:after="0"/>
        <w:tabs>
          <w:tab w:leader="none" w:pos="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Evaluation of disclosure controls and procedures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3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spacing w:after="0" w:line="167" w:lineRule="exact"/>
        <w:rPr>
          <w:sz w:val="20"/>
          <w:szCs w:val="20"/>
          <w:color w:val="auto"/>
        </w:rPr>
      </w:pPr>
    </w:p>
    <w:p>
      <w:pPr>
        <w:ind w:left="240" w:hanging="203"/>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Management's assessment of internal control over financial reporting</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w:t>
      </w:r>
    </w:p>
    <w:p>
      <w:pPr>
        <w:spacing w:after="0" w:line="1" w:lineRule="exact"/>
        <w:rPr>
          <w:sz w:val="20"/>
          <w:szCs w:val="20"/>
          <w:color w:val="auto"/>
        </w:rPr>
      </w:pPr>
    </w:p>
    <w:p>
      <w:pPr>
        <w:jc w:val="both"/>
        <w:ind w:firstLine="5"/>
        <w:spacing w:after="0" w:line="253" w:lineRule="auto"/>
        <w:tabs>
          <w:tab w:leader="none" w:pos="22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w:t>
      </w:r>
    </w:p>
    <w:p>
      <w:pPr>
        <w:ind w:firstLine="5"/>
        <w:spacing w:after="0" w:line="266" w:lineRule="auto"/>
        <w:tabs>
          <w:tab w:leader="none" w:pos="2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assets that could have a material effect on the consolidated financial statements.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Management assessed the effectiveness of our internal control over financial reporting as of March 29, 2025. Management based this assessment on criteria for effective internal control over financial reporting described in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14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Based on this assessment, management concluded that the Company's internal control over financial reporting was effective as of March 29, 2025, based on the criteria in the </w:t>
      </w:r>
      <w:r>
        <w:rPr>
          <w:rFonts w:ascii="Times New Roman" w:cs="Times New Roman" w:eastAsia="Times New Roman" w:hAnsi="Times New Roman"/>
          <w:sz w:val="14"/>
          <w:szCs w:val="14"/>
          <w:i w:val="1"/>
          <w:iCs w:val="1"/>
          <w:color w:val="auto"/>
        </w:rPr>
        <w:t xml:space="preserve">Internal Control-Integrated Framework (2013) </w:t>
      </w:r>
      <w:r>
        <w:rPr>
          <w:rFonts w:ascii="Times New Roman" w:cs="Times New Roman" w:eastAsia="Times New Roman" w:hAnsi="Times New Roman"/>
          <w:sz w:val="14"/>
          <w:szCs w:val="14"/>
          <w:color w:val="auto"/>
        </w:rPr>
        <w:t>issued by the COSO.</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Ernst &amp; Young LLP, an independent registered public accounting firm, has issued an unqualified opinion on the effectiveness of the Company’s internal control over financial reporting, as of March 29, 2025, which is included in this Annual Report on Form 10-K under Part II, Item 8, "Financial Statements and Supplementary Data."</w:t>
      </w:r>
    </w:p>
    <w:p>
      <w:pPr>
        <w:spacing w:after="0" w:line="145" w:lineRule="exact"/>
        <w:rPr>
          <w:sz w:val="20"/>
          <w:szCs w:val="20"/>
          <w:color w:val="auto"/>
        </w:rPr>
      </w:pPr>
    </w:p>
    <w:p>
      <w:pPr>
        <w:ind w:left="220" w:hanging="183"/>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Changes in internal control over financial reporting</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no changes in our Company's internal control over financial reporting during the quarter ended March 29, 2025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and Non-Rule 10b5-1 Trading Arrangements</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During the fourth quarter of fiscal 2025, no director or Section 16 officer adopted or terminated a "Rule 10b5-1 trading agreement" or a "non-Rule 10b5-1 trading arrangement," as each term is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Information required by this Item may be found in our definitive proxy statement for our 2025 Annual Meeting of Stockholders under the captions "Committees and Meetings," "Corporate Governance," "Executive Officers," "Procedures for Director Nominations," "Securities Trading Policy and Prohibition on Hedging and Pledging," and "Proposal 1 - Election of Directors," and the information therein is incorporated herein by reference.</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we intend to disclose such amendment on our website. Any waiver of the Code of Business Conduct and Ethics for any executive officer or director must be approved by the Board and will be promptly disclosed in accordance with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Information required by this Item may be found in our definitive proxy statement for our 2025 Annual Meeting of Stockholders under the captions "Executive Compensation" and "Compensation Committee Interlocks and Insider Participation," "Compensation Committee Report," "Compensation of Executive Officers," "Compensation of Directors," "CEO Pay Ratio Disclosure," "Pay Versus Performance," and the information therein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may be found in our definitive proxy statement for our 2025 Annual Meeting of Stockholders under the captions "Security Ownership of Certain Beneficial Owners and Management" and "Equity Compensation Plan Information," and the information therein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may be found in our definitive proxy statement for our 2025 Annual Meeting of Stockholders under the captions "Related Person Transactions" and "Corporate Governance," and the information therein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may be found in our definitive proxy statement for our 2025 Annual Meeting of Stockholders under the captions "Proposal 5 - Ratification of Appointment of Qorvo's Independent Registered Public Accounting Firm" and "Corporate Governance," and the information therein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02" w:lineRule="exact"/>
        <w:rPr>
          <w:sz w:val="20"/>
          <w:szCs w:val="20"/>
          <w:color w:val="auto"/>
        </w:rPr>
      </w:pPr>
    </w:p>
    <w:p>
      <w:pPr>
        <w:ind w:left="200" w:hanging="195"/>
        <w:spacing w:after="0"/>
        <w:tabs>
          <w:tab w:leader="none" w:pos="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this report:</w:t>
      </w:r>
    </w:p>
    <w:p>
      <w:pPr>
        <w:spacing w:after="0" w:line="199"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199" w:lineRule="exact"/>
        <w:rPr>
          <w:rFonts w:ascii="Times New Roman" w:cs="Times New Roman" w:eastAsia="Times New Roman" w:hAnsi="Times New Roman"/>
          <w:sz w:val="14"/>
          <w:szCs w:val="14"/>
          <w:color w:val="auto"/>
        </w:rPr>
      </w:pPr>
    </w:p>
    <w:p>
      <w:pPr>
        <w:ind w:left="740" w:hanging="226"/>
        <w:spacing w:after="0"/>
        <w:tabs>
          <w:tab w:leader="none" w:pos="74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Balance Sheets as of March 29, 2025 and March 30, 2024.</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Operations for fiscal years 2025, 2024 and 2023.</w:t>
      </w:r>
    </w:p>
    <w:p>
      <w:pPr>
        <w:spacing w:after="0" w:line="199" w:lineRule="exact"/>
        <w:rPr>
          <w:rFonts w:ascii="Times New Roman" w:cs="Times New Roman" w:eastAsia="Times New Roman" w:hAnsi="Times New Roman"/>
          <w:sz w:val="14"/>
          <w:szCs w:val="14"/>
          <w:color w:val="auto"/>
        </w:rPr>
      </w:pPr>
    </w:p>
    <w:p>
      <w:pPr>
        <w:ind w:left="800" w:hanging="286"/>
        <w:spacing w:after="0"/>
        <w:tabs>
          <w:tab w:leader="none" w:pos="80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Comprehensive Income (Loss) for fiscal years 2025, 2024 and 2023.</w:t>
      </w:r>
    </w:p>
    <w:p>
      <w:pPr>
        <w:spacing w:after="0" w:line="199" w:lineRule="exact"/>
        <w:rPr>
          <w:rFonts w:ascii="Times New Roman" w:cs="Times New Roman" w:eastAsia="Times New Roman" w:hAnsi="Times New Roman"/>
          <w:sz w:val="14"/>
          <w:szCs w:val="14"/>
          <w:color w:val="auto"/>
        </w:rPr>
      </w:pPr>
    </w:p>
    <w:p>
      <w:pPr>
        <w:ind w:left="800" w:hanging="286"/>
        <w:spacing w:after="0"/>
        <w:tabs>
          <w:tab w:leader="none" w:pos="80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Stockholders' Equity for fiscal years 2025, 2024 and 2023.</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Cash Flows for fiscal years 2025, 2024 and 2023.</w:t>
      </w:r>
    </w:p>
    <w:p>
      <w:pPr>
        <w:spacing w:after="0" w:line="199" w:lineRule="exact"/>
        <w:rPr>
          <w:rFonts w:ascii="Times New Roman" w:cs="Times New Roman" w:eastAsia="Times New Roman" w:hAnsi="Times New Roman"/>
          <w:sz w:val="14"/>
          <w:szCs w:val="14"/>
          <w:color w:val="auto"/>
        </w:rPr>
      </w:pPr>
    </w:p>
    <w:p>
      <w:pPr>
        <w:ind w:left="800" w:hanging="286"/>
        <w:spacing w:after="0"/>
        <w:tabs>
          <w:tab w:leader="none" w:pos="80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left="260"/>
        <w:spacing w:after="0" w:line="287"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45"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listed in the accompanying Exhibit Index are filed as a part of this Annual Report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right="8480" w:hanging="255"/>
        <w:spacing w:after="0" w:line="287" w:lineRule="auto"/>
        <w:tabs>
          <w:tab w:leader="none" w:pos="19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Separate Financial Statements and Schedules. None.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5" w:lineRule="exact"/>
        <w:rPr>
          <w:sz w:val="20"/>
          <w:szCs w:val="20"/>
          <w:color w:val="auto"/>
        </w:rPr>
      </w:pPr>
    </w:p>
    <w:p>
      <w:pPr>
        <w:ind w:right="60"/>
        <w:spacing w:after="0" w:line="237" w:lineRule="auto"/>
        <w:rPr>
          <w:rFonts w:ascii="Times New Roman" w:cs="Times New Roman" w:eastAsia="Times New Roman" w:hAnsi="Times New Roman"/>
          <w:sz w:val="14"/>
          <w:szCs w:val="14"/>
          <w:u w:val="single" w:color="auto"/>
          <w:color w:val="0000FF"/>
        </w:rPr>
      </w:pPr>
      <w:hyperlink r:id="rId106">
        <w:r>
          <w:rPr>
            <w:rFonts w:ascii="Times New Roman" w:cs="Times New Roman" w:eastAsia="Times New Roman" w:hAnsi="Times New Roman"/>
            <w:sz w:val="14"/>
            <w:szCs w:val="14"/>
            <w:u w:val="single" w:color="auto"/>
            <w:color w:val="0000FF"/>
          </w:rPr>
          <w:t>Amended and Restated Certificate of Incorporation of Qorvo, Inc., as amended (incorporated by reference to Exhibit 3.1 to the Company’s Quarterly Report on Form 10-Q filed with</w:t>
        </w:r>
      </w:hyperlink>
      <w:r>
        <w:rPr>
          <w:rFonts w:ascii="Times New Roman" w:cs="Times New Roman" w:eastAsia="Times New Roman" w:hAnsi="Times New Roman"/>
          <w:sz w:val="14"/>
          <w:szCs w:val="14"/>
          <w:u w:val="single" w:color="auto"/>
          <w:color w:val="0000FF"/>
        </w:rPr>
        <w:t xml:space="preserve"> </w:t>
      </w:r>
      <w:hyperlink r:id="rId106">
        <w:r>
          <w:rPr>
            <w:rFonts w:ascii="Times New Roman" w:cs="Times New Roman" w:eastAsia="Times New Roman" w:hAnsi="Times New Roman"/>
            <w:sz w:val="14"/>
            <w:szCs w:val="14"/>
            <w:u w:val="single" w:color="auto"/>
            <w:color w:val="0000FF"/>
          </w:rPr>
          <w:t>the SEC on February 3, 2015)</w:t>
        </w:r>
      </w:hyperlink>
    </w:p>
    <w:p>
      <w:pPr>
        <w:spacing w:after="0" w:line="1" w:lineRule="exact"/>
        <w:rPr>
          <w:sz w:val="20"/>
          <w:szCs w:val="20"/>
          <w:color w:val="auto"/>
        </w:rPr>
      </w:pPr>
    </w:p>
    <w:p>
      <w:pPr>
        <w:sectPr>
          <w:pgSz w:w="11900" w:h="16838" w:orient="portrait"/>
          <w:cols w:equalWidth="0" w:num="2">
            <w:col w:w="460" w:space="480"/>
            <w:col w:w="1034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3.2</w:t>
            </w:r>
          </w:p>
        </w:tc>
        <w:tc>
          <w:tcPr>
            <w:tcW w:w="4480" w:type="dxa"/>
            <w:vAlign w:val="bottom"/>
            <w:tcBorders>
              <w:bottom w:val="single" w:sz="8" w:color="0000FF"/>
            </w:tcBorders>
            <w:gridSpan w:val="6"/>
          </w:tcPr>
          <w:p>
            <w:pPr>
              <w:spacing w:after="0" w:line="160" w:lineRule="exact"/>
              <w:rPr>
                <w:sz w:val="20"/>
                <w:szCs w:val="20"/>
                <w:color w:val="auto"/>
              </w:rPr>
            </w:pPr>
            <w:r>
              <w:rPr>
                <w:rFonts w:ascii="Times New Roman" w:cs="Times New Roman" w:eastAsia="Times New Roman" w:hAnsi="Times New Roman"/>
                <w:sz w:val="14"/>
                <w:szCs w:val="14"/>
                <w:color w:val="0000FF"/>
              </w:rPr>
              <w:t>Third Amended and Restated Bylaws of Qorvo, Inc., adopted on May 16, 2025</w:t>
            </w:r>
          </w:p>
        </w:tc>
        <w:tc>
          <w:tcPr>
            <w:tcW w:w="5860" w:type="dxa"/>
            <w:vAlign w:val="bottom"/>
            <w:gridSpan w:val="26"/>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3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Specimen Certificate of Common Stock of Qorvo, Inc. (incorporated by reference to Exhibit 4.1 to the Company's Annual Report on Form 10-K filed with the SEC on May 27, 2015)</w:t>
              </w:r>
            </w:hyperlink>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Indenture, dated as of September 30, 2019, among Qorvo, Inc., the Guarantors party thereto and Computershare Trust Company, N.A., as Successor Trustee to MUFG Union Bank,</w:t>
              </w:r>
            </w:hyperlink>
          </w:p>
        </w:tc>
      </w:tr>
      <w:tr>
        <w:trPr>
          <w:trHeight w:val="118"/>
        </w:trPr>
        <w:tc>
          <w:tcPr>
            <w:tcW w:w="940" w:type="dxa"/>
            <w:vAlign w:val="bottom"/>
          </w:tcPr>
          <w:p>
            <w:pPr>
              <w:spacing w:after="0"/>
              <w:rPr>
                <w:sz w:val="10"/>
                <w:szCs w:val="10"/>
                <w:color w:val="auto"/>
              </w:rPr>
            </w:pPr>
          </w:p>
        </w:tc>
        <w:tc>
          <w:tcPr>
            <w:tcW w:w="75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N.A. (incorporated by reference to Exhibit 4.1 to the Company's Current Report on Form 8-K filed with the SEC on October 1, 2019)</w:t>
              </w:r>
            </w:hyperlink>
          </w:p>
        </w:tc>
        <w:tc>
          <w:tcPr>
            <w:tcW w:w="264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Supplemental Indenture, dated as of December 20, 2019, among Qorvo, Inc., the Guarantors party thereto and Computershare Trust Company, N.A., as Successor Trustee to MUFG</w:t>
              </w:r>
            </w:hyperlink>
          </w:p>
        </w:tc>
      </w:tr>
      <w:tr>
        <w:trPr>
          <w:trHeight w:val="118"/>
        </w:trPr>
        <w:tc>
          <w:tcPr>
            <w:tcW w:w="940" w:type="dxa"/>
            <w:vAlign w:val="bottom"/>
          </w:tcPr>
          <w:p>
            <w:pPr>
              <w:spacing w:after="0"/>
              <w:rPr>
                <w:sz w:val="10"/>
                <w:szCs w:val="10"/>
                <w:color w:val="auto"/>
              </w:rPr>
            </w:pPr>
          </w:p>
        </w:tc>
        <w:tc>
          <w:tcPr>
            <w:tcW w:w="1022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Union Bank, N.A. (incorporated by reference to Exhibit 4.1 to the Company’s Current Report on Form 8-K filed with the SEC on December 20, 2019)</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Second Supplemental Indenture, dated as of June 11, 2020, among Qorvo, Inc., the Guarantors party thereto and Computershare Trust Company, N.A., as Successor Trustee to</w:t>
              </w:r>
            </w:hyperlink>
          </w:p>
        </w:tc>
      </w:tr>
      <w:tr>
        <w:trPr>
          <w:trHeight w:val="118"/>
        </w:trPr>
        <w:tc>
          <w:tcPr>
            <w:tcW w:w="940" w:type="dxa"/>
            <w:vAlign w:val="bottom"/>
          </w:tcPr>
          <w:p>
            <w:pPr>
              <w:spacing w:after="0"/>
              <w:rPr>
                <w:sz w:val="10"/>
                <w:szCs w:val="10"/>
                <w:color w:val="auto"/>
              </w:rPr>
            </w:pPr>
          </w:p>
        </w:tc>
        <w:tc>
          <w:tcPr>
            <w:tcW w:w="866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MUFG Union Bank, N.A. (incorporated by reference to Exhibit 4.1 to the Company’s Current Report on Form 8-K filed with the SEC on June 11, 2020)</w:t>
              </w:r>
            </w:hyperlink>
          </w:p>
        </w:tc>
        <w:tc>
          <w:tcPr>
            <w:tcW w:w="1220" w:type="dxa"/>
            <w:vAlign w:val="bottom"/>
            <w:tcBorders>
              <w:top w:val="single" w:sz="8" w:color="0000FF"/>
            </w:tcBorders>
            <w:gridSpan w:val="4"/>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Indenture, dated as of September 29, 2020, among Qorvo, Inc., the Guarantors and Computershare Trust Company, N.A., as Successor Trustee to MUFG Union Bank, N.A.</w:t>
              </w:r>
            </w:hyperlink>
          </w:p>
        </w:tc>
      </w:tr>
      <w:tr>
        <w:trPr>
          <w:trHeight w:val="118"/>
        </w:trPr>
        <w:tc>
          <w:tcPr>
            <w:tcW w:w="940" w:type="dxa"/>
            <w:vAlign w:val="bottom"/>
          </w:tcPr>
          <w:p>
            <w:pPr>
              <w:spacing w:after="0"/>
              <w:rPr>
                <w:sz w:val="10"/>
                <w:szCs w:val="10"/>
                <w:color w:val="auto"/>
              </w:rPr>
            </w:pPr>
          </w:p>
        </w:tc>
        <w:tc>
          <w:tcPr>
            <w:tcW w:w="974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(incorporated by reference to Exhibit 4.1 to the Company’s Current Report on Form 8-K filed with the SEC on September 29, 2020)</w:t>
              </w:r>
            </w:hyperlink>
          </w:p>
        </w:tc>
        <w:tc>
          <w:tcPr>
            <w:tcW w:w="1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864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Description of Securities (incorporated by reference to Exhibit 4.8 to the Company’s Annual Report on Form 10-K filed with the SEC on May 19, 2023)</w:t>
              </w:r>
            </w:hyperlink>
          </w:p>
        </w:tc>
        <w:tc>
          <w:tcPr>
            <w:tcW w:w="1700" w:type="dxa"/>
            <w:vAlign w:val="bottom"/>
            <w:gridSpan w:val="17"/>
          </w:tcPr>
          <w:p>
            <w:pPr>
              <w:spacing w:after="0"/>
              <w:rPr>
                <w:sz w:val="14"/>
                <w:szCs w:val="14"/>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Qorvo, Inc. 2007 Employee Stock Purchase Plan (As Assumed and Amended by Qorvo, Inc., and as further amended, effective February 8, 2017) (incorporated by reference to</w:t>
              </w:r>
            </w:hyperlink>
          </w:p>
        </w:tc>
      </w:tr>
      <w:tr>
        <w:trPr>
          <w:trHeight w:val="118"/>
        </w:trPr>
        <w:tc>
          <w:tcPr>
            <w:tcW w:w="940" w:type="dxa"/>
            <w:vAlign w:val="bottom"/>
          </w:tcPr>
          <w:p>
            <w:pPr>
              <w:spacing w:after="0"/>
              <w:rPr>
                <w:sz w:val="10"/>
                <w:szCs w:val="10"/>
                <w:color w:val="auto"/>
              </w:rPr>
            </w:pPr>
          </w:p>
        </w:tc>
        <w:tc>
          <w:tcPr>
            <w:tcW w:w="99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Exhibit 10.1 to the Company's Annual Report on Form 10-K filed with the SEC on May 23, 2017)*</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Qorvo, Inc. 2013 Incentive Plan (As Assumed and Amended by Qorvo, Inc.) (incorporated by reference to Exhibit 99.2 to the Company’s Registration Statement on Form S-8 filed</w:t>
              </w:r>
            </w:hyperlink>
          </w:p>
        </w:tc>
      </w:tr>
      <w:tr>
        <w:trPr>
          <w:trHeight w:val="118"/>
        </w:trPr>
        <w:tc>
          <w:tcPr>
            <w:tcW w:w="940" w:type="dxa"/>
            <w:vAlign w:val="bottom"/>
          </w:tcPr>
          <w:p>
            <w:pPr>
              <w:spacing w:after="0"/>
              <w:rPr>
                <w:sz w:val="10"/>
                <w:szCs w:val="10"/>
                <w:color w:val="auto"/>
              </w:rPr>
            </w:pPr>
          </w:p>
        </w:tc>
        <w:tc>
          <w:tcPr>
            <w:tcW w:w="33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with the SEC on January 5, 2015 (File No. 333-201357))*</w:t>
              </w:r>
            </w:hyperlink>
          </w:p>
        </w:tc>
        <w:tc>
          <w:tcPr>
            <w:tcW w:w="6880" w:type="dxa"/>
            <w:vAlign w:val="bottom"/>
            <w:tcBorders>
              <w:top w:val="single" w:sz="8" w:color="0000FF"/>
            </w:tcBorders>
            <w:gridSpan w:val="24"/>
          </w:tcPr>
          <w:p>
            <w:pPr>
              <w:spacing w:after="0"/>
              <w:rPr>
                <w:sz w:val="10"/>
                <w:szCs w:val="10"/>
                <w:color w:val="auto"/>
              </w:rPr>
            </w:pPr>
          </w:p>
        </w:tc>
        <w:tc>
          <w:tcPr>
            <w:tcW w:w="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Qorvo, Inc. 2012 Incentive Plan (As Assumed by Qorvo, Inc.) (incorporated by reference to Exhibit 99.3 to the Company’s Registration Statement on Form S-8 filed with the SEC on</w:t>
              </w:r>
            </w:hyperlink>
          </w:p>
        </w:tc>
      </w:tr>
      <w:tr>
        <w:trPr>
          <w:trHeight w:val="118"/>
        </w:trPr>
        <w:tc>
          <w:tcPr>
            <w:tcW w:w="94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January 5, 2015 (File No. 333-201357))*</w:t>
              </w:r>
            </w:hyperlink>
          </w:p>
        </w:tc>
        <w:tc>
          <w:tcPr>
            <w:tcW w:w="7980" w:type="dxa"/>
            <w:vAlign w:val="bottom"/>
            <w:tcBorders>
              <w:top w:val="single" w:sz="8" w:color="0000FF"/>
            </w:tcBorders>
            <w:gridSpan w:val="29"/>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Qorvo, Inc. 2012 Stock Incentive Plan (As Assumed by Qorvo, Inc. and Amended and Restated Effective January 1, 2015) (incorporated by reference to Exhibit 99.1 to the</w:t>
              </w:r>
            </w:hyperlink>
          </w:p>
        </w:tc>
      </w:tr>
      <w:tr>
        <w:trPr>
          <w:trHeight w:val="118"/>
        </w:trPr>
        <w:tc>
          <w:tcPr>
            <w:tcW w:w="940" w:type="dxa"/>
            <w:vAlign w:val="bottom"/>
          </w:tcPr>
          <w:p>
            <w:pPr>
              <w:spacing w:after="0"/>
              <w:rPr>
                <w:sz w:val="10"/>
                <w:szCs w:val="10"/>
                <w:color w:val="auto"/>
              </w:rPr>
            </w:pPr>
          </w:p>
        </w:tc>
        <w:tc>
          <w:tcPr>
            <w:tcW w:w="972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Company’s Registration Statement on Form S-8 filed with the SEC on January 5, 2015 (File No. 333-201358))*</w:t>
              </w:r>
            </w:hyperlink>
          </w:p>
        </w:tc>
        <w:tc>
          <w:tcPr>
            <w:tcW w:w="140" w:type="dxa"/>
            <w:vAlign w:val="bottom"/>
            <w:gridSpan w:val="2"/>
          </w:tcPr>
          <w:p>
            <w:pPr>
              <w:spacing w:after="0"/>
              <w:rPr>
                <w:sz w:val="10"/>
                <w:szCs w:val="10"/>
                <w:color w:val="auto"/>
              </w:rPr>
            </w:pPr>
          </w:p>
        </w:tc>
        <w:tc>
          <w:tcPr>
            <w:tcW w:w="1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Qorvo, Inc. 2006 Directors Stock Option Plan (As Assumed by Qorvo, Inc. and Amended Effective January 1, 2015) (incorporated by reference to Exhibit 99.3 to the Company’s</w:t>
              </w:r>
            </w:hyperlink>
          </w:p>
        </w:tc>
      </w:tr>
      <w:tr>
        <w:trPr>
          <w:trHeight w:val="118"/>
        </w:trPr>
        <w:tc>
          <w:tcPr>
            <w:tcW w:w="940" w:type="dxa"/>
            <w:vAlign w:val="bottom"/>
          </w:tcPr>
          <w:p>
            <w:pPr>
              <w:spacing w:after="0"/>
              <w:rPr>
                <w:sz w:val="10"/>
                <w:szCs w:val="10"/>
                <w:color w:val="auto"/>
              </w:rPr>
            </w:pPr>
          </w:p>
        </w:tc>
        <w:tc>
          <w:tcPr>
            <w:tcW w:w="100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Registration Statement on Form S-8 filed with the SEC on January 5, 2015 (File No. 333-201358))*</w:t>
              </w:r>
            </w:hyperlink>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Nonemployee Directors’ Stock Option Plan of Qorvo, Inc. (As Assumed by Qorvo, Inc. and Amended Effective January 1, 2015) (incorporated by reference to Exhibit 99.4 to the</w:t>
              </w:r>
            </w:hyperlink>
          </w:p>
        </w:tc>
      </w:tr>
      <w:tr>
        <w:trPr>
          <w:trHeight w:val="118"/>
        </w:trPr>
        <w:tc>
          <w:tcPr>
            <w:tcW w:w="940" w:type="dxa"/>
            <w:vAlign w:val="bottom"/>
          </w:tcPr>
          <w:p>
            <w:pPr>
              <w:spacing w:after="0"/>
              <w:rPr>
                <w:sz w:val="10"/>
                <w:szCs w:val="10"/>
                <w:color w:val="auto"/>
              </w:rPr>
            </w:pPr>
          </w:p>
        </w:tc>
        <w:tc>
          <w:tcPr>
            <w:tcW w:w="1010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Company’s Registration Statement on Form S-8 filed with the SEC on January 5, 2015 (File No. 333-201358))*</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180" w:type="dxa"/>
            <w:vAlign w:val="bottom"/>
            <w:tcBorders>
              <w:bottom w:val="single" w:sz="8" w:color="0000FF"/>
            </w:tcBorders>
            <w:gridSpan w:val="28"/>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Qorvo, Inc. Form of Indemnification Agreement (incorporated by reference to Exhibit 10.1 to the Company’s Current Report on Form 8-K filed with the SEC on January 5, 2015)*</w:t>
              </w:r>
            </w:hyperlink>
          </w:p>
        </w:tc>
        <w:tc>
          <w:tcPr>
            <w:tcW w:w="160" w:type="dxa"/>
            <w:vAlign w:val="bottom"/>
            <w:gridSpan w:val="4"/>
          </w:tcPr>
          <w:p>
            <w:pPr>
              <w:spacing w:after="0"/>
              <w:rPr>
                <w:sz w:val="14"/>
                <w:szCs w:val="14"/>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Qorvo, Inc. Form of Change in Control Agreement (incorporated by reference to Exhibit 10.1 to the Company’s Current Report on Form 8-K filed with the SEC on February 10,</w:t>
              </w:r>
            </w:hyperlink>
          </w:p>
        </w:tc>
      </w:tr>
      <w:tr>
        <w:trPr>
          <w:trHeight w:val="118"/>
        </w:trPr>
        <w:tc>
          <w:tcPr>
            <w:tcW w:w="940" w:type="dxa"/>
            <w:vAlign w:val="bottom"/>
          </w:tcPr>
          <w:p>
            <w:pPr>
              <w:spacing w:after="0"/>
              <w:rPr>
                <w:sz w:val="10"/>
                <w:szCs w:val="10"/>
                <w:color w:val="auto"/>
              </w:rPr>
            </w:pPr>
          </w:p>
        </w:tc>
        <w:tc>
          <w:tcPr>
            <w:tcW w:w="2340" w:type="dxa"/>
            <w:vAlign w:val="bottom"/>
            <w:tcBorders>
              <w:top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2015)</w:t>
              </w:r>
              <w:r>
                <w:rPr>
                  <w:rFonts w:ascii="Times New Roman" w:cs="Times New Roman" w:eastAsia="Times New Roman" w:hAnsi="Times New Roman"/>
                  <w:sz w:val="13"/>
                  <w:szCs w:val="13"/>
                  <w:u w:val="single" w:color="auto"/>
                  <w:color w:val="0000FF"/>
                </w:rPr>
                <w:t>*</w:t>
              </w:r>
            </w:hyperlink>
          </w:p>
        </w:tc>
        <w:tc>
          <w:tcPr>
            <w:tcW w:w="5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Qorvo, Inc. Nonqualified Deferred Compensation Plan (As Assumed and Amended and Restated Effective January 1, 2015) (incorporated by reference to Exhibit 10.15 to the</w:t>
              </w:r>
            </w:hyperlink>
          </w:p>
        </w:tc>
      </w:tr>
      <w:tr>
        <w:trPr>
          <w:trHeight w:val="118"/>
        </w:trPr>
        <w:tc>
          <w:tcPr>
            <w:tcW w:w="940" w:type="dxa"/>
            <w:vAlign w:val="bottom"/>
          </w:tcPr>
          <w:p>
            <w:pPr>
              <w:spacing w:after="0"/>
              <w:rPr>
                <w:sz w:val="10"/>
                <w:szCs w:val="10"/>
                <w:color w:val="auto"/>
              </w:rPr>
            </w:pPr>
          </w:p>
        </w:tc>
        <w:tc>
          <w:tcPr>
            <w:tcW w:w="98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Company’s Annual Report on Form 10-K filed with the SEC on May 27, 2015)*</w:t>
              </w:r>
            </w:hyperlink>
          </w:p>
        </w:tc>
        <w:tc>
          <w:tcPr>
            <w:tcW w:w="1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Qorvo, Inc. Cash Bonus Plan (As Assumed and Amended and Restated Effective January 1, 2015) (incorporated by reference to Exhibit 10.16 to the Company’s Annual Report on</w:t>
              </w:r>
            </w:hyperlink>
          </w:p>
        </w:tc>
      </w:tr>
      <w:tr>
        <w:trPr>
          <w:trHeight w:val="118"/>
        </w:trPr>
        <w:tc>
          <w:tcPr>
            <w:tcW w:w="9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Form 10-K filed with the SEC on May 27, 2015)*</w:t>
              </w:r>
            </w:hyperlink>
          </w:p>
        </w:tc>
        <w:tc>
          <w:tcPr>
            <w:tcW w:w="730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Employment Agreement, dated as of November 12, 2008, between RF Micro Devices, Inc. and Robert A. Bruggeworth (As Assumed by Qorvo, Inc.) (incorporated by reference to</w:t>
              </w:r>
            </w:hyperlink>
          </w:p>
        </w:tc>
      </w:tr>
      <w:tr>
        <w:trPr>
          <w:trHeight w:val="118"/>
        </w:trPr>
        <w:tc>
          <w:tcPr>
            <w:tcW w:w="940" w:type="dxa"/>
            <w:vAlign w:val="bottom"/>
          </w:tcPr>
          <w:p>
            <w:pPr>
              <w:spacing w:after="0"/>
              <w:rPr>
                <w:sz w:val="10"/>
                <w:szCs w:val="10"/>
                <w:color w:val="auto"/>
              </w:rPr>
            </w:pPr>
          </w:p>
        </w:tc>
        <w:tc>
          <w:tcPr>
            <w:tcW w:w="682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Exhibit 10.1 to RFMD’s Current Report on Form 8-K filed with the SEC on November 14, 2008 (File No. 000-22511))*</w:t>
              </w:r>
            </w:hyperlink>
          </w:p>
        </w:tc>
        <w:tc>
          <w:tcPr>
            <w:tcW w:w="3340" w:type="dxa"/>
            <w:vAlign w:val="bottom"/>
            <w:tcBorders>
              <w:top w:val="single" w:sz="8" w:color="0000FF"/>
            </w:tcBorders>
            <w:gridSpan w:val="16"/>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0340" w:type="dxa"/>
            <w:vAlign w:val="bottom"/>
            <w:gridSpan w:val="32"/>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Form of Stock Option Agreement (Senior Officers) pursuant to the Qorvo, Inc. 2012 Stock Incentive Plan (incorporated by reference to Exhibit 10.3 to the Company’s Quarterly</w:t>
              </w:r>
            </w:hyperlink>
          </w:p>
        </w:tc>
      </w:tr>
      <w:tr>
        <w:trPr>
          <w:trHeight w:val="118"/>
        </w:trPr>
        <w:tc>
          <w:tcPr>
            <w:tcW w:w="94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Report on Form 10-Q filed with the SEC on August 5, 2015)*</w:t>
              </w:r>
            </w:hyperlink>
          </w:p>
        </w:tc>
        <w:tc>
          <w:tcPr>
            <w:tcW w:w="6500" w:type="dxa"/>
            <w:vAlign w:val="bottom"/>
            <w:tcBorders>
              <w:top w:val="single" w:sz="8" w:color="0000FF"/>
            </w:tcBorders>
            <w:gridSpan w:val="17"/>
          </w:tcPr>
          <w:p>
            <w:pPr>
              <w:spacing w:after="0"/>
              <w:rPr>
                <w:sz w:val="10"/>
                <w:szCs w:val="10"/>
                <w:color w:val="auto"/>
              </w:rPr>
            </w:pPr>
          </w:p>
        </w:tc>
        <w:tc>
          <w:tcPr>
            <w:tcW w:w="320" w:type="dxa"/>
            <w:vAlign w:val="bottom"/>
            <w:gridSpan w:val="10"/>
          </w:tcPr>
          <w:p>
            <w:pPr>
              <w:spacing w:after="0"/>
              <w:rPr>
                <w:sz w:val="10"/>
                <w:szCs w:val="10"/>
                <w:color w:val="auto"/>
              </w:rPr>
            </w:pPr>
          </w:p>
        </w:tc>
      </w:tr>
      <w:tr>
        <w:trPr>
          <w:trHeight w:val="797"/>
        </w:trPr>
        <w:tc>
          <w:tcPr>
            <w:tcW w:w="940" w:type="dxa"/>
            <w:vAlign w:val="bottom"/>
          </w:tcPr>
          <w:p>
            <w:pPr>
              <w:spacing w:after="0"/>
              <w:rPr>
                <w:sz w:val="24"/>
                <w:szCs w:val="24"/>
                <w:color w:val="auto"/>
              </w:rPr>
            </w:pPr>
          </w:p>
        </w:tc>
        <w:tc>
          <w:tcPr>
            <w:tcW w:w="5640" w:type="dxa"/>
            <w:vAlign w:val="bottom"/>
            <w:gridSpan w:val="8"/>
          </w:tcPr>
          <w:p>
            <w:pPr>
              <w:ind w:left="4640"/>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9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10.13</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Restricted Stock Unit Agreement (Service-Based Award for Senior Officers) pursuant to the Qorvo, Inc. 2012 Stock Incentive Plan (incorporated by reference to Exhibit</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100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4</w:t>
              </w:r>
              <w:r>
                <w:rPr>
                  <w:rFonts w:ascii="Times New Roman" w:cs="Times New Roman" w:eastAsia="Times New Roman" w:hAnsi="Times New Roman"/>
                  <w:sz w:val="13"/>
                  <w:szCs w:val="13"/>
                  <w:color w:val="0000FF"/>
                </w:rPr>
                <w:t xml:space="preserve"> to the Company’s Quarterly Report on Form 10-Q filed with the SEC on August 5, 2015)*</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10.14</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Form of Restricted Stock Unit Agreement (Performance-Based and Service-Based Award for Senior Officers) pursuant to the Qorvo, Inc. 2012 Stock Incentive Plan (incorporated by</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1028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reference to Exhibit 10.5 to the Company’s Quarterly Report on Form 10-Q filed with the SEC on August 5,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10.15</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Form of Restricted Stock Unit Agreement (Performance-Based Award for Senior Officers (TSR)) pursuant to the Qorvo, Inc. 2012 Stock Incentive Plan (incorporated by reference to</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58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Exhibit 10.6 to the Company’s Quarterly Report on Form 10-Q filed with the SEC on August 5, 2015)*</w:t>
              </w:r>
            </w:hyperlink>
          </w:p>
        </w:tc>
        <w:tc>
          <w:tcPr>
            <w:tcW w:w="44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10.16</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Qorvo, Inc. Amended and Restated Severance Benefits Plan and Summary Plan Description (incorporated by reference to Exhibit 10.1 to the Company’s Quarterly Report on Form</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10-Q filed with the SEC on January 29, 2025)*</w:t>
              </w:r>
            </w:hyperlink>
          </w:p>
        </w:tc>
        <w:tc>
          <w:tcPr>
            <w:tcW w:w="75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10.17</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Stock Option Agreement (Senior Officers) pursuant to the Qorvo, Inc. 2012 Stock Incentive Plan (incorporated by reference to Exhibit 10.30 to the Company’s Annual</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34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Report on Form 10-K filed with the SEC on May 31, 2016)*</w:t>
              </w:r>
            </w:hyperlink>
          </w:p>
        </w:tc>
        <w:tc>
          <w:tcPr>
            <w:tcW w:w="65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10.18</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Restricted Stock Unit Agreement (Service-Based Award for Senior Officers) pursuant to the Qorvo, Inc. 2012 Stock Incentive Plan (incorporated by reference to Exhibit</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52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31</w:t>
              </w:r>
              <w:r>
                <w:rPr>
                  <w:rFonts w:ascii="Times New Roman" w:cs="Times New Roman" w:eastAsia="Times New Roman" w:hAnsi="Times New Roman"/>
                  <w:sz w:val="13"/>
                  <w:szCs w:val="13"/>
                  <w:color w:val="0000FF"/>
                </w:rPr>
                <w:t xml:space="preserve"> to the Company’s Annual Report on Form 10-K filed with the SEC on May 31, 2016)*</w:t>
              </w:r>
            </w:hyperlink>
          </w:p>
        </w:tc>
        <w:tc>
          <w:tcPr>
            <w:tcW w:w="476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10.19</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Restricted Stock Unit Agreement (Performance-Based and Service-Based Award for Senior Officers) pursuant to the Qorvo, Inc. 2012 Stock Incentive Plan (incorporated by</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644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reference to Exhibit 10.32 to the Company’s Annual Report on Form 10-K filed with the SEC on May 31, 2016)*</w:t>
              </w:r>
            </w:hyperlink>
          </w:p>
        </w:tc>
        <w:tc>
          <w:tcPr>
            <w:tcW w:w="384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10.20</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Form of Restricted Stock Unit Agreement (Performance-Based Award for Senior Officers (TSR)) pursuant to the Qorvo, Inc. 2012 Stock Incentive Plan (incorporated by reference to</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1030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Exhibit 10.33 to the Company’s Annual Report on Form 10-K filed with the SEC on May 31,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10.21</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of Restricted Stock Unit Award Agreement (Director Annual/Supplemental RSU) pursuant to the Qorvo, Inc. 2012 Stock Incentive Plan (incorporated by reference to Exhibit</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52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34</w:t>
              </w:r>
              <w:r>
                <w:rPr>
                  <w:rFonts w:ascii="Times New Roman" w:cs="Times New Roman" w:eastAsia="Times New Roman" w:hAnsi="Times New Roman"/>
                  <w:sz w:val="13"/>
                  <w:szCs w:val="13"/>
                  <w:color w:val="0000FF"/>
                </w:rPr>
                <w:t xml:space="preserve"> to the Company’s Annual Report on Form 10-K filed with the SEC on May 31, 2016)*</w:t>
              </w:r>
            </w:hyperlink>
          </w:p>
        </w:tc>
        <w:tc>
          <w:tcPr>
            <w:tcW w:w="4920" w:type="dxa"/>
            <w:vAlign w:val="bottom"/>
            <w:tcBorders>
              <w:top w:val="single" w:sz="8" w:color="0000FF"/>
            </w:tcBorders>
            <w:gridSpan w:val="17"/>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10.22</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Form of Restricted Stock Unit Award Agreement (Director Annual/Supplemental RSUs) (deferral election) pursuant to the Qorvo, Inc. 2012 Stock Incentive Plan (incorporated by</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101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reference to Exhibit 10.1 to the Company’s Quarterly Report on Form 10-Q filed with the SEC on August 5, 2016)*</w:t>
              </w:r>
            </w:hyperlink>
          </w:p>
        </w:tc>
        <w:tc>
          <w:tcPr>
            <w:tcW w:w="20" w:type="dxa"/>
            <w:vAlign w:val="bottom"/>
          </w:tcPr>
          <w:p>
            <w:pPr>
              <w:spacing w:after="0"/>
              <w:rPr>
                <w:sz w:val="10"/>
                <w:szCs w:val="10"/>
                <w:color w:val="auto"/>
              </w:rPr>
            </w:pPr>
          </w:p>
        </w:tc>
        <w:tc>
          <w:tcPr>
            <w:tcW w:w="18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10.23</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Qorvo, Inc. Cash Bonus Plan (As Amended and Restated Through June 9, 2016) (incorporated by reference to Exhibit 10.1 to the Company’s Quarterly Report on Form 10-Q filed</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1014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with the SEC on November 7, 2016)*</w:t>
              </w:r>
            </w:hyperlink>
          </w:p>
        </w:tc>
        <w:tc>
          <w:tcPr>
            <w:tcW w:w="18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10.24</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Qorvo, Inc. Short-Term Incentive Plan (As Amended and Restated Through February 14, 2024) (incorporated by reference to Exhibit 10.24 to the Company’s Annual Report on Form</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25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10-K filed with the SEC on May 20, 2024)*</w:t>
              </w:r>
            </w:hyperlink>
          </w:p>
        </w:tc>
        <w:tc>
          <w:tcPr>
            <w:tcW w:w="786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10.25</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2018 Declaration of Amendment to Qorvo, Inc. Nonqualified Deferred Compensation Plan, effective as of April 1, 2018 (incorporated by reference to Exhibit 10.37 to the Company's</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1034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Annual Report on Form 10-K filed with the SEC on May 21, 2018)*</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color w:val="auto"/>
              </w:rPr>
              <w:t>10.26</w:t>
            </w:r>
          </w:p>
        </w:tc>
        <w:tc>
          <w:tcPr>
            <w:tcW w:w="2180" w:type="dxa"/>
            <w:vAlign w:val="bottom"/>
            <w:gridSpan w:val="2"/>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40" w:type="dxa"/>
            <w:vAlign w:val="bottom"/>
            <w:vMerge w:val="continue"/>
          </w:tcPr>
          <w:p>
            <w:pPr>
              <w:spacing w:after="0"/>
              <w:rPr>
                <w:sz w:val="15"/>
                <w:szCs w:val="15"/>
                <w:color w:val="auto"/>
              </w:rPr>
            </w:pPr>
          </w:p>
        </w:tc>
        <w:tc>
          <w:tcPr>
            <w:tcW w:w="10380" w:type="dxa"/>
            <w:vAlign w:val="bottom"/>
            <w:gridSpan w:val="32"/>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Second 2018 Declaration of Amendment to Qorvo, Inc. Nonqualified Deferred Compensation Plan, dated as of October 8, 2018 (incorporated by reference to Exhibit 10.1 to the</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48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Company’s Quarterly Report on Form 10-Q filed with the SEC on February 7, 2019)*</w:t>
              </w:r>
            </w:hyperlink>
          </w:p>
        </w:tc>
        <w:tc>
          <w:tcPr>
            <w:tcW w:w="5120" w:type="dxa"/>
            <w:vAlign w:val="bottom"/>
            <w:tcBorders>
              <w:top w:val="single" w:sz="8" w:color="0000FF"/>
            </w:tcBorders>
            <w:gridSpan w:val="12"/>
          </w:tcPr>
          <w:p>
            <w:pPr>
              <w:spacing w:after="0"/>
              <w:rPr>
                <w:sz w:val="10"/>
                <w:szCs w:val="10"/>
                <w:color w:val="auto"/>
              </w:rPr>
            </w:pPr>
          </w:p>
        </w:tc>
        <w:tc>
          <w:tcPr>
            <w:tcW w:w="60" w:type="dxa"/>
            <w:vAlign w:val="bottom"/>
            <w:gridSpan w:val="2"/>
          </w:tcPr>
          <w:p>
            <w:pPr>
              <w:spacing w:after="0"/>
              <w:rPr>
                <w:sz w:val="10"/>
                <w:szCs w:val="10"/>
                <w:color w:val="auto"/>
              </w:rPr>
            </w:pPr>
          </w:p>
        </w:tc>
        <w:tc>
          <w:tcPr>
            <w:tcW w:w="26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10.27</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2019 Declaration of Amendment to Qorvo, Inc. 2007 Employee Stock Purchase Plan, dated as of October 30, 2019 (incorporated by reference to Exhibit 10.1 to the Company’s</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Quarterly Report on Form 10-Q filed with the SEC on January 30, 2020)*</w:t>
              </w:r>
            </w:hyperlink>
          </w:p>
        </w:tc>
        <w:tc>
          <w:tcPr>
            <w:tcW w:w="5780" w:type="dxa"/>
            <w:vAlign w:val="bottom"/>
            <w:tcBorders>
              <w:top w:val="single" w:sz="8" w:color="0000FF"/>
            </w:tcBorders>
            <w:gridSpan w:val="12"/>
          </w:tcPr>
          <w:p>
            <w:pPr>
              <w:spacing w:after="0"/>
              <w:rPr>
                <w:sz w:val="10"/>
                <w:szCs w:val="10"/>
                <w:color w:val="auto"/>
              </w:rPr>
            </w:pPr>
          </w:p>
        </w:tc>
        <w:tc>
          <w:tcPr>
            <w:tcW w:w="80" w:type="dxa"/>
            <w:vAlign w:val="bottom"/>
            <w:gridSpan w:val="3"/>
          </w:tcPr>
          <w:p>
            <w:pPr>
              <w:spacing w:after="0"/>
              <w:rPr>
                <w:sz w:val="10"/>
                <w:szCs w:val="10"/>
                <w:color w:val="auto"/>
              </w:rPr>
            </w:pPr>
          </w:p>
        </w:tc>
        <w:tc>
          <w:tcPr>
            <w:tcW w:w="26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10.28</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2019 Declaration of Amendment to Qorvo, Inc. Nonqualified Deferred Compensation Plan, dated as of October 30, 2019 (incorporated by reference to Exhibit 10.2 to the Company’s</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Quarterly Report on Form 10-Q filed with the SEC on January 30, 2020)*</w:t>
              </w:r>
            </w:hyperlink>
          </w:p>
        </w:tc>
        <w:tc>
          <w:tcPr>
            <w:tcW w:w="6120" w:type="dxa"/>
            <w:vAlign w:val="bottom"/>
            <w:tcBorders>
              <w:top w:val="single" w:sz="8" w:color="0000FF"/>
            </w:tcBorders>
            <w:gridSpan w:val="2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10.29</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2020 Declaration of Amendment to Qorvo, Inc. Nonqualified Deferred Compensation Plan, dated as of December 17, 2020 (incorporated by reference to Exhibit 10.1 to the</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48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Company’s Quarterly Report on Form 10-Q filed with the SEC on February 4, 2021)*</w:t>
              </w:r>
            </w:hyperlink>
          </w:p>
        </w:tc>
        <w:tc>
          <w:tcPr>
            <w:tcW w:w="4880" w:type="dxa"/>
            <w:vAlign w:val="bottom"/>
            <w:tcBorders>
              <w:top w:val="single" w:sz="8" w:color="0000FF"/>
            </w:tcBorders>
            <w:gridSpan w:val="9"/>
          </w:tcPr>
          <w:p>
            <w:pPr>
              <w:spacing w:after="0"/>
              <w:rPr>
                <w:sz w:val="10"/>
                <w:szCs w:val="10"/>
                <w:color w:val="auto"/>
              </w:rPr>
            </w:pPr>
          </w:p>
        </w:tc>
        <w:tc>
          <w:tcPr>
            <w:tcW w:w="300" w:type="dxa"/>
            <w:vAlign w:val="bottom"/>
            <w:gridSpan w:val="5"/>
          </w:tcPr>
          <w:p>
            <w:pPr>
              <w:spacing w:after="0"/>
              <w:rPr>
                <w:sz w:val="10"/>
                <w:szCs w:val="10"/>
                <w:color w:val="auto"/>
              </w:rPr>
            </w:pPr>
          </w:p>
        </w:tc>
        <w:tc>
          <w:tcPr>
            <w:tcW w:w="32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10.30</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2021 Declaration of Amendment to Qorvo, Inc. 2007 Employee Stock Purchase Plan (incorporated by reference to Exhibit 10.38 to the Company’s Annual Report on Form 10-K</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21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filed with the SEC on May 24, 2021)*</w:t>
              </w:r>
            </w:hyperlink>
          </w:p>
        </w:tc>
        <w:tc>
          <w:tcPr>
            <w:tcW w:w="7880" w:type="dxa"/>
            <w:vAlign w:val="bottom"/>
            <w:tcBorders>
              <w:top w:val="single" w:sz="8" w:color="0000FF"/>
            </w:tcBorders>
            <w:gridSpan w:val="20"/>
          </w:tcPr>
          <w:p>
            <w:pPr>
              <w:spacing w:after="0"/>
              <w:rPr>
                <w:sz w:val="10"/>
                <w:szCs w:val="10"/>
                <w:color w:val="auto"/>
              </w:rPr>
            </w:pPr>
          </w:p>
        </w:tc>
        <w:tc>
          <w:tcPr>
            <w:tcW w:w="32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10.31</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Qorvo, Inc. 2022 Stock Incentive Plan (incorporated by reference to Exhibit 10.1 to the Company's Current Report on Form 8-K filed with the SEC on August 10, 2022)*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580" w:type="dxa"/>
            <w:vAlign w:val="bottom"/>
            <w:gridSpan w:val="11"/>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7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10.32</w:t>
            </w:r>
          </w:p>
        </w:tc>
        <w:tc>
          <w:tcPr>
            <w:tcW w:w="10380" w:type="dxa"/>
            <w:vAlign w:val="bottom"/>
            <w:gridSpan w:val="32"/>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Restricted Stock Unit Agreement (Service-Based Award for Senior Officers) pursuant to the Qorvo, Inc. 2022 Stock Incentive Plan (incorporated by reference to Exhibit</w:t>
              </w:r>
            </w:hyperlink>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100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the Company's Quarterly Report on Form 10-Q filed with the SEC on November 3, 2022)*</w:t>
              </w:r>
            </w:hyperlink>
          </w:p>
        </w:tc>
        <w:tc>
          <w:tcPr>
            <w:tcW w:w="3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4880" w:type="dxa"/>
            <w:vAlign w:val="bottom"/>
            <w:tcBorders>
              <w:top w:val="single" w:sz="8" w:color="0000FF"/>
            </w:tcBorders>
            <w:gridSpan w:val="8"/>
          </w:tcPr>
          <w:p>
            <w:pPr>
              <w:ind w:left="4640"/>
              <w:spacing w:after="0"/>
              <w:rPr>
                <w:sz w:val="20"/>
                <w:szCs w:val="20"/>
                <w:color w:val="auto"/>
              </w:rPr>
            </w:pPr>
            <w:r>
              <w:rPr>
                <w:rFonts w:ascii="Times New Roman" w:cs="Times New Roman" w:eastAsia="Times New Roman" w:hAnsi="Times New Roman"/>
                <w:sz w:val="14"/>
                <w:szCs w:val="14"/>
                <w:color w:val="auto"/>
              </w:rPr>
              <w:t>92</w:t>
            </w: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4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95"/>
              </w:rPr>
              <w:t>10.33</w:t>
            </w:r>
          </w:p>
        </w:tc>
        <w:tc>
          <w:tcPr>
            <w:tcW w:w="10320" w:type="dxa"/>
            <w:vAlign w:val="bottom"/>
            <w:gridSpan w:val="10"/>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Restricted Stock Unit Agreement (Director Annual/Supplemental RSUs) pursuant to the Qorvo, Inc. 2022 Stock Incentive Plan (incorporated by reference to Exhibit 10.3 to</w:t>
              </w:r>
            </w:hyperlink>
          </w:p>
        </w:tc>
      </w:tr>
      <w:tr>
        <w:trPr>
          <w:trHeight w:val="118"/>
        </w:trPr>
        <w:tc>
          <w:tcPr>
            <w:tcW w:w="920" w:type="dxa"/>
            <w:vAlign w:val="bottom"/>
          </w:tcPr>
          <w:p>
            <w:pPr>
              <w:spacing w:after="0"/>
              <w:rPr>
                <w:sz w:val="10"/>
                <w:szCs w:val="10"/>
                <w:color w:val="auto"/>
              </w:rPr>
            </w:pPr>
          </w:p>
        </w:tc>
        <w:tc>
          <w:tcPr>
            <w:tcW w:w="51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the Company's Quarterly Report on Form 10-Q filed with the SEC on November 3, 2022)*</w:t>
              </w:r>
            </w:hyperlink>
          </w:p>
        </w:tc>
        <w:tc>
          <w:tcPr>
            <w:tcW w:w="512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95"/>
              </w:rPr>
              <w:t>10.34</w:t>
            </w:r>
          </w:p>
        </w:tc>
        <w:tc>
          <w:tcPr>
            <w:tcW w:w="10320" w:type="dxa"/>
            <w:vAlign w:val="bottom"/>
            <w:gridSpan w:val="10"/>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Restricted Stock Unit Agreement (Performance-Based and Service-Based Award for Senior Officers) pursuant to the Qorvo, Inc. 2022 Stock Incentive Plan (incorporated by</w:t>
              </w:r>
            </w:hyperlink>
          </w:p>
        </w:tc>
      </w:tr>
      <w:tr>
        <w:trPr>
          <w:trHeight w:val="118"/>
        </w:trPr>
        <w:tc>
          <w:tcPr>
            <w:tcW w:w="920" w:type="dxa"/>
            <w:vAlign w:val="bottom"/>
          </w:tcPr>
          <w:p>
            <w:pPr>
              <w:spacing w:after="0"/>
              <w:rPr>
                <w:sz w:val="10"/>
                <w:szCs w:val="10"/>
                <w:color w:val="auto"/>
              </w:rPr>
            </w:pPr>
          </w:p>
        </w:tc>
        <w:tc>
          <w:tcPr>
            <w:tcW w:w="674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reference to Exhibit 10.4 to the Company's Quarterly Report on Form 10-Q filed with the SEC on November 3, 2022)*</w:t>
              </w:r>
            </w:hyperlink>
          </w:p>
        </w:tc>
        <w:tc>
          <w:tcPr>
            <w:tcW w:w="356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95"/>
              </w:rPr>
              <w:t>10.35</w:t>
            </w:r>
          </w:p>
        </w:tc>
        <w:tc>
          <w:tcPr>
            <w:tcW w:w="10320" w:type="dxa"/>
            <w:vAlign w:val="bottom"/>
            <w:gridSpan w:val="10"/>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Restricted Stock Unit Agreement (Performance-Based and Service-Based Award for Senior Officers - Multi-Year Performance Objectives) pursuant to the Qorvo, Inc. 2022</w:t>
              </w:r>
            </w:hyperlink>
          </w:p>
        </w:tc>
      </w:tr>
      <w:tr>
        <w:trPr>
          <w:trHeight w:val="118"/>
        </w:trPr>
        <w:tc>
          <w:tcPr>
            <w:tcW w:w="920" w:type="dxa"/>
            <w:vAlign w:val="bottom"/>
          </w:tcPr>
          <w:p>
            <w:pPr>
              <w:spacing w:after="0"/>
              <w:rPr>
                <w:sz w:val="10"/>
                <w:szCs w:val="10"/>
                <w:color w:val="auto"/>
              </w:rPr>
            </w:pPr>
          </w:p>
        </w:tc>
        <w:tc>
          <w:tcPr>
            <w:tcW w:w="10260" w:type="dxa"/>
            <w:vAlign w:val="bottom"/>
            <w:tcBorders>
              <w:top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Stock Incentive Plan (incorporated by reference to Exhibit 10.2 to the Company's Quarterly Report on Form 10-Q filed with the SEC on July 31, 2024)*</w:t>
              </w:r>
            </w:hyperlink>
          </w:p>
        </w:tc>
        <w:tc>
          <w:tcPr>
            <w:tcW w:w="60" w:type="dxa"/>
            <w:vAlign w:val="bottom"/>
            <w:gridSpan w:val="3"/>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8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71"/>
        </w:trPr>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95"/>
              </w:rPr>
              <w:t>10.36</w:t>
            </w:r>
          </w:p>
        </w:tc>
        <w:tc>
          <w:tcPr>
            <w:tcW w:w="10320" w:type="dxa"/>
            <w:vAlign w:val="bottom"/>
            <w:gridSpan w:val="10"/>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Credit Agreement, dated as of April 23, 2024, by and among Qorvo, Inc., as the Borrower, Bank of America, N.A., as Administrative Agent, Swing Line Lender and L/C Issuer, and</w:t>
              </w:r>
            </w:hyperlink>
          </w:p>
        </w:tc>
      </w:tr>
      <w:tr>
        <w:trPr>
          <w:trHeight w:val="118"/>
        </w:trPr>
        <w:tc>
          <w:tcPr>
            <w:tcW w:w="920" w:type="dxa"/>
            <w:vAlign w:val="bottom"/>
          </w:tcPr>
          <w:p>
            <w:pPr>
              <w:spacing w:after="0"/>
              <w:rPr>
                <w:sz w:val="10"/>
                <w:szCs w:val="10"/>
                <w:color w:val="auto"/>
              </w:rPr>
            </w:pPr>
          </w:p>
        </w:tc>
        <w:tc>
          <w:tcPr>
            <w:tcW w:w="1024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the other lenders and co-syndication agents party thereto (incorporated by reference to Exhibit 10.1 to the Company’s Current Report on Form 8-K filed with the SEC on April 26,</w:t>
              </w:r>
            </w:hyperlink>
          </w:p>
        </w:tc>
        <w:tc>
          <w:tcPr>
            <w:tcW w:w="80" w:type="dxa"/>
            <w:vAlign w:val="bottom"/>
            <w:gridSpan w:val="4"/>
          </w:tcPr>
          <w:p>
            <w:pPr>
              <w:spacing w:after="0"/>
              <w:rPr>
                <w:sz w:val="10"/>
                <w:szCs w:val="10"/>
                <w:color w:val="auto"/>
              </w:rPr>
            </w:pPr>
          </w:p>
        </w:tc>
      </w:tr>
      <w:tr>
        <w:trPr>
          <w:trHeight w:val="129"/>
        </w:trPr>
        <w:tc>
          <w:tcPr>
            <w:tcW w:w="920" w:type="dxa"/>
            <w:vAlign w:val="bottom"/>
          </w:tcPr>
          <w:p>
            <w:pPr>
              <w:spacing w:after="0"/>
              <w:rPr>
                <w:sz w:val="11"/>
                <w:szCs w:val="11"/>
                <w:color w:val="auto"/>
              </w:rPr>
            </w:pPr>
          </w:p>
        </w:tc>
        <w:tc>
          <w:tcPr>
            <w:tcW w:w="3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7"/>
              </w:rPr>
            </w:pPr>
            <w:hyperlink r:id="rId152">
              <w:r>
                <w:rPr>
                  <w:rFonts w:ascii="Times New Roman" w:cs="Times New Roman" w:eastAsia="Times New Roman" w:hAnsi="Times New Roman"/>
                  <w:sz w:val="14"/>
                  <w:szCs w:val="14"/>
                  <w:color w:val="0000FF"/>
                  <w:w w:val="97"/>
                </w:rPr>
                <w:t>2024)</w:t>
              </w:r>
            </w:hyperlink>
          </w:p>
        </w:tc>
        <w:tc>
          <w:tcPr>
            <w:tcW w:w="4820" w:type="dxa"/>
            <w:vAlign w:val="bottom"/>
            <w:tcBorders>
              <w:top w:val="single" w:sz="8" w:color="0000FF"/>
            </w:tcBorders>
          </w:tcPr>
          <w:p>
            <w:pPr>
              <w:spacing w:after="0"/>
              <w:rPr>
                <w:sz w:val="11"/>
                <w:szCs w:val="11"/>
                <w:color w:val="auto"/>
              </w:rPr>
            </w:pPr>
          </w:p>
        </w:tc>
        <w:tc>
          <w:tcPr>
            <w:tcW w:w="1580" w:type="dxa"/>
            <w:vAlign w:val="bottom"/>
            <w:tcBorders>
              <w:top w:val="single" w:sz="8" w:color="0000FF"/>
            </w:tcBorders>
          </w:tcPr>
          <w:p>
            <w:pPr>
              <w:spacing w:after="0"/>
              <w:rPr>
                <w:sz w:val="11"/>
                <w:szCs w:val="11"/>
                <w:color w:val="auto"/>
              </w:rPr>
            </w:pPr>
          </w:p>
        </w:tc>
        <w:tc>
          <w:tcPr>
            <w:tcW w:w="188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7" w:lineRule="exact"/>
        <w:rPr>
          <w:sz w:val="20"/>
          <w:szCs w:val="20"/>
          <w:color w:val="auto"/>
        </w:rPr>
      </w:pPr>
    </w:p>
    <w:p>
      <w:pPr>
        <w:ind w:left="940" w:hanging="921"/>
        <w:spacing w:after="0"/>
        <w:tabs>
          <w:tab w:leader="none" w:pos="940" w:val="left"/>
        </w:tabs>
        <w:numPr>
          <w:ilvl w:val="0"/>
          <w:numId w:val="42"/>
        </w:numPr>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Qorvo, Inc. Securities Trading Policy (incorporated by reference to Exhibit 19 to the Company's Annual Report on Form 10-K filed with the SEC on May 20, 2024)</w:t>
        </w:r>
      </w:hyperlink>
    </w:p>
    <w:p>
      <w:pPr>
        <w:spacing w:after="0" w:line="23" w:lineRule="exact"/>
        <w:rPr>
          <w:sz w:val="20"/>
          <w:szCs w:val="20"/>
          <w:color w:val="auto"/>
        </w:rPr>
      </w:pPr>
    </w:p>
    <w:p>
      <w:pPr>
        <w:ind w:left="940" w:hanging="921"/>
        <w:spacing w:after="0"/>
        <w:tabs>
          <w:tab w:leader="none" w:pos="9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Subsidiaries of Qorvo, Inc.</w:t>
      </w:r>
    </w:p>
    <w:p>
      <w:pPr>
        <w:spacing w:after="0" w:line="19" w:lineRule="exact"/>
        <w:rPr>
          <w:rFonts w:ascii="Times New Roman" w:cs="Times New Roman" w:eastAsia="Times New Roman" w:hAnsi="Times New Roman"/>
          <w:sz w:val="14"/>
          <w:szCs w:val="14"/>
          <w:color w:val="auto"/>
        </w:rPr>
      </w:pPr>
    </w:p>
    <w:p>
      <w:pPr>
        <w:ind w:left="940" w:hanging="921"/>
        <w:spacing w:after="0"/>
        <w:tabs>
          <w:tab w:leader="none" w:pos="9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List of Subsidiary Guarantors</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9"/>
              </w:rPr>
              <w:t>23.1</w:t>
            </w:r>
          </w:p>
        </w:tc>
        <w:tc>
          <w:tcPr>
            <w:tcW w:w="3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6880" w:type="dxa"/>
            <w:vAlign w:val="bottom"/>
            <w:gridSpan w:val="5"/>
          </w:tcPr>
          <w:p>
            <w:pPr>
              <w:spacing w:after="0"/>
              <w:rPr>
                <w:sz w:val="13"/>
                <w:szCs w:val="13"/>
                <w:color w:val="auto"/>
              </w:rPr>
            </w:pPr>
          </w:p>
        </w:tc>
      </w:tr>
      <w:tr>
        <w:trPr>
          <w:trHeight w:val="160"/>
        </w:trPr>
        <w:tc>
          <w:tcPr>
            <w:tcW w:w="9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9"/>
              </w:rPr>
              <w:t>31.1</w:t>
            </w:r>
          </w:p>
        </w:tc>
        <w:tc>
          <w:tcPr>
            <w:tcW w:w="102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Periodic Report by Robert A. Bruggeworth, as Chief Executive Officer, pursuant to Rule 13a-14(a) or 15d-14(a) of the Exchange Act, as adopted pursuant to Section</w:t>
            </w:r>
          </w:p>
        </w:tc>
      </w:tr>
      <w:tr>
        <w:trPr>
          <w:trHeight w:val="118"/>
        </w:trPr>
        <w:tc>
          <w:tcPr>
            <w:tcW w:w="920" w:type="dxa"/>
            <w:vAlign w:val="bottom"/>
          </w:tcPr>
          <w:p>
            <w:pPr>
              <w:spacing w:after="0"/>
              <w:rPr>
                <w:sz w:val="10"/>
                <w:szCs w:val="10"/>
                <w:color w:val="auto"/>
              </w:rPr>
            </w:pPr>
          </w:p>
        </w:tc>
        <w:tc>
          <w:tcPr>
            <w:tcW w:w="10260" w:type="dxa"/>
            <w:vAlign w:val="bottom"/>
            <w:tcBorders>
              <w:top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302 of the Sarbanes-Oxley Act of 2002</w:t>
            </w: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71"/>
        </w:trPr>
        <w:tc>
          <w:tcPr>
            <w:tcW w:w="9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9"/>
              </w:rPr>
              <w:t>31.2</w:t>
            </w:r>
          </w:p>
        </w:tc>
        <w:tc>
          <w:tcPr>
            <w:tcW w:w="102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Periodic Report by Grant A. Brown, as Chief Financial Officer, pursuant to Rule 13a-14(a) or 15d-14(a) of the Exchange Act, as adopted pursuant to Section 302 of</w:t>
            </w:r>
          </w:p>
        </w:tc>
      </w:tr>
      <w:tr>
        <w:trPr>
          <w:trHeight w:val="118"/>
        </w:trPr>
        <w:tc>
          <w:tcPr>
            <w:tcW w:w="920" w:type="dxa"/>
            <w:vAlign w:val="bottom"/>
          </w:tcPr>
          <w:p>
            <w:pPr>
              <w:spacing w:after="0"/>
              <w:rPr>
                <w:sz w:val="10"/>
                <w:szCs w:val="10"/>
                <w:color w:val="auto"/>
              </w:rPr>
            </w:pPr>
          </w:p>
        </w:tc>
        <w:tc>
          <w:tcPr>
            <w:tcW w:w="10180" w:type="dxa"/>
            <w:vAlign w:val="bottom"/>
            <w:tcBorders>
              <w:top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the Sarbanes-Oxley Act of 2002</w:t>
            </w:r>
          </w:p>
        </w:tc>
        <w:tc>
          <w:tcPr>
            <w:tcW w:w="10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71"/>
        </w:trPr>
        <w:tc>
          <w:tcPr>
            <w:tcW w:w="9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9"/>
              </w:rPr>
              <w:t>32.1</w:t>
            </w:r>
          </w:p>
        </w:tc>
        <w:tc>
          <w:tcPr>
            <w:tcW w:w="102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Periodic Report by Robert A. Bruggeworth, as Chief Executive Officer, pursuant to 18 U.S.C. Section 1350, as adopted pursuant to Section 906 of the Sarbanes-</w:t>
            </w:r>
          </w:p>
        </w:tc>
      </w:tr>
      <w:tr>
        <w:trPr>
          <w:trHeight w:val="118"/>
        </w:trPr>
        <w:tc>
          <w:tcPr>
            <w:tcW w:w="920" w:type="dxa"/>
            <w:vAlign w:val="bottom"/>
          </w:tcPr>
          <w:p>
            <w:pPr>
              <w:spacing w:after="0"/>
              <w:rPr>
                <w:sz w:val="10"/>
                <w:szCs w:val="10"/>
                <w:color w:val="auto"/>
              </w:rPr>
            </w:pPr>
          </w:p>
        </w:tc>
        <w:tc>
          <w:tcPr>
            <w:tcW w:w="106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Oxley Act of 2002</w:t>
            </w:r>
          </w:p>
        </w:tc>
        <w:tc>
          <w:tcPr>
            <w:tcW w:w="8940" w:type="dxa"/>
            <w:vAlign w:val="bottom"/>
            <w:tcBorders>
              <w:top w:val="single" w:sz="8" w:color="0000FF"/>
            </w:tcBorders>
            <w:gridSpan w:val="5"/>
          </w:tcPr>
          <w:p>
            <w:pPr>
              <w:spacing w:after="0"/>
              <w:rPr>
                <w:sz w:val="10"/>
                <w:szCs w:val="10"/>
                <w:color w:val="auto"/>
              </w:rPr>
            </w:pPr>
          </w:p>
        </w:tc>
        <w:tc>
          <w:tcPr>
            <w:tcW w:w="280" w:type="dxa"/>
            <w:vAlign w:val="bottom"/>
            <w:gridSpan w:val="3"/>
          </w:tcPr>
          <w:p>
            <w:pPr>
              <w:spacing w:after="0"/>
              <w:rPr>
                <w:sz w:val="10"/>
                <w:szCs w:val="10"/>
                <w:color w:val="auto"/>
              </w:rPr>
            </w:pPr>
          </w:p>
        </w:tc>
      </w:tr>
      <w:tr>
        <w:trPr>
          <w:trHeight w:val="171"/>
        </w:trPr>
        <w:tc>
          <w:tcPr>
            <w:tcW w:w="9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9"/>
              </w:rPr>
              <w:t>32.2</w:t>
            </w:r>
          </w:p>
        </w:tc>
        <w:tc>
          <w:tcPr>
            <w:tcW w:w="10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Periodic Report by Grant A. Brown, as Chief Financial Officer, pursuant to 18 U.S.C. Section 1350, as adopted pursuant to Section 906 of the Sarbanes-Oxley Act of</w:t>
            </w:r>
          </w:p>
        </w:tc>
      </w:tr>
      <w:tr>
        <w:trPr>
          <w:trHeight w:val="118"/>
        </w:trPr>
        <w:tc>
          <w:tcPr>
            <w:tcW w:w="920" w:type="dxa"/>
            <w:vAlign w:val="bottom"/>
          </w:tcPr>
          <w:p>
            <w:pPr>
              <w:spacing w:after="0"/>
              <w:rPr>
                <w:sz w:val="10"/>
                <w:szCs w:val="10"/>
                <w:color w:val="auto"/>
              </w:rPr>
            </w:pPr>
          </w:p>
        </w:tc>
        <w:tc>
          <w:tcPr>
            <w:tcW w:w="280" w:type="dxa"/>
            <w:vAlign w:val="bottom"/>
            <w:tcBorders>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w w:val="99"/>
              </w:rPr>
              <w:t>2002</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9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9"/>
              </w:rPr>
              <w:t>97.1</w:t>
            </w:r>
          </w:p>
        </w:tc>
        <w:tc>
          <w:tcPr>
            <w:tcW w:w="994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Qorvo, Inc. Compensation Recoupment Policy (incorporated by reference to Exhibit 97.1 to the Company's Annual Report on Form 10-K filed with the SEC on May 20, 2024)</w:t>
              </w:r>
            </w:hyperlink>
          </w:p>
        </w:tc>
        <w:tc>
          <w:tcPr>
            <w:tcW w:w="340" w:type="dxa"/>
            <w:vAlign w:val="bottom"/>
            <w:gridSpan w:val="4"/>
          </w:tcPr>
          <w:p>
            <w:pPr>
              <w:spacing w:after="0"/>
              <w:rPr>
                <w:sz w:val="14"/>
                <w:szCs w:val="14"/>
                <w:color w:val="auto"/>
              </w:rPr>
            </w:pPr>
          </w:p>
        </w:tc>
      </w:tr>
    </w:tbl>
    <w:p>
      <w:pPr>
        <w:spacing w:after="0" w:line="17" w:lineRule="exact"/>
        <w:rPr>
          <w:sz w:val="20"/>
          <w:szCs w:val="20"/>
          <w:color w:val="auto"/>
        </w:rPr>
      </w:pPr>
    </w:p>
    <w:p>
      <w:pPr>
        <w:ind w:left="940" w:right="80" w:hanging="921"/>
        <w:spacing w:after="0" w:line="233" w:lineRule="auto"/>
        <w:tabs>
          <w:tab w:leader="none" w:pos="9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our Annual Report on Form 10-K for the fiscal year ended March 29, 2025, formatted in iXBRL (Inline eXtensible Business Reporting Language): (i) the Consolidated Balance Sheets; (ii) the Consolidated Statements of Operations; (iii) the Consolidated Statements of Comprehensive Income (Loss); (iv) the Consolidated Statements of Stockholders' Equity; (v) the Consolidated Statements of Cash Flows; and (vi) the Notes to Consolidated Financial Statements.</w:t>
      </w:r>
    </w:p>
    <w:p>
      <w:pPr>
        <w:spacing w:after="0" w:line="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The cover page from our Annual Report on Form 10-K for the year ended March 29, 2025, formatted in iXBRL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Executive compensation plan or agreement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Qorvo, Inc.</w:t>
            </w:r>
          </w:p>
        </w:tc>
      </w:tr>
      <w:tr>
        <w:trPr>
          <w:trHeight w:val="35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May 19,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Robert A. Bruggeworth</w:t>
            </w:r>
          </w:p>
        </w:tc>
      </w:tr>
      <w:tr>
        <w:trPr>
          <w:trHeight w:val="175"/>
        </w:trPr>
        <w:tc>
          <w:tcPr>
            <w:tcW w:w="4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 Robert A. Bruggeworth</w:t>
            </w:r>
          </w:p>
        </w:tc>
      </w:tr>
    </w:tbl>
    <w:p>
      <w:pPr>
        <w:ind w:left="63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POWER OF ATTORNEY</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Robert A. Bruggeworth and Grant A. Brown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May 19,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Robert A. Bruggeworth</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Robert A. Bruggeworth</w:t>
            </w:r>
          </w:p>
        </w:tc>
      </w:tr>
      <w:tr>
        <w:trPr>
          <w:trHeight w:val="157"/>
        </w:trPr>
        <w:tc>
          <w:tcPr>
            <w:tcW w:w="4540" w:type="dxa"/>
            <w:vAlign w:val="bottom"/>
          </w:tcPr>
          <w:p>
            <w:pPr>
              <w:spacing w:after="0"/>
              <w:rPr>
                <w:sz w:val="13"/>
                <w:szCs w:val="13"/>
                <w:color w:val="auto"/>
              </w:rPr>
            </w:pPr>
          </w:p>
        </w:tc>
        <w:tc>
          <w:tcPr>
            <w:tcW w:w="840" w:type="dxa"/>
            <w:vAlign w:val="bottom"/>
          </w:tcPr>
          <w:p>
            <w:pPr>
              <w:ind w:left="240"/>
              <w:spacing w:after="0" w:line="157" w:lineRule="exact"/>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line="157"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4"/>
        </w:trPr>
        <w:tc>
          <w:tcPr>
            <w:tcW w:w="4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8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Grant A. Brown</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 A. Brown</w:t>
            </w:r>
          </w:p>
        </w:tc>
      </w:tr>
      <w:tr>
        <w:trPr>
          <w:trHeight w:val="157"/>
        </w:trPr>
        <w:tc>
          <w:tcPr>
            <w:tcW w:w="4540" w:type="dxa"/>
            <w:vAlign w:val="bottom"/>
          </w:tcPr>
          <w:p>
            <w:pPr>
              <w:spacing w:after="0"/>
              <w:rPr>
                <w:sz w:val="13"/>
                <w:szCs w:val="13"/>
                <w:color w:val="auto"/>
              </w:rPr>
            </w:pPr>
          </w:p>
        </w:tc>
        <w:tc>
          <w:tcPr>
            <w:tcW w:w="840" w:type="dxa"/>
            <w:vAlign w:val="bottom"/>
          </w:tcPr>
          <w:p>
            <w:pPr>
              <w:ind w:left="240"/>
              <w:spacing w:after="0" w:line="157" w:lineRule="exact"/>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line="157" w:lineRule="exact"/>
              <w:rPr>
                <w:sz w:val="20"/>
                <w:szCs w:val="20"/>
                <w:color w:val="auto"/>
              </w:rPr>
            </w:pPr>
            <w:r>
              <w:rPr>
                <w:rFonts w:ascii="Times New Roman" w:cs="Times New Roman" w:eastAsia="Times New Roman" w:hAnsi="Times New Roman"/>
                <w:sz w:val="14"/>
                <w:szCs w:val="14"/>
                <w:color w:val="auto"/>
              </w:rPr>
              <w:t>Senior Vice President and Chief Financial Officer</w:t>
            </w:r>
          </w:p>
        </w:tc>
      </w:tr>
      <w:tr>
        <w:trPr>
          <w:trHeight w:val="184"/>
        </w:trPr>
        <w:tc>
          <w:tcPr>
            <w:tcW w:w="4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8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Gina B. Harrison</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Gina B. Harrison</w:t>
            </w:r>
          </w:p>
        </w:tc>
      </w:tr>
      <w:tr>
        <w:trPr>
          <w:trHeight w:val="157"/>
        </w:trPr>
        <w:tc>
          <w:tcPr>
            <w:tcW w:w="4540" w:type="dxa"/>
            <w:vAlign w:val="bottom"/>
          </w:tcPr>
          <w:p>
            <w:pPr>
              <w:spacing w:after="0"/>
              <w:rPr>
                <w:sz w:val="13"/>
                <w:szCs w:val="13"/>
                <w:color w:val="auto"/>
              </w:rPr>
            </w:pPr>
          </w:p>
        </w:tc>
        <w:tc>
          <w:tcPr>
            <w:tcW w:w="840" w:type="dxa"/>
            <w:vAlign w:val="bottom"/>
          </w:tcPr>
          <w:p>
            <w:pPr>
              <w:ind w:left="240"/>
              <w:spacing w:after="0" w:line="157" w:lineRule="exact"/>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line="157" w:lineRule="exact"/>
              <w:rPr>
                <w:sz w:val="20"/>
                <w:szCs w:val="20"/>
                <w:color w:val="auto"/>
              </w:rPr>
            </w:pPr>
            <w:r>
              <w:rPr>
                <w:rFonts w:ascii="Times New Roman" w:cs="Times New Roman" w:eastAsia="Times New Roman" w:hAnsi="Times New Roman"/>
                <w:sz w:val="14"/>
                <w:szCs w:val="14"/>
                <w:color w:val="auto"/>
              </w:rPr>
              <w:t>Vice President and Corporate Controller</w:t>
            </w:r>
          </w:p>
        </w:tc>
      </w:tr>
      <w:tr>
        <w:trPr>
          <w:trHeight w:val="184"/>
        </w:trPr>
        <w:tc>
          <w:tcPr>
            <w:tcW w:w="4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38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Walden C. Rhines</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Dr. Walden C. Rhines</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Chair of the Board of Directors</w:t>
            </w:r>
          </w:p>
        </w:tc>
      </w:tr>
      <w:tr>
        <w:trPr>
          <w:trHeight w:val="37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Judy Bruner</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Judy Bruner</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37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Richard L. Clemmer</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Richard L. Clemmer</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37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R. Harding</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John R. Harding</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37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R. Koopmans</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Christopher R. Koopmans</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37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Alan S. Lowe</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Alan S. Lowe</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37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Roderick D. Nelson</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Roderick D. Nelson</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378"/>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Susan L. Spradley</w:t>
            </w: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Susan L. Spradley</w:t>
            </w:r>
          </w:p>
        </w:tc>
      </w:tr>
      <w:tr>
        <w:trPr>
          <w:trHeight w:val="164"/>
        </w:trPr>
        <w:tc>
          <w:tcPr>
            <w:tcW w:w="4540" w:type="dxa"/>
            <w:vAlign w:val="bottom"/>
          </w:tcPr>
          <w:p>
            <w:pPr>
              <w:spacing w:after="0"/>
              <w:rPr>
                <w:sz w:val="14"/>
                <w:szCs w:val="1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280"/>
          </w:cols>
          <w:pgMar w:left="300" w:top="129" w:right="319" w:bottom="1440"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86"/>
        </w:trPr>
        <w:tc>
          <w:tcPr>
            <w:tcW w:w="7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21</w:t>
            </w:r>
          </w:p>
        </w:tc>
        <w:tc>
          <w:tcPr>
            <w:tcW w:w="2660" w:type="dxa"/>
            <w:vAlign w:val="bottom"/>
          </w:tcPr>
          <w:p>
            <w:pPr>
              <w:spacing w:after="0"/>
              <w:rPr>
                <w:sz w:val="16"/>
                <w:szCs w:val="16"/>
                <w:color w:val="auto"/>
              </w:rPr>
            </w:pPr>
          </w:p>
        </w:tc>
      </w:tr>
      <w:tr>
        <w:trPr>
          <w:trHeight w:val="181"/>
        </w:trPr>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940" w:type="dxa"/>
            <w:vAlign w:val="bottom"/>
            <w:gridSpan w:val="3"/>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309"/>
        </w:trPr>
        <w:tc>
          <w:tcPr>
            <w:tcW w:w="80" w:type="dxa"/>
            <w:vAlign w:val="bottom"/>
          </w:tcPr>
          <w:p>
            <w:pPr>
              <w:spacing w:after="0"/>
              <w:rPr>
                <w:sz w:val="24"/>
                <w:szCs w:val="24"/>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6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94"/>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Active-Semi,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California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Amalfi Semiconductor,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Decawave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California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NextInput,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Premier Devices - A Sirenza Company</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California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Asia, LLC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California,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California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Europe Holding Company</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International Holding,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North Carolina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International Services,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Oregon,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Oregon</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Texas, LLC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Texas</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US,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RFMD Infrastructure Product Group,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North Carolina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RFMD, LLC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North Carolina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Sevenhugs,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TriQuint WJ,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WJ Newco LLC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Xemod Incorporated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California</w:t>
            </w:r>
          </w:p>
        </w:tc>
      </w:tr>
      <w:tr>
        <w:trPr>
          <w:trHeight w:val="266"/>
        </w:trPr>
        <w:tc>
          <w:tcPr>
            <w:tcW w:w="80" w:type="dxa"/>
            <w:vAlign w:val="bottom"/>
          </w:tcPr>
          <w:p>
            <w:pPr>
              <w:spacing w:after="0"/>
              <w:rPr>
                <w:sz w:val="23"/>
                <w:szCs w:val="23"/>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60" w:type="dxa"/>
            <w:vAlign w:val="bottom"/>
          </w:tcPr>
          <w:p>
            <w:pPr>
              <w:spacing w:after="0"/>
              <w:rPr>
                <w:sz w:val="23"/>
                <w:szCs w:val="23"/>
                <w:color w:val="auto"/>
              </w:rPr>
            </w:pPr>
          </w:p>
        </w:tc>
      </w:tr>
      <w:tr>
        <w:trPr>
          <w:trHeight w:val="20"/>
        </w:trPr>
        <w:tc>
          <w:tcPr>
            <w:tcW w:w="8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94"/>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Active-Semi International, Inc.</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Active-Semi (Shanghai) Co., Ltd.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People's Republic of China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Decawave Limited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Austria GmbH</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Austria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Barcelona S.L.</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Spain</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Belgium NV</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Belgium</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Costa Rica S.R.L.</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Costa Rica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Denmark ApS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Denmark</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Finland Oy</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Finland</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Germany GmbH</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Germany Holding GmbH</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Hong Kong Limited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International Pte. Ltd.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Ireland Holding Limited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Japan YK</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Japan</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Malaysia Sdn Bhd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Malaysia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Munich GmbH</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Paris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France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Semiconductor Private Limited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India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Shanghai Ltd.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People's Republic of China</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Toulouse SAS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France</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UK Limited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United Kingdom</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Utrecht B.V.</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Netherlands</w:t>
            </w:r>
          </w:p>
        </w:tc>
      </w:tr>
      <w:tr>
        <w:trPr>
          <w:trHeight w:val="180"/>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Qorvo Vietnam Company Limited</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Vietnam</w:t>
            </w:r>
          </w:p>
        </w:tc>
      </w:tr>
      <w:tr>
        <w:trPr>
          <w:trHeight w:val="184"/>
        </w:trPr>
        <w:tc>
          <w:tcPr>
            <w:tcW w:w="7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RF Micro Devices Svenska AB</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Sweden</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0159"/>
          </w:cols>
          <w:pgMar w:left="300" w:top="833"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color w:val="auto"/>
        </w:rPr>
        <w:t>Exhibit 22</w:t>
      </w: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List of Subsidiary Guarantors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4.375% Senior Notes due 2029 and the 3.375% Senior Notes due 2031 are guaranteed, jointly and severally, on an unsecured basis, by the following 100% owned subsidiaries of Qorvo, Inc.,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 corporation, as of March 29, 2025:</w:t>
      </w:r>
    </w:p>
    <w:p>
      <w:pPr>
        <w:spacing w:after="0" w:line="201" w:lineRule="exact"/>
        <w:rPr>
          <w:sz w:val="20"/>
          <w:szCs w:val="20"/>
          <w:color w:val="auto"/>
        </w:rPr>
      </w:pPr>
    </w:p>
    <w:tbl>
      <w:tblPr>
        <w:tblLayout w:type="fixed"/>
        <w:tblInd w:w="1550" w:type="dxa"/>
        <w:tblCellMar>
          <w:top w:w="0" w:type="dxa"/>
          <w:left w:w="0" w:type="dxa"/>
          <w:bottom w:w="0" w:type="dxa"/>
          <w:right w:w="0" w:type="dxa"/>
        </w:tblCellMar>
      </w:tblPr>
      <w:tr>
        <w:trPr>
          <w:trHeight w:val="185"/>
        </w:trPr>
        <w:tc>
          <w:tcPr>
            <w:tcW w:w="4240" w:type="dxa"/>
            <w:vAlign w:val="bottom"/>
            <w:tcBorders>
              <w:top w:val="single" w:sz="8" w:color="auto"/>
              <w:left w:val="single" w:sz="8" w:color="auto"/>
              <w:right w:val="single" w:sz="8" w:color="auto"/>
            </w:tcBorders>
            <w:shd w:val="clear" w:color="auto" w:fill="D9D9D9"/>
          </w:tcPr>
          <w:p>
            <w:pPr>
              <w:ind w:left="19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40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r>
      <w:tr>
        <w:trPr>
          <w:trHeight w:val="213"/>
        </w:trPr>
        <w:tc>
          <w:tcPr>
            <w:tcW w:w="4240" w:type="dxa"/>
            <w:vAlign w:val="bottom"/>
            <w:tcBorders>
              <w:left w:val="single" w:sz="8" w:color="auto"/>
              <w:bottom w:val="single" w:sz="8" w:color="D9D9D9"/>
              <w:right w:val="single" w:sz="8" w:color="auto"/>
            </w:tcBorders>
            <w:shd w:val="clear" w:color="auto" w:fill="D9D9D9"/>
          </w:tcPr>
          <w:p>
            <w:pPr>
              <w:spacing w:after="0"/>
              <w:rPr>
                <w:sz w:val="18"/>
                <w:szCs w:val="18"/>
                <w:color w:val="auto"/>
              </w:rPr>
            </w:pPr>
          </w:p>
        </w:tc>
        <w:tc>
          <w:tcPr>
            <w:tcW w:w="40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r>
      <w:tr>
        <w:trPr>
          <w:trHeight w:val="181"/>
        </w:trPr>
        <w:tc>
          <w:tcPr>
            <w:tcW w:w="42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Amalfi Semiconductor, Inc.</w:t>
            </w:r>
          </w:p>
        </w:tc>
        <w:tc>
          <w:tcPr>
            <w:tcW w:w="40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181"/>
        </w:trPr>
        <w:tc>
          <w:tcPr>
            <w:tcW w:w="4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RFMD, LLC</w:t>
            </w:r>
          </w:p>
        </w:tc>
        <w:tc>
          <w:tcPr>
            <w:tcW w:w="4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North Carolina</w:t>
            </w:r>
          </w:p>
        </w:tc>
      </w:tr>
      <w:tr>
        <w:trPr>
          <w:trHeight w:val="32"/>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181"/>
        </w:trPr>
        <w:tc>
          <w:tcPr>
            <w:tcW w:w="4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Qorvo California, Inc.</w:t>
            </w:r>
          </w:p>
        </w:tc>
        <w:tc>
          <w:tcPr>
            <w:tcW w:w="4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California</w:t>
            </w:r>
          </w:p>
        </w:tc>
      </w:tr>
      <w:tr>
        <w:trPr>
          <w:trHeight w:val="32"/>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181"/>
        </w:trPr>
        <w:tc>
          <w:tcPr>
            <w:tcW w:w="4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Qorvo US, Inc.</w:t>
            </w:r>
          </w:p>
        </w:tc>
        <w:tc>
          <w:tcPr>
            <w:tcW w:w="4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181"/>
        </w:trPr>
        <w:tc>
          <w:tcPr>
            <w:tcW w:w="4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Qorvo Texas, LLC</w:t>
            </w:r>
          </w:p>
        </w:tc>
        <w:tc>
          <w:tcPr>
            <w:tcW w:w="4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Texas</w:t>
            </w:r>
          </w:p>
        </w:tc>
      </w:tr>
      <w:tr>
        <w:trPr>
          <w:trHeight w:val="32"/>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181"/>
        </w:trPr>
        <w:tc>
          <w:tcPr>
            <w:tcW w:w="4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Qorvo Oregon, Inc.</w:t>
            </w:r>
          </w:p>
        </w:tc>
        <w:tc>
          <w:tcPr>
            <w:tcW w:w="4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Oregon</w:t>
            </w:r>
          </w:p>
        </w:tc>
      </w:tr>
      <w:tr>
        <w:trPr>
          <w:trHeight w:val="32"/>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20"/>
          </w:cols>
          <w:pgMar w:left="300" w:top="1141"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177"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S-4 No. 333-195236) of Qorvo, Inc.,</w:t>
      </w:r>
    </w:p>
    <w:p>
      <w:pPr>
        <w:spacing w:after="0" w:line="14" w:lineRule="exact"/>
        <w:rPr>
          <w:rFonts w:ascii="Times New Roman" w:cs="Times New Roman" w:eastAsia="Times New Roman" w:hAnsi="Times New Roman"/>
          <w:sz w:val="16"/>
          <w:szCs w:val="16"/>
          <w:color w:val="auto"/>
        </w:rPr>
      </w:pPr>
    </w:p>
    <w:p>
      <w:pPr>
        <w:ind w:left="520" w:hanging="260"/>
        <w:spacing w:after="0" w:line="228" w:lineRule="auto"/>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333-201357) pertaining to the Qorvo, Inc. 2007 Employee Stock Purchase Plan, Qorvo, Inc. 2013 Incentive Plan, Qorvo, Inc. 2012 Incentive Plan, Qorvo, Inc. 2009 Incentive Plan, Qorvo, Inc. 2008 Inducement Program, and the Qorvo, Inc. 1996 Stock Incentive Program,</w:t>
      </w:r>
    </w:p>
    <w:p>
      <w:pPr>
        <w:ind w:left="520" w:hanging="260"/>
        <w:spacing w:after="0" w:line="221" w:lineRule="auto"/>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ind w:left="520" w:hanging="260"/>
        <w:spacing w:after="0" w:line="235" w:lineRule="auto"/>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333-266687) pertaining to the Qorvo, Inc. 2012 Stock Incentive Plan, and</w:t>
      </w:r>
    </w:p>
    <w:p>
      <w:pPr>
        <w:ind w:left="520" w:hanging="260"/>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333-266752) pertaining to the Qorvo, Inc. 2022 Stock Incentive Plan;</w:t>
      </w:r>
    </w:p>
    <w:p>
      <w:pPr>
        <w:spacing w:after="0" w:line="15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of our reports dated May 19, 2025, with respect to the consolidated financial statements of Qorvo, Inc. and subsidiaries and the effectiveness of internal control over financial reporting of Qorvo, Inc. and subsidiaries included in this Annual Report (Form 10-K) of Qorvo, Inc. for the year ended March 29, 2025.</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rPr>
          <w:sz w:val="20"/>
          <w:szCs w:val="20"/>
          <w:color w:val="auto"/>
        </w:rPr>
      </w:pPr>
      <w:r>
        <w:rPr>
          <w:rFonts w:ascii="Times New Roman" w:cs="Times New Roman" w:eastAsia="Times New Roman" w:hAnsi="Times New Roman"/>
          <w:sz w:val="16"/>
          <w:szCs w:val="16"/>
          <w:color w:val="auto"/>
        </w:rPr>
        <w:t>Charlotte, North Carolina</w:t>
      </w:r>
    </w:p>
    <w:p>
      <w:pPr>
        <w:spacing w:after="0"/>
        <w:rPr>
          <w:sz w:val="20"/>
          <w:szCs w:val="20"/>
          <w:color w:val="auto"/>
        </w:rPr>
      </w:pPr>
      <w:r>
        <w:rPr>
          <w:rFonts w:ascii="Times New Roman" w:cs="Times New Roman" w:eastAsia="Times New Roman" w:hAnsi="Times New Roman"/>
          <w:sz w:val="16"/>
          <w:szCs w:val="16"/>
          <w:color w:val="auto"/>
        </w:rPr>
        <w:t>May 19, 2025</w:t>
      </w:r>
    </w:p>
    <w:p>
      <w:pPr>
        <w:sectPr>
          <w:pgSz w:w="11900" w:h="16838" w:orient="portrait"/>
          <w:cols w:equalWidth="0" w:num="1">
            <w:col w:w="11280"/>
          </w:cols>
          <w:pgMar w:left="300" w:top="1137"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EXCHANGE ACT, AS ADOPTED</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A. Bruggeworth, certify that:</w:t>
      </w:r>
    </w:p>
    <w:p>
      <w:pPr>
        <w:spacing w:after="0" w:line="179" w:lineRule="exact"/>
        <w:rPr>
          <w:sz w:val="20"/>
          <w:szCs w:val="20"/>
          <w:color w:val="auto"/>
        </w:rPr>
      </w:pPr>
    </w:p>
    <w:p>
      <w:pPr>
        <w:ind w:left="520" w:hanging="515"/>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Qorvo, Inc.;</w:t>
      </w:r>
    </w:p>
    <w:p>
      <w:pPr>
        <w:spacing w:after="0" w:line="199" w:lineRule="exact"/>
        <w:rPr>
          <w:rFonts w:ascii="Times New Roman" w:cs="Times New Roman" w:eastAsia="Times New Roman" w:hAnsi="Times New Roman"/>
          <w:sz w:val="14"/>
          <w:szCs w:val="14"/>
          <w:color w:val="auto"/>
        </w:rPr>
      </w:pPr>
    </w:p>
    <w:p>
      <w:pPr>
        <w:ind w:right="560" w:firstLine="5"/>
        <w:spacing w:after="0" w:line="287" w:lineRule="auto"/>
        <w:tabs>
          <w:tab w:leader="none" w:pos="50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right="40" w:firstLine="5"/>
        <w:spacing w:after="0" w:line="287" w:lineRule="auto"/>
        <w:tabs>
          <w:tab w:leader="none" w:pos="50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right="80" w:firstLine="5"/>
        <w:spacing w:after="0" w:line="287" w:lineRule="auto"/>
        <w:tabs>
          <w:tab w:leader="none" w:pos="50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520" w:right="140" w:hanging="6"/>
        <w:spacing w:after="0" w:line="287" w:lineRule="auto"/>
        <w:tabs>
          <w:tab w:leader="none" w:pos="1021"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right="300" w:hanging="6"/>
        <w:spacing w:after="0" w:line="287" w:lineRule="auto"/>
        <w:tabs>
          <w:tab w:leader="none" w:pos="1029"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right="20" w:hanging="6"/>
        <w:spacing w:after="0" w:line="287" w:lineRule="auto"/>
        <w:tabs>
          <w:tab w:leader="none" w:pos="1021"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hanging="6"/>
        <w:spacing w:after="0" w:line="287" w:lineRule="auto"/>
        <w:tabs>
          <w:tab w:leader="none" w:pos="1029"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right="220" w:firstLine="5"/>
        <w:spacing w:after="0" w:line="287" w:lineRule="auto"/>
        <w:tabs>
          <w:tab w:leader="none" w:pos="50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right="360" w:hanging="6"/>
        <w:spacing w:after="0" w:line="287" w:lineRule="auto"/>
        <w:tabs>
          <w:tab w:leader="none" w:pos="1021"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Date: May 19, 2025</w:t>
      </w:r>
    </w:p>
    <w:p>
      <w:pPr>
        <w:spacing w:after="0" w:line="3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31076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2310765" cy="698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Robert A. Bruggeworth</w:t>
      </w:r>
    </w:p>
    <w:p>
      <w:pPr>
        <w:spacing w:after="0" w:line="2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120"/>
          </w:cols>
          <w:pgMar w:left="300" w:top="727"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OR 15d-14(a) OF THE EXCHANGE ACT, AS ADOPTED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Grant A. Brown, certify that:</w:t>
      </w:r>
    </w:p>
    <w:p>
      <w:pPr>
        <w:spacing w:after="0" w:line="200"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Qorvo, Inc.;</w:t>
      </w:r>
    </w:p>
    <w:p>
      <w:pPr>
        <w:spacing w:after="0" w:line="199" w:lineRule="exact"/>
        <w:rPr>
          <w:rFonts w:ascii="Times New Roman" w:cs="Times New Roman" w:eastAsia="Times New Roman" w:hAnsi="Times New Roman"/>
          <w:sz w:val="14"/>
          <w:szCs w:val="14"/>
          <w:color w:val="auto"/>
        </w:rPr>
      </w:pPr>
    </w:p>
    <w:p>
      <w:pPr>
        <w:ind w:right="140" w:firstLine="5"/>
        <w:spacing w:after="0" w:line="287" w:lineRule="auto"/>
        <w:tabs>
          <w:tab w:leader="none" w:pos="24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right="200" w:firstLine="5"/>
        <w:spacing w:after="0" w:line="287" w:lineRule="auto"/>
        <w:tabs>
          <w:tab w:leader="none" w:pos="24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right="140" w:firstLine="5"/>
        <w:spacing w:after="0" w:line="287" w:lineRule="auto"/>
        <w:tabs>
          <w:tab w:leader="none" w:pos="24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520" w:hanging="6"/>
        <w:spacing w:after="0" w:line="287" w:lineRule="auto"/>
        <w:tabs>
          <w:tab w:leader="none" w:pos="771"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right="220" w:hanging="6"/>
        <w:spacing w:after="0" w:line="287" w:lineRule="auto"/>
        <w:tabs>
          <w:tab w:leader="none" w:pos="779"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right="400" w:hanging="6"/>
        <w:spacing w:after="0" w:line="287" w:lineRule="auto"/>
        <w:tabs>
          <w:tab w:leader="none" w:pos="771"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right="40" w:hanging="6"/>
        <w:spacing w:after="0" w:line="287" w:lineRule="auto"/>
        <w:tabs>
          <w:tab w:leader="none" w:pos="779"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24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right="100" w:hanging="6"/>
        <w:spacing w:after="0" w:line="287" w:lineRule="auto"/>
        <w:tabs>
          <w:tab w:leader="none" w:pos="763"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Date: May 19, 2025</w:t>
      </w:r>
    </w:p>
    <w:p>
      <w:pPr>
        <w:spacing w:after="0" w:line="3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14605</wp:posOffset>
            </wp:positionV>
            <wp:extent cx="29305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2930525" cy="6985"/>
                    </a:xfrm>
                    <a:prstGeom prst="rect">
                      <a:avLst/>
                    </a:prstGeom>
                    <a:noFill/>
                  </pic:spPr>
                </pic:pic>
              </a:graphicData>
            </a:graphic>
          </wp:anchor>
        </w:drawing>
      </w:r>
    </w:p>
    <w:p>
      <w:pPr>
        <w:spacing w:after="0" w:line="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Grant A. Brown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ectPr>
          <w:pgSz w:w="11900" w:h="16838" w:orient="portrait"/>
          <w:cols w:equalWidth="0" w:num="1">
            <w:col w:w="11260"/>
          </w:cols>
          <w:pgMar w:left="300" w:top="72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 SECTION 906 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A. Bruggeworth, President and Chief Executive Officer of Qorvo, Inc. (the “Company”), certify pursuant to Section 906 of the Sarbanes-Oxley Act of 2002, 18 U.S.C.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1350, that, to my knowledge:</w:t>
      </w:r>
    </w:p>
    <w:p>
      <w:pPr>
        <w:spacing w:after="0" w:line="176" w:lineRule="exact"/>
        <w:rPr>
          <w:sz w:val="20"/>
          <w:szCs w:val="20"/>
          <w:color w:val="auto"/>
        </w:rPr>
      </w:pPr>
    </w:p>
    <w:p>
      <w:pPr>
        <w:ind w:left="520" w:hanging="515"/>
        <w:spacing w:after="0" w:line="273" w:lineRule="auto"/>
        <w:tabs>
          <w:tab w:leader="none" w:pos="34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of the Company for the fiscal year ended March 29, 2025 (the “Report”) fully complies with the requirements of Section 13(a) or 15(d) of the Securities Exchange Act of 1934, as amended; and</w:t>
      </w:r>
    </w:p>
    <w:p>
      <w:pPr>
        <w:spacing w:after="0" w:line="154" w:lineRule="exact"/>
        <w:rPr>
          <w:rFonts w:ascii="Times New Roman" w:cs="Times New Roman" w:eastAsia="Times New Roman" w:hAnsi="Times New Roman"/>
          <w:sz w:val="16"/>
          <w:szCs w:val="16"/>
          <w:color w:val="auto"/>
        </w:rPr>
      </w:pPr>
    </w:p>
    <w:p>
      <w:pPr>
        <w:ind w:left="340" w:hanging="335"/>
        <w:spacing w:after="0"/>
        <w:tabs>
          <w:tab w:leader="none" w:pos="3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16510</wp:posOffset>
            </wp:positionV>
            <wp:extent cx="27355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Robert A. Bruggeworth</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0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May 19, 2025</w:t>
      </w:r>
    </w:p>
    <w:p>
      <w:pPr>
        <w:sectPr>
          <w:pgSz w:w="11900" w:h="16838" w:orient="portrait"/>
          <w:cols w:equalWidth="0" w:num="1">
            <w:col w:w="11280"/>
          </w:cols>
          <w:pgMar w:left="300" w:top="723"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 SECTION 906 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Grant A. Brown, Senior Vice President and Chief Financial Officer of Qorvo, Inc. (the “Company”), certify pursuant to Section 906 of the Sarbanes-Oxley Act of 2002, 18 U.S.C.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1350, that, to my knowledge:</w:t>
      </w:r>
    </w:p>
    <w:p>
      <w:pPr>
        <w:spacing w:after="0" w:line="176" w:lineRule="exact"/>
        <w:rPr>
          <w:sz w:val="20"/>
          <w:szCs w:val="20"/>
          <w:color w:val="auto"/>
        </w:rPr>
      </w:pPr>
    </w:p>
    <w:p>
      <w:pPr>
        <w:ind w:left="520" w:hanging="515"/>
        <w:spacing w:after="0" w:line="273" w:lineRule="auto"/>
        <w:tabs>
          <w:tab w:leader="none" w:pos="34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of the Company for the fiscal year ended March 29, 2025 (the “Report”) fully complies with the requirements of Section 13(a) or 15(d) of the Securities Exchange Act of 1934, as amended; and</w:t>
      </w:r>
    </w:p>
    <w:p>
      <w:pPr>
        <w:spacing w:after="0" w:line="154" w:lineRule="exact"/>
        <w:rPr>
          <w:rFonts w:ascii="Times New Roman" w:cs="Times New Roman" w:eastAsia="Times New Roman" w:hAnsi="Times New Roman"/>
          <w:sz w:val="16"/>
          <w:szCs w:val="16"/>
          <w:color w:val="auto"/>
        </w:rPr>
      </w:pPr>
    </w:p>
    <w:p>
      <w:pPr>
        <w:ind w:left="340" w:hanging="335"/>
        <w:spacing w:after="0"/>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16510</wp:posOffset>
            </wp:positionV>
            <wp:extent cx="46551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4655185" cy="6985"/>
                    </a:xfrm>
                    <a:prstGeom prst="rect">
                      <a:avLst/>
                    </a:prstGeom>
                    <a:noFill/>
                  </pic:spPr>
                </pic:pic>
              </a:graphicData>
            </a:graphic>
          </wp:anchor>
        </w:drawing>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Grant A. Brown</w:t>
      </w:r>
    </w:p>
    <w:p>
      <w:pPr>
        <w:spacing w:after="0" w:line="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p>
      <w:pPr>
        <w:spacing w:after="0" w:line="1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May 19, 2025</w:t>
      </w:r>
    </w:p>
    <w:sectPr>
      <w:pgSz w:w="11900" w:h="16838" w:orient="portrait"/>
      <w:cols w:equalWidth="0" w:num="1">
        <w:col w:w="11280"/>
      </w:cols>
      <w:pgMar w:left="300" w:top="7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lowerRoman"/>
      <w:start w:val="3"/>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decimal"/>
      <w:start w:val="2"/>
    </w:lvl>
  </w:abstractNum>
  <w:abstractNum w:abstractNumId="37">
    <w:nsid w:val="1D4ED43B"/>
    <w:multiLevelType w:val="hybridMultilevel"/>
    <w:lvl w:ilvl="0">
      <w:lvlJc w:val="left"/>
      <w:lvlText w:val="(%1)"/>
      <w:numFmt w:val="lowerLetter"/>
      <w:start w:val="3"/>
    </w:lvl>
  </w:abstractNum>
  <w:abstractNum w:abstractNumId="38">
    <w:nsid w:val="725A06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1)"/>
      <w:numFmt w:val="lowerLetter"/>
      <w:start w:val="3"/>
    </w:lvl>
  </w:abstractNum>
  <w:abstractNum w:abstractNumId="41">
    <w:nsid w:val="7A6D8D3C"/>
    <w:multiLevelType w:val="hybridMultilevel"/>
    <w:lvl w:ilvl="0">
      <w:lvlJc w:val="left"/>
      <w:lvlText w:val="%1"/>
      <w:numFmt w:val="decimal"/>
      <w:start w:val="19"/>
    </w:lvl>
  </w:abstractNum>
  <w:abstractNum w:abstractNumId="42">
    <w:nsid w:val="4B588F54"/>
    <w:multiLevelType w:val="hybridMultilevel"/>
    <w:lvl w:ilvl="0">
      <w:lvlJc w:val="left"/>
      <w:lvlText w:val="%1"/>
      <w:numFmt w:val="decimal"/>
      <w:start w:val="21"/>
    </w:lvl>
  </w:abstractNum>
  <w:abstractNum w:abstractNumId="43">
    <w:nsid w:val="542289EC"/>
    <w:multiLevelType w:val="hybridMultilevel"/>
    <w:lvl w:ilvl="0">
      <w:lvlJc w:val="left"/>
      <w:lvlText w:val="%1"/>
      <w:numFmt w:val="decimal"/>
      <w:start w:val="10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106" Type="http://schemas.openxmlformats.org/officeDocument/2006/relationships/hyperlink" Target="https://www.sec.gov/Archives/edgar/data/1604778/000160477815000011/exhibit3120141227.htm" TargetMode="External"/><Relationship Id="rId107" Type="http://schemas.openxmlformats.org/officeDocument/2006/relationships/hyperlink" Target="https://www.sec.gov/Archives/edgar/data/1604778/000160477815000051/exhibit4120150328.htm" TargetMode="External"/><Relationship Id="rId108" Type="http://schemas.openxmlformats.org/officeDocument/2006/relationships/hyperlink" Target="https://www.sec.gov/Archives/edgar/data/0001604778/000160477819000072/qorvo-indenturefall201.htm" TargetMode="External"/><Relationship Id="rId109" Type="http://schemas.openxmlformats.org/officeDocument/2006/relationships/hyperlink" Target="https://www.sec.gov/Archives/edgar/data/1604778/000160477819000099/qorvo-supplementalinde.htm" TargetMode="External"/><Relationship Id="rId110" Type="http://schemas.openxmlformats.org/officeDocument/2006/relationships/hyperlink" Target="https://www.sec.gov/Archives/edgar/data/0001604778/000119312520166705/d941453dex41.htm" TargetMode="External"/><Relationship Id="rId111" Type="http://schemas.openxmlformats.org/officeDocument/2006/relationships/hyperlink" Target="https://www.sec.gov/Archives/edgar/data/0001604778/000119312520257877/d51558dex41.htm" TargetMode="External"/><Relationship Id="rId112" Type="http://schemas.openxmlformats.org/officeDocument/2006/relationships/hyperlink" Target="https://www.sec.gov/Archives/edgar/data/1604778/000160477823000055/exhibit48descriptionofsecu.htm" TargetMode="External"/><Relationship Id="rId113" Type="http://schemas.openxmlformats.org/officeDocument/2006/relationships/hyperlink" Target="https://www.sec.gov/Archives/edgar/data/1604778/000160477817000031/exhibit10120170401.htm" TargetMode="External"/><Relationship Id="rId114" Type="http://schemas.openxmlformats.org/officeDocument/2006/relationships/hyperlink" Target="https://www.sec.gov/Archives/edgar/data/1604778/000119312515000770/d840258dex992.htm" TargetMode="External"/><Relationship Id="rId115" Type="http://schemas.openxmlformats.org/officeDocument/2006/relationships/hyperlink" Target="https://www.sec.gov/Archives/edgar/data/1604778/000119312515000770/d840258dex993.htm" TargetMode="External"/><Relationship Id="rId116" Type="http://schemas.openxmlformats.org/officeDocument/2006/relationships/hyperlink" Target="https://www.sec.gov/Archives/edgar/data/1604778/000119312515000771/d840388dex991.htm" TargetMode="External"/><Relationship Id="rId117" Type="http://schemas.openxmlformats.org/officeDocument/2006/relationships/hyperlink" Target="https://www.sec.gov/Archives/edgar/data/1604778/000119312515000771/d840388dex993.htm" TargetMode="External"/><Relationship Id="rId118" Type="http://schemas.openxmlformats.org/officeDocument/2006/relationships/hyperlink" Target="https://www.sec.gov/Archives/edgar/data/1604778/000119312515000771/d840388dex994.htm" TargetMode="External"/><Relationship Id="rId119" Type="http://schemas.openxmlformats.org/officeDocument/2006/relationships/hyperlink" Target="https://www.sec.gov/Archives/edgar/data/1604778/000119312515001853/d841781dex101.htm" TargetMode="External"/><Relationship Id="rId120" Type="http://schemas.openxmlformats.org/officeDocument/2006/relationships/hyperlink" Target="https://www.sec.gov/Archives/edgar/data/1604778/000160477815000018/qorvocicagreement2015final1.htm" TargetMode="External"/><Relationship Id="rId121" Type="http://schemas.openxmlformats.org/officeDocument/2006/relationships/hyperlink" Target="https://www.sec.gov/Archives/edgar/data/1604778/000160477815000051/exhibit101520150328.htm" TargetMode="External"/><Relationship Id="rId122" Type="http://schemas.openxmlformats.org/officeDocument/2006/relationships/hyperlink" Target="https://www.sec.gov/Archives/edgar/data/1604778/000160477815000051/exhibit101620150328.htm" TargetMode="External"/><Relationship Id="rId123" Type="http://schemas.openxmlformats.org/officeDocument/2006/relationships/hyperlink" Target="https://www.sec.gov/Archives/edgar/data/911160/000091116008000034/employmentagreement.htm" TargetMode="External"/><Relationship Id="rId124" Type="http://schemas.openxmlformats.org/officeDocument/2006/relationships/hyperlink" Target="https://www.sec.gov/Archives/edgar/data/1604778/000160477815000075/ex103-qorvo2012sipoptionag.htm" TargetMode="External"/><Relationship Id="rId127" Type="http://schemas.openxmlformats.org/officeDocument/2006/relationships/hyperlink" Target="https://www.sec.gov/Archives/edgar/data/1604778/000160477815000075/ex104-qorvo2012siprsuagree.htm" TargetMode="External"/><Relationship Id="rId128" Type="http://schemas.openxmlformats.org/officeDocument/2006/relationships/hyperlink" Target="https://www.sec.gov/Archives/edgar/data/1604778/000160477815000075/ex105-qorvo2012siprsuagree.htm" TargetMode="External"/><Relationship Id="rId129" Type="http://schemas.openxmlformats.org/officeDocument/2006/relationships/hyperlink" Target="https://www.sec.gov/Archives/edgar/data/1604778/000160477815000075/ex106-qorvo2012siprsuagree.htm" TargetMode="External"/><Relationship Id="rId130" Type="http://schemas.openxmlformats.org/officeDocument/2006/relationships/hyperlink" Target="https://www.sec.gov/Archives/edgar/data/0001604778/000160477825000017/qorvoincamendedandrestated.htm" TargetMode="External"/><Relationship Id="rId131" Type="http://schemas.openxmlformats.org/officeDocument/2006/relationships/hyperlink" Target="https://www.sec.gov/Archives/edgar/data/1604778/000160477816000175/exhibit103020160402.htm" TargetMode="External"/><Relationship Id="rId132" Type="http://schemas.openxmlformats.org/officeDocument/2006/relationships/hyperlink" Target="https://www.sec.gov/Archives/edgar/data/1604778/000160477816000175/exhibit103120160402.htm" TargetMode="External"/><Relationship Id="rId133" Type="http://schemas.openxmlformats.org/officeDocument/2006/relationships/hyperlink" Target="https://www.sec.gov/Archives/edgar/data/1604778/000160477816000175/exhibit103220160402.htm" TargetMode="External"/><Relationship Id="rId134" Type="http://schemas.openxmlformats.org/officeDocument/2006/relationships/hyperlink" Target="https://www.sec.gov/Archives/edgar/data/1604778/000160477816000175/exhibit103320160402.htm" TargetMode="External"/><Relationship Id="rId135" Type="http://schemas.openxmlformats.org/officeDocument/2006/relationships/hyperlink" Target="https://www.sec.gov/Archives/edgar/data/1604778/000160477816000175/exhibit103420160402.htm" TargetMode="External"/><Relationship Id="rId136" Type="http://schemas.openxmlformats.org/officeDocument/2006/relationships/hyperlink" Target="https://www.sec.gov/Archives/edgar/data/1604778/000160477816000193/exhibit10120160702.htm" TargetMode="External"/><Relationship Id="rId137" Type="http://schemas.openxmlformats.org/officeDocument/2006/relationships/hyperlink" Target="https://www.sec.gov/Archives/edgar/data/1604778/000160477816000211/exhibit10120161001.htm" TargetMode="External"/><Relationship Id="rId138" Type="http://schemas.openxmlformats.org/officeDocument/2006/relationships/hyperlink" Target="https://www.sec.gov/Archives/edgar/data/0001604778/000160477824000036/revisedshort-termincentive.htm" TargetMode="External"/><Relationship Id="rId139" Type="http://schemas.openxmlformats.org/officeDocument/2006/relationships/hyperlink" Target="https://www.sec.gov/Archives/edgar/data/1604778/000160477818000023/exhibit1037qorvo_2018amend.htm" TargetMode="External"/><Relationship Id="rId140" Type="http://schemas.openxmlformats.org/officeDocument/2006/relationships/hyperlink" Target="https://www.sec.gov/Archives/edgar/data/1604778/000160477819000008/exhibit101-second2018decla.htm" TargetMode="External"/><Relationship Id="rId141" Type="http://schemas.openxmlformats.org/officeDocument/2006/relationships/hyperlink" Target="https://www.sec.gov/Archives/edgar/data/1604778/000160477820000008/exhibit10120191228.htm" TargetMode="External"/><Relationship Id="rId142" Type="http://schemas.openxmlformats.org/officeDocument/2006/relationships/hyperlink" Target="https://www.sec.gov/Archives/edgar/data/1604778/000160477820000008/exhibit10220191228.htm" TargetMode="External"/><Relationship Id="rId143" Type="http://schemas.openxmlformats.org/officeDocument/2006/relationships/hyperlink" Target="https://www.sec.gov/Archives/edgar/data/1604778/000160477821000010/exhibit10120210102.htm" TargetMode="External"/><Relationship Id="rId144" Type="http://schemas.openxmlformats.org/officeDocument/2006/relationships/hyperlink" Target="https://www.sec.gov/Archives/edgar/data/1604778/000160477821000032/exhibit103820210403.htm" TargetMode="External"/><Relationship Id="rId145" Type="http://schemas.openxmlformats.org/officeDocument/2006/relationships/hyperlink" Target="https://www.sec.gov/Archives/edgar/data/1604778/000119312522217402/d371050dex101.htm" TargetMode="External"/><Relationship Id="rId146" Type="http://schemas.openxmlformats.org/officeDocument/2006/relationships/hyperlink" Target="https://www.sec.gov/Archives/edgar/data/1604778/000160477822000064/seniorofficerservice-based.htm" TargetMode="External"/><Relationship Id="rId149" Type="http://schemas.openxmlformats.org/officeDocument/2006/relationships/hyperlink" Target="https://www.sec.gov/Archives/edgar/data/1604778/000160477822000064/directorrsuawardagreementv2.htm" TargetMode="External"/><Relationship Id="rId150" Type="http://schemas.openxmlformats.org/officeDocument/2006/relationships/hyperlink" Target="https://www.sec.gov/Archives/edgar/data/1604778/000160477822000064/seniorofficerperformancean.htm" TargetMode="External"/><Relationship Id="rId151" Type="http://schemas.openxmlformats.org/officeDocument/2006/relationships/hyperlink" Target="https://www.sec.gov/Archives/edgar/data/0001604778/000160477824000063/exhibit10220240629qorvores.htm" TargetMode="External"/><Relationship Id="rId152" Type="http://schemas.openxmlformats.org/officeDocument/2006/relationships/hyperlink" Target="https://www.sec.gov/Archives/edgar/data/1604778/000119312524118050/d813150dex101.htm" TargetMode="External"/><Relationship Id="rId153" Type="http://schemas.openxmlformats.org/officeDocument/2006/relationships/hyperlink" Target="https://www.sec.gov/Archives/edgar/data/0001604778/000160477824000036/qorvosecuritiestradingpoli.htm" TargetMode="External"/><Relationship Id="rId154" Type="http://schemas.openxmlformats.org/officeDocument/2006/relationships/hyperlink" Target="https://www.sec.gov/Archives/edgar/data/0001604778/000160477824000036/qorvocompensationrecoup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2025-05-19T15:18:42Z</dcterms:created>
  <dcterms:modified xsi:type="dcterms:W3CDTF">2025-05-19T15:18:42Z</dcterms:modified>
</cp:coreProperties>
</file>