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Qorvo,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JEFFREY C. SMITH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STARBOARD VALUE LP, 777 Third Avenue,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212-845-7977</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MEAGAN REDA,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5,611,526.00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5,611,526.00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5,611,526.00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19"/>
        <w:spacing w:after="0" w:line="312" w:lineRule="auto"/>
        <w:rPr>
          <w:sz w:val="20"/>
          <w:szCs w:val="20"/>
          <w:color w:val="auto"/>
        </w:rPr>
      </w:pPr>
      <w:r>
        <w:rPr>
          <w:rFonts w:ascii="Times New Roman" w:cs="Times New Roman" w:eastAsia="Times New Roman" w:hAnsi="Times New Roman"/>
          <w:sz w:val="21"/>
          <w:szCs w:val="21"/>
          <w:color w:val="auto"/>
        </w:rPr>
        <w:t>STARBOARD VALUE &amp; OPPORTUNITY MASTER FUND LTD Check the appropriate box if a member of a Group (See Instructions)</w:t>
      </w:r>
    </w:p>
    <w:p>
      <w:pPr>
        <w:ind w:left="1120" w:hanging="1112"/>
        <w:spacing w:after="0" w:line="206" w:lineRule="auto"/>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2,424,637.00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2,424,637.00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2,424,637.00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&amp; OPPORTUNITY 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388,431.00</w:t>
            </w: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388,431.00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388,431.00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0.4 %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&amp; Opportunity Master Fund 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187,790.00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187,790.00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187,790.00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187,790.00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187,790.00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187,790.00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R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187,790.00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187,790.00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187,790.00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X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6" w:name="page7"/>
    <w:bookmarkEnd w:id="6"/>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601,136.00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601,136.00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601,136.00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G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1,191,067.00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1,191,067.00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1,191,067.00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G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1,191,067.00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1,191,067.00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1,191,067.00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02"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02" w:right="1440" w:bottom="0" w:gutter="0" w:footer="0" w:header="0"/>
          <w:type w:val="continuous"/>
        </w:sectPr>
      </w:pPr>
    </w:p>
    <w:bookmarkStart w:id="8" w:name="page9"/>
    <w:bookmarkEnd w:id="8"/>
    <w:p>
      <w:pPr>
        <w:ind w:left="1120" w:right="4499" w:hanging="1112"/>
        <w:spacing w:after="0" w:line="371" w:lineRule="auto"/>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1,191,067.00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1,191,067.00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1,191,067.00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1" w:right="1440" w:bottom="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111" w:right="1440" w:bottom="0" w:gutter="0" w:footer="0" w:header="0"/>
          <w:type w:val="continuous"/>
        </w:sectPr>
      </w:pPr>
    </w:p>
    <w:bookmarkStart w:id="9" w:name="page10"/>
    <w:bookmarkEnd w:id="9"/>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A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1,191,067.00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1,191,067.00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1,191,067.00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10" w:name="page11"/>
    <w:bookmarkEnd w:id="10"/>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5,611,526.00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5,611,526.00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5,611,526.00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Principal Co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5,611,526.00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2" w:right="144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5,611,526.00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5,611,526.00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Principal Co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5,611,526.00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5,611,526.00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5,611,526.00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12" w:name="page13"/>
    <w:bookmarkEnd w:id="12"/>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Smith Jeffrey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15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5,611,526.00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5,611,526.00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5,611,526.00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15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2" w:right="1440" w:bottom="156"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112" w:right="1440" w:bottom="156" w:gutter="0" w:footer="0" w:header="0"/>
          <w:type w:val="continuous"/>
        </w:sectPr>
      </w:pPr>
    </w:p>
    <w:bookmarkStart w:id="13" w:name="page14"/>
    <w:bookmarkEnd w:id="13"/>
    <w:p>
      <w:pPr>
        <w:spacing w:after="0" w:line="107"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Feld Peter A</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45" w:orient="portrait"/>
          <w:cols w:equalWidth="0" w:num="1">
            <w:col w:w="11160"/>
          </w:cols>
          <w:pgMar w:left="360" w:top="112"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2,496.00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5,611,526.00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2,496.00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5,611,526.00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5,614,022.00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45" w:orient="portrait"/>
          <w:cols w:equalWidth="0" w:num="2">
            <w:col w:w="1060" w:space="60"/>
            <w:col w:w="10040"/>
          </w:cols>
          <w:pgMar w:left="360" w:top="112"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Qorvo,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7628 THORNDIKE ROAD, GREENSBORO, NORTH CAROLINA , 27409.</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5 to the Schedule 13D filed by the undersigned ("Amendment No. 5").</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This Amendment No. 5 amends the Schedule 13D as specifically set forth herein. Unless otherwise defined herein, all</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capitalized terms used herein shall have the meanings given to them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200" w:hanging="912"/>
        <w:spacing w:after="0" w:line="282" w:lineRule="auto"/>
        <w:tabs>
          <w:tab w:leader="none" w:pos="9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2(b) is hereby amended to add the following: The officers and directors of Starboard V&amp;O Master Fund and Starboard X Master and their principal occupations and business addresses are set forth on Exhibit 1 attached hereto</w:t>
      </w:r>
    </w:p>
    <w:p>
      <w:pPr>
        <w:sectPr>
          <w:pgSz w:w="11900" w:h="16945" w:orient="portrait"/>
          <w:cols w:equalWidth="0" w:num="1">
            <w:col w:w="11160"/>
          </w:cols>
          <w:pgMar w:left="360" w:top="112" w:right="379" w:bottom="0" w:gutter="0" w:footer="0" w:header="0"/>
          <w:type w:val="continuous"/>
        </w:sectPr>
      </w:pPr>
    </w:p>
    <w:bookmarkStart w:id="14" w:name="page15"/>
    <w:bookmarkEnd w:id="1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and are incorporated by reference in this Item 2.</w:t>
      </w:r>
    </w:p>
    <w:p>
      <w:pPr>
        <w:spacing w:after="0" w:line="4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Item 2(f) is hereby amended to add the following: The citizenship of the persons listed on Exhibit 1, attached hereto, is set forth therein and is incorporated by reference in this Item 2.</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ind w:left="920"/>
        <w:spacing w:after="0"/>
        <w:rPr>
          <w:sz w:val="20"/>
          <w:szCs w:val="20"/>
          <w:color w:val="auto"/>
        </w:rPr>
      </w:pPr>
      <w:r>
        <w:rPr>
          <w:rFonts w:ascii="Times New Roman" w:cs="Times New Roman" w:eastAsia="Times New Roman" w:hAnsi="Times New Roman"/>
          <w:sz w:val="21"/>
          <w:szCs w:val="21"/>
          <w:color w:val="auto"/>
        </w:rPr>
        <w:t>Item 3 is hereby amended and restated to read as follows: The securities of the Issuer purchased by each of Starboard</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V&amp;O Fund, Starboard S LLC, Starboard L Master, Starboard X Master and held in the Starboard Value LP Account</w:t>
      </w:r>
    </w:p>
    <w:p>
      <w:pPr>
        <w:ind w:left="920"/>
        <w:spacing w:after="0" w:line="231" w:lineRule="auto"/>
        <w:rPr>
          <w:sz w:val="20"/>
          <w:szCs w:val="20"/>
          <w:color w:val="auto"/>
        </w:rPr>
      </w:pPr>
      <w:r>
        <w:rPr>
          <w:rFonts w:ascii="Times New Roman" w:cs="Times New Roman" w:eastAsia="Times New Roman" w:hAnsi="Times New Roman"/>
          <w:sz w:val="22"/>
          <w:szCs w:val="22"/>
          <w:color w:val="auto"/>
        </w:rPr>
        <w:t>were purchased with working capital (which may, at any given time, include margin loans made by brokerage firms</w:t>
      </w:r>
    </w:p>
    <w:p>
      <w:pPr>
        <w:ind w:left="920"/>
        <w:spacing w:after="0" w:line="231" w:lineRule="auto"/>
        <w:rPr>
          <w:sz w:val="20"/>
          <w:szCs w:val="20"/>
          <w:color w:val="auto"/>
        </w:rPr>
      </w:pPr>
      <w:r>
        <w:rPr>
          <w:rFonts w:ascii="Times New Roman" w:cs="Times New Roman" w:eastAsia="Times New Roman" w:hAnsi="Times New Roman"/>
          <w:sz w:val="22"/>
          <w:szCs w:val="22"/>
          <w:color w:val="auto"/>
        </w:rPr>
        <w:t>in the ordinary course of business) in open market purchases, except as otherwise noted. The aggregate purchase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price of the 2,424,637 Shares beneficially owned by Starboard V&amp;O Fund is approximately $170,183,649, excluding</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brokerage commissions. The aggregate purchase price of the 388,431 Shares beneficially owned by Starboard S LLC</w:t>
      </w:r>
    </w:p>
    <w:p>
      <w:pPr>
        <w:ind w:left="920"/>
        <w:spacing w:after="0" w:line="231" w:lineRule="auto"/>
        <w:rPr>
          <w:sz w:val="20"/>
          <w:szCs w:val="20"/>
          <w:color w:val="auto"/>
        </w:rPr>
      </w:pPr>
      <w:r>
        <w:rPr>
          <w:rFonts w:ascii="Times New Roman" w:cs="Times New Roman" w:eastAsia="Times New Roman" w:hAnsi="Times New Roman"/>
          <w:sz w:val="22"/>
          <w:szCs w:val="22"/>
          <w:color w:val="auto"/>
        </w:rPr>
        <w:t>is approximately $27,181,074, excluding brokerage commissions. The aggregate purchase price of the 187,790</w:t>
      </w:r>
    </w:p>
    <w:p>
      <w:pPr>
        <w:ind w:left="920"/>
        <w:spacing w:after="0" w:line="231" w:lineRule="auto"/>
        <w:rPr>
          <w:sz w:val="20"/>
          <w:szCs w:val="20"/>
          <w:color w:val="auto"/>
        </w:rPr>
      </w:pPr>
      <w:r>
        <w:rPr>
          <w:rFonts w:ascii="Times New Roman" w:cs="Times New Roman" w:eastAsia="Times New Roman" w:hAnsi="Times New Roman"/>
          <w:sz w:val="22"/>
          <w:szCs w:val="22"/>
          <w:color w:val="auto"/>
        </w:rPr>
        <w:t>Shares beneficially owned by Starboard L Master is approximately $13,219,738, excluding brokerage commissions.</w:t>
      </w:r>
    </w:p>
    <w:p>
      <w:pPr>
        <w:ind w:left="920"/>
        <w:spacing w:after="0" w:line="231" w:lineRule="auto"/>
        <w:rPr>
          <w:sz w:val="20"/>
          <w:szCs w:val="20"/>
          <w:color w:val="auto"/>
        </w:rPr>
      </w:pPr>
      <w:r>
        <w:rPr>
          <w:rFonts w:ascii="Times New Roman" w:cs="Times New Roman" w:eastAsia="Times New Roman" w:hAnsi="Times New Roman"/>
          <w:sz w:val="22"/>
          <w:szCs w:val="22"/>
          <w:color w:val="auto"/>
        </w:rPr>
        <w:t>The aggregate purchase price of the 601,136 Shares beneficially owned by Starboard X Master is approximately</w:t>
      </w:r>
    </w:p>
    <w:p>
      <w:pPr>
        <w:ind w:left="920"/>
        <w:spacing w:after="0" w:line="230" w:lineRule="auto"/>
        <w:rPr>
          <w:sz w:val="20"/>
          <w:szCs w:val="20"/>
          <w:color w:val="auto"/>
        </w:rPr>
      </w:pPr>
      <w:r>
        <w:rPr>
          <w:rFonts w:ascii="Times New Roman" w:cs="Times New Roman" w:eastAsia="Times New Roman" w:hAnsi="Times New Roman"/>
          <w:sz w:val="22"/>
          <w:szCs w:val="22"/>
          <w:color w:val="auto"/>
        </w:rPr>
        <w:t>$41,689,621, excluding brokerage commissions. The aggregate purchase price of the 1,191,067 Shares beneficially</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owned by Starboard G LP is approximately $86,057,316, excluding brokerage commissions. The aggregate purchase</w:t>
      </w:r>
    </w:p>
    <w:p>
      <w:pPr>
        <w:ind w:left="920"/>
        <w:spacing w:after="0" w:line="231" w:lineRule="auto"/>
        <w:rPr>
          <w:sz w:val="20"/>
          <w:szCs w:val="20"/>
          <w:color w:val="auto"/>
        </w:rPr>
      </w:pPr>
      <w:r>
        <w:rPr>
          <w:rFonts w:ascii="Times New Roman" w:cs="Times New Roman" w:eastAsia="Times New Roman" w:hAnsi="Times New Roman"/>
          <w:sz w:val="22"/>
          <w:szCs w:val="22"/>
          <w:color w:val="auto"/>
        </w:rPr>
        <w:t>price of the 818,465 Shares held in the Starboard Value LP Account is approximately $58,068,064, excluding</w:t>
      </w:r>
    </w:p>
    <w:p>
      <w:pPr>
        <w:ind w:left="920"/>
        <w:spacing w:after="0" w:line="231" w:lineRule="auto"/>
        <w:rPr>
          <w:sz w:val="20"/>
          <w:szCs w:val="20"/>
          <w:color w:val="auto"/>
        </w:rPr>
      </w:pPr>
      <w:r>
        <w:rPr>
          <w:rFonts w:ascii="Times New Roman" w:cs="Times New Roman" w:eastAsia="Times New Roman" w:hAnsi="Times New Roman"/>
          <w:sz w:val="22"/>
          <w:szCs w:val="22"/>
          <w:color w:val="auto"/>
        </w:rPr>
        <w:t>brokerage commissions. The 2,496 Shares beneficially owned directly by Mr. Feld were granted to him in his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capacity as a director of the Issuer.</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Item 5(a) is hereby amended and restated to read as follows: The percentages used in this Schedule 13D are based upon 88,013,673 Shares outstanding, as of May 1, 2026, as reported in the Issuer's Annual Report on Form 10-K filed with the Securities and Exchange Commission on May 8, 2026. See rows (11) and (13) of the cover pages to this Amendment No. 5 to the Schedule 13D for the aggregate number of Shares and percentage of the Shares beneficially</w:t>
      </w:r>
    </w:p>
    <w:p>
      <w:pPr>
        <w:spacing w:after="0" w:line="2" w:lineRule="exact"/>
        <w:rPr>
          <w:sz w:val="20"/>
          <w:szCs w:val="20"/>
          <w:color w:val="auto"/>
        </w:rPr>
      </w:pPr>
    </w:p>
    <w:p>
      <w:pPr>
        <w:ind w:left="920" w:right="60" w:hanging="912"/>
        <w:spacing w:after="0" w:line="233"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owned by each of the Reporting Persons. The filing of this Amendment No. 5 to the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5(b) is hereby amended and restated to read as follows: See rows (7) through (10) of the cover pages to this</w:t>
      </w:r>
    </w:p>
    <w:p>
      <w:pPr>
        <w:spacing w:after="0" w:line="14" w:lineRule="exact"/>
        <w:rPr>
          <w:rFonts w:ascii="Times New Roman" w:cs="Times New Roman" w:eastAsia="Times New Roman" w:hAnsi="Times New Roman"/>
          <w:sz w:val="22"/>
          <w:szCs w:val="22"/>
          <w:color w:val="auto"/>
        </w:rPr>
      </w:pPr>
    </w:p>
    <w:p>
      <w:pPr>
        <w:ind w:left="920" w:right="260" w:hanging="912"/>
        <w:spacing w:after="0" w:line="237"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No. 5 to the Schedule 13D for the number of Shares as to which each Reporting Person has the sole or shared power to vote or direct the vote and the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5(c) is hereby amended and restated to read as follows: Information concerning transactions in the securities of</w:t>
      </w:r>
    </w:p>
    <w:p>
      <w:pPr>
        <w:spacing w:after="0" w:line="25" w:lineRule="exact"/>
        <w:rPr>
          <w:rFonts w:ascii="Times New Roman" w:cs="Times New Roman" w:eastAsia="Times New Roman" w:hAnsi="Times New Roman"/>
          <w:sz w:val="22"/>
          <w:szCs w:val="22"/>
          <w:color w:val="auto"/>
        </w:rPr>
      </w:pPr>
    </w:p>
    <w:p>
      <w:pPr>
        <w:ind w:left="920" w:right="20" w:hanging="912"/>
        <w:spacing w:after="0" w:line="184" w:lineRule="auto"/>
        <w:tabs>
          <w:tab w:leader="none" w:pos="920" w:val="left"/>
        </w:tabs>
        <w:numPr>
          <w:ilvl w:val="0"/>
          <w:numId w:val="1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Issuer effected by the Reporting Persons during the past sixty days is set forth in Exhibit 2 attached hereto and is incorporated herein by reference. Except as otherwise noted, all of the transactions in the securities of the Issuer listed therein were effected in the open market through various brokerage entities.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Item 7 is hereby amended to add the following exhibits: 1 - Directors and Officers. 2 - Transactions in the Securities.</w:t>
      </w:r>
    </w:p>
    <w:p>
      <w:pPr>
        <w:spacing w:after="0" w:line="3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Starboard Value LP</w:t>
      </w:r>
    </w:p>
    <w:p>
      <w:pPr>
        <w:sectPr>
          <w:pgSz w:w="11900" w:h="16838" w:orient="portrait"/>
          <w:cols w:equalWidth="0" w:num="1">
            <w:col w:w="11140"/>
          </w:cols>
          <w:pgMar w:left="360" w:top="112" w:right="399" w:bottom="0" w:gutter="0" w:footer="0" w:header="0"/>
          <w:type w:val="continuous"/>
        </w:sectPr>
      </w:pP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Lindsey Cara</w:t>
      </w:r>
    </w:p>
    <w:p>
      <w:pPr>
        <w:spacing w:after="0" w:line="4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Lindsey Cara, Authorized Signatory of Starboard Value GP LLC, its general partner</w:t>
      </w:r>
    </w:p>
    <w:p>
      <w:pPr>
        <w:spacing w:after="0"/>
        <w:rPr>
          <w:sz w:val="20"/>
          <w:szCs w:val="20"/>
          <w:color w:val="auto"/>
        </w:rPr>
      </w:pP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sectPr>
          <w:pgSz w:w="11900" w:h="16838" w:orient="portrait"/>
          <w:cols w:equalWidth="0" w:num="2">
            <w:col w:w="6680" w:space="60"/>
            <w:col w:w="4400"/>
          </w:cols>
          <w:pgMar w:left="360" w:top="112" w:right="399" w:bottom="0" w:gutter="0" w:footer="0" w:header="0"/>
          <w:type w:val="continuous"/>
        </w:sectPr>
      </w:pPr>
    </w:p>
    <w:p>
      <w:pPr>
        <w:ind w:left="5660"/>
        <w:spacing w:after="0"/>
        <w:rPr>
          <w:sz w:val="20"/>
          <w:szCs w:val="20"/>
          <w:color w:val="auto"/>
        </w:rPr>
      </w:pPr>
      <w:r>
        <w:rPr>
          <w:rFonts w:ascii="Times New Roman" w:cs="Times New Roman" w:eastAsia="Times New Roman" w:hAnsi="Times New Roman"/>
          <w:sz w:val="21"/>
          <w:szCs w:val="21"/>
          <w:color w:val="auto"/>
        </w:rPr>
        <w:t>STARBOARD VALUE &amp; OPPORTUNITY MASTER FUND</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LTD</w:t>
      </w:r>
    </w:p>
    <w:p>
      <w:pPr>
        <w:sectPr>
          <w:pgSz w:w="11900" w:h="16838" w:orient="portrait"/>
          <w:cols w:equalWidth="0" w:num="1">
            <w:col w:w="11140"/>
          </w:cols>
          <w:pgMar w:left="360" w:top="112" w:right="399" w:bottom="0" w:gutter="0" w:footer="0" w:header="0"/>
          <w:type w:val="continuous"/>
        </w:sectPr>
      </w:pPr>
    </w:p>
    <w:p>
      <w:pPr>
        <w:spacing w:after="0" w:line="12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Lindsey Cara</w:t>
      </w:r>
    </w:p>
    <w:p>
      <w:pPr>
        <w:spacing w:after="0" w:line="4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Lindsey Cara, Authorized Signatory of Starboard Value LP, its investment manager</w:t>
      </w:r>
    </w:p>
    <w:p>
      <w:pPr>
        <w:spacing w:after="0"/>
        <w:rPr>
          <w:sz w:val="20"/>
          <w:szCs w:val="20"/>
          <w:color w:val="auto"/>
        </w:rPr>
      </w:pP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sectPr>
          <w:pgSz w:w="11900" w:h="16838" w:orient="portrait"/>
          <w:cols w:equalWidth="0" w:num="2">
            <w:col w:w="6680" w:space="60"/>
            <w:col w:w="4400"/>
          </w:cols>
          <w:pgMar w:left="360" w:top="112" w:right="399" w:bottom="0" w:gutter="0" w:footer="0" w:header="0"/>
          <w:type w:val="continuous"/>
        </w:sectPr>
      </w:pPr>
    </w:p>
    <w:p>
      <w:pPr>
        <w:ind w:left="4640"/>
        <w:spacing w:after="0"/>
        <w:rPr>
          <w:sz w:val="20"/>
          <w:szCs w:val="20"/>
          <w:color w:val="auto"/>
        </w:rPr>
      </w:pPr>
      <w:r>
        <w:rPr>
          <w:rFonts w:ascii="Times New Roman" w:cs="Times New Roman" w:eastAsia="Times New Roman" w:hAnsi="Times New Roman"/>
          <w:sz w:val="21"/>
          <w:szCs w:val="21"/>
          <w:color w:val="auto"/>
        </w:rPr>
        <w:t>STARBOARD VALUE &amp; OPPORTUNITY S LLC</w:t>
      </w:r>
    </w:p>
    <w:p>
      <w:pPr>
        <w:sectPr>
          <w:pgSz w:w="11900" w:h="16838" w:orient="portrait"/>
          <w:cols w:equalWidth="0" w:num="1">
            <w:col w:w="11140"/>
          </w:cols>
          <w:pgMar w:left="360" w:top="112" w:right="399" w:bottom="0" w:gutter="0" w:footer="0" w:header="0"/>
          <w:type w:val="continuous"/>
        </w:sectPr>
      </w:pPr>
    </w:p>
    <w:p>
      <w:pPr>
        <w:spacing w:after="0" w:line="16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Lindsey Cara</w:t>
      </w:r>
    </w:p>
    <w:p>
      <w:pPr>
        <w:spacing w:after="0" w:line="4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Lindsey Cara, Authorized Signatory of Starboard Value LP, its manager</w:t>
      </w:r>
    </w:p>
    <w:p>
      <w:pPr>
        <w:spacing w:after="0"/>
        <w:rPr>
          <w:sz w:val="20"/>
          <w:szCs w:val="20"/>
          <w:color w:val="auto"/>
        </w:rPr>
      </w:pP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sectPr>
          <w:pgSz w:w="11900" w:h="16838" w:orient="portrait"/>
          <w:cols w:equalWidth="0" w:num="2">
            <w:col w:w="6680" w:space="60"/>
            <w:col w:w="4400"/>
          </w:cols>
          <w:pgMar w:left="360" w:top="112" w:right="399" w:bottom="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color w:val="auto"/>
        </w:rPr>
        <w:t>Starboard Value &amp; Opportunity Master Fund L LP</w:t>
      </w:r>
    </w:p>
    <w:p>
      <w:pPr>
        <w:sectPr>
          <w:pgSz w:w="11900" w:h="16838" w:orient="portrait"/>
          <w:cols w:equalWidth="0" w:num="1">
            <w:col w:w="11140"/>
          </w:cols>
          <w:pgMar w:left="360" w:top="112" w:right="399" w:bottom="0" w:gutter="0" w:footer="0" w:header="0"/>
          <w:type w:val="continuous"/>
        </w:sectPr>
      </w:pPr>
    </w:p>
    <w:bookmarkStart w:id="15" w:name="page16"/>
    <w:bookmarkEnd w:id="15"/>
    <w:p>
      <w:pPr>
        <w:spacing w:after="0" w:line="8"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Value L LP,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Starboard Value L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Value R GP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Starboard Value R GP LLC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Lindsey Cara, Authorized Signatory</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Starboard X Master Fund Ltd</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Value LP, its investment manager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Starboard G Fund,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for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Value G GP,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Starboard Value G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for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Value A LP,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Starboard Value A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for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Value A GP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Starboard Value A GP LLC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Lindsey Cara, Authorized Signatory</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Starboard Value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Principal Co LP, its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Starboard Principal Co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Principal Co GP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Starboard Principal Co GP LLC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Lindsey Cara, Authorized Signatory</w:t>
      </w:r>
    </w:p>
    <w:p>
      <w:pPr>
        <w:sectPr>
          <w:pgSz w:w="11900" w:h="16847" w:orient="portrait"/>
          <w:cols w:equalWidth="0" w:num="1">
            <w:col w:w="10000"/>
          </w:cols>
          <w:pgMar w:left="1440" w:top="112" w:right="459" w:bottom="0" w:gutter="0" w:footer="0" w:header="0"/>
        </w:sectPr>
      </w:pPr>
    </w:p>
    <w:bookmarkStart w:id="16" w:name="page17"/>
    <w:bookmarkEnd w:id="16"/>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Smith Jeffrey 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Lindsey</w:t>
      </w:r>
      <w:r>
        <w:rPr>
          <w:rFonts w:ascii="Times New Roman" w:cs="Times New Roman" w:eastAsia="Times New Roman" w:hAnsi="Times New Roman"/>
          <w:sz w:val="34"/>
          <w:szCs w:val="34"/>
          <w:color w:val="auto"/>
          <w:vertAlign w:val="subscript"/>
        </w:rPr>
        <w:t>Smith</w:t>
      </w:r>
      <w:r>
        <w:rPr>
          <w:rFonts w:ascii="Times New Roman" w:cs="Times New Roman" w:eastAsia="Times New Roman" w:hAnsi="Times New Roman"/>
          <w:sz w:val="18"/>
          <w:szCs w:val="18"/>
          <w:color w:val="auto"/>
        </w:rPr>
        <w:t xml:space="preserve"> Cara, Attorney-in-Fact for Jeffrey C.</w:t>
      </w:r>
    </w:p>
    <w:p>
      <w:pPr>
        <w:spacing w:after="0" w:line="16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Feld Peter A</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Name/Title: Lindsey Cara, Attorney-in-Fact for Peter A. Feld</w:t>
      </w:r>
    </w:p>
    <w:p>
      <w:pPr>
        <w:spacing w:after="0" w:line="56"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ectPr>
          <w:pgSz w:w="11900" w:h="16838" w:orient="portrait"/>
          <w:cols w:equalWidth="0" w:num="1">
            <w:col w:w="9740"/>
          </w:cols>
          <w:pgMar w:left="1440" w:top="112" w:right="7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Officers of Starboard Value and Opportunity Master Fund Ltd and Starboard X Master Fund Ltd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and Position</w:t>
            </w:r>
          </w:p>
        </w:tc>
        <w:tc>
          <w:tcPr>
            <w:tcW w:w="3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Principal Occupation</w:t>
            </w:r>
          </w:p>
        </w:tc>
        <w:tc>
          <w:tcPr>
            <w:tcW w:w="2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Business Address</w:t>
            </w:r>
          </w:p>
        </w:tc>
        <w:tc>
          <w:tcPr>
            <w:tcW w:w="3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Citizenship</w:t>
            </w:r>
          </w:p>
        </w:tc>
      </w:tr>
      <w:tr>
        <w:trPr>
          <w:trHeight w:val="237"/>
        </w:trPr>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900" w:type="dxa"/>
            <w:vAlign w:val="bottom"/>
          </w:tcPr>
          <w:p>
            <w:pPr>
              <w:spacing w:after="0"/>
              <w:rPr>
                <w:sz w:val="20"/>
                <w:szCs w:val="20"/>
                <w:color w:val="auto"/>
              </w:rPr>
            </w:pPr>
          </w:p>
        </w:tc>
      </w:tr>
      <w:tr>
        <w:trPr>
          <w:trHeight w:val="198"/>
        </w:trPr>
        <w:tc>
          <w:tcPr>
            <w:tcW w:w="220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Patrick Agemian</w:t>
            </w:r>
          </w:p>
        </w:tc>
        <w:tc>
          <w:tcPr>
            <w:tcW w:w="3340" w:type="dxa"/>
            <w:vAlign w:val="bottom"/>
            <w:gridSpan w:val="3"/>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Director of Global Funds</w:t>
            </w:r>
          </w:p>
        </w:tc>
        <w:tc>
          <w:tcPr>
            <w:tcW w:w="26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PO Box 10034, Buckingham</w:t>
            </w:r>
          </w:p>
        </w:tc>
        <w:tc>
          <w:tcPr>
            <w:tcW w:w="3040" w:type="dxa"/>
            <w:vAlign w:val="bottom"/>
            <w:gridSpan w:val="3"/>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2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Management, Ltd.</w:t>
            </w: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Square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2nd Floor</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720A West Bay Road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Grand Cayman</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Cayman Islands, KY1-1001</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198"/>
        </w:trPr>
        <w:tc>
          <w:tcPr>
            <w:tcW w:w="22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Lindsey Cara</w:t>
            </w:r>
          </w:p>
        </w:tc>
        <w:tc>
          <w:tcPr>
            <w:tcW w:w="3340" w:type="dxa"/>
            <w:vAlign w:val="bottom"/>
            <w:gridSpan w:val="3"/>
          </w:tcPr>
          <w:p>
            <w:pPr>
              <w:ind w:left="720"/>
              <w:spacing w:after="0" w:line="198" w:lineRule="exact"/>
              <w:rPr>
                <w:sz w:val="20"/>
                <w:szCs w:val="20"/>
                <w:color w:val="auto"/>
              </w:rPr>
            </w:pPr>
            <w:r>
              <w:rPr>
                <w:rFonts w:ascii="Times New Roman" w:cs="Times New Roman" w:eastAsia="Times New Roman" w:hAnsi="Times New Roman"/>
                <w:sz w:val="18"/>
                <w:szCs w:val="18"/>
                <w:color w:val="auto"/>
              </w:rPr>
              <w:t>General Counsel, Starboard Value</w:t>
            </w:r>
          </w:p>
        </w:tc>
        <w:tc>
          <w:tcPr>
            <w:tcW w:w="266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Starboard Value LP</w:t>
            </w:r>
          </w:p>
        </w:tc>
        <w:tc>
          <w:tcPr>
            <w:tcW w:w="3040" w:type="dxa"/>
            <w:vAlign w:val="bottom"/>
            <w:gridSpan w:val="3"/>
          </w:tcPr>
          <w:p>
            <w:pPr>
              <w:ind w:left="320"/>
              <w:spacing w:after="0" w:line="198" w:lineRule="exact"/>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LP</w:t>
            </w:r>
          </w:p>
        </w:tc>
        <w:tc>
          <w:tcPr>
            <w:tcW w:w="2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777 Third Avenue, 18th Floor</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New York, New York 10017</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198"/>
        </w:trPr>
        <w:tc>
          <w:tcPr>
            <w:tcW w:w="220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Alaina Danley</w:t>
            </w:r>
          </w:p>
        </w:tc>
        <w:tc>
          <w:tcPr>
            <w:tcW w:w="3340" w:type="dxa"/>
            <w:vAlign w:val="bottom"/>
            <w:gridSpan w:val="3"/>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Managing Director of Waystone</w:t>
            </w:r>
          </w:p>
        </w:tc>
        <w:tc>
          <w:tcPr>
            <w:tcW w:w="26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Waystone Governance Ltd.</w:t>
            </w:r>
          </w:p>
        </w:tc>
        <w:tc>
          <w:tcPr>
            <w:tcW w:w="3040" w:type="dxa"/>
            <w:vAlign w:val="bottom"/>
            <w:gridSpan w:val="3"/>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2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Governance Ltd.</w:t>
            </w: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Suite 5B201, 2nd Floor</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One Nexus Way</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 Box 2587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Grand Cayman</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Cayman Islands, KY1-1103</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t>Exhibit 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36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During the Past Sixty Days</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34"/>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100" w:type="dxa"/>
            <w:vAlign w:val="bottom"/>
          </w:tcPr>
          <w:p>
            <w:pPr>
              <w:spacing w:after="0"/>
              <w:rPr>
                <w:sz w:val="16"/>
                <w:szCs w:val="16"/>
                <w:color w:val="auto"/>
              </w:rPr>
            </w:pPr>
          </w:p>
        </w:tc>
        <w:tc>
          <w:tcPr>
            <w:tcW w:w="2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Nature of the Transaction</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80" w:type="dxa"/>
            <w:vAlign w:val="bottom"/>
            <w:gridSpan w:val="4"/>
          </w:tcPr>
          <w:p>
            <w:pPr>
              <w:jc w:val="center"/>
              <w:ind w:right="960"/>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2460" w:type="dxa"/>
            <w:vAlign w:val="bottom"/>
            <w:gridSpan w:val="6"/>
          </w:tcPr>
          <w:p>
            <w:pPr>
              <w:ind w:left="880"/>
              <w:spacing w:after="0" w:line="194" w:lineRule="exact"/>
              <w:rPr>
                <w:sz w:val="20"/>
                <w:szCs w:val="20"/>
                <w:color w:val="auto"/>
              </w:rPr>
            </w:pPr>
            <w:r>
              <w:rPr>
                <w:rFonts w:ascii="Times New Roman" w:cs="Times New Roman" w:eastAsia="Times New Roman" w:hAnsi="Times New Roman"/>
                <w:sz w:val="18"/>
                <w:szCs w:val="18"/>
                <w:color w:val="auto"/>
              </w:rPr>
              <w:t xml:space="preserve">Price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2940" w:type="dxa"/>
            <w:vAlign w:val="bottom"/>
            <w:gridSpan w:val="3"/>
          </w:tcPr>
          <w:p>
            <w:pPr>
              <w:jc w:val="center"/>
              <w:ind w:left="5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360" w:type="dxa"/>
            <w:vAlign w:val="bottom"/>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STARBOARD VALUE AND OPPORTUNITY MASTER FUND LTD</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900" w:type="dxa"/>
            <w:vAlign w:val="bottom"/>
            <w:gridSpan w:val="5"/>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(792,988)</w:t>
            </w:r>
          </w:p>
        </w:tc>
        <w:tc>
          <w:tcPr>
            <w:tcW w:w="10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100.2540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06/02/2026</w:t>
            </w:r>
          </w:p>
        </w:tc>
        <w:tc>
          <w:tcPr>
            <w:tcW w:w="900" w:type="dxa"/>
            <w:vAlign w:val="bottom"/>
            <w:shd w:val="clear" w:color="auto" w:fill="CCEEFF"/>
          </w:tcPr>
          <w:p>
            <w:pPr>
              <w:spacing w:after="0"/>
              <w:rPr>
                <w:sz w:val="18"/>
                <w:szCs w:val="18"/>
                <w:color w:val="auto"/>
              </w:rPr>
            </w:pPr>
          </w:p>
        </w:tc>
      </w:tr>
      <w:tr>
        <w:trPr>
          <w:trHeight w:val="234"/>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90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color w:val="auto"/>
              </w:rPr>
              <w:t>(341,478)</w:t>
            </w:r>
          </w:p>
        </w:tc>
        <w:tc>
          <w:tcPr>
            <w:tcW w:w="1000" w:type="dxa"/>
            <w:vAlign w:val="bottom"/>
          </w:tcPr>
          <w:p>
            <w:pPr>
              <w:spacing w:after="0"/>
              <w:rPr>
                <w:sz w:val="20"/>
                <w:szCs w:val="20"/>
                <w:color w:val="auto"/>
              </w:rPr>
            </w:pPr>
          </w:p>
        </w:tc>
        <w:tc>
          <w:tcPr>
            <w:tcW w:w="184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103.4090</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06/02/2026</w:t>
            </w:r>
          </w:p>
        </w:tc>
        <w:tc>
          <w:tcPr>
            <w:tcW w:w="900" w:type="dxa"/>
            <w:vAlign w:val="bottom"/>
          </w:tcPr>
          <w:p>
            <w:pPr>
              <w:spacing w:after="0"/>
              <w:rPr>
                <w:sz w:val="20"/>
                <w:szCs w:val="20"/>
                <w:color w:val="auto"/>
              </w:rPr>
            </w:pPr>
          </w:p>
        </w:tc>
      </w:tr>
      <w:tr>
        <w:trPr>
          <w:trHeight w:val="373"/>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11"/>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STARBOARD VALUE AND OPPORTUNITY S LLC</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900" w:type="dxa"/>
            <w:vAlign w:val="bottom"/>
            <w:gridSpan w:val="5"/>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7"/>
              </w:rPr>
              <w:t>(66,752)</w:t>
            </w:r>
          </w:p>
        </w:tc>
        <w:tc>
          <w:tcPr>
            <w:tcW w:w="10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100.2540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06/02/2026</w:t>
            </w:r>
          </w:p>
        </w:tc>
        <w:tc>
          <w:tcPr>
            <w:tcW w:w="900" w:type="dxa"/>
            <w:vAlign w:val="bottom"/>
            <w:shd w:val="clear" w:color="auto" w:fill="CCEEFF"/>
          </w:tcPr>
          <w:p>
            <w:pPr>
              <w:spacing w:after="0"/>
              <w:rPr>
                <w:sz w:val="18"/>
                <w:szCs w:val="18"/>
                <w:color w:val="auto"/>
              </w:rPr>
            </w:pPr>
          </w:p>
        </w:tc>
      </w:tr>
      <w:tr>
        <w:trPr>
          <w:trHeight w:val="234"/>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90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color w:val="auto"/>
                <w:w w:val="97"/>
              </w:rPr>
              <w:t>(28,745)</w:t>
            </w:r>
          </w:p>
        </w:tc>
        <w:tc>
          <w:tcPr>
            <w:tcW w:w="1000" w:type="dxa"/>
            <w:vAlign w:val="bottom"/>
          </w:tcPr>
          <w:p>
            <w:pPr>
              <w:spacing w:after="0"/>
              <w:rPr>
                <w:sz w:val="20"/>
                <w:szCs w:val="20"/>
                <w:color w:val="auto"/>
              </w:rPr>
            </w:pPr>
          </w:p>
        </w:tc>
        <w:tc>
          <w:tcPr>
            <w:tcW w:w="184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103.4090</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06/02/2026</w:t>
            </w:r>
          </w:p>
        </w:tc>
        <w:tc>
          <w:tcPr>
            <w:tcW w:w="900" w:type="dxa"/>
            <w:vAlign w:val="bottom"/>
          </w:tcPr>
          <w:p>
            <w:pPr>
              <w:spacing w:after="0"/>
              <w:rPr>
                <w:sz w:val="20"/>
                <w:szCs w:val="20"/>
                <w:color w:val="auto"/>
              </w:rPr>
            </w:pPr>
          </w:p>
        </w:tc>
      </w:tr>
      <w:tr>
        <w:trPr>
          <w:trHeight w:val="373"/>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0" w:type="dxa"/>
            <w:vAlign w:val="bottom"/>
            <w:gridSpan w:val="8"/>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STARBOARD X MASTER FUND LTD</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900" w:type="dxa"/>
            <w:vAlign w:val="bottom"/>
            <w:gridSpan w:val="5"/>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(468,354)</w:t>
            </w:r>
          </w:p>
        </w:tc>
        <w:tc>
          <w:tcPr>
            <w:tcW w:w="10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100.2540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06/02/2026</w:t>
            </w:r>
          </w:p>
        </w:tc>
        <w:tc>
          <w:tcPr>
            <w:tcW w:w="900" w:type="dxa"/>
            <w:vAlign w:val="bottom"/>
            <w:shd w:val="clear" w:color="auto" w:fill="CCEEFF"/>
          </w:tcPr>
          <w:p>
            <w:pPr>
              <w:spacing w:after="0"/>
              <w:rPr>
                <w:sz w:val="18"/>
                <w:szCs w:val="18"/>
                <w:color w:val="auto"/>
              </w:rPr>
            </w:pPr>
          </w:p>
        </w:tc>
      </w:tr>
      <w:tr>
        <w:trPr>
          <w:trHeight w:val="234"/>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90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color w:val="auto"/>
              </w:rPr>
              <w:t>(201,683)</w:t>
            </w:r>
          </w:p>
        </w:tc>
        <w:tc>
          <w:tcPr>
            <w:tcW w:w="1000" w:type="dxa"/>
            <w:vAlign w:val="bottom"/>
          </w:tcPr>
          <w:p>
            <w:pPr>
              <w:spacing w:after="0"/>
              <w:rPr>
                <w:sz w:val="20"/>
                <w:szCs w:val="20"/>
                <w:color w:val="auto"/>
              </w:rPr>
            </w:pPr>
          </w:p>
        </w:tc>
        <w:tc>
          <w:tcPr>
            <w:tcW w:w="184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103.4090</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06/02/2026</w:t>
            </w:r>
          </w:p>
        </w:tc>
        <w:tc>
          <w:tcPr>
            <w:tcW w:w="9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4"/>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3"/>
      <w:numFmt w:val="bullet"/>
      <w:start w:val="1"/>
    </w:lvl>
  </w:abstractNum>
  <w:abstractNum w:abstractNumId="8">
    <w:nsid w:val="3352255A"/>
    <w:multiLevelType w:val="hybridMultilevel"/>
    <w:lvl w:ilvl="0">
      <w:lvlJc w:val="left"/>
      <w:lvlText w:val="%1"/>
      <w:numFmt w:val="decimal"/>
      <w:start w:val="13"/>
    </w:lvl>
  </w:abstractNum>
  <w:abstractNum w:abstractNumId="9">
    <w:nsid w:val="109CF92E"/>
    <w:multiLevelType w:val="hybridMultilevel"/>
    <w:lvl w:ilvl="0">
      <w:lvlJc w:val="left"/>
      <w:lvlText w:val="2"/>
      <w:numFmt w:val="bullet"/>
      <w:start w:val="1"/>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2"/>
      <w:numFmt w:val="bullet"/>
      <w:start w:val="1"/>
    </w:lvl>
  </w:abstractNum>
  <w:abstractNum w:abstractNumId="12">
    <w:nsid w:val="1BEFD79F"/>
    <w:multiLevelType w:val="hybridMultilevel"/>
    <w:lvl w:ilvl="0">
      <w:lvlJc w:val="left"/>
      <w:lvlText w:val="3"/>
      <w:numFmt w:val="bullet"/>
      <w:start w:val="1"/>
    </w:lvl>
  </w:abstractNum>
  <w:abstractNum w:abstractNumId="13">
    <w:nsid w:val="41A7C4C9"/>
    <w:multiLevelType w:val="hybridMultilevel"/>
    <w:lvl w:ilvl="0">
      <w:lvlJc w:val="left"/>
      <w:lvlText w:val="1"/>
      <w:numFmt w:val="bullet"/>
      <w:start w:val="1"/>
    </w:lvl>
  </w:abstractNum>
  <w:abstractNum w:abstractNumId="14">
    <w:nsid w:val="6B68079A"/>
    <w:multiLevelType w:val="hybridMultilevel"/>
    <w:lvl w:ilvl="0">
      <w:lvlJc w:val="left"/>
      <w:lvlText w:val="2"/>
      <w:numFmt w:val="bullet"/>
      <w:start w:val="1"/>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2026-06-02T20:46:12Z</dcterms:created>
  <dcterms:modified xsi:type="dcterms:W3CDTF">2026-06-02T20:46:12Z</dcterms:modified>
</cp:coreProperties>
</file>