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720" w:right="4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December 28, 2019</w:t>
      </w:r>
    </w:p>
    <w:p>
      <w:pPr>
        <w:spacing w:after="0" w:line="63" w:lineRule="exact"/>
        <w:rPr>
          <w:sz w:val="24"/>
          <w:szCs w:val="24"/>
          <w:color w:val="auto"/>
        </w:rPr>
      </w:pPr>
    </w:p>
    <w:p>
      <w:pPr>
        <w:ind w:left="596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20" w:right="40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6"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transition period from _____to _____</w:t>
      </w:r>
    </w:p>
    <w:p>
      <w:pPr>
        <w:spacing w:after="0" w:line="5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9"/>
          <w:szCs w:val="19"/>
          <w:b w:val="1"/>
          <w:bCs w:val="1"/>
          <w:color w:val="auto"/>
        </w:rPr>
        <w:t>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55880</wp:posOffset>
            </wp:positionV>
            <wp:extent cx="192976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976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159"/>
        <w:spacing w:after="0"/>
        <w:rPr>
          <w:sz w:val="20"/>
          <w:szCs w:val="20"/>
          <w:color w:val="auto"/>
        </w:rPr>
      </w:pPr>
      <w:r>
        <w:rPr>
          <w:rFonts w:ascii="Arial" w:cs="Arial" w:eastAsia="Arial" w:hAnsi="Arial"/>
          <w:sz w:val="36"/>
          <w:szCs w:val="36"/>
          <w:b w:val="1"/>
          <w:bCs w:val="1"/>
          <w:color w:val="auto"/>
        </w:rPr>
        <w:t>Qorvo, Inc.</w:t>
      </w:r>
    </w:p>
    <w:p>
      <w:pPr>
        <w:spacing w:after="0" w:line="4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460" w:type="dxa"/>
        <w:tblCellMar>
          <w:top w:w="0" w:type="dxa"/>
          <w:left w:w="0" w:type="dxa"/>
          <w:bottom w:w="0" w:type="dxa"/>
          <w:right w:w="0" w:type="dxa"/>
        </w:tblCellMar>
      </w:tblPr>
      <w:tr>
        <w:trPr>
          <w:trHeight w:val="234"/>
        </w:trPr>
        <w:tc>
          <w:tcPr>
            <w:tcW w:w="5200" w:type="dxa"/>
            <w:vAlign w:val="bottom"/>
          </w:tcPr>
          <w:p>
            <w:pPr>
              <w:jc w:val="center"/>
              <w:ind w:right="1233"/>
              <w:spacing w:after="0"/>
              <w:rPr>
                <w:sz w:val="20"/>
                <w:szCs w:val="20"/>
                <w:color w:val="auto"/>
              </w:rPr>
            </w:pPr>
            <w:r>
              <w:rPr>
                <w:rFonts w:ascii="Arial" w:cs="Arial" w:eastAsia="Arial" w:hAnsi="Arial"/>
                <w:sz w:val="18"/>
                <w:szCs w:val="18"/>
                <w:b w:val="1"/>
                <w:bCs w:val="1"/>
                <w:color w:val="auto"/>
                <w:w w:val="91"/>
              </w:rPr>
              <w:t>Delaware</w:t>
            </w:r>
          </w:p>
        </w:tc>
        <w:tc>
          <w:tcPr>
            <w:tcW w:w="2660" w:type="dxa"/>
            <w:vAlign w:val="bottom"/>
          </w:tcPr>
          <w:p>
            <w:pPr>
              <w:jc w:val="center"/>
              <w:ind w:left="314"/>
              <w:spacing w:after="0"/>
              <w:rPr>
                <w:sz w:val="20"/>
                <w:szCs w:val="20"/>
                <w:color w:val="auto"/>
              </w:rPr>
            </w:pPr>
            <w:r>
              <w:rPr>
                <w:rFonts w:ascii="Arial" w:cs="Arial" w:eastAsia="Arial" w:hAnsi="Arial"/>
                <w:sz w:val="18"/>
                <w:szCs w:val="18"/>
                <w:b w:val="1"/>
                <w:bCs w:val="1"/>
                <w:color w:val="auto"/>
                <w:w w:val="89"/>
              </w:rPr>
              <w:t>46-5288992</w:t>
            </w:r>
          </w:p>
        </w:tc>
      </w:tr>
      <w:tr>
        <w:trPr>
          <w:trHeight w:val="264"/>
        </w:trPr>
        <w:tc>
          <w:tcPr>
            <w:tcW w:w="5200" w:type="dxa"/>
            <w:vAlign w:val="bottom"/>
          </w:tcPr>
          <w:p>
            <w:pPr>
              <w:jc w:val="center"/>
              <w:ind w:right="1233"/>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2660" w:type="dxa"/>
            <w:vAlign w:val="bottom"/>
          </w:tcPr>
          <w:p>
            <w:pPr>
              <w:jc w:val="center"/>
              <w:ind w:left="294"/>
              <w:spacing w:after="0"/>
              <w:rPr>
                <w:sz w:val="20"/>
                <w:szCs w:val="20"/>
                <w:color w:val="auto"/>
              </w:rPr>
            </w:pPr>
            <w:r>
              <w:rPr>
                <w:rFonts w:ascii="Arial" w:cs="Arial" w:eastAsia="Arial" w:hAnsi="Arial"/>
                <w:sz w:val="16"/>
                <w:szCs w:val="16"/>
                <w:color w:val="auto"/>
                <w:w w:val="94"/>
              </w:rPr>
              <w:t>(I.R.S. employer identification no.)</w:t>
            </w:r>
          </w:p>
        </w:tc>
      </w:tr>
      <w:tr>
        <w:trPr>
          <w:trHeight w:val="398"/>
        </w:trPr>
        <w:tc>
          <w:tcPr>
            <w:tcW w:w="5200" w:type="dxa"/>
            <w:vAlign w:val="bottom"/>
          </w:tcPr>
          <w:p>
            <w:pPr>
              <w:jc w:val="center"/>
              <w:ind w:right="1233"/>
              <w:spacing w:after="0"/>
              <w:rPr>
                <w:sz w:val="20"/>
                <w:szCs w:val="20"/>
                <w:color w:val="auto"/>
              </w:rPr>
            </w:pPr>
            <w:r>
              <w:rPr>
                <w:rFonts w:ascii="Arial" w:cs="Arial" w:eastAsia="Arial" w:hAnsi="Arial"/>
                <w:sz w:val="18"/>
                <w:szCs w:val="18"/>
                <w:b w:val="1"/>
                <w:bCs w:val="1"/>
                <w:color w:val="auto"/>
                <w:w w:val="92"/>
              </w:rPr>
              <w:t>7628 Thorndike Road</w:t>
            </w:r>
          </w:p>
        </w:tc>
        <w:tc>
          <w:tcPr>
            <w:tcW w:w="2660" w:type="dxa"/>
            <w:vAlign w:val="bottom"/>
          </w:tcPr>
          <w:p>
            <w:pPr>
              <w:spacing w:after="0"/>
              <w:rPr>
                <w:sz w:val="24"/>
                <w:szCs w:val="24"/>
                <w:color w:val="auto"/>
              </w:rPr>
            </w:pPr>
          </w:p>
        </w:tc>
      </w:tr>
      <w:tr>
        <w:trPr>
          <w:trHeight w:val="270"/>
        </w:trPr>
        <w:tc>
          <w:tcPr>
            <w:tcW w:w="5200" w:type="dxa"/>
            <w:vAlign w:val="bottom"/>
          </w:tcPr>
          <w:p>
            <w:pPr>
              <w:jc w:val="center"/>
              <w:ind w:right="1013"/>
              <w:spacing w:after="0"/>
              <w:rPr>
                <w:sz w:val="20"/>
                <w:szCs w:val="20"/>
                <w:color w:val="auto"/>
              </w:rPr>
            </w:pPr>
            <w:r>
              <w:rPr>
                <w:rFonts w:ascii="Arial" w:cs="Arial" w:eastAsia="Arial" w:hAnsi="Arial"/>
                <w:sz w:val="18"/>
                <w:szCs w:val="18"/>
                <w:b w:val="1"/>
                <w:bCs w:val="1"/>
                <w:color w:val="auto"/>
                <w:w w:val="91"/>
              </w:rPr>
              <w:t>Greensboro, North Carolina</w:t>
            </w:r>
          </w:p>
        </w:tc>
        <w:tc>
          <w:tcPr>
            <w:tcW w:w="2660" w:type="dxa"/>
            <w:vAlign w:val="bottom"/>
          </w:tcPr>
          <w:p>
            <w:pPr>
              <w:jc w:val="center"/>
              <w:ind w:left="314"/>
              <w:spacing w:after="0"/>
              <w:rPr>
                <w:sz w:val="20"/>
                <w:szCs w:val="20"/>
                <w:color w:val="auto"/>
              </w:rPr>
            </w:pPr>
            <w:r>
              <w:rPr>
                <w:rFonts w:ascii="Arial" w:cs="Arial" w:eastAsia="Arial" w:hAnsi="Arial"/>
                <w:sz w:val="18"/>
                <w:szCs w:val="18"/>
                <w:b w:val="1"/>
                <w:bCs w:val="1"/>
                <w:color w:val="auto"/>
                <w:w w:val="89"/>
              </w:rPr>
              <w:t>27409-9421</w:t>
            </w:r>
          </w:p>
        </w:tc>
      </w:tr>
      <w:tr>
        <w:trPr>
          <w:trHeight w:val="264"/>
        </w:trPr>
        <w:tc>
          <w:tcPr>
            <w:tcW w:w="5200" w:type="dxa"/>
            <w:vAlign w:val="bottom"/>
          </w:tcPr>
          <w:p>
            <w:pPr>
              <w:jc w:val="center"/>
              <w:ind w:right="973"/>
              <w:spacing w:after="0"/>
              <w:rPr>
                <w:sz w:val="20"/>
                <w:szCs w:val="20"/>
                <w:color w:val="auto"/>
              </w:rPr>
            </w:pPr>
            <w:r>
              <w:rPr>
                <w:rFonts w:ascii="Arial" w:cs="Arial" w:eastAsia="Arial" w:hAnsi="Arial"/>
                <w:sz w:val="16"/>
                <w:szCs w:val="16"/>
                <w:color w:val="auto"/>
                <w:w w:val="94"/>
              </w:rPr>
              <w:t>(Address of principal executive office)</w:t>
            </w:r>
          </w:p>
        </w:tc>
        <w:tc>
          <w:tcPr>
            <w:tcW w:w="2660" w:type="dxa"/>
            <w:vAlign w:val="bottom"/>
          </w:tcPr>
          <w:p>
            <w:pPr>
              <w:jc w:val="center"/>
              <w:ind w:left="294"/>
              <w:spacing w:after="0"/>
              <w:rPr>
                <w:sz w:val="20"/>
                <w:szCs w:val="20"/>
                <w:color w:val="auto"/>
              </w:rPr>
            </w:pPr>
            <w:r>
              <w:rPr>
                <w:rFonts w:ascii="Arial" w:cs="Arial" w:eastAsia="Arial" w:hAnsi="Arial"/>
                <w:sz w:val="16"/>
                <w:szCs w:val="16"/>
                <w:color w:val="auto"/>
                <w:w w:val="94"/>
              </w:rPr>
              <w:t>(Zip code)</w:t>
            </w:r>
          </w:p>
        </w:tc>
      </w:tr>
      <w:tr>
        <w:trPr>
          <w:trHeight w:val="276"/>
        </w:trPr>
        <w:tc>
          <w:tcPr>
            <w:tcW w:w="5200" w:type="dxa"/>
            <w:vAlign w:val="bottom"/>
          </w:tcPr>
          <w:p>
            <w:pPr>
              <w:jc w:val="right"/>
              <w:ind w:right="293"/>
              <w:spacing w:after="0"/>
              <w:rPr>
                <w:sz w:val="20"/>
                <w:szCs w:val="20"/>
                <w:color w:val="auto"/>
              </w:rPr>
            </w:pPr>
            <w:r>
              <w:rPr>
                <w:rFonts w:ascii="Arial" w:cs="Arial" w:eastAsia="Arial" w:hAnsi="Arial"/>
                <w:sz w:val="18"/>
                <w:szCs w:val="18"/>
                <w:b w:val="1"/>
                <w:bCs w:val="1"/>
                <w:color w:val="auto"/>
              </w:rPr>
              <w:t>(336) 664-1233</w:t>
            </w:r>
          </w:p>
        </w:tc>
        <w:tc>
          <w:tcPr>
            <w:tcW w:w="2660" w:type="dxa"/>
            <w:vAlign w:val="bottom"/>
          </w:tcPr>
          <w:p>
            <w:pPr>
              <w:spacing w:after="0"/>
              <w:rPr>
                <w:sz w:val="24"/>
                <w:szCs w:val="24"/>
                <w:color w:val="auto"/>
              </w:rPr>
            </w:pPr>
          </w:p>
        </w:tc>
      </w:tr>
    </w:tbl>
    <w:p>
      <w:pPr>
        <w:jc w:val="center"/>
        <w:ind w:right="-159"/>
        <w:spacing w:after="0"/>
        <w:rPr>
          <w:sz w:val="20"/>
          <w:szCs w:val="20"/>
          <w:color w:val="auto"/>
        </w:rPr>
      </w:pPr>
      <w:r>
        <w:rPr>
          <w:rFonts w:ascii="Arial" w:cs="Arial" w:eastAsia="Arial" w:hAnsi="Arial"/>
          <w:sz w:val="16"/>
          <w:szCs w:val="16"/>
          <w:color w:val="auto"/>
        </w:rPr>
        <w:t>Registrant's telephone number, including area code</w:t>
      </w:r>
    </w:p>
    <w:p>
      <w:pPr>
        <w:spacing w:after="0" w:line="200" w:lineRule="exact"/>
        <w:rPr>
          <w:sz w:val="24"/>
          <w:szCs w:val="24"/>
          <w:color w:val="auto"/>
        </w:rPr>
      </w:pPr>
    </w:p>
    <w:p>
      <w:pPr>
        <w:spacing w:after="0" w:line="219" w:lineRule="exact"/>
        <w:rPr>
          <w:sz w:val="24"/>
          <w:szCs w:val="24"/>
          <w:color w:val="auto"/>
        </w:rPr>
      </w:pPr>
    </w:p>
    <w:tbl>
      <w:tblPr>
        <w:tblLayout w:type="fixed"/>
        <w:tblInd w:w="8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20" w:type="dxa"/>
            <w:vAlign w:val="bottom"/>
            <w:gridSpan w:val="5"/>
          </w:tcPr>
          <w:p>
            <w:pPr>
              <w:jc w:val="center"/>
              <w:ind w:right="293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30"/>
        </w:trPr>
        <w:tc>
          <w:tcPr>
            <w:tcW w:w="580" w:type="dxa"/>
            <w:vAlign w:val="bottom"/>
          </w:tcPr>
          <w:p>
            <w:pPr>
              <w:spacing w:after="0"/>
              <w:rPr>
                <w:sz w:val="19"/>
                <w:szCs w:val="19"/>
                <w:color w:val="auto"/>
              </w:rPr>
            </w:pPr>
          </w:p>
        </w:tc>
        <w:tc>
          <w:tcPr>
            <w:tcW w:w="20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6"/>
              </w:rPr>
              <w:t>Title of each class</w:t>
            </w:r>
          </w:p>
        </w:tc>
        <w:tc>
          <w:tcPr>
            <w:tcW w:w="1600" w:type="dxa"/>
            <w:vAlign w:val="bottom"/>
          </w:tcPr>
          <w:p>
            <w:pPr>
              <w:spacing w:after="0"/>
              <w:rPr>
                <w:sz w:val="19"/>
                <w:szCs w:val="19"/>
                <w:color w:val="auto"/>
              </w:rPr>
            </w:pPr>
          </w:p>
        </w:tc>
        <w:tc>
          <w:tcPr>
            <w:tcW w:w="204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9"/>
              </w:rPr>
              <w:t>Trading Symbol(s)</w:t>
            </w:r>
          </w:p>
        </w:tc>
        <w:tc>
          <w:tcPr>
            <w:tcW w:w="398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26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Common Stock, $0.0001 par value</w:t>
            </w:r>
          </w:p>
        </w:tc>
        <w:tc>
          <w:tcPr>
            <w:tcW w:w="1600" w:type="dxa"/>
            <w:vAlign w:val="bottom"/>
          </w:tcPr>
          <w:p>
            <w:pPr>
              <w:spacing w:after="0"/>
              <w:rPr>
                <w:sz w:val="24"/>
                <w:szCs w:val="24"/>
                <w:color w:val="auto"/>
              </w:rPr>
            </w:pPr>
          </w:p>
        </w:tc>
        <w:tc>
          <w:tcPr>
            <w:tcW w:w="2040" w:type="dxa"/>
            <w:vAlign w:val="bottom"/>
            <w:gridSpan w:val="2"/>
          </w:tcPr>
          <w:p>
            <w:pPr>
              <w:jc w:val="center"/>
              <w:ind w:right="620"/>
              <w:spacing w:after="0"/>
              <w:rPr>
                <w:sz w:val="20"/>
                <w:szCs w:val="20"/>
                <w:color w:val="auto"/>
              </w:rPr>
            </w:pPr>
            <w:r>
              <w:rPr>
                <w:rFonts w:ascii="Arial" w:cs="Arial" w:eastAsia="Arial" w:hAnsi="Arial"/>
                <w:sz w:val="18"/>
                <w:szCs w:val="18"/>
                <w:color w:val="auto"/>
                <w:w w:val="94"/>
              </w:rPr>
              <w:t>QRVO</w:t>
            </w:r>
          </w:p>
        </w:tc>
        <w:tc>
          <w:tcPr>
            <w:tcW w:w="6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79" w:lineRule="exact"/>
        <w:rPr>
          <w:sz w:val="24"/>
          <w:szCs w:val="24"/>
          <w:color w:val="auto"/>
        </w:rPr>
      </w:pPr>
    </w:p>
    <w:p>
      <w:pPr>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83" w:lineRule="exact"/>
        <w:rPr>
          <w:sz w:val="24"/>
          <w:szCs w:val="24"/>
          <w:color w:val="auto"/>
        </w:rPr>
      </w:pPr>
    </w:p>
    <w:p>
      <w:pPr>
        <w:ind w:right="42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8" w:lineRule="exact"/>
        <w:rPr>
          <w:sz w:val="24"/>
          <w:szCs w:val="24"/>
          <w:color w:val="auto"/>
        </w:rPr>
      </w:pPr>
    </w:p>
    <w:p>
      <w:pPr>
        <w:ind w:right="14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240" w:top="229" w:right="3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274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32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40" w:type="dxa"/>
            <w:vAlign w:val="bottom"/>
            <w:vMerge w:val="restart"/>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spacing w:after="0" w:line="20" w:lineRule="exact"/>
              <w:rPr>
                <w:sz w:val="1"/>
                <w:szCs w:val="1"/>
                <w:color w:val="auto"/>
              </w:rPr>
            </w:pPr>
          </w:p>
        </w:tc>
        <w:tc>
          <w:tcPr>
            <w:tcW w:w="480" w:type="dxa"/>
            <w:vAlign w:val="bottom"/>
            <w:vMerge w:val="restart"/>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line="20" w:lineRule="exact"/>
              <w:rPr>
                <w:sz w:val="1"/>
                <w:szCs w:val="1"/>
                <w:color w:val="auto"/>
              </w:rPr>
            </w:pPr>
          </w:p>
        </w:tc>
      </w:tr>
      <w:tr>
        <w:trPr>
          <w:trHeight w:val="613"/>
        </w:trPr>
        <w:tc>
          <w:tcPr>
            <w:tcW w:w="2740" w:type="dxa"/>
            <w:vAlign w:val="bottom"/>
            <w:gridSpan w:val="2"/>
          </w:tcPr>
          <w:p>
            <w:pPr>
              <w:ind w:left="920"/>
              <w:spacing w:after="0"/>
              <w:rPr>
                <w:sz w:val="20"/>
                <w:szCs w:val="20"/>
                <w:color w:val="auto"/>
              </w:rPr>
            </w:pPr>
            <w:r>
              <w:rPr>
                <w:rFonts w:ascii="Arial" w:cs="Arial" w:eastAsia="Arial" w:hAnsi="Arial"/>
                <w:sz w:val="16"/>
                <w:szCs w:val="16"/>
                <w:color w:val="auto"/>
              </w:rPr>
              <w:t>Large accelerated filer</w:t>
            </w:r>
          </w:p>
        </w:tc>
        <w:tc>
          <w:tcPr>
            <w:tcW w:w="3240" w:type="dxa"/>
            <w:vAlign w:val="bottom"/>
            <w:vMerge w:val="continue"/>
          </w:tcPr>
          <w:p>
            <w:pPr>
              <w:spacing w:after="0"/>
              <w:rPr>
                <w:sz w:val="24"/>
                <w:szCs w:val="24"/>
                <w:color w:val="auto"/>
              </w:rPr>
            </w:pPr>
          </w:p>
        </w:tc>
        <w:tc>
          <w:tcPr>
            <w:tcW w:w="4860" w:type="dxa"/>
            <w:vAlign w:val="bottom"/>
          </w:tcPr>
          <w:p>
            <w:pPr>
              <w:ind w:left="2740"/>
              <w:spacing w:after="0"/>
              <w:rPr>
                <w:sz w:val="20"/>
                <w:szCs w:val="20"/>
                <w:color w:val="auto"/>
              </w:rPr>
            </w:pPr>
            <w:r>
              <w:rPr>
                <w:rFonts w:ascii="Arial" w:cs="Arial" w:eastAsia="Arial" w:hAnsi="Arial"/>
                <w:sz w:val="16"/>
                <w:szCs w:val="16"/>
                <w:color w:val="auto"/>
              </w:rPr>
              <w:t>Accelerated filer</w:t>
            </w:r>
          </w:p>
        </w:tc>
        <w:tc>
          <w:tcPr>
            <w:tcW w:w="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740" w:type="dxa"/>
            <w:vAlign w:val="bottom"/>
            <w:gridSpan w:val="2"/>
          </w:tcPr>
          <w:p>
            <w:pPr>
              <w:ind w:left="920"/>
              <w:spacing w:after="0"/>
              <w:rPr>
                <w:sz w:val="20"/>
                <w:szCs w:val="20"/>
                <w:color w:val="auto"/>
              </w:rPr>
            </w:pPr>
            <w:r>
              <w:rPr>
                <w:rFonts w:ascii="Arial" w:cs="Arial" w:eastAsia="Arial" w:hAnsi="Arial"/>
                <w:sz w:val="16"/>
                <w:szCs w:val="16"/>
                <w:color w:val="auto"/>
              </w:rPr>
              <w:t>Non-accelerated filer</w:t>
            </w:r>
          </w:p>
        </w:tc>
        <w:tc>
          <w:tcPr>
            <w:tcW w:w="324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74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4860" w:type="dxa"/>
            <w:vAlign w:val="bottom"/>
          </w:tcPr>
          <w:p>
            <w:pPr>
              <w:ind w:left="274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40" w:right="2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0"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22, 2020, there were 115,684,626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114" w:right="3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QORVO, INC. AND SUBSIDIARIES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230"/>
        </w:trPr>
        <w:tc>
          <w:tcPr>
            <w:tcW w:w="10160" w:type="dxa"/>
            <w:vAlign w:val="bottom"/>
            <w:gridSpan w:val="19"/>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 — FINANCIAL INFORMATION</w:t>
              </w:r>
            </w:hyperlink>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47"/>
        </w:trPr>
        <w:tc>
          <w:tcPr>
            <w:tcW w:w="3220" w:type="dxa"/>
            <w:vAlign w:val="bottom"/>
            <w:tcBorders>
              <w:top w:val="single" w:sz="8" w:color="0000FF"/>
              <w:bottom w:val="single" w:sz="8" w:color="0000FF"/>
            </w:tcBorders>
            <w:gridSpan w:val="9"/>
          </w:tcPr>
          <w:p>
            <w:pPr>
              <w:spacing w:after="0"/>
              <w:rPr>
                <w:rFonts w:ascii="Arial" w:cs="Arial" w:eastAsia="Arial" w:hAnsi="Arial"/>
                <w:sz w:val="18"/>
                <w:szCs w:val="18"/>
                <w:b w:val="1"/>
                <w:bCs w:val="1"/>
                <w:color w:val="0000FF"/>
                <w:w w:val="90"/>
              </w:rPr>
            </w:pPr>
            <w:hyperlink w:anchor="page4">
              <w:r>
                <w:rPr>
                  <w:rFonts w:ascii="Arial" w:cs="Arial" w:eastAsia="Arial" w:hAnsi="Arial"/>
                  <w:sz w:val="18"/>
                  <w:szCs w:val="18"/>
                  <w:b w:val="1"/>
                  <w:bCs w:val="1"/>
                  <w:color w:val="0000FF"/>
                  <w:w w:val="90"/>
                </w:rPr>
                <w:t xml:space="preserve">Item 1. Financial Statements </w:t>
              </w:r>
            </w:hyperlink>
            <w:r>
              <w:rPr>
                <w:rFonts w:ascii="Arial" w:cs="Arial" w:eastAsia="Arial" w:hAnsi="Arial"/>
                <w:sz w:val="18"/>
                <w:szCs w:val="18"/>
                <w:b w:val="1"/>
                <w:bCs w:val="1"/>
                <w:color w:val="0000FF"/>
                <w:w w:val="90"/>
              </w:rPr>
              <w:t>(Unaudited).</w:t>
            </w:r>
          </w:p>
        </w:tc>
        <w:tc>
          <w:tcPr>
            <w:tcW w:w="20" w:type="dxa"/>
            <w:vAlign w:val="bottom"/>
            <w:tcBorders>
              <w:top w:val="single" w:sz="8" w:color="0000FF"/>
            </w:tcBorders>
          </w:tcPr>
          <w:p>
            <w:pPr>
              <w:spacing w:after="0"/>
              <w:rPr>
                <w:sz w:val="24"/>
                <w:szCs w:val="24"/>
                <w:color w:val="auto"/>
              </w:rPr>
            </w:pPr>
          </w:p>
        </w:tc>
        <w:tc>
          <w:tcPr>
            <w:tcW w:w="6920" w:type="dxa"/>
            <w:vAlign w:val="bottom"/>
            <w:gridSpan w:val="9"/>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140" w:type="dxa"/>
            <w:vAlign w:val="bottom"/>
          </w:tcPr>
          <w:p>
            <w:pPr>
              <w:spacing w:after="0"/>
              <w:rPr>
                <w:sz w:val="21"/>
                <w:szCs w:val="21"/>
                <w:color w:val="auto"/>
              </w:rPr>
            </w:pPr>
          </w:p>
        </w:tc>
        <w:tc>
          <w:tcPr>
            <w:tcW w:w="1002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December 28, 2019 and March 30, 2019</w:t>
              </w:r>
            </w:hyperlink>
          </w:p>
        </w:tc>
        <w:tc>
          <w:tcPr>
            <w:tcW w:w="120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926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Income for the three and nine months ended December 28, 2019 and December 29, 2018</w:t>
              </w:r>
            </w:hyperlink>
          </w:p>
        </w:tc>
        <w:tc>
          <w:tcPr>
            <w:tcW w:w="760" w:type="dxa"/>
            <w:vAlign w:val="bottom"/>
            <w:gridSpan w:val="2"/>
          </w:tcPr>
          <w:p>
            <w:pPr>
              <w:spacing w:after="0"/>
              <w:rPr>
                <w:sz w:val="21"/>
                <w:szCs w:val="21"/>
                <w:color w:val="auto"/>
              </w:rPr>
            </w:pPr>
          </w:p>
        </w:tc>
        <w:tc>
          <w:tcPr>
            <w:tcW w:w="110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r>
      <w:tr>
        <w:trPr>
          <w:trHeight w:val="250"/>
        </w:trPr>
        <w:tc>
          <w:tcPr>
            <w:tcW w:w="140" w:type="dxa"/>
            <w:vAlign w:val="bottom"/>
          </w:tcPr>
          <w:p>
            <w:pPr>
              <w:spacing w:after="0"/>
              <w:rPr>
                <w:sz w:val="21"/>
                <w:szCs w:val="21"/>
                <w:color w:val="auto"/>
              </w:rPr>
            </w:pPr>
          </w:p>
        </w:tc>
        <w:tc>
          <w:tcPr>
            <w:tcW w:w="1002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Comprehensive Income for the three and nine months ended December 28, 2019 and December 29,</w:t>
              </w:r>
            </w:hyperlink>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660" w:type="dxa"/>
            <w:vAlign w:val="bottom"/>
            <w:gridSpan w:val="3"/>
          </w:tcPr>
          <w:p>
            <w:pPr>
              <w:ind w:left="300"/>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2018</w:t>
              </w:r>
            </w:hyperlink>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3"/>
          </w:tcPr>
          <w:p>
            <w:pPr>
              <w:jc w:val="right"/>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98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Stockholders' Equity for the three and nine months ended December 28, 2019 and December 29,</w:t>
              </w:r>
            </w:hyperlink>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660" w:type="dxa"/>
            <w:vAlign w:val="bottom"/>
            <w:gridSpan w:val="3"/>
          </w:tcPr>
          <w:p>
            <w:pPr>
              <w:ind w:left="300"/>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2018</w:t>
              </w:r>
            </w:hyperlink>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3"/>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0"/>
        </w:trPr>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8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Condensed Consolidated Statements of Cash Flows for the nine months ended December 28, 2019 and December 29, 2018</w:t>
              </w:r>
            </w:hyperlink>
          </w:p>
        </w:tc>
        <w:tc>
          <w:tcPr>
            <w:tcW w:w="1160" w:type="dxa"/>
            <w:vAlign w:val="bottom"/>
            <w:gridSpan w:val="3"/>
          </w:tcPr>
          <w:p>
            <w:pPr>
              <w:spacing w:after="0"/>
              <w:rPr>
                <w:sz w:val="21"/>
                <w:szCs w:val="21"/>
                <w:color w:val="auto"/>
              </w:rPr>
            </w:pPr>
          </w:p>
        </w:tc>
        <w:tc>
          <w:tcPr>
            <w:tcW w:w="11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r>
      <w:tr>
        <w:trPr>
          <w:trHeight w:val="250"/>
        </w:trPr>
        <w:tc>
          <w:tcPr>
            <w:tcW w:w="140" w:type="dxa"/>
            <w:vAlign w:val="bottom"/>
          </w:tcPr>
          <w:p>
            <w:pPr>
              <w:spacing w:after="0"/>
              <w:rPr>
                <w:sz w:val="21"/>
                <w:szCs w:val="21"/>
                <w:color w:val="auto"/>
              </w:rPr>
            </w:pPr>
          </w:p>
        </w:tc>
        <w:tc>
          <w:tcPr>
            <w:tcW w:w="10020" w:type="dxa"/>
            <w:vAlign w:val="bottom"/>
            <w:gridSpan w:val="18"/>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Notes to Condensed Consolidated Financial Statements</w:t>
              </w:r>
            </w:hyperlink>
          </w:p>
        </w:tc>
        <w:tc>
          <w:tcPr>
            <w:tcW w:w="1200" w:type="dxa"/>
            <w:vAlign w:val="bottom"/>
            <w:gridSpan w:val="3"/>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9</w:t>
              </w:r>
            </w:hyperlink>
          </w:p>
        </w:tc>
      </w:tr>
      <w:tr>
        <w:trPr>
          <w:trHeight w:val="20"/>
        </w:trPr>
        <w:tc>
          <w:tcPr>
            <w:tcW w:w="140" w:type="dxa"/>
            <w:vAlign w:val="bottom"/>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574"/>
        </w:trPr>
        <w:tc>
          <w:tcPr>
            <w:tcW w:w="7460" w:type="dxa"/>
            <w:vAlign w:val="bottom"/>
            <w:gridSpan w:val="15"/>
          </w:tcPr>
          <w:p>
            <w:pPr>
              <w:spacing w:after="0"/>
              <w:rPr>
                <w:rFonts w:ascii="Arial" w:cs="Arial" w:eastAsia="Arial" w:hAnsi="Arial"/>
                <w:sz w:val="18"/>
                <w:szCs w:val="18"/>
                <w:b w:val="1"/>
                <w:bCs w:val="1"/>
                <w:color w:val="0000FF"/>
                <w:w w:val="89"/>
              </w:rPr>
            </w:pPr>
            <w:hyperlink w:anchor="page31">
              <w:r>
                <w:rPr>
                  <w:rFonts w:ascii="Arial" w:cs="Arial" w:eastAsia="Arial" w:hAnsi="Arial"/>
                  <w:sz w:val="18"/>
                  <w:szCs w:val="18"/>
                  <w:b w:val="1"/>
                  <w:bCs w:val="1"/>
                  <w:color w:val="0000FF"/>
                  <w:w w:val="89"/>
                </w:rPr>
                <w:t>Item 2. Management's Discussion and Analysis of Financial Condition and Results of Operations.</w:t>
              </w:r>
            </w:hyperlink>
          </w:p>
        </w:tc>
        <w:tc>
          <w:tcPr>
            <w:tcW w:w="2700" w:type="dxa"/>
            <w:vAlign w:val="bottom"/>
            <w:gridSpan w:val="4"/>
          </w:tcPr>
          <w:p>
            <w:pPr>
              <w:spacing w:after="0"/>
              <w:rPr>
                <w:sz w:val="24"/>
                <w:szCs w:val="24"/>
                <w:color w:val="auto"/>
              </w:rPr>
            </w:pPr>
          </w:p>
        </w:tc>
        <w:tc>
          <w:tcPr>
            <w:tcW w:w="1200" w:type="dxa"/>
            <w:vAlign w:val="bottom"/>
            <w:gridSpan w:val="3"/>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30</w:t>
              </w:r>
            </w:hyperlink>
          </w:p>
        </w:tc>
      </w:tr>
      <w:tr>
        <w:trPr>
          <w:trHeight w:val="20"/>
        </w:trPr>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300" w:type="dxa"/>
            <w:vAlign w:val="bottom"/>
            <w:gridSpan w:val="13"/>
          </w:tcPr>
          <w:p>
            <w:pPr>
              <w:spacing w:after="0"/>
              <w:rPr>
                <w:rFonts w:ascii="Arial" w:cs="Arial" w:eastAsia="Arial" w:hAnsi="Arial"/>
                <w:sz w:val="18"/>
                <w:szCs w:val="18"/>
                <w:b w:val="1"/>
                <w:bCs w:val="1"/>
                <w:color w:val="0000FF"/>
                <w:w w:val="91"/>
              </w:rPr>
            </w:pPr>
            <w:hyperlink w:anchor="page39">
              <w:r>
                <w:rPr>
                  <w:rFonts w:ascii="Arial" w:cs="Arial" w:eastAsia="Arial" w:hAnsi="Arial"/>
                  <w:sz w:val="18"/>
                  <w:szCs w:val="18"/>
                  <w:b w:val="1"/>
                  <w:bCs w:val="1"/>
                  <w:color w:val="0000FF"/>
                  <w:w w:val="91"/>
                </w:rPr>
                <w:t>Item 3. Quantitative and Qualitative Disclosures About Market Risk.</w:t>
              </w:r>
            </w:hyperlink>
          </w:p>
        </w:tc>
        <w:tc>
          <w:tcPr>
            <w:tcW w:w="2160" w:type="dxa"/>
            <w:vAlign w:val="bottom"/>
            <w:gridSpan w:val="2"/>
          </w:tcPr>
          <w:p>
            <w:pPr>
              <w:spacing w:after="0"/>
              <w:rPr>
                <w:sz w:val="21"/>
                <w:szCs w:val="21"/>
                <w:color w:val="auto"/>
              </w:rPr>
            </w:pPr>
          </w:p>
        </w:tc>
        <w:tc>
          <w:tcPr>
            <w:tcW w:w="2700" w:type="dxa"/>
            <w:vAlign w:val="bottom"/>
            <w:gridSpan w:val="4"/>
          </w:tcPr>
          <w:p>
            <w:pPr>
              <w:spacing w:after="0"/>
              <w:rPr>
                <w:sz w:val="21"/>
                <w:szCs w:val="21"/>
                <w:color w:val="auto"/>
              </w:rPr>
            </w:pPr>
          </w:p>
        </w:tc>
        <w:tc>
          <w:tcPr>
            <w:tcW w:w="120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r>
      <w:tr>
        <w:trPr>
          <w:trHeight w:val="20"/>
        </w:trPr>
        <w:tc>
          <w:tcPr>
            <w:tcW w:w="11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540" w:type="dxa"/>
            <w:vAlign w:val="bottom"/>
            <w:gridSpan w:val="7"/>
          </w:tcPr>
          <w:p>
            <w:pPr>
              <w:spacing w:after="0"/>
              <w:rPr>
                <w:rFonts w:ascii="Arial" w:cs="Arial" w:eastAsia="Arial" w:hAnsi="Arial"/>
                <w:sz w:val="18"/>
                <w:szCs w:val="18"/>
                <w:b w:val="1"/>
                <w:bCs w:val="1"/>
                <w:color w:val="0000FF"/>
                <w:w w:val="89"/>
              </w:rPr>
            </w:pPr>
            <w:hyperlink w:anchor="page39">
              <w:r>
                <w:rPr>
                  <w:rFonts w:ascii="Arial" w:cs="Arial" w:eastAsia="Arial" w:hAnsi="Arial"/>
                  <w:sz w:val="18"/>
                  <w:szCs w:val="18"/>
                  <w:b w:val="1"/>
                  <w:bCs w:val="1"/>
                  <w:color w:val="0000FF"/>
                  <w:w w:val="89"/>
                </w:rPr>
                <w:t>Item 4. Controls and Procedures.</w:t>
              </w:r>
            </w:hyperlink>
          </w:p>
        </w:tc>
        <w:tc>
          <w:tcPr>
            <w:tcW w:w="2760" w:type="dxa"/>
            <w:vAlign w:val="bottom"/>
            <w:gridSpan w:val="6"/>
          </w:tcPr>
          <w:p>
            <w:pPr>
              <w:spacing w:after="0"/>
              <w:rPr>
                <w:sz w:val="21"/>
                <w:szCs w:val="21"/>
                <w:color w:val="auto"/>
              </w:rPr>
            </w:pPr>
          </w:p>
        </w:tc>
        <w:tc>
          <w:tcPr>
            <w:tcW w:w="4860" w:type="dxa"/>
            <w:vAlign w:val="bottom"/>
            <w:gridSpan w:val="6"/>
          </w:tcPr>
          <w:p>
            <w:pPr>
              <w:spacing w:after="0"/>
              <w:rPr>
                <w:sz w:val="21"/>
                <w:szCs w:val="21"/>
                <w:color w:val="auto"/>
              </w:rPr>
            </w:pPr>
          </w:p>
        </w:tc>
        <w:tc>
          <w:tcPr>
            <w:tcW w:w="120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r>
      <w:tr>
        <w:trPr>
          <w:trHeight w:val="20"/>
        </w:trPr>
        <w:tc>
          <w:tcPr>
            <w:tcW w:w="11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10160" w:type="dxa"/>
            <w:vAlign w:val="bottom"/>
            <w:gridSpan w:val="19"/>
          </w:tcPr>
          <w:p>
            <w:pPr>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PART II — OTHER INFORMATION</w:t>
              </w:r>
            </w:hyperlink>
          </w:p>
        </w:tc>
        <w:tc>
          <w:tcPr>
            <w:tcW w:w="1200" w:type="dxa"/>
            <w:vAlign w:val="bottom"/>
            <w:gridSpan w:val="3"/>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38</w:t>
              </w:r>
            </w:hyperlink>
          </w:p>
        </w:tc>
      </w:tr>
      <w:tr>
        <w:trPr>
          <w:trHeight w:val="20"/>
        </w:trPr>
        <w:tc>
          <w:tcPr>
            <w:tcW w:w="11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74"/>
        </w:trPr>
        <w:tc>
          <w:tcPr>
            <w:tcW w:w="2940" w:type="dxa"/>
            <w:vAlign w:val="bottom"/>
            <w:gridSpan w:val="8"/>
          </w:tcPr>
          <w:p>
            <w:pPr>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Item 1A. Risk Factors.</w:t>
              </w:r>
            </w:hyperlink>
          </w:p>
        </w:tc>
        <w:tc>
          <w:tcPr>
            <w:tcW w:w="7220" w:type="dxa"/>
            <w:vAlign w:val="bottom"/>
            <w:gridSpan w:val="11"/>
          </w:tcPr>
          <w:p>
            <w:pPr>
              <w:spacing w:after="0"/>
              <w:rPr>
                <w:sz w:val="24"/>
                <w:szCs w:val="24"/>
                <w:color w:val="auto"/>
              </w:rPr>
            </w:pPr>
          </w:p>
        </w:tc>
        <w:tc>
          <w:tcPr>
            <w:tcW w:w="1200" w:type="dxa"/>
            <w:vAlign w:val="bottom"/>
            <w:gridSpan w:val="3"/>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38</w:t>
              </w:r>
            </w:hyperlink>
          </w:p>
        </w:tc>
      </w:tr>
      <w:tr>
        <w:trPr>
          <w:trHeight w:val="20"/>
        </w:trPr>
        <w:tc>
          <w:tcPr>
            <w:tcW w:w="11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5200" w:type="dxa"/>
            <w:vAlign w:val="bottom"/>
            <w:gridSpan w:val="12"/>
          </w:tcPr>
          <w:p>
            <w:pPr>
              <w:spacing w:after="0"/>
              <w:rPr>
                <w:rFonts w:ascii="Arial" w:cs="Arial" w:eastAsia="Arial" w:hAnsi="Arial"/>
                <w:sz w:val="18"/>
                <w:szCs w:val="18"/>
                <w:b w:val="1"/>
                <w:bCs w:val="1"/>
                <w:color w:val="0000EE"/>
                <w:w w:val="88"/>
              </w:rPr>
            </w:pPr>
            <w:hyperlink w:anchor="page40">
              <w:r>
                <w:rPr>
                  <w:rFonts w:ascii="Arial" w:cs="Arial" w:eastAsia="Arial" w:hAnsi="Arial"/>
                  <w:sz w:val="18"/>
                  <w:szCs w:val="18"/>
                  <w:b w:val="1"/>
                  <w:bCs w:val="1"/>
                  <w:color w:val="0000EE"/>
                  <w:w w:val="88"/>
                </w:rPr>
                <w:t>Item 2. Unregistered Sales of Equity Securities and Use of Proceeds.</w:t>
              </w:r>
            </w:hyperlink>
          </w:p>
        </w:tc>
        <w:tc>
          <w:tcPr>
            <w:tcW w:w="4960" w:type="dxa"/>
            <w:vAlign w:val="bottom"/>
            <w:gridSpan w:val="7"/>
          </w:tcPr>
          <w:p>
            <w:pPr>
              <w:spacing w:after="0"/>
              <w:rPr>
                <w:sz w:val="21"/>
                <w:szCs w:val="21"/>
                <w:color w:val="auto"/>
              </w:rPr>
            </w:pPr>
          </w:p>
        </w:tc>
        <w:tc>
          <w:tcPr>
            <w:tcW w:w="1200" w:type="dxa"/>
            <w:vAlign w:val="bottom"/>
            <w:gridSpan w:val="3"/>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r>
      <w:tr>
        <w:trPr>
          <w:trHeight w:val="20"/>
        </w:trPr>
        <w:tc>
          <w:tcPr>
            <w:tcW w:w="11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940" w:type="dxa"/>
            <w:vAlign w:val="bottom"/>
            <w:gridSpan w:val="7"/>
            <w:shd w:val="clear" w:color="auto" w:fill="0000EE"/>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200" w:type="dxa"/>
            <w:vAlign w:val="bottom"/>
            <w:gridSpan w:val="12"/>
          </w:tcPr>
          <w:p>
            <w:pPr>
              <w:spacing w:after="0"/>
              <w:rPr>
                <w:rFonts w:ascii="Arial" w:cs="Arial" w:eastAsia="Arial" w:hAnsi="Arial"/>
                <w:sz w:val="18"/>
                <w:szCs w:val="18"/>
                <w:b w:val="1"/>
                <w:bCs w:val="1"/>
                <w:color w:val="0000FF"/>
              </w:rPr>
            </w:pPr>
            <w:hyperlink w:anchor="page41">
              <w:r>
                <w:rPr>
                  <w:rFonts w:ascii="Arial" w:cs="Arial" w:eastAsia="Arial" w:hAnsi="Arial"/>
                  <w:sz w:val="18"/>
                  <w:szCs w:val="18"/>
                  <w:b w:val="1"/>
                  <w:bCs w:val="1"/>
                  <w:color w:val="0000FF"/>
                </w:rPr>
                <w:t>Item 6. Exhibits.</w:t>
              </w:r>
            </w:hyperlink>
          </w:p>
        </w:tc>
        <w:tc>
          <w:tcPr>
            <w:tcW w:w="4960" w:type="dxa"/>
            <w:vAlign w:val="bottom"/>
            <w:gridSpan w:val="7"/>
          </w:tcPr>
          <w:p>
            <w:pPr>
              <w:spacing w:after="0"/>
              <w:rPr>
                <w:sz w:val="21"/>
                <w:szCs w:val="21"/>
                <w:color w:val="auto"/>
              </w:rPr>
            </w:pPr>
          </w:p>
        </w:tc>
        <w:tc>
          <w:tcPr>
            <w:tcW w:w="1200" w:type="dxa"/>
            <w:vAlign w:val="bottom"/>
            <w:gridSpan w:val="3"/>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40</w:t>
              </w:r>
            </w:hyperlink>
          </w:p>
        </w:tc>
      </w:tr>
      <w:tr>
        <w:trPr>
          <w:trHeight w:val="20"/>
        </w:trPr>
        <w:tc>
          <w:tcPr>
            <w:tcW w:w="116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900" w:type="dxa"/>
            <w:vAlign w:val="bottom"/>
            <w:gridSpan w:val="1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1160" w:type="dxa"/>
            <w:vAlign w:val="bottom"/>
            <w:gridSpan w:val="4"/>
          </w:tcPr>
          <w:p>
            <w:pPr>
              <w:spacing w:after="0"/>
              <w:rPr>
                <w:rFonts w:ascii="Arial" w:cs="Arial" w:eastAsia="Arial" w:hAnsi="Arial"/>
                <w:sz w:val="18"/>
                <w:szCs w:val="18"/>
                <w:b w:val="1"/>
                <w:bCs w:val="1"/>
                <w:color w:val="0000FF"/>
                <w:w w:val="96"/>
              </w:rPr>
            </w:pPr>
            <w:hyperlink w:anchor="page42">
              <w:r>
                <w:rPr>
                  <w:rFonts w:ascii="Arial" w:cs="Arial" w:eastAsia="Arial" w:hAnsi="Arial"/>
                  <w:sz w:val="18"/>
                  <w:szCs w:val="18"/>
                  <w:b w:val="1"/>
                  <w:bCs w:val="1"/>
                  <w:color w:val="0000FF"/>
                  <w:w w:val="96"/>
                </w:rPr>
                <w:t>SIGNATURES</w:t>
              </w:r>
            </w:hyperlink>
          </w:p>
        </w:tc>
        <w:tc>
          <w:tcPr>
            <w:tcW w:w="100" w:type="dxa"/>
            <w:vAlign w:val="bottom"/>
          </w:tcPr>
          <w:p>
            <w:pPr>
              <w:spacing w:after="0"/>
              <w:rPr>
                <w:sz w:val="24"/>
                <w:szCs w:val="24"/>
                <w:color w:val="auto"/>
              </w:rPr>
            </w:pPr>
          </w:p>
        </w:tc>
        <w:tc>
          <w:tcPr>
            <w:tcW w:w="8900" w:type="dxa"/>
            <w:vAlign w:val="bottom"/>
            <w:gridSpan w:val="14"/>
          </w:tcPr>
          <w:p>
            <w:pPr>
              <w:spacing w:after="0"/>
              <w:rPr>
                <w:sz w:val="24"/>
                <w:szCs w:val="24"/>
                <w:color w:val="auto"/>
              </w:rPr>
            </w:pPr>
          </w:p>
        </w:tc>
        <w:tc>
          <w:tcPr>
            <w:tcW w:w="1200" w:type="dxa"/>
            <w:vAlign w:val="bottom"/>
            <w:gridSpan w:val="3"/>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r>
      <w:tr>
        <w:trPr>
          <w:trHeight w:val="480"/>
        </w:trPr>
        <w:tc>
          <w:tcPr>
            <w:tcW w:w="1160" w:type="dxa"/>
            <w:vAlign w:val="bottom"/>
            <w:tcBorders>
              <w:top w:val="single" w:sz="8" w:color="0000FF"/>
            </w:tcBorders>
            <w:gridSpan w:val="4"/>
          </w:tcPr>
          <w:p>
            <w:pPr>
              <w:spacing w:after="0"/>
              <w:rPr>
                <w:sz w:val="24"/>
                <w:szCs w:val="24"/>
                <w:color w:val="auto"/>
              </w:rPr>
            </w:pPr>
          </w:p>
        </w:tc>
        <w:tc>
          <w:tcPr>
            <w:tcW w:w="5240" w:type="dxa"/>
            <w:vAlign w:val="bottom"/>
            <w:gridSpan w:val="10"/>
          </w:tcPr>
          <w:p>
            <w:pPr>
              <w:jc w:val="right"/>
              <w:ind w:right="680"/>
              <w:spacing w:after="0"/>
              <w:rPr>
                <w:sz w:val="20"/>
                <w:szCs w:val="20"/>
                <w:color w:val="auto"/>
              </w:rPr>
            </w:pPr>
            <w:r>
              <w:rPr>
                <w:rFonts w:ascii="Arial" w:cs="Arial" w:eastAsia="Arial" w:hAnsi="Arial"/>
                <w:sz w:val="18"/>
                <w:szCs w:val="18"/>
                <w:color w:val="auto"/>
              </w:rPr>
              <w:t>2</w:t>
            </w: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28, 2019</w:t>
            </w:r>
          </w:p>
        </w:tc>
        <w:tc>
          <w:tcPr>
            <w:tcW w:w="240" w:type="dxa"/>
            <w:vAlign w:val="bottom"/>
          </w:tcPr>
          <w:p>
            <w:pPr>
              <w:spacing w:after="0"/>
              <w:rPr>
                <w:sz w:val="16"/>
                <w:szCs w:val="16"/>
                <w:color w:val="auto"/>
              </w:rPr>
            </w:pPr>
          </w:p>
        </w:tc>
        <w:tc>
          <w:tcPr>
            <w:tcW w:w="1460" w:type="dxa"/>
            <w:vAlign w:val="bottom"/>
          </w:tcPr>
          <w:p>
            <w:pPr>
              <w:jc w:val="right"/>
              <w:ind w:right="291"/>
              <w:spacing w:after="0"/>
              <w:rPr>
                <w:sz w:val="20"/>
                <w:szCs w:val="20"/>
                <w:color w:val="auto"/>
              </w:rPr>
            </w:pPr>
            <w:r>
              <w:rPr>
                <w:rFonts w:ascii="Arial" w:cs="Arial" w:eastAsia="Arial" w:hAnsi="Arial"/>
                <w:sz w:val="14"/>
                <w:szCs w:val="14"/>
                <w:b w:val="1"/>
                <w:bCs w:val="1"/>
                <w:color w:val="auto"/>
              </w:rPr>
              <w:t>March 30, 2019</w:t>
            </w:r>
          </w:p>
        </w:tc>
        <w:tc>
          <w:tcPr>
            <w:tcW w:w="0" w:type="dxa"/>
            <w:vAlign w:val="bottom"/>
          </w:tcPr>
          <w:p>
            <w:pPr>
              <w:spacing w:after="0"/>
              <w:rPr>
                <w:sz w:val="1"/>
                <w:szCs w:val="1"/>
                <w:color w:val="auto"/>
              </w:rPr>
            </w:pP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1,097,724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711,035</w:t>
            </w:r>
          </w:p>
        </w:tc>
        <w:tc>
          <w:tcPr>
            <w:tcW w:w="0" w:type="dxa"/>
            <w:vAlign w:val="bottom"/>
          </w:tcPr>
          <w:p>
            <w:pPr>
              <w:spacing w:after="0"/>
              <w:rPr>
                <w:sz w:val="1"/>
                <w:szCs w:val="1"/>
                <w:color w:val="auto"/>
              </w:rPr>
            </w:pP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w w:val="94"/>
              </w:rPr>
              <w:t>Accounts receivable, less allowance of $61 and $40 as of December 28, 2019 and March 30, 2019,</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409,835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378,172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Inventories </w:t>
            </w:r>
            <w:r>
              <w:rPr>
                <w:rFonts w:ascii="Arial" w:cs="Arial" w:eastAsia="Arial" w:hAnsi="Arial"/>
                <w:sz w:val="18"/>
                <w:szCs w:val="18"/>
                <w:i w:val="1"/>
                <w:iCs w:val="1"/>
                <w:color w:val="auto"/>
              </w:rPr>
              <w:t>(Note 3)</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479,885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511,793</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27,120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25,766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21,934</w:t>
            </w:r>
          </w:p>
        </w:tc>
        <w:tc>
          <w:tcPr>
            <w:tcW w:w="0" w:type="dxa"/>
            <w:vAlign w:val="bottom"/>
          </w:tcPr>
          <w:p>
            <w:pPr>
              <w:spacing w:after="0"/>
              <w:rPr>
                <w:sz w:val="1"/>
                <w:szCs w:val="1"/>
                <w:color w:val="auto"/>
              </w:rPr>
            </w:pPr>
          </w:p>
        </w:tc>
      </w:tr>
      <w:tr>
        <w:trPr>
          <w:trHeight w:val="243"/>
        </w:trPr>
        <w:tc>
          <w:tcPr>
            <w:tcW w:w="790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36,488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36,141</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2,067,672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1,684,841</w:t>
            </w:r>
          </w:p>
        </w:tc>
        <w:tc>
          <w:tcPr>
            <w:tcW w:w="0" w:type="dxa"/>
            <w:vAlign w:val="bottom"/>
          </w:tcPr>
          <w:p>
            <w:pPr>
              <w:spacing w:after="0"/>
              <w:rPr>
                <w:sz w:val="1"/>
                <w:szCs w:val="1"/>
                <w:color w:val="auto"/>
              </w:rPr>
            </w:pPr>
          </w:p>
        </w:tc>
      </w:tr>
      <w:tr>
        <w:trPr>
          <w:trHeight w:val="229"/>
        </w:trPr>
        <w:tc>
          <w:tcPr>
            <w:tcW w:w="7900" w:type="dxa"/>
            <w:vAlign w:val="bottom"/>
          </w:tcPr>
          <w:p>
            <w:pPr>
              <w:ind w:left="40"/>
              <w:spacing w:after="0"/>
              <w:rPr>
                <w:sz w:val="20"/>
                <w:szCs w:val="20"/>
                <w:color w:val="auto"/>
              </w:rPr>
            </w:pPr>
            <w:r>
              <w:rPr>
                <w:rFonts w:ascii="Arial" w:cs="Arial" w:eastAsia="Arial" w:hAnsi="Arial"/>
                <w:sz w:val="18"/>
                <w:szCs w:val="18"/>
                <w:color w:val="auto"/>
                <w:w w:val="99"/>
              </w:rPr>
              <w:t>Property and equipment, net of accumulated depreciation of $1,374,455 at December 28, 2019 and</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00"/>
              <w:spacing w:after="0"/>
              <w:rPr>
                <w:sz w:val="20"/>
                <w:szCs w:val="20"/>
                <w:color w:val="auto"/>
              </w:rPr>
            </w:pPr>
            <w:r>
              <w:rPr>
                <w:rFonts w:ascii="Arial" w:cs="Arial" w:eastAsia="Arial" w:hAnsi="Arial"/>
                <w:sz w:val="18"/>
                <w:szCs w:val="18"/>
                <w:color w:val="auto"/>
              </w:rPr>
              <w:t>$1,218,507 at March 30, 2019</w:t>
            </w:r>
          </w:p>
        </w:tc>
        <w:tc>
          <w:tcPr>
            <w:tcW w:w="18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1,278,988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1,366,513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8"/>
                <w:szCs w:val="18"/>
                <w:i w:val="1"/>
                <w:iCs w:val="1"/>
                <w:color w:val="auto"/>
              </w:rPr>
              <w:t>(Note 4)</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2,415,802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2,173,889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 xml:space="preserve">Intangible assets, net </w:t>
            </w:r>
            <w:r>
              <w:rPr>
                <w:rFonts w:ascii="Arial" w:cs="Arial" w:eastAsia="Arial" w:hAnsi="Arial"/>
                <w:sz w:val="18"/>
                <w:szCs w:val="18"/>
                <w:i w:val="1"/>
                <w:iCs w:val="1"/>
                <w:color w:val="auto"/>
              </w:rPr>
              <w:t>(Note 4)</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595,307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408,210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18"/>
                <w:szCs w:val="18"/>
                <w:i w:val="1"/>
                <w:iCs w:val="1"/>
                <w:color w:val="auto"/>
              </w:rPr>
              <w:t>(Note 5)</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97,786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8"/>
                <w:szCs w:val="18"/>
                <w:i w:val="1"/>
                <w:iCs w:val="1"/>
                <w:color w:val="auto"/>
              </w:rPr>
              <w:t>(Note 6)</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120,838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76,785</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6,519,503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5,808,024</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239,180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233,307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187,017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160,516</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 xml:space="preserve">Current portion of long-term debt </w:t>
            </w:r>
            <w:r>
              <w:rPr>
                <w:rFonts w:ascii="Arial" w:cs="Arial" w:eastAsia="Arial" w:hAnsi="Arial"/>
                <w:sz w:val="18"/>
                <w:szCs w:val="18"/>
                <w:i w:val="1"/>
                <w:iCs w:val="1"/>
                <w:color w:val="auto"/>
              </w:rPr>
              <w:t>(Note 7)</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5,302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Other current liabilities </w:t>
            </w:r>
            <w:r>
              <w:rPr>
                <w:rFonts w:ascii="Arial" w:cs="Arial" w:eastAsia="Arial" w:hAnsi="Arial"/>
                <w:sz w:val="18"/>
                <w:szCs w:val="18"/>
                <w:i w:val="1"/>
                <w:iCs w:val="1"/>
                <w:color w:val="auto"/>
              </w:rPr>
              <w:t>(Note 6)</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59,706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41,711</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491,205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435,614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8"/>
                <w:szCs w:val="18"/>
                <w:i w:val="1"/>
                <w:iCs w:val="1"/>
                <w:color w:val="auto"/>
              </w:rPr>
              <w:t>(Note 7)</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1,568,554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920,935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 xml:space="preserve">Other long-term liabilities </w:t>
            </w:r>
            <w:r>
              <w:rPr>
                <w:rFonts w:ascii="Arial" w:cs="Arial" w:eastAsia="Arial" w:hAnsi="Arial"/>
                <w:sz w:val="18"/>
                <w:szCs w:val="18"/>
                <w:i w:val="1"/>
                <w:iCs w:val="1"/>
                <w:color w:val="auto"/>
              </w:rPr>
              <w:t>(Note 6)</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120,367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91,796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2,180,126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1,448,345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$.0001 par value; 5,000 shares authorized; no shares issued and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w w:val="94"/>
              </w:rPr>
              <w:t>Common stock and additional paid-in capital, $.0001 par value; 405,000 shares authorized; 115,738</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540"/>
              <w:spacing w:after="0"/>
              <w:rPr>
                <w:sz w:val="20"/>
                <w:szCs w:val="20"/>
                <w:color w:val="auto"/>
              </w:rPr>
            </w:pPr>
            <w:r>
              <w:rPr>
                <w:rFonts w:ascii="Arial" w:cs="Arial" w:eastAsia="Arial" w:hAnsi="Arial"/>
                <w:sz w:val="18"/>
                <w:szCs w:val="18"/>
                <w:color w:val="auto"/>
                <w:w w:val="91"/>
              </w:rPr>
              <w:t>and 119,063 shares issued and outstanding at December 28, 2019 and March 30, 2019, respectively</w:t>
            </w:r>
          </w:p>
        </w:tc>
        <w:tc>
          <w:tcPr>
            <w:tcW w:w="18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4,383,368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4,687,455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 net of tax</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(6,624)</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(37,148)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(321,152)</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4,339,377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4,359,679</w:t>
            </w:r>
          </w:p>
        </w:tc>
        <w:tc>
          <w:tcPr>
            <w:tcW w:w="0" w:type="dxa"/>
            <w:vAlign w:val="bottom"/>
          </w:tcPr>
          <w:p>
            <w:pPr>
              <w:spacing w:after="0"/>
              <w:rPr>
                <w:sz w:val="1"/>
                <w:szCs w:val="1"/>
                <w:color w:val="auto"/>
              </w:rPr>
            </w:pPr>
          </w:p>
        </w:tc>
      </w:tr>
      <w:tr>
        <w:trPr>
          <w:trHeight w:val="257"/>
        </w:trPr>
        <w:tc>
          <w:tcPr>
            <w:tcW w:w="7900" w:type="dxa"/>
            <w:vAlign w:val="bottom"/>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6,519,503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5,808,024</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420"/>
          </w:cols>
          <w:pgMar w:left="240" w:top="122" w:right="239" w:bottom="1440" w:gutter="0" w:footer="0" w:header="0"/>
        </w:sectPr>
      </w:pPr>
    </w:p>
    <w:p>
      <w:pPr>
        <w:spacing w:after="0" w:line="216" w:lineRule="exact"/>
        <w:rPr>
          <w:sz w:val="20"/>
          <w:szCs w:val="20"/>
          <w:color w:val="auto"/>
        </w:rPr>
      </w:pPr>
    </w:p>
    <w:p>
      <w:pPr>
        <w:jc w:val="center"/>
        <w:ind w:left="49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2109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03" w:lineRule="exact"/>
        <w:rPr>
          <w:sz w:val="20"/>
          <w:szCs w:val="20"/>
          <w:color w:val="auto"/>
        </w:rPr>
      </w:pPr>
    </w:p>
    <w:p>
      <w:pPr>
        <w:ind w:left="4920"/>
        <w:spacing w:after="0"/>
        <w:tabs>
          <w:tab w:leader="none" w:pos="6620" w:val="left"/>
        </w:tabs>
        <w:rPr>
          <w:sz w:val="20"/>
          <w:szCs w:val="20"/>
          <w:color w:val="auto"/>
        </w:rPr>
      </w:pPr>
      <w:r>
        <w:rPr>
          <w:rFonts w:ascii="Arial" w:cs="Arial" w:eastAsia="Arial" w:hAnsi="Arial"/>
          <w:sz w:val="14"/>
          <w:szCs w:val="14"/>
          <w:b w:val="1"/>
          <w:bCs w:val="1"/>
          <w:color w:val="auto"/>
        </w:rPr>
        <w:t>December 28, 2019</w:t>
      </w:r>
      <w:r>
        <w:rPr>
          <w:sz w:val="20"/>
          <w:szCs w:val="20"/>
          <w:color w:val="auto"/>
        </w:rPr>
        <w:tab/>
      </w:r>
      <w:r>
        <w:rPr>
          <w:rFonts w:ascii="Arial" w:cs="Arial" w:eastAsia="Arial" w:hAnsi="Arial"/>
          <w:sz w:val="12"/>
          <w:szCs w:val="12"/>
          <w:b w:val="1"/>
          <w:bCs w:val="1"/>
          <w:color w:val="auto"/>
        </w:rPr>
        <w:t>December 29, 2018</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23495</wp:posOffset>
            </wp:positionV>
            <wp:extent cx="20923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680" w:val="left"/>
        </w:tabs>
        <w:rPr>
          <w:sz w:val="20"/>
          <w:szCs w:val="20"/>
          <w:color w:val="auto"/>
        </w:rPr>
      </w:pPr>
      <w:r>
        <w:rPr>
          <w:rFonts w:ascii="Arial" w:cs="Arial" w:eastAsia="Arial" w:hAnsi="Arial"/>
          <w:sz w:val="14"/>
          <w:szCs w:val="14"/>
          <w:b w:val="1"/>
          <w:bCs w:val="1"/>
          <w:color w:val="auto"/>
        </w:rPr>
        <w:t>December 28, 2019</w:t>
      </w:r>
      <w:r>
        <w:rPr>
          <w:sz w:val="20"/>
          <w:szCs w:val="20"/>
          <w:color w:val="auto"/>
        </w:rPr>
        <w:tab/>
      </w:r>
      <w:r>
        <w:rPr>
          <w:rFonts w:ascii="Arial" w:cs="Arial" w:eastAsia="Arial" w:hAnsi="Arial"/>
          <w:sz w:val="12"/>
          <w:szCs w:val="12"/>
          <w:b w:val="1"/>
          <w:bCs w:val="1"/>
          <w:color w:val="auto"/>
        </w:rPr>
        <w:t>December 29, 2018</w:t>
      </w:r>
    </w:p>
    <w:p>
      <w:pPr>
        <w:spacing w:after="0" w:line="25" w:lineRule="exact"/>
        <w:rPr>
          <w:sz w:val="20"/>
          <w:szCs w:val="20"/>
          <w:color w:val="auto"/>
        </w:rPr>
      </w:pPr>
    </w:p>
    <w:p>
      <w:pPr>
        <w:sectPr>
          <w:pgSz w:w="11900" w:h="16838" w:orient="portrait"/>
          <w:cols w:equalWidth="0" w:num="2">
            <w:col w:w="7800" w:space="540"/>
            <w:col w:w="308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869,073</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832,330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2,451,369</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2,409,443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500,962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493,967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1,465,387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1,480,833</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368,111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338,363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985,982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928,610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122,851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109,985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357,385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337,636</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81,205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125,604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258,458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401,041</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Other operating expense </w:t>
            </w:r>
            <w:r>
              <w:rPr>
                <w:rFonts w:ascii="Arial" w:cs="Arial" w:eastAsia="Arial" w:hAnsi="Arial"/>
                <w:sz w:val="18"/>
                <w:szCs w:val="18"/>
                <w:i w:val="1"/>
                <w:iCs w:val="1"/>
                <w:color w:val="auto"/>
              </w:rPr>
              <w:t>(Notes 4 and 10)</w:t>
            </w:r>
          </w:p>
        </w:tc>
        <w:tc>
          <w:tcPr>
            <w:tcW w:w="5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10,986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21,617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49,077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37,514</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5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215,042</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257,206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664,920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776,191</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153,069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81,157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321,062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152,419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8"/>
                <w:szCs w:val="18"/>
                <w:i w:val="1"/>
                <w:iCs w:val="1"/>
                <w:color w:val="auto"/>
              </w:rPr>
              <w:t>(Note 7)</w:t>
            </w: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(9,562)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(41,457)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(33,604)</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 xml:space="preserve">Other income (expense) </w:t>
            </w:r>
            <w:r>
              <w:rPr>
                <w:rFonts w:ascii="Arial" w:cs="Arial" w:eastAsia="Arial" w:hAnsi="Arial"/>
                <w:sz w:val="18"/>
                <w:szCs w:val="18"/>
                <w:i w:val="1"/>
                <w:iCs w:val="1"/>
                <w:color w:val="auto"/>
              </w:rPr>
              <w:t>(Notes 4 &amp; 7)</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44,148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42,737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(85,007)</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318"/>
        </w:trPr>
        <w:tc>
          <w:tcPr>
            <w:tcW w:w="47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183,191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70,889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330,454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41,596</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324"/>
        </w:trPr>
        <w:tc>
          <w:tcPr>
            <w:tcW w:w="47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 xml:space="preserve">Income tax (expense) benefit </w:t>
            </w:r>
            <w:r>
              <w:rPr>
                <w:rFonts w:ascii="Arial" w:cs="Arial" w:eastAsia="Arial" w:hAnsi="Arial"/>
                <w:sz w:val="18"/>
                <w:szCs w:val="18"/>
                <w:i w:val="1"/>
                <w:iCs w:val="1"/>
                <w:color w:val="auto"/>
              </w:rPr>
              <w:t>(Note 12)</w:t>
            </w: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(21,835)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(46,519)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30,012</w:t>
            </w:r>
          </w:p>
        </w:tc>
      </w:tr>
      <w:tr>
        <w:trPr>
          <w:trHeight w:val="27"/>
        </w:trPr>
        <w:tc>
          <w:tcPr>
            <w:tcW w:w="47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161,356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69,517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283,935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71,608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Net income per share </w:t>
            </w:r>
            <w:r>
              <w:rPr>
                <w:rFonts w:ascii="Arial" w:cs="Arial" w:eastAsia="Arial" w:hAnsi="Arial"/>
                <w:sz w:val="18"/>
                <w:szCs w:val="18"/>
                <w:i w:val="1"/>
                <w:iCs w:val="1"/>
                <w:color w:val="auto"/>
              </w:rPr>
              <w:t>(Note 13)</w:t>
            </w: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Basic</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0.57</w:t>
            </w:r>
          </w:p>
        </w:tc>
      </w:tr>
      <w:tr>
        <w:trPr>
          <w:trHeight w:val="67"/>
        </w:trPr>
        <w:tc>
          <w:tcPr>
            <w:tcW w:w="47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56"/>
        </w:trPr>
        <w:tc>
          <w:tcPr>
            <w:tcW w:w="470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 xml:space="preserve">Weighted average shares of common stock outstanding </w:t>
            </w:r>
            <w:r>
              <w:rPr>
                <w:rFonts w:ascii="Arial" w:cs="Arial" w:eastAsia="Arial" w:hAnsi="Arial"/>
                <w:sz w:val="18"/>
                <w:szCs w:val="18"/>
                <w:i w:val="1"/>
                <w:iCs w:val="1"/>
                <w:color w:val="auto"/>
                <w:w w:val="94"/>
              </w:rPr>
              <w:t>(Note</w:t>
            </w: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13):</w:t>
            </w:r>
          </w:p>
        </w:tc>
        <w:tc>
          <w:tcPr>
            <w:tcW w:w="5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Basic</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116,129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124,308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117,436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125,437</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5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118,455</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126,842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119,712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128,360</w:t>
            </w:r>
          </w:p>
        </w:tc>
      </w:tr>
      <w:tr>
        <w:trPr>
          <w:trHeight w:val="27"/>
        </w:trPr>
        <w:tc>
          <w:tcPr>
            <w:tcW w:w="47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1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3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28, 2019</w:t>
            </w:r>
          </w:p>
        </w:tc>
        <w:tc>
          <w:tcPr>
            <w:tcW w:w="16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29, 2018</w:t>
            </w:r>
          </w:p>
        </w:tc>
        <w:tc>
          <w:tcPr>
            <w:tcW w:w="180" w:type="dxa"/>
            <w:vAlign w:val="bottom"/>
          </w:tcPr>
          <w:p>
            <w:pPr>
              <w:spacing w:after="0"/>
              <w:rPr>
                <w:sz w:val="22"/>
                <w:szCs w:val="22"/>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28, 2019</w:t>
            </w:r>
          </w:p>
        </w:tc>
        <w:tc>
          <w:tcPr>
            <w:tcW w:w="180" w:type="dxa"/>
            <w:vAlign w:val="bottom"/>
          </w:tcPr>
          <w:p>
            <w:pPr>
              <w:spacing w:after="0"/>
              <w:rPr>
                <w:sz w:val="22"/>
                <w:szCs w:val="22"/>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29, 2018</w:t>
            </w:r>
          </w:p>
        </w:tc>
      </w:tr>
      <w:tr>
        <w:trPr>
          <w:trHeight w:val="27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161,356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69,517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283,935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71,608</w:t>
            </w: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41"/>
        </w:trPr>
        <w:tc>
          <w:tcPr>
            <w:tcW w:w="4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Unrealized (loss) gain on marketable securities,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w w:val="92"/>
              </w:rPr>
              <w:t>Foreign currency translation adjustment, including intra-entity</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4700" w:type="dxa"/>
            <w:vAlign w:val="bottom"/>
          </w:tcPr>
          <w:p>
            <w:pPr>
              <w:ind w:left="340"/>
              <w:spacing w:after="0"/>
              <w:rPr>
                <w:sz w:val="20"/>
                <w:szCs w:val="20"/>
                <w:color w:val="auto"/>
              </w:rPr>
            </w:pPr>
            <w:r>
              <w:rPr>
                <w:rFonts w:ascii="Arial" w:cs="Arial" w:eastAsia="Arial" w:hAnsi="Arial"/>
                <w:sz w:val="18"/>
                <w:szCs w:val="18"/>
                <w:color w:val="auto"/>
              </w:rPr>
              <w:t>foreign currency transactions that are of a long-term</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4700" w:type="dxa"/>
            <w:vAlign w:val="bottom"/>
          </w:tcPr>
          <w:p>
            <w:pPr>
              <w:ind w:left="340"/>
              <w:spacing w:after="0"/>
              <w:rPr>
                <w:sz w:val="20"/>
                <w:szCs w:val="20"/>
                <w:color w:val="auto"/>
              </w:rPr>
            </w:pPr>
            <w:r>
              <w:rPr>
                <w:rFonts w:ascii="Arial" w:cs="Arial" w:eastAsia="Arial" w:hAnsi="Arial"/>
                <w:sz w:val="18"/>
                <w:szCs w:val="18"/>
                <w:color w:val="auto"/>
              </w:rPr>
              <w:t>investment nature</w:t>
            </w:r>
          </w:p>
        </w:tc>
        <w:tc>
          <w:tcPr>
            <w:tcW w:w="16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(3,448)</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Foreign currency loss included in net income</w:t>
            </w:r>
          </w:p>
        </w:tc>
        <w:tc>
          <w:tcPr>
            <w:tcW w:w="1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Amortization of pension actuarial loss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(3,318)</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162,171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68,455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283,716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68,290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QORVO,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Common Stock</w:t>
      </w:r>
    </w:p>
    <w:tbl>
      <w:tblPr>
        <w:tblLayout w:type="fixed"/>
        <w:tblInd w:w="0" w:type="dxa"/>
        <w:tblCellMar>
          <w:top w:w="0" w:type="dxa"/>
          <w:left w:w="0" w:type="dxa"/>
          <w:bottom w:w="0" w:type="dxa"/>
          <w:right w:w="0" w:type="dxa"/>
        </w:tblCellMar>
      </w:tblPr>
      <w:tr>
        <w:trPr>
          <w:trHeight w:val="47"/>
        </w:trPr>
        <w:tc>
          <w:tcPr>
            <w:tcW w:w="412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gridSpan w:val="3"/>
            <w:vMerge w:val="restart"/>
          </w:tcPr>
          <w:p>
            <w:pPr>
              <w:ind w:left="60"/>
              <w:spacing w:after="0" w:line="133" w:lineRule="exact"/>
              <w:rPr>
                <w:sz w:val="20"/>
                <w:szCs w:val="20"/>
                <w:color w:val="auto"/>
              </w:rPr>
            </w:pPr>
            <w:r>
              <w:rPr>
                <w:rFonts w:ascii="Arial" w:cs="Arial" w:eastAsia="Arial" w:hAnsi="Arial"/>
                <w:sz w:val="14"/>
                <w:szCs w:val="14"/>
                <w:b w:val="1"/>
                <w:bCs w:val="1"/>
                <w:color w:val="auto"/>
              </w:rPr>
              <w:t>Accumulated Other</w:t>
            </w:r>
          </w:p>
        </w:tc>
        <w:tc>
          <w:tcPr>
            <w:tcW w:w="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5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5"/>
                <w:szCs w:val="5"/>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1460" w:type="dxa"/>
            <w:vAlign w:val="bottom"/>
            <w:gridSpan w:val="3"/>
            <w:vMerge w:val="continue"/>
          </w:tcPr>
          <w:p>
            <w:pPr>
              <w:spacing w:after="0"/>
              <w:rPr>
                <w:sz w:val="5"/>
                <w:szCs w:val="5"/>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 Deficit</w:t>
            </w:r>
          </w:p>
        </w:tc>
        <w:tc>
          <w:tcPr>
            <w:tcW w:w="320" w:type="dxa"/>
            <w:vAlign w:val="bottom"/>
          </w:tcPr>
          <w:p>
            <w:pPr>
              <w:spacing w:after="0"/>
              <w:rPr>
                <w:sz w:val="5"/>
                <w:szCs w:val="5"/>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Comprehensive Loss</w:t>
            </w:r>
          </w:p>
        </w:tc>
        <w:tc>
          <w:tcPr>
            <w:tcW w:w="148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28, 2019</w:t>
            </w:r>
          </w:p>
        </w:tc>
        <w:tc>
          <w:tcPr>
            <w:tcW w:w="13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116,294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4,471,656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(198,504)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4,265,494</w:t>
            </w:r>
          </w:p>
        </w:tc>
        <w:tc>
          <w:tcPr>
            <w:tcW w:w="0" w:type="dxa"/>
            <w:vAlign w:val="bottom"/>
          </w:tcPr>
          <w:p>
            <w:pPr>
              <w:spacing w:after="0"/>
              <w:rPr>
                <w:sz w:val="1"/>
                <w:szCs w:val="1"/>
                <w:color w:val="auto"/>
              </w:rPr>
            </w:pPr>
          </w:p>
        </w:tc>
      </w:tr>
      <w:tr>
        <w:trPr>
          <w:trHeight w:val="266"/>
        </w:trPr>
        <w:tc>
          <w:tcPr>
            <w:tcW w:w="41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161,356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161,356</w:t>
            </w:r>
          </w:p>
        </w:tc>
        <w:tc>
          <w:tcPr>
            <w:tcW w:w="0" w:type="dxa"/>
            <w:vAlign w:val="bottom"/>
          </w:tcPr>
          <w:p>
            <w:pPr>
              <w:spacing w:after="0"/>
              <w:rPr>
                <w:sz w:val="1"/>
                <w:szCs w:val="1"/>
                <w:color w:val="auto"/>
              </w:rPr>
            </w:pPr>
          </w:p>
        </w:tc>
      </w:tr>
      <w:tr>
        <w:trPr>
          <w:trHeight w:val="274"/>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29"/>
        </w:trPr>
        <w:tc>
          <w:tcPr>
            <w:tcW w:w="4120" w:type="dxa"/>
            <w:vAlign w:val="bottom"/>
          </w:tcPr>
          <w:p>
            <w:pPr>
              <w:ind w:left="360"/>
              <w:spacing w:after="0"/>
              <w:rPr>
                <w:sz w:val="20"/>
                <w:szCs w:val="20"/>
                <w:color w:val="auto"/>
              </w:rPr>
            </w:pPr>
            <w:r>
              <w:rPr>
                <w:rFonts w:ascii="Arial" w:cs="Arial" w:eastAsia="Arial" w:hAnsi="Arial"/>
                <w:sz w:val="18"/>
                <w:szCs w:val="18"/>
                <w:color w:val="auto"/>
                <w:w w:val="94"/>
              </w:rPr>
              <w:t>Exercise of stock options and vesting of restricted</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520"/>
              <w:spacing w:after="0"/>
              <w:rPr>
                <w:sz w:val="20"/>
                <w:szCs w:val="20"/>
                <w:color w:val="auto"/>
              </w:rPr>
            </w:pPr>
            <w:r>
              <w:rPr>
                <w:rFonts w:ascii="Arial" w:cs="Arial" w:eastAsia="Arial" w:hAnsi="Arial"/>
                <w:sz w:val="18"/>
                <w:szCs w:val="18"/>
                <w:color w:val="auto"/>
                <w:w w:val="94"/>
              </w:rPr>
              <w:t>stock units, net of shares withheld for employee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520"/>
              <w:spacing w:after="0"/>
              <w:rPr>
                <w:sz w:val="20"/>
                <w:szCs w:val="20"/>
                <w:color w:val="auto"/>
              </w:rPr>
            </w:pPr>
            <w:r>
              <w:rPr>
                <w:rFonts w:ascii="Arial" w:cs="Arial" w:eastAsia="Arial" w:hAnsi="Arial"/>
                <w:sz w:val="18"/>
                <w:szCs w:val="18"/>
                <w:color w:val="auto"/>
              </w:rPr>
              <w:t>taxes</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10,150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10,150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in connection with</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employee stock purchase plan</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13,710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13,710</w:t>
            </w:r>
          </w:p>
        </w:tc>
        <w:tc>
          <w:tcPr>
            <w:tcW w:w="0" w:type="dxa"/>
            <w:vAlign w:val="bottom"/>
          </w:tcPr>
          <w:p>
            <w:pPr>
              <w:spacing w:after="0"/>
              <w:rPr>
                <w:sz w:val="1"/>
                <w:szCs w:val="1"/>
                <w:color w:val="auto"/>
              </w:rPr>
            </w:pPr>
          </w:p>
        </w:tc>
      </w:tr>
      <w:tr>
        <w:trPr>
          <w:trHeight w:val="229"/>
        </w:trPr>
        <w:tc>
          <w:tcPr>
            <w:tcW w:w="4120" w:type="dxa"/>
            <w:vAlign w:val="bottom"/>
          </w:tcPr>
          <w:p>
            <w:pPr>
              <w:ind w:left="360"/>
              <w:spacing w:after="0"/>
              <w:rPr>
                <w:sz w:val="20"/>
                <w:szCs w:val="20"/>
                <w:color w:val="auto"/>
              </w:rPr>
            </w:pPr>
            <w:r>
              <w:rPr>
                <w:rFonts w:ascii="Arial" w:cs="Arial" w:eastAsia="Arial" w:hAnsi="Arial"/>
                <w:sz w:val="18"/>
                <w:szCs w:val="18"/>
                <w:color w:val="auto"/>
                <w:w w:val="90"/>
              </w:rPr>
              <w:t>Repurchase of common stock, including transaction</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520"/>
              <w:spacing w:after="0"/>
              <w:rPr>
                <w:sz w:val="20"/>
                <w:szCs w:val="20"/>
                <w:color w:val="auto"/>
              </w:rPr>
            </w:pPr>
            <w:r>
              <w:rPr>
                <w:rFonts w:ascii="Arial" w:cs="Arial" w:eastAsia="Arial" w:hAnsi="Arial"/>
                <w:sz w:val="18"/>
                <w:szCs w:val="18"/>
                <w:color w:val="auto"/>
              </w:rPr>
              <w:t>costs</w:t>
            </w:r>
          </w:p>
        </w:tc>
        <w:tc>
          <w:tcPr>
            <w:tcW w:w="1380" w:type="dxa"/>
            <w:vAlign w:val="bottom"/>
          </w:tcPr>
          <w:p>
            <w:pPr>
              <w:jc w:val="right"/>
              <w:spacing w:after="0"/>
              <w:rPr>
                <w:sz w:val="20"/>
                <w:szCs w:val="20"/>
                <w:color w:val="auto"/>
              </w:rPr>
            </w:pPr>
            <w:r>
              <w:rPr>
                <w:rFonts w:ascii="Arial" w:cs="Arial" w:eastAsia="Arial" w:hAnsi="Arial"/>
                <w:sz w:val="18"/>
                <w:szCs w:val="18"/>
                <w:color w:val="auto"/>
              </w:rPr>
              <w:t>(1,259)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(125,012)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(125,012)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12,864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12,864</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Balance, December 28, 2019</w:t>
            </w: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115,738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4,383,368</w:t>
            </w:r>
          </w:p>
        </w:tc>
        <w:tc>
          <w:tcPr>
            <w:tcW w:w="120" w:type="dxa"/>
            <w:vAlign w:val="bottom"/>
          </w:tcPr>
          <w:p>
            <w:pPr>
              <w:spacing w:after="0"/>
              <w:rPr>
                <w:sz w:val="20"/>
                <w:szCs w:val="20"/>
                <w:color w:val="auto"/>
              </w:rPr>
            </w:pPr>
          </w:p>
        </w:tc>
        <w:tc>
          <w:tcPr>
            <w:tcW w:w="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(37,148)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4,339,377</w:t>
            </w:r>
          </w:p>
        </w:tc>
        <w:tc>
          <w:tcPr>
            <w:tcW w:w="0" w:type="dxa"/>
            <w:vAlign w:val="bottom"/>
          </w:tcPr>
          <w:p>
            <w:pPr>
              <w:spacing w:after="0"/>
              <w:rPr>
                <w:sz w:val="1"/>
                <w:szCs w:val="1"/>
                <w:color w:val="auto"/>
              </w:rPr>
            </w:pPr>
          </w:p>
        </w:tc>
      </w:tr>
      <w:tr>
        <w:trPr>
          <w:trHeight w:val="67"/>
        </w:trPr>
        <w:tc>
          <w:tcPr>
            <w:tcW w:w="4120" w:type="dxa"/>
            <w:vAlign w:val="bottom"/>
            <w:tcBorders>
              <w:bottom w:val="single" w:sz="8" w:color="CCEEFF"/>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Balance, September 29, 2018</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125,046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5,089,331</w:t>
            </w:r>
          </w:p>
        </w:tc>
        <w:tc>
          <w:tcPr>
            <w:tcW w:w="12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(5,008)</w:t>
            </w:r>
          </w:p>
        </w:tc>
        <w:tc>
          <w:tcPr>
            <w:tcW w:w="100" w:type="dxa"/>
            <w:vAlign w:val="bottom"/>
          </w:tcPr>
          <w:p>
            <w:pPr>
              <w:spacing w:after="0"/>
              <w:rPr>
                <w:sz w:val="21"/>
                <w:szCs w:val="21"/>
                <w:color w:val="auto"/>
              </w:rPr>
            </w:pPr>
          </w:p>
        </w:tc>
        <w:tc>
          <w:tcPr>
            <w:tcW w:w="360" w:type="dxa"/>
            <w:vAlign w:val="bottom"/>
          </w:tcPr>
          <w:p>
            <w:pPr>
              <w:jc w:val="right"/>
              <w:ind w:right="154"/>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(452,186)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4,632,137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69,517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69,517</w:t>
            </w:r>
          </w:p>
        </w:tc>
        <w:tc>
          <w:tcPr>
            <w:tcW w:w="0" w:type="dxa"/>
            <w:vAlign w:val="bottom"/>
          </w:tcPr>
          <w:p>
            <w:pPr>
              <w:spacing w:after="0"/>
              <w:rPr>
                <w:sz w:val="1"/>
                <w:szCs w:val="1"/>
                <w:color w:val="auto"/>
              </w:rPr>
            </w:pPr>
          </w:p>
        </w:tc>
      </w:tr>
      <w:tr>
        <w:trPr>
          <w:trHeight w:val="266"/>
        </w:trPr>
        <w:tc>
          <w:tcPr>
            <w:tcW w:w="4120" w:type="dxa"/>
            <w:vAlign w:val="bottom"/>
          </w:tcPr>
          <w:p>
            <w:pPr>
              <w:ind w:left="360"/>
              <w:spacing w:after="0"/>
              <w:rPr>
                <w:sz w:val="20"/>
                <w:szCs w:val="20"/>
                <w:color w:val="auto"/>
              </w:rPr>
            </w:pPr>
            <w:r>
              <w:rPr>
                <w:rFonts w:ascii="Arial" w:cs="Arial" w:eastAsia="Arial" w:hAnsi="Arial"/>
                <w:sz w:val="18"/>
                <w:szCs w:val="18"/>
                <w:color w:val="auto"/>
              </w:rPr>
              <w:t>Other comprehensive loss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33"/>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Exercise of stock options and vesting of restricted</w:t>
            </w: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4"/>
              </w:rPr>
              <w:t>stock units, net of shares withheld for employee</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taxes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9"/>
        </w:trPr>
        <w:tc>
          <w:tcPr>
            <w:tcW w:w="4120" w:type="dxa"/>
            <w:vAlign w:val="bottom"/>
          </w:tcPr>
          <w:p>
            <w:pPr>
              <w:ind w:left="360"/>
              <w:spacing w:after="0"/>
              <w:rPr>
                <w:sz w:val="20"/>
                <w:szCs w:val="20"/>
                <w:color w:val="auto"/>
              </w:rPr>
            </w:pPr>
            <w:r>
              <w:rPr>
                <w:rFonts w:ascii="Arial" w:cs="Arial" w:eastAsia="Arial" w:hAnsi="Arial"/>
                <w:sz w:val="18"/>
                <w:szCs w:val="18"/>
                <w:color w:val="auto"/>
              </w:rPr>
              <w:t>Issuance of common stock in connection with</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520"/>
              <w:spacing w:after="0"/>
              <w:rPr>
                <w:sz w:val="20"/>
                <w:szCs w:val="20"/>
                <w:color w:val="auto"/>
              </w:rPr>
            </w:pPr>
            <w:r>
              <w:rPr>
                <w:rFonts w:ascii="Arial" w:cs="Arial" w:eastAsia="Arial" w:hAnsi="Arial"/>
                <w:sz w:val="18"/>
                <w:szCs w:val="18"/>
                <w:color w:val="auto"/>
              </w:rPr>
              <w:t>employee stock purchase plan</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12,535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12,535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Repurchase of common stock, including transaction</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costs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(151,993)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(151,993)</w:t>
            </w:r>
          </w:p>
        </w:tc>
        <w:tc>
          <w:tcPr>
            <w:tcW w:w="0" w:type="dxa"/>
            <w:vAlign w:val="bottom"/>
          </w:tcPr>
          <w:p>
            <w:pPr>
              <w:spacing w:after="0"/>
              <w:rPr>
                <w:sz w:val="1"/>
                <w:szCs w:val="1"/>
                <w:color w:val="auto"/>
              </w:rPr>
            </w:pPr>
          </w:p>
        </w:tc>
      </w:tr>
      <w:tr>
        <w:trPr>
          <w:trHeight w:val="243"/>
        </w:trPr>
        <w:tc>
          <w:tcPr>
            <w:tcW w:w="412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15,960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15,960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29, 2018</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123,001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4,966,059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(382,669)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4,577,320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QORVO,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Common Stock</w:t>
      </w:r>
    </w:p>
    <w:tbl>
      <w:tblPr>
        <w:tblLayout w:type="fixed"/>
        <w:tblInd w:w="0" w:type="dxa"/>
        <w:tblCellMar>
          <w:top w:w="0" w:type="dxa"/>
          <w:left w:w="0" w:type="dxa"/>
          <w:bottom w:w="0" w:type="dxa"/>
          <w:right w:w="0" w:type="dxa"/>
        </w:tblCellMar>
      </w:tblPr>
      <w:tr>
        <w:trPr>
          <w:trHeight w:val="47"/>
        </w:trPr>
        <w:tc>
          <w:tcPr>
            <w:tcW w:w="412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gridSpan w:val="3"/>
            <w:vMerge w:val="restart"/>
          </w:tcPr>
          <w:p>
            <w:pPr>
              <w:ind w:left="60"/>
              <w:spacing w:after="0" w:line="133" w:lineRule="exact"/>
              <w:rPr>
                <w:sz w:val="20"/>
                <w:szCs w:val="20"/>
                <w:color w:val="auto"/>
              </w:rPr>
            </w:pPr>
            <w:r>
              <w:rPr>
                <w:rFonts w:ascii="Arial" w:cs="Arial" w:eastAsia="Arial" w:hAnsi="Arial"/>
                <w:sz w:val="14"/>
                <w:szCs w:val="14"/>
                <w:b w:val="1"/>
                <w:bCs w:val="1"/>
                <w:color w:val="auto"/>
              </w:rPr>
              <w:t>Accumulated Other</w:t>
            </w:r>
          </w:p>
        </w:tc>
        <w:tc>
          <w:tcPr>
            <w:tcW w:w="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Nine Months Ended</w:t>
            </w:r>
          </w:p>
        </w:tc>
        <w:tc>
          <w:tcPr>
            <w:tcW w:w="15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1460" w:type="dxa"/>
            <w:vAlign w:val="bottom"/>
            <w:gridSpan w:val="3"/>
            <w:vMerge w:val="continue"/>
          </w:tcPr>
          <w:p>
            <w:pPr>
              <w:spacing w:after="0"/>
              <w:rPr>
                <w:sz w:val="5"/>
                <w:szCs w:val="5"/>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 Deficit</w:t>
            </w:r>
          </w:p>
        </w:tc>
        <w:tc>
          <w:tcPr>
            <w:tcW w:w="320" w:type="dxa"/>
            <w:vAlign w:val="bottom"/>
          </w:tcPr>
          <w:p>
            <w:pPr>
              <w:spacing w:after="0"/>
              <w:rPr>
                <w:sz w:val="5"/>
                <w:szCs w:val="5"/>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Comprehensive Loss</w:t>
            </w:r>
          </w:p>
        </w:tc>
        <w:tc>
          <w:tcPr>
            <w:tcW w:w="148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30, 2019</w:t>
            </w:r>
          </w:p>
        </w:tc>
        <w:tc>
          <w:tcPr>
            <w:tcW w:w="13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119,063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4,687,455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(321,152)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4,359,679</w:t>
            </w:r>
          </w:p>
        </w:tc>
        <w:tc>
          <w:tcPr>
            <w:tcW w:w="0" w:type="dxa"/>
            <w:vAlign w:val="bottom"/>
          </w:tcPr>
          <w:p>
            <w:pPr>
              <w:spacing w:after="0"/>
              <w:rPr>
                <w:sz w:val="1"/>
                <w:szCs w:val="1"/>
                <w:color w:val="auto"/>
              </w:rPr>
            </w:pPr>
          </w:p>
        </w:tc>
      </w:tr>
      <w:tr>
        <w:trPr>
          <w:trHeight w:val="266"/>
        </w:trPr>
        <w:tc>
          <w:tcPr>
            <w:tcW w:w="41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283,935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283,935</w:t>
            </w:r>
          </w:p>
        </w:tc>
        <w:tc>
          <w:tcPr>
            <w:tcW w:w="0" w:type="dxa"/>
            <w:vAlign w:val="bottom"/>
          </w:tcPr>
          <w:p>
            <w:pPr>
              <w:spacing w:after="0"/>
              <w:rPr>
                <w:sz w:val="1"/>
                <w:szCs w:val="1"/>
                <w:color w:val="auto"/>
              </w:rPr>
            </w:pPr>
          </w:p>
        </w:tc>
      </w:tr>
      <w:tr>
        <w:trPr>
          <w:trHeight w:val="274"/>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9"/>
        </w:trPr>
        <w:tc>
          <w:tcPr>
            <w:tcW w:w="4120" w:type="dxa"/>
            <w:vAlign w:val="bottom"/>
          </w:tcPr>
          <w:p>
            <w:pPr>
              <w:ind w:left="360"/>
              <w:spacing w:after="0"/>
              <w:rPr>
                <w:sz w:val="20"/>
                <w:szCs w:val="20"/>
                <w:color w:val="auto"/>
              </w:rPr>
            </w:pPr>
            <w:r>
              <w:rPr>
                <w:rFonts w:ascii="Arial" w:cs="Arial" w:eastAsia="Arial" w:hAnsi="Arial"/>
                <w:sz w:val="18"/>
                <w:szCs w:val="18"/>
                <w:color w:val="auto"/>
                <w:w w:val="94"/>
              </w:rPr>
              <w:t>Exercise of stock options and vesting of restricted</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520"/>
              <w:spacing w:after="0"/>
              <w:rPr>
                <w:sz w:val="20"/>
                <w:szCs w:val="20"/>
                <w:color w:val="auto"/>
              </w:rPr>
            </w:pPr>
            <w:r>
              <w:rPr>
                <w:rFonts w:ascii="Arial" w:cs="Arial" w:eastAsia="Arial" w:hAnsi="Arial"/>
                <w:sz w:val="18"/>
                <w:szCs w:val="18"/>
                <w:color w:val="auto"/>
                <w:w w:val="94"/>
              </w:rPr>
              <w:t>stock units, net of shares withheld for employee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520"/>
              <w:spacing w:after="0"/>
              <w:rPr>
                <w:sz w:val="20"/>
                <w:szCs w:val="20"/>
                <w:color w:val="auto"/>
              </w:rPr>
            </w:pPr>
            <w:r>
              <w:rPr>
                <w:rFonts w:ascii="Arial" w:cs="Arial" w:eastAsia="Arial" w:hAnsi="Arial"/>
                <w:sz w:val="18"/>
                <w:szCs w:val="18"/>
                <w:color w:val="auto"/>
              </w:rPr>
              <w:t>taxes</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1,327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(5,459)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(5,459)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in connection with</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employee stock purchase plan</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28,658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28,658</w:t>
            </w:r>
          </w:p>
        </w:tc>
        <w:tc>
          <w:tcPr>
            <w:tcW w:w="0" w:type="dxa"/>
            <w:vAlign w:val="bottom"/>
          </w:tcPr>
          <w:p>
            <w:pPr>
              <w:spacing w:after="0"/>
              <w:rPr>
                <w:sz w:val="1"/>
                <w:szCs w:val="1"/>
                <w:color w:val="auto"/>
              </w:rPr>
            </w:pPr>
          </w:p>
        </w:tc>
      </w:tr>
      <w:tr>
        <w:trPr>
          <w:trHeight w:val="266"/>
        </w:trPr>
        <w:tc>
          <w:tcPr>
            <w:tcW w:w="4120" w:type="dxa"/>
            <w:vAlign w:val="bottom"/>
          </w:tcPr>
          <w:p>
            <w:pPr>
              <w:ind w:left="360"/>
              <w:spacing w:after="0"/>
              <w:rPr>
                <w:sz w:val="20"/>
                <w:szCs w:val="20"/>
                <w:color w:val="auto"/>
              </w:rPr>
            </w:pPr>
            <w:r>
              <w:rPr>
                <w:rFonts w:ascii="Arial" w:cs="Arial" w:eastAsia="Arial" w:hAnsi="Arial"/>
                <w:sz w:val="18"/>
                <w:szCs w:val="18"/>
                <w:color w:val="auto"/>
              </w:rPr>
              <w:t>Cumulative-effect adoption of ASU 2016-02</w:t>
            </w:r>
          </w:p>
        </w:tc>
        <w:tc>
          <w:tcPr>
            <w:tcW w:w="1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3"/>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Repurchase of common stock, including transaction</w:t>
            </w: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costs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(390,117)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(390,117)</w:t>
            </w:r>
          </w:p>
        </w:tc>
        <w:tc>
          <w:tcPr>
            <w:tcW w:w="0" w:type="dxa"/>
            <w:vAlign w:val="bottom"/>
          </w:tcPr>
          <w:p>
            <w:pPr>
              <w:spacing w:after="0"/>
              <w:rPr>
                <w:sz w:val="1"/>
                <w:szCs w:val="1"/>
                <w:color w:val="auto"/>
              </w:rPr>
            </w:pPr>
          </w:p>
        </w:tc>
      </w:tr>
      <w:tr>
        <w:trPr>
          <w:trHeight w:val="243"/>
        </w:trPr>
        <w:tc>
          <w:tcPr>
            <w:tcW w:w="412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62,831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62,831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28, 2019</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115,738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4,383,368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(37,148)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4,339,377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2018</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126,322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5,237,085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(458,769)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4,775,564</w:t>
            </w:r>
          </w:p>
        </w:tc>
        <w:tc>
          <w:tcPr>
            <w:tcW w:w="0" w:type="dxa"/>
            <w:vAlign w:val="bottom"/>
          </w:tcPr>
          <w:p>
            <w:pPr>
              <w:spacing w:after="0"/>
              <w:rPr>
                <w:sz w:val="1"/>
                <w:szCs w:val="1"/>
                <w:color w:val="auto"/>
              </w:rPr>
            </w:pPr>
          </w:p>
        </w:tc>
      </w:tr>
      <w:tr>
        <w:trPr>
          <w:trHeight w:val="266"/>
        </w:trPr>
        <w:tc>
          <w:tcPr>
            <w:tcW w:w="41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71,608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71,608</w:t>
            </w:r>
          </w:p>
        </w:tc>
        <w:tc>
          <w:tcPr>
            <w:tcW w:w="0" w:type="dxa"/>
            <w:vAlign w:val="bottom"/>
          </w:tcPr>
          <w:p>
            <w:pPr>
              <w:spacing w:after="0"/>
              <w:rPr>
                <w:sz w:val="1"/>
                <w:szCs w:val="1"/>
                <w:color w:val="auto"/>
              </w:rPr>
            </w:pPr>
          </w:p>
        </w:tc>
      </w:tr>
      <w:tr>
        <w:trPr>
          <w:trHeight w:val="274"/>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29"/>
        </w:trPr>
        <w:tc>
          <w:tcPr>
            <w:tcW w:w="4120" w:type="dxa"/>
            <w:vAlign w:val="bottom"/>
          </w:tcPr>
          <w:p>
            <w:pPr>
              <w:ind w:left="360"/>
              <w:spacing w:after="0"/>
              <w:rPr>
                <w:sz w:val="20"/>
                <w:szCs w:val="20"/>
                <w:color w:val="auto"/>
              </w:rPr>
            </w:pPr>
            <w:r>
              <w:rPr>
                <w:rFonts w:ascii="Arial" w:cs="Arial" w:eastAsia="Arial" w:hAnsi="Arial"/>
                <w:sz w:val="18"/>
                <w:szCs w:val="18"/>
                <w:color w:val="auto"/>
                <w:w w:val="94"/>
              </w:rPr>
              <w:t>Exercise of stock options and vesting of restricted</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520"/>
              <w:spacing w:after="0"/>
              <w:rPr>
                <w:sz w:val="20"/>
                <w:szCs w:val="20"/>
                <w:color w:val="auto"/>
              </w:rPr>
            </w:pPr>
            <w:r>
              <w:rPr>
                <w:rFonts w:ascii="Arial" w:cs="Arial" w:eastAsia="Arial" w:hAnsi="Arial"/>
                <w:sz w:val="18"/>
                <w:szCs w:val="18"/>
                <w:color w:val="auto"/>
                <w:w w:val="94"/>
              </w:rPr>
              <w:t>stock units, net of shares withheld for employee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520"/>
              <w:spacing w:after="0"/>
              <w:rPr>
                <w:sz w:val="20"/>
                <w:szCs w:val="20"/>
                <w:color w:val="auto"/>
              </w:rPr>
            </w:pPr>
            <w:r>
              <w:rPr>
                <w:rFonts w:ascii="Arial" w:cs="Arial" w:eastAsia="Arial" w:hAnsi="Arial"/>
                <w:sz w:val="18"/>
                <w:szCs w:val="18"/>
                <w:color w:val="auto"/>
              </w:rPr>
              <w:t>taxes</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(19,633)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(19,633)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in connection with</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employee stock purchase plan</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26,817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26,817</w:t>
            </w:r>
          </w:p>
        </w:tc>
        <w:tc>
          <w:tcPr>
            <w:tcW w:w="0" w:type="dxa"/>
            <w:vAlign w:val="bottom"/>
          </w:tcPr>
          <w:p>
            <w:pPr>
              <w:spacing w:after="0"/>
              <w:rPr>
                <w:sz w:val="1"/>
                <w:szCs w:val="1"/>
                <w:color w:val="auto"/>
              </w:rPr>
            </w:pPr>
          </w:p>
        </w:tc>
      </w:tr>
      <w:tr>
        <w:trPr>
          <w:trHeight w:val="243"/>
        </w:trPr>
        <w:tc>
          <w:tcPr>
            <w:tcW w:w="4120" w:type="dxa"/>
            <w:vAlign w:val="bottom"/>
          </w:tcPr>
          <w:p>
            <w:pPr>
              <w:ind w:left="360"/>
              <w:spacing w:after="0"/>
              <w:rPr>
                <w:sz w:val="20"/>
                <w:szCs w:val="20"/>
                <w:color w:val="auto"/>
              </w:rPr>
            </w:pPr>
            <w:r>
              <w:rPr>
                <w:rFonts w:ascii="Arial" w:cs="Arial" w:eastAsia="Arial" w:hAnsi="Arial"/>
                <w:sz w:val="18"/>
                <w:szCs w:val="18"/>
                <w:color w:val="auto"/>
              </w:rPr>
              <w:t>Cumulative-effect adoption of ASU 2014-09</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vMerge w:val="restart"/>
          </w:tcPr>
          <w:p>
            <w:pPr>
              <w:jc w:val="right"/>
              <w:ind w:right="11"/>
              <w:spacing w:after="0"/>
              <w:rPr>
                <w:sz w:val="20"/>
                <w:szCs w:val="20"/>
                <w:color w:val="auto"/>
              </w:rPr>
            </w:pPr>
            <w:r>
              <w:rPr>
                <w:rFonts w:ascii="Arial" w:cs="Arial" w:eastAsia="Arial" w:hAnsi="Arial"/>
                <w:sz w:val="18"/>
                <w:szCs w:val="18"/>
                <w:color w:val="auto"/>
              </w:rPr>
              <w:t>4,492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vMerge w:val="restart"/>
          </w:tcPr>
          <w:p>
            <w:pPr>
              <w:jc w:val="right"/>
              <w:ind w:right="11"/>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39"/>
        </w:trPr>
        <w:tc>
          <w:tcPr>
            <w:tcW w:w="4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1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Repurchase of common stock, including transaction</w:t>
            </w: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costs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(338,675)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(338,675)</w:t>
            </w:r>
          </w:p>
        </w:tc>
        <w:tc>
          <w:tcPr>
            <w:tcW w:w="0" w:type="dxa"/>
            <w:vAlign w:val="bottom"/>
          </w:tcPr>
          <w:p>
            <w:pPr>
              <w:spacing w:after="0"/>
              <w:rPr>
                <w:sz w:val="1"/>
                <w:szCs w:val="1"/>
                <w:color w:val="auto"/>
              </w:rPr>
            </w:pPr>
          </w:p>
        </w:tc>
      </w:tr>
      <w:tr>
        <w:trPr>
          <w:trHeight w:val="243"/>
        </w:trPr>
        <w:tc>
          <w:tcPr>
            <w:tcW w:w="412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60,465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60,465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29, 2018</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123,001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4,966,059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(382,669)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4,577,320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QORVO,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9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8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28, 2019</w:t>
            </w:r>
          </w:p>
        </w:tc>
        <w:tc>
          <w:tcPr>
            <w:tcW w:w="200" w:type="dxa"/>
            <w:vAlign w:val="bottom"/>
          </w:tcPr>
          <w:p>
            <w:pPr>
              <w:spacing w:after="0"/>
              <w:rPr>
                <w:sz w:val="22"/>
                <w:szCs w:val="22"/>
                <w:color w:val="auto"/>
              </w:rPr>
            </w:pPr>
          </w:p>
        </w:tc>
        <w:tc>
          <w:tcPr>
            <w:tcW w:w="1500" w:type="dxa"/>
            <w:vAlign w:val="bottom"/>
          </w:tcPr>
          <w:p>
            <w:pPr>
              <w:jc w:val="right"/>
              <w:ind w:right="190"/>
              <w:spacing w:after="0"/>
              <w:rPr>
                <w:sz w:val="20"/>
                <w:szCs w:val="20"/>
                <w:color w:val="auto"/>
              </w:rPr>
            </w:pPr>
            <w:r>
              <w:rPr>
                <w:rFonts w:ascii="Arial" w:cs="Arial" w:eastAsia="Arial" w:hAnsi="Arial"/>
                <w:sz w:val="14"/>
                <w:szCs w:val="14"/>
                <w:b w:val="1"/>
                <w:bCs w:val="1"/>
                <w:color w:val="auto"/>
                <w:w w:val="95"/>
              </w:rPr>
              <w:t>December 29, 2018</w:t>
            </w:r>
          </w:p>
        </w:tc>
        <w:tc>
          <w:tcPr>
            <w:tcW w:w="0" w:type="dxa"/>
            <w:vAlign w:val="bottom"/>
          </w:tcPr>
          <w:p>
            <w:pPr>
              <w:spacing w:after="0"/>
              <w:rPr>
                <w:sz w:val="1"/>
                <w:szCs w:val="1"/>
                <w:color w:val="auto"/>
              </w:rPr>
            </w:pPr>
          </w:p>
        </w:tc>
      </w:tr>
      <w:tr>
        <w:trPr>
          <w:trHeight w:val="250"/>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283,935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71,608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172,314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143,008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Intangible assets amortization </w:t>
            </w:r>
            <w:r>
              <w:rPr>
                <w:rFonts w:ascii="Arial" w:cs="Arial" w:eastAsia="Arial" w:hAnsi="Arial"/>
                <w:sz w:val="18"/>
                <w:szCs w:val="18"/>
                <w:i w:val="1"/>
                <w:iCs w:val="1"/>
                <w:color w:val="auto"/>
              </w:rPr>
              <w:t>(Note 4)</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177,930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399,200</w:t>
            </w: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18"/>
                <w:szCs w:val="18"/>
                <w:i w:val="1"/>
                <w:iCs w:val="1"/>
                <w:color w:val="auto"/>
              </w:rPr>
              <w:t>(Note 7)</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84,004</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(58,216)</w:t>
            </w: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 xml:space="preserve">Gain on Cavendish investment </w:t>
            </w:r>
            <w:r>
              <w:rPr>
                <w:rFonts w:ascii="Arial" w:cs="Arial" w:eastAsia="Arial" w:hAnsi="Arial"/>
                <w:sz w:val="18"/>
                <w:szCs w:val="18"/>
                <w:i w:val="1"/>
                <w:iCs w:val="1"/>
                <w:color w:val="auto"/>
              </w:rPr>
              <w:t>(Note 4)</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(43,008)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Asset impairment </w:t>
            </w:r>
            <w:r>
              <w:rPr>
                <w:rFonts w:ascii="Arial" w:cs="Arial" w:eastAsia="Arial" w:hAnsi="Arial"/>
                <w:sz w:val="18"/>
                <w:szCs w:val="18"/>
                <w:i w:val="1"/>
                <w:iCs w:val="1"/>
                <w:color w:val="auto"/>
              </w:rPr>
              <w:t>(Note 10)</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14,913</w:t>
            </w: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62,210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58,874</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3,491</w:t>
            </w: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(74,844)</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44,863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7,474</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and non-current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14,914</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41,723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(9,810)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payable and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(26,574)</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2,705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(5,023)</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731,251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623,019</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(185,627)</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Purchase of available-for-sale debt securities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(132,729)</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Purchase of businesses, net of cash acquired </w:t>
            </w:r>
            <w:r>
              <w:rPr>
                <w:rFonts w:ascii="Arial" w:cs="Arial" w:eastAsia="Arial" w:hAnsi="Arial"/>
                <w:sz w:val="18"/>
                <w:szCs w:val="18"/>
                <w:i w:val="1"/>
                <w:iCs w:val="1"/>
                <w:color w:val="auto"/>
              </w:rPr>
              <w:t>(Note 4)</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(494,783)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Proceeds from sales and maturities of available-for-sale debt securities</w:t>
            </w:r>
          </w:p>
        </w:tc>
        <w:tc>
          <w:tcPr>
            <w:tcW w:w="1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133,132</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investing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(20,238)</w:t>
            </w: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(623,100)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(205,462)</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 xml:space="preserve">Repurchase of debt </w:t>
            </w:r>
            <w:r>
              <w:rPr>
                <w:rFonts w:ascii="Arial" w:cs="Arial" w:eastAsia="Arial" w:hAnsi="Arial"/>
                <w:sz w:val="18"/>
                <w:szCs w:val="18"/>
                <w:i w:val="1"/>
                <w:iCs w:val="1"/>
                <w:color w:val="auto"/>
              </w:rPr>
              <w:t>(Note 7)</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(977,498)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Proceeds from borrowings and debt issuances </w:t>
            </w:r>
            <w:r>
              <w:rPr>
                <w:rFonts w:ascii="Arial" w:cs="Arial" w:eastAsia="Arial" w:hAnsi="Arial"/>
                <w:sz w:val="18"/>
                <w:szCs w:val="18"/>
                <w:i w:val="1"/>
                <w:iCs w:val="1"/>
                <w:color w:val="auto"/>
              </w:rPr>
              <w:t>(Note 7)</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659,000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631,300</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 xml:space="preserve">Repurchase of common stock, including transaction costs </w:t>
            </w:r>
            <w:r>
              <w:rPr>
                <w:rFonts w:ascii="Arial" w:cs="Arial" w:eastAsia="Arial" w:hAnsi="Arial"/>
                <w:sz w:val="18"/>
                <w:szCs w:val="18"/>
                <w:i w:val="1"/>
                <w:iCs w:val="1"/>
                <w:color w:val="auto"/>
              </w:rPr>
              <w:t>(Note 8)</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(390,117)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(338,675)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issuance of common stock</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37,530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25,452</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Tax withholding paid on behalf of employees for restricted stock units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(21,013)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(24,595)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financing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(7,510)</w:t>
            </w: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279,148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(691,526)</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0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386,798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(276,338)</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1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711,382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926,402</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1,098,180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650,064</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Non-cash investing information:</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Capital expenditure adjustments included in accounts payable and accrued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26,152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37,206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80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1,097,724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649,711</w:t>
            </w:r>
          </w:p>
        </w:tc>
        <w:tc>
          <w:tcPr>
            <w:tcW w:w="0" w:type="dxa"/>
            <w:vAlign w:val="bottom"/>
          </w:tcPr>
          <w:p>
            <w:pPr>
              <w:spacing w:after="0"/>
              <w:rPr>
                <w:sz w:val="1"/>
                <w:szCs w:val="1"/>
                <w:color w:val="auto"/>
              </w:rPr>
            </w:pPr>
          </w:p>
        </w:tc>
      </w:tr>
      <w:tr>
        <w:trPr>
          <w:trHeight w:val="243"/>
        </w:trPr>
        <w:tc>
          <w:tcPr>
            <w:tcW w:w="8000" w:type="dxa"/>
            <w:vAlign w:val="bottom"/>
          </w:tcPr>
          <w:p>
            <w:pPr>
              <w:ind w:left="280"/>
              <w:spacing w:after="0"/>
              <w:rPr>
                <w:sz w:val="20"/>
                <w:szCs w:val="20"/>
                <w:color w:val="auto"/>
              </w:rPr>
            </w:pPr>
            <w:r>
              <w:rPr>
                <w:rFonts w:ascii="Arial" w:cs="Arial" w:eastAsia="Arial" w:hAnsi="Arial"/>
                <w:sz w:val="18"/>
                <w:szCs w:val="18"/>
                <w:color w:val="auto"/>
              </w:rPr>
              <w:t>Restricted cash included in "Other non-current assets"</w:t>
            </w:r>
          </w:p>
        </w:tc>
        <w:tc>
          <w:tcPr>
            <w:tcW w:w="1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w:t>
            </w: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1,098,180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650,064</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620" w:type="dxa"/>
            <w:vAlign w:val="bottom"/>
            <w:gridSpan w:val="3"/>
          </w:tcPr>
          <w:p>
            <w:pPr>
              <w:ind w:left="3000"/>
              <w:spacing w:after="0"/>
              <w:rPr>
                <w:sz w:val="20"/>
                <w:szCs w:val="20"/>
                <w:color w:val="auto"/>
              </w:rPr>
            </w:pPr>
            <w:r>
              <w:rPr>
                <w:rFonts w:ascii="Arial" w:cs="Arial" w:eastAsia="Arial" w:hAnsi="Arial"/>
                <w:sz w:val="18"/>
                <w:szCs w:val="18"/>
                <w:color w:val="auto"/>
              </w:rPr>
              <w:t>See accompanying Notes to Condensed Consolidated Financial Statements.</w:t>
            </w:r>
          </w:p>
        </w:tc>
        <w:tc>
          <w:tcPr>
            <w:tcW w:w="1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ectPr>
          <w:pgSz w:w="11900" w:h="16838" w:orient="portrait"/>
          <w:cols w:equalWidth="0" w:num="1">
            <w:col w:w="11420"/>
          </w:cols>
          <w:pgMar w:left="240" w:top="121" w:right="239" w:bottom="597" w:gutter="0" w:footer="0" w:header="0"/>
        </w:sect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597"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accompanying Condensed Consolidated Financial Statements of Qorvo, Inc. and Subsidiaries (together, the "Company" or "Qorvo") have been prepared in conformity with accounting principles generally accepted in the United States ("U.S. GAAP"). The preparation of these financial statements requires management to make estimates and assumptions, which could differ materially from actual results. In addition, certain information or footnote disclosures normally included in financial statements prepared in accordance with U.S. GAAP have been condensed, or omitted, pursuant to the rules and regulations of the Securities and Exchange Commission (“SEC”). In the opinion of management, the financial statements include all adjustments (which are of a normal and recurring nature) necessary for the fair presentation of the results of the interim periods presented. These Condensed Consolidated Financial Statements should be read in conjunction with the Company's audited consolidated financial statements and notes thereto included in Qorvo’s Annual Report on Form 10-K for the fiscal year ended March 30, 2019.</w:t>
      </w:r>
    </w:p>
    <w:p>
      <w:pPr>
        <w:spacing w:after="0" w:line="1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significant intercompany accounts and transactions have been eliminated in consolidation. Certain items in the fiscal 2019 financial statements have been reclassified to conform with the fiscal 2020 presentation.</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uses a 52- or 53-week fiscal year ending on the Saturday closest to March 31 of each year. The first fiscal quarter of each year ends on the Saturday closest to June 30, the second fiscal quarter of each year ends on the Saturday closest to September 30 and the third fiscal quarter of each year ends on the Saturday closest to December 31. Fiscal years 2020 and 2019 are 52-week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assesses recently issued accounting standards by the Financial Accounting Standards Board ("FASB") to determine the expected impacts on the Company's financial statements. The summary below describes impacts from newly issued standards as well as material updates to our previous assessments, if any, from Qorvo’s Annual Report on Form 10-K for the fiscal year ended March 30, 2019.</w:t>
      </w:r>
    </w:p>
    <w:p>
      <w:pPr>
        <w:spacing w:after="0" w:line="18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In February 2016, the FASB issued Accounting Standards Update 2016-02, </w:t>
      </w:r>
      <w:r>
        <w:rPr>
          <w:rFonts w:ascii="Arial" w:cs="Arial" w:eastAsia="Arial" w:hAnsi="Arial"/>
          <w:sz w:val="16"/>
          <w:szCs w:val="16"/>
          <w:i w:val="1"/>
          <w:iCs w:val="1"/>
          <w:color w:val="auto"/>
        </w:rPr>
        <w:t>"Leases (Topic 842)</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with multiple amendments subsequently issued. The new guidance requires that lease arrangements be presented on the lessee's balance sheet by recording a right-of-use asset and a lease liability equal to the present value of the related future minimum lease payments. The Company adopted the standard in the first quarter of fiscal 2020, using the modified retrospective approach which permits lessees to recognize a cumulative-effect adjustment to the opening balance of accumulated deficit in the period of adoption. Upon adoption, the Company recorded a right-of-use asset of $70.7 million and a lease liability of $75.0 million. The difference between the right-of-use asset and lease liability is primarily attributed to a deferred rent liability which existed under Accounting Standards Codification ("ASC") 840, </w:t>
      </w:r>
      <w:r>
        <w:rPr>
          <w:rFonts w:ascii="Arial" w:cs="Arial" w:eastAsia="Arial" w:hAnsi="Arial"/>
          <w:sz w:val="16"/>
          <w:szCs w:val="16"/>
          <w:i w:val="1"/>
          <w:iCs w:val="1"/>
          <w:color w:val="auto"/>
        </w:rPr>
        <w:t>"Leases</w:t>
      </w:r>
      <w:r>
        <w:rPr>
          <w:rFonts w:ascii="Arial" w:cs="Arial" w:eastAsia="Arial" w:hAnsi="Arial"/>
          <w:sz w:val="16"/>
          <w:szCs w:val="16"/>
          <w:color w:val="auto"/>
        </w:rPr>
        <w:t>.</w:t>
      </w:r>
      <w:r>
        <w:rPr>
          <w:rFonts w:ascii="Arial" w:cs="Arial" w:eastAsia="Arial" w:hAnsi="Arial"/>
          <w:sz w:val="16"/>
          <w:szCs w:val="16"/>
          <w:i w:val="1"/>
          <w:iCs w:val="1"/>
          <w:color w:val="auto"/>
        </w:rPr>
        <w:t>"</w:t>
      </w:r>
    </w:p>
    <w:p>
      <w:pPr>
        <w:spacing w:after="0" w:line="165"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The Company elected the transition package of practical expedients, under which the Company does not have to reassess (1) whether any expired or existing contracts are leases, or contain leases, (2) the lease classification for any expired or existing leases, and (3) initial direct costs for any existing leases. Further, the Company elected the practical expedient not to separate lease and non-lease components for substantially all of its classes of leases and to account for the combined lease and non-lease components as a single lease component. In addition, the Company made an accounting policy election to exclude leases with an initial term of 12 months or less from the balance sheet.</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adoption of this standard resulted in a cumulative-effect adjustment to accumulated deficit of less than $0.1 million. This standard did not have a material impact on the Condensed Consolidated Statements of Income or Condensed Consolidated Statements of Cash Flows. See Note 6 for further disclosures resulting from the adoption of this new standard.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net of reserves,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28, 2019</w:t>
            </w:r>
          </w:p>
        </w:tc>
        <w:tc>
          <w:tcPr>
            <w:tcW w:w="240" w:type="dxa"/>
            <w:vAlign w:val="bottom"/>
          </w:tcPr>
          <w:p>
            <w:pPr>
              <w:spacing w:after="0"/>
              <w:rPr>
                <w:sz w:val="16"/>
                <w:szCs w:val="16"/>
                <w:color w:val="auto"/>
              </w:rPr>
            </w:pPr>
          </w:p>
        </w:tc>
        <w:tc>
          <w:tcPr>
            <w:tcW w:w="1460" w:type="dxa"/>
            <w:vAlign w:val="bottom"/>
          </w:tcPr>
          <w:p>
            <w:pPr>
              <w:jc w:val="right"/>
              <w:ind w:right="294"/>
              <w:spacing w:after="0"/>
              <w:rPr>
                <w:sz w:val="20"/>
                <w:szCs w:val="20"/>
                <w:color w:val="auto"/>
              </w:rPr>
            </w:pPr>
            <w:r>
              <w:rPr>
                <w:rFonts w:ascii="Arial" w:cs="Arial" w:eastAsia="Arial" w:hAnsi="Arial"/>
                <w:sz w:val="14"/>
                <w:szCs w:val="14"/>
                <w:b w:val="1"/>
                <w:bCs w:val="1"/>
                <w:color w:val="auto"/>
              </w:rPr>
              <w:t>March 30, 2019</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105,854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118,608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271,798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272,469</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102,233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120,716</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inventories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479,885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511,793</w:t>
            </w:r>
          </w:p>
        </w:tc>
      </w:tr>
      <w:tr>
        <w:trPr>
          <w:trHeight w:val="27"/>
        </w:trPr>
        <w:tc>
          <w:tcPr>
            <w:tcW w:w="7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Cavendish Kinetics Limited</w:t>
      </w:r>
    </w:p>
    <w:p>
      <w:pPr>
        <w:spacing w:after="0" w:line="2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As of September 28, 2019, the Company had an investment in preferred shares in Cavendish Kinetics Limited (“Cavendish”), a private supplier of high-performance radio frequency ("RF") microelectromechanical system ("MEMS") technology for antenna tuning applications, with a carrying value of $59.4 million. The Company accounted for this investment as an equity investment without a readily determinable fair value using the measurement alternative in accordance with Accounting Standards Update ("ASU") 2016-01.</w:t>
      </w:r>
    </w:p>
    <w:p>
      <w:pPr>
        <w:spacing w:after="0" w:line="19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October 4, 2019, the Company completed its acquisition of the remaining issued and outstanding capital of Cavendish for $196.8 million, net of cash acquired. The acquisition advances RF MEMS technology for applications across the Company's products and the technology will be transitioned into high-volume manufacturing for mobile devices and other markets.</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purchase of the remaining equity interest in Cavendish was considered to be an acquisition achieved in stages, whereby the previously held equity interest was remeasured at its acquisition-date fair value. The Company determined that the fair value of its previously held equity investment was $102.4 million based on the purchase consideration exchanged to acquire the remaining issued and outstanding capital of Cavendish. This resulted in recognition of a gain of $43.0 million for the three and nine months ended December 28, 2019, which is recorded in "Other income (expense)" in the Condensed Consolidated Statements of Income.</w:t>
      </w:r>
    </w:p>
    <w:p>
      <w:pPr>
        <w:spacing w:after="0" w:line="18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total purchase price of $305.9 million was allocated to Cavendish's net tangible assets (approximately $4.7 million), deferred tax liability (approximately $16.5 million) and intangible assets (approximately $206.4 million, primarily related to developed technology) based on their estimated fair values as of October 4, 2019.</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fair value of the Cavendish developed technology acquired was determined based on an income approach using the “excess earnings method,” which estimated the value of the intangible asset by discounting the future projected earnings of the asset to present value as of the valuation date. This developed technology is being amortized on a straight-line basis over its estimated useful life of 9 years.</w:t>
      </w:r>
    </w:p>
    <w:p>
      <w:pPr>
        <w:spacing w:after="0" w:line="18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excess of the purchase price over the value of the net tangible assets, deferred tax liability and intangible assets resulted in goodwill of approximately $111.3 million. The Company will continue to evaluate certain assets, liabilities and tax estimates over the measurement period (up to one year from the October 4, 2019 acquisition date).</w:t>
      </w:r>
    </w:p>
    <w:p>
      <w:pPr>
        <w:spacing w:after="0" w:line="18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Company recorded postcombination compensation expense as well as other acquisition and integration related costs during the three and nine months ended December 28, 2019 of $1.9 million and $3.1 million in "Other operating expense" in the Condensed Consolidated Statements of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Active-Semi International, Inc.</w:t>
      </w:r>
    </w:p>
    <w:p>
      <w:pPr>
        <w:spacing w:after="0" w:line="2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May 6, 2019, the Company completed its acquisition of Active-Semi International, Inc. ("Active-Semi"), a private fabless supplier of programmable analog power solutions. The acquisition expanded the Company's product offerings for existing customers and new customers in power management markets. The purchase price of $307.9 million was allocated to Active-Semi's net tangible assets (approximately $18.9 million) and intangible assets (approximately $158.4 million) based on their estimated fair values as of May 6, 2019. The more significant intangible assets acquired included developed technology of $76.7 million, customer relationships of $40.9 million and in-process research and development ("IPRD") of $40.6 million.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The fair value of Active-Semi customer relationships acquired was determined based on an income approach using the “with and without method,” in which the value of the asset is determined by the difference in discounted cash flows of the profitability of the Company “with” the asset and the profitability of the Company “without” the asset. These customer relationships are being amortized on a straight-line basis over their estimated useful lives of 5 years.</w:t>
      </w:r>
    </w:p>
    <w:p>
      <w:pPr>
        <w:spacing w:after="0" w:line="14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fair values of the Active-Semi developed technology and IPRD acquired were determined based on an income approach using the “excess earnings method,” which estimated the values of the intangible assets by discounting the future projected earnings of the asset to present value as of the valuation date. The acquired developed technology assets are being amortized on a straight-line basis over their estimated useful lives, ranging from 5 to 9 years.</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the nine months ended December 28, 2019, $31.0 million of IPRD assets were completed, transferred to finite-lived intangible assets, and are being amortized over their estimated useful lives of 5 to 7 years. The IPRD remaining as of December 28, 2019 is expected to be completed during fiscal 2021 with remaining costs to complete of less than $2.0 million.</w:t>
      </w:r>
    </w:p>
    <w:p>
      <w:pPr>
        <w:spacing w:after="0" w:line="18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excess of the purchase price over the value of the net tangible assets and intangible assets resulted in goodwill of approximately $130.6 million. The Company will continue to evaluate certain assets, liabilities and tax estimates over the measurement period (up to one year from the acquisition date).</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recorded postcombination compensation expense as well as other acquisition and integration related costs during the three and nine months ended December 28, 2019 of $2.1 million and $25.1 million, respectively, in "Other operating expense" in the Condensed Consolidated Statements of Income. In addition, the Company recorded acquisition and integration related costs during the three and nine months ended December 28, 2019 of $0.3 million and $4.5 million, respectively, in "Cost of goods sold" in the Condensed Consolidated Statements of Income.</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change in the carrying amount of goodwill resulting from the Active-Semi and Cavendish acquisitions for the nine months ended December 28, 2019, is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Mobile Products</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Infrastructure and</w:t>
            </w:r>
          </w:p>
        </w:tc>
        <w:tc>
          <w:tcPr>
            <w:tcW w:w="380" w:type="dxa"/>
            <w:vAlign w:val="bottom"/>
          </w:tcPr>
          <w:p>
            <w:pPr>
              <w:spacing w:after="0"/>
              <w:rPr>
                <w:sz w:val="14"/>
                <w:szCs w:val="14"/>
                <w:color w:val="auto"/>
              </w:rPr>
            </w:pPr>
          </w:p>
        </w:tc>
        <w:tc>
          <w:tcPr>
            <w:tcW w:w="122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Defense Products</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30, 2019</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1,751,503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422,386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2,173,889</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Goodwill resulting from Active-Semi acquisition</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130,648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130,648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resulting from Cavendish acquisition</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111,265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111,265</w:t>
            </w:r>
          </w:p>
        </w:tc>
        <w:tc>
          <w:tcPr>
            <w:tcW w:w="0" w:type="dxa"/>
            <w:vAlign w:val="bottom"/>
          </w:tcPr>
          <w:p>
            <w:pPr>
              <w:spacing w:after="0"/>
              <w:rPr>
                <w:sz w:val="1"/>
                <w:szCs w:val="1"/>
                <w:color w:val="auto"/>
              </w:rPr>
            </w:pP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Balance as of December 28, 2019</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1,862,768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553,034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2,415,802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information regarding the gross carrying amounts and accumulated amortization of intangible assets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4"/>
                <w:szCs w:val="14"/>
                <w:b w:val="1"/>
                <w:bCs w:val="1"/>
                <w:color w:val="auto"/>
              </w:rPr>
              <w:t>December 28, 2019</w:t>
            </w:r>
          </w:p>
        </w:tc>
        <w:tc>
          <w:tcPr>
            <w:tcW w:w="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30, 2019</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3"/>
                <w:szCs w:val="13"/>
                <w:color w:val="auto"/>
              </w:rPr>
            </w:pPr>
          </w:p>
        </w:tc>
        <w:tc>
          <w:tcPr>
            <w:tcW w:w="16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3"/>
                <w:szCs w:val="13"/>
                <w:color w:val="auto"/>
              </w:rPr>
            </w:pPr>
          </w:p>
        </w:tc>
        <w:tc>
          <w:tcPr>
            <w:tcW w:w="14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88"/>
              </w:rPr>
              <w:t>Gross</w:t>
            </w:r>
          </w:p>
        </w:tc>
        <w:tc>
          <w:tcPr>
            <w:tcW w:w="460" w:type="dxa"/>
            <w:vAlign w:val="bottom"/>
          </w:tcPr>
          <w:p>
            <w:pPr>
              <w:spacing w:after="0"/>
              <w:rPr>
                <w:sz w:val="13"/>
                <w:szCs w:val="13"/>
                <w:color w:val="auto"/>
              </w:rPr>
            </w:pPr>
          </w:p>
        </w:tc>
        <w:tc>
          <w:tcPr>
            <w:tcW w:w="11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Carrying</w:t>
            </w:r>
          </w:p>
        </w:tc>
        <w:tc>
          <w:tcPr>
            <w:tcW w:w="3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Carrying</w:t>
            </w:r>
          </w:p>
        </w:tc>
        <w:tc>
          <w:tcPr>
            <w:tcW w:w="4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300" w:type="dxa"/>
            <w:vAlign w:val="bottom"/>
          </w:tcPr>
          <w:p>
            <w:pPr>
              <w:spacing w:after="0"/>
              <w:rPr>
                <w:sz w:val="16"/>
                <w:szCs w:val="16"/>
                <w:color w:val="auto"/>
              </w:rPr>
            </w:pPr>
          </w:p>
        </w:tc>
        <w:tc>
          <w:tcPr>
            <w:tcW w:w="164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6"/>
                <w:szCs w:val="16"/>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Amount</w:t>
            </w:r>
          </w:p>
        </w:tc>
        <w:tc>
          <w:tcPr>
            <w:tcW w:w="460" w:type="dxa"/>
            <w:vAlign w:val="bottom"/>
          </w:tcPr>
          <w:p>
            <w:pPr>
              <w:spacing w:after="0"/>
              <w:rPr>
                <w:sz w:val="16"/>
                <w:szCs w:val="16"/>
                <w:color w:val="auto"/>
              </w:rPr>
            </w:pPr>
          </w:p>
        </w:tc>
        <w:tc>
          <w:tcPr>
            <w:tcW w:w="1140" w:type="dxa"/>
            <w:vAlign w:val="bottom"/>
          </w:tcPr>
          <w:p>
            <w:pPr>
              <w:jc w:val="right"/>
              <w:ind w:right="234"/>
              <w:spacing w:after="0"/>
              <w:rPr>
                <w:sz w:val="20"/>
                <w:szCs w:val="20"/>
                <w:color w:val="auto"/>
              </w:rPr>
            </w:pPr>
            <w:r>
              <w:rPr>
                <w:rFonts w:ascii="Arial" w:cs="Arial" w:eastAsia="Arial" w:hAnsi="Arial"/>
                <w:sz w:val="14"/>
                <w:szCs w:val="14"/>
                <w:b w:val="1"/>
                <w:bCs w:val="1"/>
                <w:color w:val="auto"/>
                <w:w w:val="93"/>
              </w:rPr>
              <w:t>Amortization</w:t>
            </w: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Developed technology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1,077,872</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602,536</w:t>
            </w:r>
          </w:p>
        </w:tc>
        <w:tc>
          <w:tcPr>
            <w:tcW w:w="34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1,246,335</w:t>
            </w:r>
          </w:p>
        </w:tc>
        <w:tc>
          <w:tcPr>
            <w:tcW w:w="2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960,793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relationships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426,872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327,829</w:t>
            </w:r>
          </w:p>
        </w:tc>
        <w:tc>
          <w:tcPr>
            <w:tcW w:w="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1,272,725</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1,161,735</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Trade names</w:t>
            </w:r>
          </w:p>
        </w:tc>
        <w:tc>
          <w:tcPr>
            <w:tcW w:w="36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29,391</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29,391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Technology licenses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3,490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2,162</w:t>
            </w:r>
          </w:p>
        </w:tc>
        <w:tc>
          <w:tcPr>
            <w:tcW w:w="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14,704</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13,026</w:t>
            </w:r>
          </w:p>
        </w:tc>
        <w:tc>
          <w:tcPr>
            <w:tcW w:w="0" w:type="dxa"/>
            <w:vAlign w:val="bottom"/>
          </w:tcPr>
          <w:p>
            <w:pPr>
              <w:spacing w:after="0"/>
              <w:rPr>
                <w:sz w:val="1"/>
                <w:szCs w:val="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Non-compete agreement</w:t>
            </w:r>
          </w:p>
        </w:tc>
        <w:tc>
          <w:tcPr>
            <w:tcW w:w="360" w:type="dxa"/>
            <w:vAlign w:val="bottom"/>
          </w:tcPr>
          <w:p>
            <w:pPr>
              <w:spacing w:after="0"/>
              <w:rPr>
                <w:sz w:val="21"/>
                <w:szCs w:val="21"/>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1,026</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IPRD</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19,600</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N/A</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10,000</w:t>
            </w:r>
          </w:p>
        </w:tc>
        <w:tc>
          <w:tcPr>
            <w:tcW w:w="2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1,528,034</w:t>
            </w:r>
          </w:p>
        </w:tc>
        <w:tc>
          <w:tcPr>
            <w:tcW w:w="2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932,727</w:t>
            </w:r>
          </w:p>
        </w:tc>
        <w:tc>
          <w:tcPr>
            <w:tcW w:w="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2,574,181</w:t>
            </w:r>
          </w:p>
        </w:tc>
        <w:tc>
          <w:tcPr>
            <w:tcW w:w="2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2,165,971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the first quarter of each fiscal year, the Company removes the fully amortized balances from the gross asset and accumulated amortization amounts of those intangible assets that were fully amortized as of the prior fiscal year end.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Total intangible assets amortization expense was $63.1 million and $177.9 million, respectively, for the three and nine months ended December 28, 2019, and $132.5 million and $399.2 million, respectively, for the three and nine months ended December 29, 2018.</w:t>
      </w:r>
    </w:p>
    <w:p>
      <w:pPr>
        <w:spacing w:after="0" w:line="170"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Based on the identified intangible assets as of December 28, 2019, the Company's estimated amortization expense for each period is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tcPr>
          <w:p>
            <w:pPr>
              <w:jc w:val="center"/>
              <w:ind w:right="277"/>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8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Pr>
          <w:p>
            <w:pPr>
              <w:spacing w:after="0"/>
              <w:rPr>
                <w:sz w:val="12"/>
                <w:szCs w:val="12"/>
                <w:color w:val="auto"/>
              </w:rPr>
            </w:pPr>
          </w:p>
        </w:tc>
        <w:tc>
          <w:tcPr>
            <w:tcW w:w="162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92"/>
        </w:trPr>
        <w:tc>
          <w:tcPr>
            <w:tcW w:w="894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90"/>
              </w:rPr>
              <w:t>Expense</w:t>
            </w:r>
          </w:p>
        </w:tc>
        <w:tc>
          <w:tcPr>
            <w:tcW w:w="0" w:type="dxa"/>
            <w:vAlign w:val="bottom"/>
          </w:tcPr>
          <w:p>
            <w:pPr>
              <w:spacing w:after="0"/>
              <w:rPr>
                <w:sz w:val="1"/>
                <w:szCs w:val="1"/>
                <w:color w:val="auto"/>
              </w:rPr>
            </w:pPr>
          </w:p>
        </w:tc>
      </w:tr>
      <w:tr>
        <w:trPr>
          <w:trHeight w:val="250"/>
        </w:trPr>
        <w:tc>
          <w:tcPr>
            <w:tcW w:w="8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240,000</w:t>
            </w:r>
          </w:p>
        </w:tc>
        <w:tc>
          <w:tcPr>
            <w:tcW w:w="0" w:type="dxa"/>
            <w:vAlign w:val="bottom"/>
          </w:tcPr>
          <w:p>
            <w:pPr>
              <w:spacing w:after="0"/>
              <w:rPr>
                <w:sz w:val="1"/>
                <w:szCs w:val="1"/>
                <w:color w:val="auto"/>
              </w:rPr>
            </w:pPr>
          </w:p>
        </w:tc>
      </w:tr>
      <w:tr>
        <w:trPr>
          <w:trHeight w:val="243"/>
        </w:trPr>
        <w:tc>
          <w:tcPr>
            <w:tcW w:w="8940" w:type="dxa"/>
            <w:vAlign w:val="bottom"/>
          </w:tcPr>
          <w:p>
            <w:pPr>
              <w:ind w:left="40"/>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206,000</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79,000</w:t>
            </w:r>
          </w:p>
        </w:tc>
        <w:tc>
          <w:tcPr>
            <w:tcW w:w="0" w:type="dxa"/>
            <w:vAlign w:val="bottom"/>
          </w:tcPr>
          <w:p>
            <w:pPr>
              <w:spacing w:after="0"/>
              <w:rPr>
                <w:sz w:val="1"/>
                <w:szCs w:val="1"/>
                <w:color w:val="auto"/>
              </w:rPr>
            </w:pPr>
          </w:p>
        </w:tc>
      </w:tr>
      <w:tr>
        <w:trPr>
          <w:trHeight w:val="243"/>
        </w:trPr>
        <w:tc>
          <w:tcPr>
            <w:tcW w:w="8940" w:type="dxa"/>
            <w:vAlign w:val="bottom"/>
          </w:tcPr>
          <w:p>
            <w:pPr>
              <w:ind w:left="40"/>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63,000</w:t>
            </w:r>
          </w:p>
        </w:tc>
        <w:tc>
          <w:tcPr>
            <w:tcW w:w="0" w:type="dxa"/>
            <w:vAlign w:val="bottom"/>
          </w:tcPr>
          <w:p>
            <w:pPr>
              <w:spacing w:after="0"/>
              <w:rPr>
                <w:sz w:val="1"/>
                <w:szCs w:val="1"/>
                <w:color w:val="auto"/>
              </w:rPr>
            </w:pPr>
          </w:p>
        </w:tc>
      </w:tr>
      <w:tr>
        <w:trPr>
          <w:trHeight w:val="27"/>
        </w:trPr>
        <w:tc>
          <w:tcPr>
            <w:tcW w:w="8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60" w:type="dxa"/>
            <w:vAlign w:val="bottom"/>
            <w:shd w:val="clear" w:color="auto" w:fill="CCEEFF"/>
          </w:tcPr>
          <w:p>
            <w:pPr>
              <w:spacing w:after="0"/>
              <w:rPr>
                <w:sz w:val="21"/>
                <w:szCs w:val="21"/>
                <w:color w:val="auto"/>
              </w:rPr>
            </w:pPr>
          </w:p>
        </w:tc>
        <w:tc>
          <w:tcPr>
            <w:tcW w:w="16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53,000</w:t>
            </w:r>
          </w:p>
        </w:tc>
        <w:tc>
          <w:tcPr>
            <w:tcW w:w="0" w:type="dxa"/>
            <w:vAlign w:val="bottom"/>
          </w:tcPr>
          <w:p>
            <w:pPr>
              <w:spacing w:after="0"/>
              <w:rPr>
                <w:sz w:val="1"/>
                <w:szCs w:val="1"/>
                <w:color w:val="auto"/>
              </w:rPr>
            </w:pPr>
          </w:p>
        </w:tc>
      </w:tr>
      <w:tr>
        <w:trPr>
          <w:trHeight w:val="27"/>
        </w:trPr>
        <w:tc>
          <w:tcPr>
            <w:tcW w:w="89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AND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fair value of the financial assets measured at fair value on a recurring basis was determined using the following levels of inputs as of December 28, 2019 and March 30, 2019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Quoted Prices In</w:t>
            </w:r>
          </w:p>
        </w:tc>
        <w:tc>
          <w:tcPr>
            <w:tcW w:w="200" w:type="dxa"/>
            <w:vAlign w:val="bottom"/>
          </w:tcPr>
          <w:p>
            <w:pPr>
              <w:spacing w:after="0"/>
              <w:rPr>
                <w:sz w:val="14"/>
                <w:szCs w:val="14"/>
                <w:color w:val="auto"/>
              </w:rPr>
            </w:pPr>
          </w:p>
        </w:tc>
        <w:tc>
          <w:tcPr>
            <w:tcW w:w="150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0" w:type="dxa"/>
            <w:vAlign w:val="bottom"/>
          </w:tcPr>
          <w:p>
            <w:pPr>
              <w:spacing w:after="0"/>
              <w:rPr>
                <w:sz w:val="12"/>
                <w:szCs w:val="12"/>
                <w:color w:val="auto"/>
              </w:rPr>
            </w:pPr>
          </w:p>
        </w:tc>
        <w:tc>
          <w:tcPr>
            <w:tcW w:w="150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0" w:type="dxa"/>
            <w:vAlign w:val="bottom"/>
          </w:tcPr>
          <w:p>
            <w:pPr>
              <w:spacing w:after="0"/>
              <w:rPr>
                <w:sz w:val="1"/>
                <w:szCs w:val="1"/>
                <w:color w:val="auto"/>
              </w:rPr>
            </w:pPr>
          </w:p>
        </w:tc>
      </w:tr>
      <w:tr>
        <w:trPr>
          <w:trHeight w:val="192"/>
        </w:trPr>
        <w:tc>
          <w:tcPr>
            <w:tcW w:w="6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500" w:type="dxa"/>
            <w:vAlign w:val="bottom"/>
          </w:tcPr>
          <w:p>
            <w:pPr>
              <w:jc w:val="center"/>
              <w:ind w:right="114"/>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50"/>
        </w:trPr>
        <w:tc>
          <w:tcPr>
            <w:tcW w:w="6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28, 2019</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140"/>
              <w:spacing w:after="0"/>
              <w:rPr>
                <w:sz w:val="20"/>
                <w:szCs w:val="20"/>
                <w:color w:val="auto"/>
              </w:rPr>
            </w:pPr>
            <w:r>
              <w:rPr>
                <w:rFonts w:ascii="Arial" w:cs="Arial" w:eastAsia="Arial" w:hAnsi="Arial"/>
                <w:sz w:val="18"/>
                <w:szCs w:val="18"/>
                <w:b w:val="1"/>
                <w:bCs w:val="1"/>
                <w:color w:val="auto"/>
              </w:rPr>
              <w:t>Assets</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Marketable equity securities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(1)</w:t>
            </w:r>
          </w:p>
        </w:tc>
        <w:tc>
          <w:tcPr>
            <w:tcW w:w="400" w:type="dxa"/>
            <w:vAlign w:val="bottom"/>
          </w:tcPr>
          <w:p>
            <w:pPr>
              <w:spacing w:after="0"/>
              <w:rPr>
                <w:sz w:val="21"/>
                <w:szCs w:val="21"/>
                <w:color w:val="auto"/>
              </w:rPr>
            </w:pPr>
          </w:p>
        </w:tc>
        <w:tc>
          <w:tcPr>
            <w:tcW w:w="1300" w:type="dxa"/>
            <w:vAlign w:val="bottom"/>
            <w:vMerge w:val="restart"/>
          </w:tcPr>
          <w:p>
            <w:pPr>
              <w:jc w:val="right"/>
              <w:ind w:right="11"/>
              <w:spacing w:after="0"/>
              <w:rPr>
                <w:sz w:val="20"/>
                <w:szCs w:val="20"/>
                <w:color w:val="auto"/>
              </w:rPr>
            </w:pPr>
            <w:r>
              <w:rPr>
                <w:rFonts w:ascii="Arial" w:cs="Arial" w:eastAsia="Arial" w:hAnsi="Arial"/>
                <w:sz w:val="18"/>
                <w:szCs w:val="18"/>
                <w:color w:val="auto"/>
              </w:rPr>
              <w:t>23,255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vMerge w:val="restart"/>
          </w:tcPr>
          <w:p>
            <w:pPr>
              <w:jc w:val="right"/>
              <w:ind w:right="34"/>
              <w:spacing w:after="0"/>
              <w:rPr>
                <w:sz w:val="20"/>
                <w:szCs w:val="20"/>
                <w:color w:val="auto"/>
              </w:rPr>
            </w:pPr>
            <w:r>
              <w:rPr>
                <w:rFonts w:ascii="Arial" w:cs="Arial" w:eastAsia="Arial" w:hAnsi="Arial"/>
                <w:sz w:val="18"/>
                <w:szCs w:val="18"/>
                <w:color w:val="auto"/>
              </w:rPr>
              <w:t>23,255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vMerge w:val="restart"/>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Total assets measured at fair value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24,134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24,134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b w:val="1"/>
                <w:bCs w:val="1"/>
                <w:color w:val="auto"/>
              </w:rPr>
              <w:t>Liabilities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 xml:space="preserve">Deferred compensation plan obligation </w:t>
            </w:r>
            <w:r>
              <w:rPr>
                <w:rFonts w:ascii="Arial" w:cs="Arial" w:eastAsia="Arial" w:hAnsi="Arial"/>
                <w:sz w:val="14"/>
                <w:szCs w:val="14"/>
                <w:color w:val="auto"/>
              </w:rPr>
              <w:t>(1)</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23,255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100" w:type="dxa"/>
            <w:vAlign w:val="bottom"/>
          </w:tcPr>
          <w:p>
            <w:pPr>
              <w:ind w:left="780"/>
              <w:spacing w:after="0"/>
              <w:rPr>
                <w:sz w:val="20"/>
                <w:szCs w:val="20"/>
                <w:color w:val="auto"/>
              </w:rPr>
            </w:pPr>
            <w:r>
              <w:rPr>
                <w:rFonts w:ascii="Arial" w:cs="Arial" w:eastAsia="Arial" w:hAnsi="Arial"/>
                <w:sz w:val="18"/>
                <w:szCs w:val="18"/>
                <w:b w:val="1"/>
                <w:bCs w:val="1"/>
                <w:color w:val="auto"/>
              </w:rPr>
              <w:t>Total liabilities measured at fair value</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23,255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23,255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6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40"/>
              <w:spacing w:after="0"/>
              <w:rPr>
                <w:sz w:val="20"/>
                <w:szCs w:val="20"/>
                <w:color w:val="auto"/>
              </w:rPr>
            </w:pPr>
            <w:r>
              <w:rPr>
                <w:rFonts w:ascii="Arial" w:cs="Arial" w:eastAsia="Arial" w:hAnsi="Arial"/>
                <w:sz w:val="18"/>
                <w:szCs w:val="18"/>
                <w:b w:val="1"/>
                <w:bCs w:val="1"/>
                <w:color w:val="auto"/>
              </w:rPr>
              <w:t>March 30, 2019</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Marketable equity securities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 xml:space="preserve">Auction rate securities </w:t>
            </w:r>
            <w:r>
              <w:rPr>
                <w:rFonts w:ascii="Arial" w:cs="Arial" w:eastAsia="Arial" w:hAnsi="Arial"/>
                <w:sz w:val="14"/>
                <w:szCs w:val="14"/>
                <w:color w:val="auto"/>
              </w:rPr>
              <w:t>(2)</w:t>
            </w:r>
          </w:p>
        </w:tc>
        <w:tc>
          <w:tcPr>
            <w:tcW w:w="400" w:type="dxa"/>
            <w:vAlign w:val="bottom"/>
          </w:tcPr>
          <w:p>
            <w:pPr>
              <w:spacing w:after="0"/>
              <w:rPr>
                <w:sz w:val="21"/>
                <w:szCs w:val="21"/>
                <w:color w:val="auto"/>
              </w:rPr>
            </w:pPr>
          </w:p>
        </w:tc>
        <w:tc>
          <w:tcPr>
            <w:tcW w:w="1300" w:type="dxa"/>
            <w:vAlign w:val="bottom"/>
            <w:vMerge w:val="restart"/>
          </w:tcPr>
          <w:p>
            <w:pPr>
              <w:jc w:val="right"/>
              <w:ind w:right="11"/>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vMerge w:val="restart"/>
          </w:tcPr>
          <w:p>
            <w:pPr>
              <w:jc w:val="right"/>
              <w:ind w:right="14"/>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(1)</w:t>
            </w:r>
          </w:p>
        </w:tc>
        <w:tc>
          <w:tcPr>
            <w:tcW w:w="400" w:type="dxa"/>
            <w:vAlign w:val="bottom"/>
            <w:shd w:val="clear" w:color="auto" w:fill="CCEEFF"/>
          </w:tcPr>
          <w:p>
            <w:pPr>
              <w:spacing w:after="0"/>
              <w:rPr>
                <w:sz w:val="21"/>
                <w:szCs w:val="21"/>
                <w:color w:val="auto"/>
              </w:rPr>
            </w:pPr>
          </w:p>
        </w:tc>
        <w:tc>
          <w:tcPr>
            <w:tcW w:w="13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18,737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18,737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780"/>
              <w:spacing w:after="0"/>
              <w:rPr>
                <w:sz w:val="20"/>
                <w:szCs w:val="20"/>
                <w:color w:val="auto"/>
              </w:rPr>
            </w:pPr>
            <w:r>
              <w:rPr>
                <w:rFonts w:ascii="Arial" w:cs="Arial" w:eastAsia="Arial" w:hAnsi="Arial"/>
                <w:sz w:val="18"/>
                <w:szCs w:val="18"/>
                <w:b w:val="1"/>
                <w:bCs w:val="1"/>
                <w:color w:val="auto"/>
              </w:rPr>
              <w:t>Total assets measured at fair value</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21,601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19,651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67"/>
        </w:trPr>
        <w:tc>
          <w:tcPr>
            <w:tcW w:w="6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100" w:type="dxa"/>
            <w:vAlign w:val="bottom"/>
            <w:tcBorders>
              <w:bottom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b w:val="1"/>
                <w:bCs w:val="1"/>
                <w:color w:val="auto"/>
              </w:rPr>
              <w:t>Liabilities</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 xml:space="preserve">Deferred compensation plan obligation </w:t>
            </w:r>
            <w:r>
              <w:rPr>
                <w:rFonts w:ascii="Arial" w:cs="Arial" w:eastAsia="Arial" w:hAnsi="Arial"/>
                <w:sz w:val="14"/>
                <w:szCs w:val="14"/>
                <w:color w:val="auto"/>
              </w:rPr>
              <w:t>(1)</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18,737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18,737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Total liabilities measured at fair value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Company's non-qualified deferred compensation plan provides eligible employees and members of the Board of Directors with the opportunity to defer a specified</w:t>
      </w:r>
    </w:p>
    <w:p>
      <w:pPr>
        <w:spacing w:after="0" w:line="30" w:lineRule="exact"/>
        <w:rPr>
          <w:rFonts w:ascii="Arial" w:cs="Arial" w:eastAsia="Arial" w:hAnsi="Arial"/>
          <w:sz w:val="15"/>
          <w:szCs w:val="15"/>
          <w:color w:val="auto"/>
        </w:rPr>
      </w:pPr>
    </w:p>
    <w:p>
      <w:pPr>
        <w:ind w:right="100"/>
        <w:spacing w:after="0" w:line="252" w:lineRule="auto"/>
        <w:rPr>
          <w:rFonts w:ascii="Arial" w:cs="Arial" w:eastAsia="Arial" w:hAnsi="Arial"/>
          <w:sz w:val="15"/>
          <w:szCs w:val="15"/>
          <w:color w:val="auto"/>
        </w:rPr>
      </w:pPr>
      <w:r>
        <w:rPr>
          <w:rFonts w:ascii="Arial" w:cs="Arial" w:eastAsia="Arial" w:hAnsi="Arial"/>
          <w:sz w:val="16"/>
          <w:szCs w:val="16"/>
          <w:color w:val="auto"/>
        </w:rPr>
        <w:t>percentage of their cash compensation. The Company includes the assets deferred by the participants in the “Other current assets” and “Other non-current assets” line items of its Condensed Consolidated Balance Sheets and the Company's obligation to deliver the deferred compensation in the "Other current liabilities" and “Other long-term liabilities” line items of its Condensed Consolidated Balance Sheets.</w:t>
      </w:r>
    </w:p>
    <w:p>
      <w:pPr>
        <w:sectPr>
          <w:pgSz w:w="11900" w:h="16838" w:orient="portrait"/>
          <w:cols w:equalWidth="0" w:num="1">
            <w:col w:w="11420"/>
          </w:cols>
          <w:pgMar w:left="240" w:top="122"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1" w:lineRule="exact"/>
        <w:rPr>
          <w:sz w:val="20"/>
          <w:szCs w:val="20"/>
          <w:color w:val="auto"/>
        </w:rPr>
      </w:pPr>
    </w:p>
    <w:p>
      <w:pPr>
        <w:ind w:right="280" w:firstLine="8"/>
        <w:spacing w:after="0" w:line="349" w:lineRule="auto"/>
        <w:tabs>
          <w:tab w:leader="none" w:pos="23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Company's Level 2 auction rate securities were debt instruments with interest rates that reset through periodic short-term auctions and were valued based on quoted prices for identical or similar instruments in markets that were not active. During the first quarter of fiscal 2020, the Company sold its auction rate securities at par value.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28, 2019 and March 30, 2019, the Company did not have any Level 3 assets or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 Without a Readily Determinable Fair Value</w:t>
      </w:r>
    </w:p>
    <w:p>
      <w:pPr>
        <w:spacing w:after="0" w:line="23"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On October 4, 2019, the Company completed its acquisition of the remaining issued and outstanding capital of Cavendish. Prior to the acquisition date, the Company had accounted for its investment in Cavendish as an equity investment without a readily determinable fair value and the investment was classified in "Long-term investments" in the Condensed Consolidated Balance Sheets. See Note 4 for disclosures related to the acquisition of Cavendish.</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Marketable securities are measured at fair value and recorded in "Cash and cash equivalents," "Other current assets" and "Long-term investments" in the Condensed Consolidated Balance Sheets, and the related unrealized gains and losses are included in "Accumulated other comprehensive loss," a component of stockholders’ equity, net of tax (debt securities) and "Other income (expense)" in the Condensed Consolidated Statements of Income (equity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3"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The carrying values of cash and cash equivalents, accounts receivable, accounts payable and other accrued liabilities approximate fair values because of the relatively short-term maturities of these instruments. See Note 7 for further disclosures related to the fair value of the Company's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7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leases certain of its corporate, manufacturing and other facilities from multiple third-party real estate developers. The Company also leases various machinery and office equipment. These operating leases expire at various dates through 2036, and some of these leases have renewal options, with the longest ranging up to two, ten-year periods.</w:t>
      </w:r>
    </w:p>
    <w:p>
      <w:pPr>
        <w:spacing w:after="0" w:line="181"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The Company determines that a contract contains a lease at lease inception if the contract conveys the right to control the use of an identified asset for a period of time in exchange for consideration. In evaluating whether the right to control an identified asset exists, the Company assesses whether it has the right to direct the use of the identified asset and obtain substantially all of the economic benefit from the use of the identified asset.</w:t>
      </w:r>
    </w:p>
    <w:p>
      <w:pPr>
        <w:spacing w:after="0" w:line="14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Right-of-use assets and liabilities are recognized at the lease commencement date based on the present value of lease payments over the lease term. The Company uses its estimated incremental borrowing rate in determining the present value of lease payments considering the term of the lease, which is derived from information available at the lease commencement date. The lease term includes renewal options when it is reasonably certain that the option will be exercised, and excludes termination options. To the extent that the Company's agreements have variable lease payments, the Company includes variable lease payments that depend on an index or a rate and excludes those that depend on facts or circumstances occurring after the commencement date, other than the passage of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operating leases for the three and nine months ended December 28, 2019,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right"/>
              <w:ind w:right="1074"/>
              <w:spacing w:after="0"/>
              <w:rPr>
                <w:sz w:val="20"/>
                <w:szCs w:val="20"/>
                <w:color w:val="auto"/>
              </w:rPr>
            </w:pPr>
            <w:r>
              <w:rPr>
                <w:rFonts w:ascii="Arial" w:cs="Arial" w:eastAsia="Arial" w:hAnsi="Arial"/>
                <w:sz w:val="14"/>
                <w:szCs w:val="14"/>
                <w:b w:val="1"/>
                <w:bCs w:val="1"/>
                <w:color w:val="auto"/>
              </w:rPr>
              <w:t>December 28, 2019</w:t>
            </w:r>
          </w:p>
        </w:tc>
        <w:tc>
          <w:tcPr>
            <w:tcW w:w="0" w:type="dxa"/>
            <w:vAlign w:val="bottom"/>
          </w:tcPr>
          <w:p>
            <w:pPr>
              <w:spacing w:after="0"/>
              <w:rPr>
                <w:sz w:val="1"/>
                <w:szCs w:val="1"/>
                <w:color w:val="auto"/>
              </w:rPr>
            </w:pPr>
          </w:p>
        </w:tc>
      </w:tr>
      <w:tr>
        <w:trPr>
          <w:trHeight w:val="264"/>
        </w:trPr>
        <w:tc>
          <w:tcPr>
            <w:tcW w:w="3740" w:type="dxa"/>
            <w:vAlign w:val="bottom"/>
            <w:tcBorders>
              <w:bottom w:val="single" w:sz="8" w:color="CCEEFF"/>
            </w:tcBorders>
          </w:tcPr>
          <w:p>
            <w:pPr>
              <w:spacing w:after="0"/>
              <w:rPr>
                <w:sz w:val="22"/>
                <w:szCs w:val="22"/>
                <w:color w:val="auto"/>
              </w:rPr>
            </w:pPr>
          </w:p>
        </w:tc>
        <w:tc>
          <w:tcPr>
            <w:tcW w:w="41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expense</w:t>
            </w:r>
          </w:p>
        </w:tc>
        <w:tc>
          <w:tcPr>
            <w:tcW w:w="4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11,115</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Short-term lease expense</w:t>
            </w:r>
          </w:p>
        </w:tc>
        <w:tc>
          <w:tcPr>
            <w:tcW w:w="4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6"/>
              <w:spacing w:after="0"/>
              <w:rPr>
                <w:sz w:val="20"/>
                <w:szCs w:val="20"/>
                <w:color w:val="auto"/>
              </w:rPr>
            </w:pPr>
            <w:r>
              <w:rPr>
                <w:rFonts w:ascii="Arial" w:cs="Arial" w:eastAsia="Arial" w:hAnsi="Arial"/>
                <w:sz w:val="18"/>
                <w:szCs w:val="18"/>
                <w:color w:val="auto"/>
              </w:rPr>
              <w:t>1,911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lease expense</w:t>
            </w:r>
          </w:p>
        </w:tc>
        <w:tc>
          <w:tcPr>
            <w:tcW w:w="4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57"/>
        </w:trPr>
        <w:tc>
          <w:tcPr>
            <w:tcW w:w="3740" w:type="dxa"/>
            <w:vAlign w:val="bottom"/>
          </w:tcPr>
          <w:p>
            <w:pPr>
              <w:ind w:left="360"/>
              <w:spacing w:after="0"/>
              <w:rPr>
                <w:sz w:val="20"/>
                <w:szCs w:val="20"/>
                <w:color w:val="auto"/>
              </w:rPr>
            </w:pPr>
            <w:r>
              <w:rPr>
                <w:rFonts w:ascii="Arial" w:cs="Arial" w:eastAsia="Arial" w:hAnsi="Arial"/>
                <w:sz w:val="18"/>
                <w:szCs w:val="18"/>
                <w:color w:val="auto"/>
              </w:rPr>
              <w:t>Total lease expense</w:t>
            </w:r>
          </w:p>
        </w:tc>
        <w:tc>
          <w:tcPr>
            <w:tcW w:w="41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6,343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18,507</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160" w:type="dxa"/>
            <w:vAlign w:val="bottom"/>
            <w:vMerge w:val="restart"/>
          </w:tcPr>
          <w:p>
            <w:pPr>
              <w:jc w:val="right"/>
              <w:ind w:right="2010"/>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74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information and non-cash activities related to operating leases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Nine Months Ended</w:t>
            </w:r>
          </w:p>
        </w:tc>
      </w:tr>
      <w:tr>
        <w:trPr>
          <w:trHeight w:val="250"/>
        </w:trPr>
        <w:tc>
          <w:tcPr>
            <w:tcW w:w="4580" w:type="dxa"/>
            <w:vAlign w:val="bottom"/>
            <w:tcBorders>
              <w:bottom w:val="single" w:sz="8" w:color="CCEEFF"/>
            </w:tcBorders>
          </w:tcPr>
          <w:p>
            <w:pPr>
              <w:spacing w:after="0"/>
              <w:rPr>
                <w:sz w:val="21"/>
                <w:szCs w:val="21"/>
                <w:color w:val="auto"/>
              </w:rPr>
            </w:pPr>
          </w:p>
        </w:tc>
        <w:tc>
          <w:tcPr>
            <w:tcW w:w="50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6"/>
              </w:rPr>
              <w:t>December 28, 2019</w:t>
            </w:r>
          </w:p>
        </w:tc>
      </w:tr>
      <w:tr>
        <w:trPr>
          <w:trHeight w:val="250"/>
        </w:trPr>
        <w:tc>
          <w:tcPr>
            <w:tcW w:w="97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Cash paid for amounts included in measurement of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5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12,172</w:t>
            </w:r>
          </w:p>
        </w:tc>
      </w:tr>
      <w:tr>
        <w:trPr>
          <w:trHeight w:val="27"/>
        </w:trPr>
        <w:tc>
          <w:tcPr>
            <w:tcW w:w="45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580" w:type="dxa"/>
            <w:vAlign w:val="bottom"/>
            <w:shd w:val="clear" w:color="auto" w:fill="CCEEFF"/>
          </w:tcPr>
          <w:p>
            <w:pPr>
              <w:spacing w:after="0"/>
              <w:rPr>
                <w:sz w:val="23"/>
                <w:szCs w:val="23"/>
                <w:color w:val="auto"/>
              </w:rPr>
            </w:pPr>
          </w:p>
        </w:tc>
        <w:tc>
          <w:tcPr>
            <w:tcW w:w="50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Non-cash activities:</w:t>
            </w:r>
          </w:p>
        </w:tc>
        <w:tc>
          <w:tcPr>
            <w:tcW w:w="5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96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Operating lease assets obtained in exchange for new lease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3,559</w:t>
            </w:r>
          </w:p>
        </w:tc>
      </w:tr>
      <w:tr>
        <w:trPr>
          <w:trHeight w:val="581"/>
        </w:trPr>
        <w:tc>
          <w:tcPr>
            <w:tcW w:w="9720" w:type="dxa"/>
            <w:vAlign w:val="bottom"/>
            <w:gridSpan w:val="4"/>
          </w:tcPr>
          <w:p>
            <w:pPr>
              <w:spacing w:after="0"/>
              <w:rPr>
                <w:sz w:val="20"/>
                <w:szCs w:val="20"/>
                <w:color w:val="auto"/>
              </w:rPr>
            </w:pPr>
            <w:r>
              <w:rPr>
                <w:rFonts w:ascii="Arial" w:cs="Arial" w:eastAsia="Arial" w:hAnsi="Arial"/>
                <w:sz w:val="18"/>
                <w:szCs w:val="18"/>
                <w:color w:val="auto"/>
              </w:rPr>
              <w:t>Supplemental balance sheet information related to operating leases is as follows (in thousands):</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13"/>
        </w:trPr>
        <w:tc>
          <w:tcPr>
            <w:tcW w:w="4580" w:type="dxa"/>
            <w:vAlign w:val="bottom"/>
          </w:tcPr>
          <w:p>
            <w:pPr>
              <w:spacing w:after="0"/>
              <w:rPr>
                <w:sz w:val="24"/>
                <w:szCs w:val="24"/>
                <w:color w:val="auto"/>
              </w:rPr>
            </w:pPr>
          </w:p>
        </w:tc>
        <w:tc>
          <w:tcPr>
            <w:tcW w:w="5140" w:type="dxa"/>
            <w:vAlign w:val="bottom"/>
            <w:gridSpan w:val="3"/>
          </w:tcPr>
          <w:p>
            <w:pPr>
              <w:ind w:left="60"/>
              <w:spacing w:after="0"/>
              <w:rPr>
                <w:sz w:val="20"/>
                <w:szCs w:val="20"/>
                <w:color w:val="auto"/>
              </w:rPr>
            </w:pPr>
            <w:r>
              <w:rPr>
                <w:rFonts w:ascii="Arial" w:cs="Arial" w:eastAsia="Arial" w:hAnsi="Arial"/>
                <w:sz w:val="14"/>
                <w:szCs w:val="14"/>
                <w:b w:val="1"/>
                <w:bCs w:val="1"/>
                <w:color w:val="auto"/>
              </w:rPr>
              <w:t>Classification on the Condensed Consolidated Balance Sheet</w:t>
            </w:r>
          </w:p>
        </w:tc>
        <w:tc>
          <w:tcPr>
            <w:tcW w:w="180" w:type="dxa"/>
            <w:vAlign w:val="bottom"/>
          </w:tcPr>
          <w:p>
            <w:pPr>
              <w:spacing w:after="0"/>
              <w:rPr>
                <w:sz w:val="24"/>
                <w:szCs w:val="24"/>
                <w:color w:val="auto"/>
              </w:rPr>
            </w:pPr>
          </w:p>
        </w:tc>
        <w:tc>
          <w:tcPr>
            <w:tcW w:w="1520" w:type="dxa"/>
            <w:vAlign w:val="bottom"/>
          </w:tcPr>
          <w:p>
            <w:pPr>
              <w:jc w:val="right"/>
              <w:ind w:right="197"/>
              <w:spacing w:after="0"/>
              <w:rPr>
                <w:sz w:val="20"/>
                <w:szCs w:val="20"/>
                <w:color w:val="auto"/>
              </w:rPr>
            </w:pPr>
            <w:r>
              <w:rPr>
                <w:rFonts w:ascii="Arial" w:cs="Arial" w:eastAsia="Arial" w:hAnsi="Arial"/>
                <w:sz w:val="14"/>
                <w:szCs w:val="14"/>
                <w:b w:val="1"/>
                <w:bCs w:val="1"/>
                <w:color w:val="auto"/>
                <w:w w:val="96"/>
              </w:rPr>
              <w:t>December 28, 2019</w:t>
            </w: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50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Operating lease assets</w:t>
            </w:r>
          </w:p>
        </w:tc>
        <w:tc>
          <w:tcPr>
            <w:tcW w:w="5140" w:type="dxa"/>
            <w:vAlign w:val="bottom"/>
            <w:gridSpan w:val="3"/>
          </w:tcPr>
          <w:p>
            <w:pPr>
              <w:ind w:left="40"/>
              <w:spacing w:after="0"/>
              <w:rPr>
                <w:sz w:val="20"/>
                <w:szCs w:val="20"/>
                <w:color w:val="auto"/>
              </w:rPr>
            </w:pPr>
            <w:r>
              <w:rPr>
                <w:rFonts w:ascii="Arial" w:cs="Arial" w:eastAsia="Arial" w:hAnsi="Arial"/>
                <w:sz w:val="18"/>
                <w:szCs w:val="18"/>
                <w:color w:val="auto"/>
              </w:rPr>
              <w:t>Other non-current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58,965</w:t>
            </w:r>
          </w:p>
        </w:tc>
      </w:tr>
      <w:tr>
        <w:trPr>
          <w:trHeight w:val="27"/>
        </w:trPr>
        <w:tc>
          <w:tcPr>
            <w:tcW w:w="45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580" w:type="dxa"/>
            <w:vAlign w:val="bottom"/>
            <w:shd w:val="clear" w:color="auto" w:fill="CCEEFF"/>
          </w:tcPr>
          <w:p>
            <w:pPr>
              <w:spacing w:after="0"/>
              <w:rPr>
                <w:sz w:val="23"/>
                <w:szCs w:val="23"/>
                <w:color w:val="auto"/>
              </w:rPr>
            </w:pPr>
          </w:p>
        </w:tc>
        <w:tc>
          <w:tcPr>
            <w:tcW w:w="50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5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current liabilities</w:t>
            </w:r>
          </w:p>
        </w:tc>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13,268</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Operating lease non-current liabilities</w:t>
            </w:r>
          </w:p>
        </w:tc>
        <w:tc>
          <w:tcPr>
            <w:tcW w:w="5140" w:type="dxa"/>
            <w:vAlign w:val="bottom"/>
            <w:gridSpan w:val="3"/>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55,004</w:t>
            </w:r>
          </w:p>
        </w:tc>
      </w:tr>
      <w:tr>
        <w:trPr>
          <w:trHeight w:val="608"/>
        </w:trPr>
        <w:tc>
          <w:tcPr>
            <w:tcW w:w="9720" w:type="dxa"/>
            <w:vAlign w:val="bottom"/>
            <w:gridSpan w:val="4"/>
          </w:tcPr>
          <w:p>
            <w:pPr>
              <w:spacing w:after="0"/>
              <w:rPr>
                <w:sz w:val="20"/>
                <w:szCs w:val="20"/>
                <w:color w:val="auto"/>
              </w:rPr>
            </w:pPr>
            <w:r>
              <w:rPr>
                <w:rFonts w:ascii="Arial" w:cs="Arial" w:eastAsia="Arial" w:hAnsi="Arial"/>
                <w:sz w:val="18"/>
                <w:szCs w:val="18"/>
                <w:color w:val="auto"/>
              </w:rPr>
              <w:t>Weighted-average remaining lease term and discount rate related to operating leases are as follows:</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13"/>
        </w:trPr>
        <w:tc>
          <w:tcPr>
            <w:tcW w:w="4580" w:type="dxa"/>
            <w:vAlign w:val="bottom"/>
            <w:tcBorders>
              <w:bottom w:val="single" w:sz="8" w:color="CCEEFF"/>
            </w:tcBorders>
          </w:tcPr>
          <w:p>
            <w:pPr>
              <w:spacing w:after="0"/>
              <w:rPr>
                <w:sz w:val="24"/>
                <w:szCs w:val="24"/>
                <w:color w:val="auto"/>
              </w:rPr>
            </w:pPr>
          </w:p>
        </w:tc>
        <w:tc>
          <w:tcPr>
            <w:tcW w:w="50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28, 2019</w:t>
            </w:r>
          </w:p>
        </w:tc>
      </w:tr>
      <w:tr>
        <w:trPr>
          <w:trHeight w:val="250"/>
        </w:trPr>
        <w:tc>
          <w:tcPr>
            <w:tcW w:w="97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(years) - operating leases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8.26</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Weighted-average discount rate - operating leases</w:t>
            </w:r>
          </w:p>
        </w:tc>
        <w:tc>
          <w:tcPr>
            <w:tcW w:w="5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ind w:left="1020"/>
              <w:spacing w:after="0"/>
              <w:rPr>
                <w:sz w:val="20"/>
                <w:szCs w:val="20"/>
                <w:color w:val="auto"/>
              </w:rPr>
            </w:pPr>
            <w:r>
              <w:rPr>
                <w:rFonts w:ascii="Arial" w:cs="Arial" w:eastAsia="Arial" w:hAnsi="Arial"/>
                <w:sz w:val="18"/>
                <w:szCs w:val="18"/>
                <w:color w:val="auto"/>
                <w:w w:val="93"/>
              </w:rPr>
              <w:t>4.22%</w:t>
            </w: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under operating leases by fiscal year as of December 28, 2019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ind w:left="40"/>
              <w:spacing w:after="0"/>
              <w:rPr>
                <w:sz w:val="20"/>
                <w:szCs w:val="20"/>
                <w:color w:val="auto"/>
              </w:rPr>
            </w:pPr>
            <w:r>
              <w:rPr>
                <w:rFonts w:ascii="Arial" w:cs="Arial" w:eastAsia="Arial" w:hAnsi="Arial"/>
                <w:sz w:val="18"/>
                <w:szCs w:val="18"/>
                <w:color w:val="auto"/>
              </w:rPr>
              <w:t>2020</w:t>
            </w:r>
          </w:p>
        </w:tc>
        <w:tc>
          <w:tcPr>
            <w:tcW w:w="63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7,685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5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Pr>
          <w:p>
            <w:pPr>
              <w:ind w:left="40"/>
              <w:spacing w:after="0"/>
              <w:rPr>
                <w:sz w:val="20"/>
                <w:szCs w:val="20"/>
                <w:color w:val="auto"/>
              </w:rPr>
            </w:pPr>
            <w:r>
              <w:rPr>
                <w:rFonts w:ascii="Arial" w:cs="Arial" w:eastAsia="Arial" w:hAnsi="Arial"/>
                <w:sz w:val="18"/>
                <w:szCs w:val="18"/>
                <w:color w:val="auto"/>
              </w:rPr>
              <w:t>2021</w:t>
            </w:r>
          </w:p>
        </w:tc>
        <w:tc>
          <w:tcPr>
            <w:tcW w:w="5760" w:type="dxa"/>
            <w:vAlign w:val="bottom"/>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14,661</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2022</w:t>
            </w:r>
          </w:p>
        </w:tc>
        <w:tc>
          <w:tcPr>
            <w:tcW w:w="5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11,485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5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Pr>
          <w:p>
            <w:pPr>
              <w:ind w:left="40"/>
              <w:spacing w:after="0"/>
              <w:rPr>
                <w:sz w:val="20"/>
                <w:szCs w:val="20"/>
                <w:color w:val="auto"/>
              </w:rPr>
            </w:pPr>
            <w:r>
              <w:rPr>
                <w:rFonts w:ascii="Arial" w:cs="Arial" w:eastAsia="Arial" w:hAnsi="Arial"/>
                <w:sz w:val="18"/>
                <w:szCs w:val="18"/>
                <w:color w:val="auto"/>
              </w:rPr>
              <w:t>2023</w:t>
            </w:r>
          </w:p>
        </w:tc>
        <w:tc>
          <w:tcPr>
            <w:tcW w:w="5760" w:type="dxa"/>
            <w:vAlign w:val="bottom"/>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8,526</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2024</w:t>
            </w:r>
          </w:p>
        </w:tc>
        <w:tc>
          <w:tcPr>
            <w:tcW w:w="5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7,005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5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57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31,272</w:t>
            </w:r>
          </w:p>
        </w:tc>
        <w:tc>
          <w:tcPr>
            <w:tcW w:w="0" w:type="dxa"/>
            <w:vAlign w:val="bottom"/>
          </w:tcPr>
          <w:p>
            <w:pPr>
              <w:spacing w:after="0"/>
              <w:rPr>
                <w:sz w:val="1"/>
                <w:szCs w:val="1"/>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color w:val="auto"/>
              </w:rPr>
              <w:t>Total lease payments</w:t>
            </w:r>
          </w:p>
        </w:tc>
        <w:tc>
          <w:tcPr>
            <w:tcW w:w="576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80,634</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5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imputed interest</w:t>
            </w:r>
          </w:p>
        </w:tc>
        <w:tc>
          <w:tcPr>
            <w:tcW w:w="57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(12,362)</w:t>
            </w:r>
          </w:p>
        </w:tc>
        <w:tc>
          <w:tcPr>
            <w:tcW w:w="0" w:type="dxa"/>
            <w:vAlign w:val="bottom"/>
          </w:tcPr>
          <w:p>
            <w:pPr>
              <w:spacing w:after="0"/>
              <w:rPr>
                <w:sz w:val="1"/>
                <w:szCs w:val="1"/>
                <w:color w:val="auto"/>
              </w:rPr>
            </w:pPr>
          </w:p>
        </w:tc>
      </w:tr>
      <w:tr>
        <w:trPr>
          <w:trHeight w:val="257"/>
        </w:trPr>
        <w:tc>
          <w:tcPr>
            <w:tcW w:w="3960" w:type="dxa"/>
            <w:vAlign w:val="bottom"/>
          </w:tcPr>
          <w:p>
            <w:pPr>
              <w:ind w:left="40"/>
              <w:spacing w:after="0"/>
              <w:rPr>
                <w:sz w:val="20"/>
                <w:szCs w:val="20"/>
                <w:color w:val="auto"/>
              </w:rPr>
            </w:pPr>
            <w:r>
              <w:rPr>
                <w:rFonts w:ascii="Arial" w:cs="Arial" w:eastAsia="Arial" w:hAnsi="Arial"/>
                <w:sz w:val="18"/>
                <w:szCs w:val="18"/>
                <w:color w:val="auto"/>
              </w:rPr>
              <w:t>Present value of lease liabilities</w:t>
            </w:r>
          </w:p>
        </w:tc>
        <w:tc>
          <w:tcPr>
            <w:tcW w:w="576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68,272</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5760" w:type="dxa"/>
            <w:vAlign w:val="bottom"/>
            <w:vMerge w:val="restart"/>
          </w:tcPr>
          <w:p>
            <w:pPr>
              <w:jc w:val="right"/>
              <w:ind w:right="3830"/>
              <w:spacing w:after="0"/>
              <w:rPr>
                <w:sz w:val="20"/>
                <w:szCs w:val="20"/>
                <w:color w:val="auto"/>
              </w:rPr>
            </w:pPr>
            <w:r>
              <w:rPr>
                <w:rFonts w:ascii="Arial" w:cs="Arial" w:eastAsia="Arial" w:hAnsi="Arial"/>
                <w:sz w:val="18"/>
                <w:szCs w:val="18"/>
                <w:color w:val="auto"/>
              </w:rPr>
              <w:t>14</w:t>
            </w: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960" w:type="dxa"/>
            <w:vAlign w:val="bottom"/>
          </w:tcPr>
          <w:p>
            <w:pPr>
              <w:spacing w:after="0"/>
              <w:rPr>
                <w:sz w:val="24"/>
                <w:szCs w:val="24"/>
                <w:color w:val="auto"/>
              </w:rPr>
            </w:pPr>
          </w:p>
        </w:tc>
        <w:tc>
          <w:tcPr>
            <w:tcW w:w="57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as of December 28, 2019 and March 30, 2019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28, 2019</w:t>
            </w:r>
          </w:p>
        </w:tc>
        <w:tc>
          <w:tcPr>
            <w:tcW w:w="240" w:type="dxa"/>
            <w:vAlign w:val="bottom"/>
          </w:tcPr>
          <w:p>
            <w:pPr>
              <w:spacing w:after="0"/>
              <w:rPr>
                <w:sz w:val="16"/>
                <w:szCs w:val="16"/>
                <w:color w:val="auto"/>
              </w:rPr>
            </w:pPr>
          </w:p>
        </w:tc>
        <w:tc>
          <w:tcPr>
            <w:tcW w:w="1460" w:type="dxa"/>
            <w:vAlign w:val="bottom"/>
          </w:tcPr>
          <w:p>
            <w:pPr>
              <w:jc w:val="right"/>
              <w:ind w:right="292"/>
              <w:spacing w:after="0"/>
              <w:rPr>
                <w:sz w:val="20"/>
                <w:szCs w:val="20"/>
                <w:color w:val="auto"/>
              </w:rPr>
            </w:pPr>
            <w:r>
              <w:rPr>
                <w:rFonts w:ascii="Arial" w:cs="Arial" w:eastAsia="Arial" w:hAnsi="Arial"/>
                <w:sz w:val="14"/>
                <w:szCs w:val="14"/>
                <w:b w:val="1"/>
                <w:bCs w:val="1"/>
                <w:color w:val="auto"/>
              </w:rPr>
              <w:t>March 30, 2019</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7.00% senior notes due 2025</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23,404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23,404</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5.50% senior notes due 2026</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900,000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4.375% senior notes due 2029</w:t>
            </w: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 unamortized premium and issuance costs</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(4,134)</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57"/>
        </w:trPr>
        <w:tc>
          <w:tcPr>
            <w:tcW w:w="7900" w:type="dxa"/>
            <w:vAlign w:val="bottom"/>
          </w:tcPr>
          <w:p>
            <w:pPr>
              <w:ind w:left="380"/>
              <w:spacing w:after="0"/>
              <w:rPr>
                <w:sz w:val="20"/>
                <w:szCs w:val="20"/>
                <w:color w:val="auto"/>
              </w:rPr>
            </w:pPr>
            <w:r>
              <w:rPr>
                <w:rFonts w:ascii="Arial" w:cs="Arial" w:eastAsia="Arial" w:hAnsi="Arial"/>
                <w:sz w:val="18"/>
                <w:szCs w:val="18"/>
                <w:color w:val="auto"/>
              </w:rPr>
              <w:t>Total long-term debt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1,568,554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920,935</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2023 and 2025</w:t>
      </w:r>
    </w:p>
    <w:p>
      <w:pPr>
        <w:spacing w:after="0" w:line="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November 19, 2015, the Company issued $450.0 million aggregate principal amount of its 6.75% senior notes due December 1, 2023 (the "2023 Notes") and $550.0 million aggregate principal amount of its 7.00% senior notes due December 1, 2025 (the "2025 Notes"). The 2023 Notes were, and the 2025 Notes are, senior unsecured obligations of the Company and guaranteed, jointly and severally, by certain of the Company's U.S. subsidiaries (the "Guarantors"). The 2023 Notes and the 2025 Notes were issued pursuant to an indenture dated as of November 19, 2015 (the "2015 Indenture"), by and among the Company, the Guarantors and MUFG Union Bank, N.A., as trustee. The 2015 Indenture contains customary events of default, including payment default, failure to provide certain notices and certain provisions related to bankruptcy events.</w:t>
      </w:r>
    </w:p>
    <w:p>
      <w:pPr>
        <w:spacing w:after="0" w:line="1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fiscal years 2018 and 2019, the Company retired all of the issued and outstanding 2023 Notes and $526.6 million of the 2025 Notes. During the three and nine months ended December 29, 2018, the Company recognized a loss on debt extinguishment of $1.8 million and $84.0 million, respectively, as "Other expense" in the Condensed Consolidated Statements of Income in connection with certain purchases of these notes. As of December 28, 2019, an aggregate principal amount of $23.4 million of the 2025 Notes remained outstanding.</w:t>
      </w:r>
    </w:p>
    <w:p>
      <w:pPr>
        <w:spacing w:after="0" w:line="187"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With respect to the 2023 Notes, interest was payable on June 1 and December 1 of each year at a rate of 6.75% per annum, and with respect to the 2025 Notes, interest is payable on June 1 and December 1 of each year at a rate of 7.00% per annum. Interest paid on the 2025 Notes during the three and nine months ended December 28, 2019 was $0.8 million and $1.6 million, respectively. Interest paid on the 2025 Notes during the three months ended December 29, 2018 was $4.0 million, and interest paid on the 2023 Notes and 2025 Notes during the nine months ended December 29, 2018 was $45.5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2026</w:t>
      </w:r>
    </w:p>
    <w:p>
      <w:pPr>
        <w:spacing w:after="0" w:line="23"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On July 16, 2018, the Company issued $500.0 million aggregate principal amount of its 5.50% senior notes due 2026 (the “Initial 2026 Notes”). On August 28, 2018 and March 5, 2019, the Company issued an additional $130.0 million and $270.0 million, respectively, aggregate principal amount of such notes (together, the "Additional 2026 Notes" and together with the Initial 2026 Notes, the "2026 Notes"). The 2026 Notes will mature on July 15, 2026, unless earlier redeemed in accordance with their terms. The 2026 Notes are senior unsecured obligations of the Company and are initially guaranteed, jointly and severally, by the Guarantors.</w:t>
      </w:r>
    </w:p>
    <w:p>
      <w:pPr>
        <w:spacing w:after="0" w:line="19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Initial 2026 Notes were issued pursuant to an indenture, dated as of July 16, 2018, by and among the Company, the Guarantors and MUFG Union Bank, N.A., as trustee, and the Additional 2026 Notes were issued pursuant to supplemental indentures, dated as of August 28, 2018 and March 5, 2019, respectively (such indenture and supplemental indentures, collectively, the "2018 Indenture"). The 2018 Indenture contains customary events of default, including payment default, exchange default, failure to provide certain notices thereunder and certain provisions related to bankruptcy events and also contains customary negative covenants.</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connection with the offerings of the 2026 Notes, the Company agreed to provide the holders of the 2026 Notes with an opportunity to exchange the 2026 Notes for registered notes having terms substantially identical to the 2026 Notes. On June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25, 2019, the Company completed the exchange offer, in which all of the privately placed 2026 Notes were exchanged for new notes that have been registered under the Securities Act of 1933, as amended (the "Securities Act").</w:t>
      </w:r>
    </w:p>
    <w:p>
      <w:pPr>
        <w:spacing w:after="0" w:line="17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Interest is payable on the 2026 Notes on January 15 and July 15 of each year at a rate of 5.50% per annum. The Company paid no interest on the 2026 Notes during the three months ended December 28, 2019 and paid interest of $24.8 million on the 2026 Notes during the nine months ended December 28,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2029</w:t>
      </w:r>
    </w:p>
    <w:p>
      <w:pPr>
        <w:spacing w:after="0" w:line="23"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On September 30, 2019, the Company issued $350.0 million aggregate principal amount of its 4.375% senior notes due 2029 (the “Initial 2029 Notes”). On December 20, 2019, the Company issued an additional $200.0 million aggregate principal amount of such notes (the "Additional 2029 Notes" and together with the Initial 2029 Notes, the "2029 Notes"). The 2029 Notes will mature on October 15, 2029, unless earlier redeemed in accordance with their terms. The 2029 Notes are senior unsecured obligations of the Company and are initially guaranteed, jointly and severally, by each of the Guarantors.</w:t>
      </w:r>
    </w:p>
    <w:p>
      <w:pPr>
        <w:spacing w:after="0" w:line="1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Initial 2029 Notes were issued pursuant to an indenture, dated as of September 30, 2019, by and among the Company, the Guarantors and MUFG Union Bank, N.A., as trustee, and the Additional 2029 Notes were issued pursuant to a supplemental indenture, dated as of December 20, 2019 (such indenture and supplemental indenture, together, the "2019 Indenture"). The 2019 Indenture contains customary events of default, including payment default, exchange default, failure to provide certain notices thereunder and certain provisions related to bankruptcy events. The 2019 Indenture also contains customary negative covenants.</w:t>
      </w:r>
    </w:p>
    <w:p>
      <w:pPr>
        <w:spacing w:after="0" w:line="188"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2029 Notes have not been registered under the Securities Act, or any state securities laws, and, unless so registered, may not be offered or sold in the United States absent registration or an applicable exemption from the registration requirements of the Securities Act and applicable state securities laws.</w:t>
      </w:r>
    </w:p>
    <w:p>
      <w:pPr>
        <w:spacing w:after="0" w:line="124"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 connection with the offering of the Initial 2029 Notes, the Company entered into a registration rights agreement, dated as of September 30, 2019, by and among the Company and the Guarantors, on the one hand, and BofA Securities, Inc., as representative of the initial purchasers of the Initial 2029 Notes, on the other hand, and a substantially similar agreement, dated as of December 20, 2019, with respect to the Additional 2029 Notes (together, the "Registration Rights Agreements").</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Registration Rights Agreements, the Company and the Guarantors have agreed to use their commercially reasonable efforts to (i) file with the SEC a registration statement (the “Exchange Offer Registration Statement”) relating to the registered exchange offer (the “Exchange Offer”) to exchange the 2029 Notes for a new series of the Company’s exchange notes having terms substantially identical in all material respects to, and in the same aggregate principal amount as, the 2029 Notes; (ii) cause the Exchange Offer Registration Statement to be declared effective by the SEC; and (iii) cause the Exchange Offer to be consummated no later than the 360th day after September 30, 2019 (or if such 360th day is not a business day, the next succeeding business day). The Company and the Guarantors have also agreed to use their commercially reasonable efforts to cause the Exchange Offer Registration Statement to be effective continuously and keep the Exchange Offer open for a period of not less than the minimum period required under applicable federal and state securities laws to consummate the Exchange Offer.</w:t>
      </w:r>
    </w:p>
    <w:p>
      <w:pPr>
        <w:spacing w:after="0" w:line="1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certain circumstances, the Company and the Guarantors have agreed to use their commercially reasonable efforts to (i) file a shelf registration statement relating to the resale of the 2029 Notes as promptly as practicable, and (ii) cause the shelf registration statement to be declared effective by the SEC as promptly as practicable. The Company and the Guarantors have also agreed to use their commercially reasonable efforts to keep the shelf registration statement continuously effective until one year after its effective date (or such shorter period that will terminate when all the 2029 Notes covered thereby have been sold pursuant thereto).</w:t>
      </w:r>
    </w:p>
    <w:p>
      <w:pPr>
        <w:spacing w:after="0" w:line="18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If the Company fails to meet any of these targets, the annual interest rate on the 2029 Notes will increase by 0.25% during the 90-day period following the default, and will increase by an additional 0.25% for each subsequent 90-day period during which the default continues, up to a maximum additional interest rate of 1.00% per year. If the Company cures the default, the interest rate on the 2029 Notes will revert to the original level.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Interest is payable on the 2029 Notes on April 15 and October 15 of each year at a rate of 4.375% per annum, commencing April 15,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December 5, 2017, the Company and the Guarantors entered into a five-year unsecured senior credit facility pursuant to a credit agreement with Bank of America, N.A., as administrative agent (in such capacity, the “Administrative Agent”), swing line lender and L/C issuer, and a syndicate of lenders (the "Credit Agreement"). The Credit Agreement included a senior delayed draw term loan of up to $400.0 million (the "Term Loan") and a $300.0 million senior revolving line of credit (the "Revolving Facility"). In addition, the Company may request one or more additional tranches of term loans or increases in the Revolving Facility, up to an aggregate of $300.0 million and subject to securing additional funding commitments from the existing or new lenders (the “Incremental Facility,” together with the Term Loan and the Revolving Facility, the “Credit Facility”). On the closing date, $100.0 million of the Term Loan was funded (and subsequently repaid in March 2018). On June 17, 2019, the Company drew $100.0 million of the Term Loan. The delayed draw availability period for the remaining $200.0 million of the Term Loan expired on December 31, 2019. The Revolving Facility includes a $25.0 million sublimit for the issuance of standby letters of credit and a $10.0 million sublimit for swing line loans. The Credit Facility is available to finance working capital, capital expenditures and other corporate purposes. Outstanding amounts are due in full on the maturity date of December 5, 2022 (with amounts borrowed under the swingline option due in full no later than ten business days after such loan is made), subject to scheduled amortization of the Term Loan principal as set forth in the Credit Agreement prior to the maturity date. During the nine months ended December 28, 2019, there were no borrowings under the Revolving Facility. Interest paid on the Term Loan during the three and nine months ended December 28, 2019 was $0.7 million and $1.6 million, respectively.</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Credit Agreement contains various conditions, covenants and representations with which the Company must be in compliance in order to borrow funds and to avoid an event of default. As of December 28, 2019, the Company was in compliance with these covenants.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3"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The Company's debt is carried at amortized cost and is measured at fair value quarterly for disclosure purposes. The estimated fair value of the 2025 Notes, 2026 Notes, and 2029 Notes as of December 28, 2019 was $25.3 million, $962.3 million, and $576.1 million, respectively (compared to a carrying value of $23.4 million, $900.0 million, and $550.0 million, respectively). The estimated fair value of the 2025 Notes and the 2026 Notes as of March 30, 2019 was $25.8 million and $929.3 million, respectively. The Company considers its debt to be Level 2 in the fair value hierarchy. Fair values are estimated based on quoted market prices for identical or similar instruments. The 2025 Notes, 2026 Notes, and 2029 Notes trade over the counter, and their fair values were estimated based upon the value of their last trade at the end of the period.</w:t>
      </w:r>
    </w:p>
    <w:p>
      <w:pPr>
        <w:spacing w:after="0" w:line="17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Term Loan carries a variable interest rate set at current market rates, and as such, the fair value of the Term Loan approximated book value as of December 28,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During the three and nine months ended December 28, 2019, the Company recognized $17.8 million and $44.3 million, respectively, of interest expense related to the 2025 Notes, the 2026 Notes, the 2029 Notes and the Term Loan, which was partially offset by $1.4 million and $4.4 million, respectively, of interest capitalized to property and equipment. During the three months ended December 29, 2018, the Company recognized $10.8 million of interest expense related to the 2025 Notes and the 2026 Notes, which was partially offset by $1.9 million of interest capitalized to property and equipment. During the nine months ended December 29, 2018, the Company recognized $38.8 million of interest expense related to the 2023 Notes, the 2025 Notes and the 2026 Notes, which was partially offset by $7.2 million of interest capitalized to property and equipment.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 REPURCHASES</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On October 31, 2019, the Company announced that its Board of Directors authorized a new share repurchase program to repurchase up to $1.0 billion of the Company's outstanding common stock, which included approximately $117.0 million authorized under the prior program which was terminated concurrent with the new authorization. Under this program, share repurchases are made in accordance with applicable securities laws on the open market or in privately negotiated transactions. The extent to which the Company repurchases its shares, the number of shares and the timing of any repurchases depends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2" w:right="25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During the three and nine months ended December 28, 2019, the Company repurchased approximately 1.3 million shares and 5.1 million shares, respectively, of its common stock for approximately $125.0 million and $390.1 million, respectively, under the prior and current share repurchase programs. As of December 28, 2019, $890.9 million remained available for repurchases under the current share repurchase program.</w:t>
      </w:r>
    </w:p>
    <w:p>
      <w:pPr>
        <w:spacing w:after="0" w:line="16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During the three and nine months ended December 29, 2018, the Company repurchased approximately 2.3 million shares and 4.6 million shares, respectively, of its common stock for approximately $152.0 million and $338.7 million, respectively, under the prior share repurchase program.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revenue disaggregated by geography, based on the location of the customers' headquarters (in thousands):</w:t>
      </w:r>
    </w:p>
    <w:p>
      <w:pPr>
        <w:sectPr>
          <w:pgSz w:w="11900" w:h="16838" w:orient="portrait"/>
          <w:cols w:equalWidth="0" w:num="1">
            <w:col w:w="11420"/>
          </w:cols>
          <w:pgMar w:left="240" w:top="122" w:right="239" w:bottom="1440" w:gutter="0" w:footer="0" w:header="0"/>
        </w:sectPr>
      </w:pPr>
    </w:p>
    <w:p>
      <w:pPr>
        <w:spacing w:after="0" w:line="253" w:lineRule="exact"/>
        <w:rPr>
          <w:sz w:val="20"/>
          <w:szCs w:val="20"/>
          <w:color w:val="auto"/>
        </w:rPr>
      </w:pPr>
    </w:p>
    <w:p>
      <w:pPr>
        <w:jc w:val="center"/>
        <w:ind w:left="49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23495</wp:posOffset>
            </wp:positionV>
            <wp:extent cx="2109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03" w:lineRule="exact"/>
        <w:rPr>
          <w:sz w:val="20"/>
          <w:szCs w:val="20"/>
          <w:color w:val="auto"/>
        </w:rPr>
      </w:pPr>
    </w:p>
    <w:p>
      <w:pPr>
        <w:ind w:left="4920"/>
        <w:spacing w:after="0"/>
        <w:tabs>
          <w:tab w:leader="none" w:pos="6620" w:val="left"/>
        </w:tabs>
        <w:rPr>
          <w:sz w:val="20"/>
          <w:szCs w:val="20"/>
          <w:color w:val="auto"/>
        </w:rPr>
      </w:pPr>
      <w:r>
        <w:rPr>
          <w:rFonts w:ascii="Arial" w:cs="Arial" w:eastAsia="Arial" w:hAnsi="Arial"/>
          <w:sz w:val="14"/>
          <w:szCs w:val="14"/>
          <w:b w:val="1"/>
          <w:bCs w:val="1"/>
          <w:color w:val="auto"/>
        </w:rPr>
        <w:t>December 28, 2019</w:t>
      </w:r>
      <w:r>
        <w:rPr>
          <w:sz w:val="20"/>
          <w:szCs w:val="20"/>
          <w:color w:val="auto"/>
        </w:rPr>
        <w:tab/>
      </w:r>
      <w:r>
        <w:rPr>
          <w:rFonts w:ascii="Arial" w:cs="Arial" w:eastAsia="Arial" w:hAnsi="Arial"/>
          <w:sz w:val="12"/>
          <w:szCs w:val="12"/>
          <w:b w:val="1"/>
          <w:bCs w:val="1"/>
          <w:color w:val="auto"/>
        </w:rPr>
        <w:t>December 29, 2018</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23495</wp:posOffset>
            </wp:positionV>
            <wp:extent cx="20923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680" w:val="left"/>
        </w:tabs>
        <w:rPr>
          <w:sz w:val="20"/>
          <w:szCs w:val="20"/>
          <w:color w:val="auto"/>
        </w:rPr>
      </w:pPr>
      <w:r>
        <w:rPr>
          <w:rFonts w:ascii="Arial" w:cs="Arial" w:eastAsia="Arial" w:hAnsi="Arial"/>
          <w:sz w:val="14"/>
          <w:szCs w:val="14"/>
          <w:b w:val="1"/>
          <w:bCs w:val="1"/>
          <w:color w:val="auto"/>
        </w:rPr>
        <w:t>December 28, 2019</w:t>
      </w:r>
      <w:r>
        <w:rPr>
          <w:sz w:val="20"/>
          <w:szCs w:val="20"/>
          <w:color w:val="auto"/>
        </w:rPr>
        <w:tab/>
      </w:r>
      <w:r>
        <w:rPr>
          <w:rFonts w:ascii="Arial" w:cs="Arial" w:eastAsia="Arial" w:hAnsi="Arial"/>
          <w:sz w:val="12"/>
          <w:szCs w:val="12"/>
          <w:b w:val="1"/>
          <w:bCs w:val="1"/>
          <w:color w:val="auto"/>
        </w:rPr>
        <w:t>December 29, 2018</w:t>
      </w:r>
    </w:p>
    <w:p>
      <w:pPr>
        <w:spacing w:after="0" w:line="25" w:lineRule="exact"/>
        <w:rPr>
          <w:sz w:val="20"/>
          <w:szCs w:val="20"/>
          <w:color w:val="auto"/>
        </w:rPr>
      </w:pPr>
    </w:p>
    <w:p>
      <w:pPr>
        <w:sectPr>
          <w:pgSz w:w="11900" w:h="16838" w:orient="portrait"/>
          <w:cols w:equalWidth="0" w:num="2">
            <w:col w:w="7800" w:space="540"/>
            <w:col w:w="308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423,573</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460,525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1,143,995</w:t>
            </w:r>
          </w:p>
        </w:tc>
        <w:tc>
          <w:tcPr>
            <w:tcW w:w="52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1,153,823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China</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281,024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242,454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842,112</w:t>
            </w:r>
          </w:p>
        </w:tc>
        <w:tc>
          <w:tcPr>
            <w:tcW w:w="5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830,727</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Asia</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80,729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54,414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229,344</w:t>
            </w: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168,344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Taiwan</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43,156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35,143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122,189</w:t>
            </w:r>
          </w:p>
        </w:tc>
        <w:tc>
          <w:tcPr>
            <w:tcW w:w="5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142,038</w:t>
            </w:r>
          </w:p>
        </w:tc>
      </w:tr>
      <w:tr>
        <w:trPr>
          <w:trHeight w:val="27"/>
        </w:trPr>
        <w:tc>
          <w:tcPr>
            <w:tcW w:w="4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5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40,591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39,794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113,729</w:t>
            </w:r>
          </w:p>
        </w:tc>
        <w:tc>
          <w:tcPr>
            <w:tcW w:w="5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114,511</w:t>
            </w:r>
          </w:p>
        </w:tc>
      </w:tr>
      <w:tr>
        <w:trPr>
          <w:trHeight w:val="257"/>
        </w:trPr>
        <w:tc>
          <w:tcPr>
            <w:tcW w:w="470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869,073</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832,330</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2,451,369</w:t>
            </w:r>
          </w:p>
        </w:tc>
        <w:tc>
          <w:tcPr>
            <w:tcW w:w="5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2,409,443</w:t>
            </w:r>
          </w:p>
        </w:tc>
      </w:tr>
      <w:tr>
        <w:trPr>
          <w:trHeight w:val="20"/>
        </w:trPr>
        <w:tc>
          <w:tcPr>
            <w:tcW w:w="4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During the first quarter of fiscal 2020, the Company changed its presentation of net revenue based on the "sold to" address of the customer to the above presentation of net revenue based on the location of the customers' headquarters. The December 29, 2018 information above has been reclassified to reflect this change. The Company believes that the disaggregation of revenue based on the location of the customers' headquarters is more representative of how its revenue and cash flows are impacted by geographically-sensitive changes in economic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disaggregates revenue by operating segments (see Note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RESTRUCTURING</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third quarter of fiscal 2019, the Company initiated restructuring actions to reduce operating expenses and improve its manufacturing cost structure, including the phased closure of a wafer fabrication facility in Florida and idling production at a wafer fabrication facility in Texas. As of the end of the third quarter of fiscal 2020, the Company has recorded total cumulative restructuring charges of $88.1 million as a result of these restructuring actions, including accelerated depreciation of $47.2 million (to reflect changes in estimated useful lives of certain property and equipment), impairment charges of $15.9 million (to adjust the carrying value of certain property and equipment to reflect its fair value), employee termination benefits of $13.9 million and other exit costs of $11.1 million. The Company expects to record additional expenses of approximately $1.0 million for employee termination benefits and $4.0 million for other exit costs as a result of these actions.</w:t>
      </w:r>
    </w:p>
    <w:p>
      <w:pPr>
        <w:spacing w:after="0" w:line="18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During fiscal 2018, the Company initiated restructuring actions to improve operating efficiencies. As of the end of the third quarter of fiscal 2020, the Company has recorded cumulative expenses of $46.3 million, $23.3 million and $0.2 million for impairment charges, employee termination benefits and other exit costs, respectively, as a result of these restructuring actions which are substantially complete.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allocate restructuring costs to its reportable segments.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restructuring activity primarily resulting from these restructuring events: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7"/>
          </w:tcPr>
          <w:p>
            <w:pPr>
              <w:jc w:val="center"/>
              <w:ind w:right="274"/>
              <w:spacing w:after="0"/>
              <w:rPr>
                <w:sz w:val="20"/>
                <w:szCs w:val="20"/>
                <w:color w:val="auto"/>
              </w:rPr>
            </w:pPr>
            <w:r>
              <w:rPr>
                <w:rFonts w:ascii="Arial" w:cs="Arial" w:eastAsia="Arial" w:hAnsi="Arial"/>
                <w:sz w:val="14"/>
                <w:szCs w:val="14"/>
                <w:b w:val="1"/>
                <w:bCs w:val="1"/>
                <w:color w:val="auto"/>
                <w:w w:val="93"/>
              </w:rPr>
              <w:t>Three Months Ended December 28, 2019</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7"/>
          </w:tcPr>
          <w:p>
            <w:pPr>
              <w:jc w:val="center"/>
              <w:ind w:right="314"/>
              <w:spacing w:after="0"/>
              <w:rPr>
                <w:sz w:val="20"/>
                <w:szCs w:val="20"/>
                <w:color w:val="auto"/>
              </w:rPr>
            </w:pPr>
            <w:r>
              <w:rPr>
                <w:rFonts w:ascii="Arial" w:cs="Arial" w:eastAsia="Arial" w:hAnsi="Arial"/>
                <w:sz w:val="14"/>
                <w:szCs w:val="14"/>
                <w:b w:val="1"/>
                <w:bCs w:val="1"/>
                <w:color w:val="auto"/>
                <w:w w:val="93"/>
              </w:rPr>
              <w:t>Three Months Ended December 29, 2018</w:t>
            </w: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Cost of Goods Sold</w:t>
            </w:r>
          </w:p>
        </w:tc>
        <w:tc>
          <w:tcPr>
            <w:tcW w:w="100" w:type="dxa"/>
            <w:vAlign w:val="bottom"/>
            <w:vMerge w:val="restart"/>
          </w:tcPr>
          <w:p>
            <w:pPr>
              <w:spacing w:after="0"/>
              <w:rPr>
                <w:sz w:val="13"/>
                <w:szCs w:val="13"/>
                <w:color w:val="auto"/>
              </w:rPr>
            </w:pPr>
          </w:p>
        </w:tc>
        <w:tc>
          <w:tcPr>
            <w:tcW w:w="13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Other Operating</w:t>
            </w:r>
          </w:p>
        </w:tc>
        <w:tc>
          <w:tcPr>
            <w:tcW w:w="280" w:type="dxa"/>
            <w:vAlign w:val="bottom"/>
          </w:tcPr>
          <w:p>
            <w:pPr>
              <w:spacing w:after="0"/>
              <w:rPr>
                <w:sz w:val="13"/>
                <w:szCs w:val="13"/>
                <w:color w:val="auto"/>
              </w:rPr>
            </w:pPr>
          </w:p>
        </w:tc>
        <w:tc>
          <w:tcPr>
            <w:tcW w:w="96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Cost of Goods Sold</w:t>
            </w:r>
          </w:p>
        </w:tc>
        <w:tc>
          <w:tcPr>
            <w:tcW w:w="100" w:type="dxa"/>
            <w:vAlign w:val="bottom"/>
            <w:vMerge w:val="restart"/>
          </w:tcPr>
          <w:p>
            <w:pPr>
              <w:spacing w:after="0"/>
              <w:rPr>
                <w:sz w:val="13"/>
                <w:szCs w:val="13"/>
                <w:color w:val="auto"/>
              </w:rPr>
            </w:pP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Other Operating</w:t>
            </w:r>
          </w:p>
        </w:tc>
        <w:tc>
          <w:tcPr>
            <w:tcW w:w="30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0"/>
              </w:rPr>
              <w:t>Expense</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6"/>
              </w:rPr>
              <w:t>Expense</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One-time employee termination benefits</w:t>
            </w: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8"/>
              </w:rPr>
              <w:t>Contract termination and other associated</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costs</w:t>
            </w:r>
          </w:p>
        </w:tc>
        <w:tc>
          <w:tcPr>
            <w:tcW w:w="38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3,438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4,386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impairment and accelerated</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4,324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14,914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17,994</w:t>
            </w:r>
          </w:p>
        </w:tc>
        <w:tc>
          <w:tcPr>
            <w:tcW w:w="0" w:type="dxa"/>
            <w:vAlign w:val="bottom"/>
          </w:tcPr>
          <w:p>
            <w:pPr>
              <w:spacing w:after="0"/>
              <w:rPr>
                <w:sz w:val="1"/>
                <w:szCs w:val="1"/>
                <w:color w:val="auto"/>
              </w:rPr>
            </w:pPr>
          </w:p>
        </w:tc>
      </w:tr>
      <w:tr>
        <w:trPr>
          <w:trHeight w:val="257"/>
        </w:trPr>
        <w:tc>
          <w:tcPr>
            <w:tcW w:w="3340" w:type="dxa"/>
            <w:vAlign w:val="bottom"/>
          </w:tcPr>
          <w:p>
            <w:pPr>
              <w:ind w:left="36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7,762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2,518</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10,280</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3,080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16,424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19,504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7"/>
          </w:tcPr>
          <w:p>
            <w:pPr>
              <w:jc w:val="center"/>
              <w:ind w:right="274"/>
              <w:spacing w:after="0"/>
              <w:rPr>
                <w:sz w:val="20"/>
                <w:szCs w:val="20"/>
                <w:color w:val="auto"/>
              </w:rPr>
            </w:pPr>
            <w:r>
              <w:rPr>
                <w:rFonts w:ascii="Arial" w:cs="Arial" w:eastAsia="Arial" w:hAnsi="Arial"/>
                <w:sz w:val="14"/>
                <w:szCs w:val="14"/>
                <w:b w:val="1"/>
                <w:bCs w:val="1"/>
                <w:color w:val="auto"/>
                <w:w w:val="93"/>
              </w:rPr>
              <w:t>Nine Months Ended December 28, 2019</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7"/>
          </w:tcPr>
          <w:p>
            <w:pPr>
              <w:jc w:val="center"/>
              <w:ind w:right="314"/>
              <w:spacing w:after="0"/>
              <w:rPr>
                <w:sz w:val="20"/>
                <w:szCs w:val="20"/>
                <w:color w:val="auto"/>
              </w:rPr>
            </w:pPr>
            <w:r>
              <w:rPr>
                <w:rFonts w:ascii="Arial" w:cs="Arial" w:eastAsia="Arial" w:hAnsi="Arial"/>
                <w:sz w:val="14"/>
                <w:szCs w:val="14"/>
                <w:b w:val="1"/>
                <w:bCs w:val="1"/>
                <w:color w:val="auto"/>
                <w:w w:val="93"/>
              </w:rPr>
              <w:t>Nine Months Ended December 29, 2018</w:t>
            </w: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Cost of Goods Sold</w:t>
            </w:r>
          </w:p>
        </w:tc>
        <w:tc>
          <w:tcPr>
            <w:tcW w:w="100" w:type="dxa"/>
            <w:vAlign w:val="bottom"/>
            <w:vMerge w:val="restart"/>
          </w:tcPr>
          <w:p>
            <w:pPr>
              <w:spacing w:after="0"/>
              <w:rPr>
                <w:sz w:val="13"/>
                <w:szCs w:val="13"/>
                <w:color w:val="auto"/>
              </w:rPr>
            </w:pPr>
          </w:p>
        </w:tc>
        <w:tc>
          <w:tcPr>
            <w:tcW w:w="13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Other Operating</w:t>
            </w:r>
          </w:p>
        </w:tc>
        <w:tc>
          <w:tcPr>
            <w:tcW w:w="280" w:type="dxa"/>
            <w:vAlign w:val="bottom"/>
          </w:tcPr>
          <w:p>
            <w:pPr>
              <w:spacing w:after="0"/>
              <w:rPr>
                <w:sz w:val="13"/>
                <w:szCs w:val="13"/>
                <w:color w:val="auto"/>
              </w:rPr>
            </w:pPr>
          </w:p>
        </w:tc>
        <w:tc>
          <w:tcPr>
            <w:tcW w:w="96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Cost of Goods Sold</w:t>
            </w:r>
          </w:p>
        </w:tc>
        <w:tc>
          <w:tcPr>
            <w:tcW w:w="100" w:type="dxa"/>
            <w:vAlign w:val="bottom"/>
            <w:vMerge w:val="restart"/>
          </w:tcPr>
          <w:p>
            <w:pPr>
              <w:spacing w:after="0"/>
              <w:rPr>
                <w:sz w:val="13"/>
                <w:szCs w:val="13"/>
                <w:color w:val="auto"/>
              </w:rPr>
            </w:pP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Other Operating</w:t>
            </w:r>
          </w:p>
        </w:tc>
        <w:tc>
          <w:tcPr>
            <w:tcW w:w="30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0"/>
              </w:rPr>
              <w:t>Expense</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6"/>
              </w:rPr>
              <w:t>Expense</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One-time employee termination benefits</w:t>
            </w: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6,379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4,437</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8"/>
              </w:rPr>
              <w:t>Contract termination and other associated</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costs</w:t>
            </w:r>
          </w:p>
        </w:tc>
        <w:tc>
          <w:tcPr>
            <w:tcW w:w="38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6,308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5,163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11,471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impairment and accelerated</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25,840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14,914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17,994</w:t>
            </w:r>
          </w:p>
        </w:tc>
        <w:tc>
          <w:tcPr>
            <w:tcW w:w="0" w:type="dxa"/>
            <w:vAlign w:val="bottom"/>
          </w:tcPr>
          <w:p>
            <w:pPr>
              <w:spacing w:after="0"/>
              <w:rPr>
                <w:sz w:val="1"/>
                <w:szCs w:val="1"/>
                <w:color w:val="auto"/>
              </w:rPr>
            </w:pPr>
          </w:p>
        </w:tc>
      </w:tr>
      <w:tr>
        <w:trPr>
          <w:trHeight w:val="257"/>
        </w:trPr>
        <w:tc>
          <w:tcPr>
            <w:tcW w:w="3340" w:type="dxa"/>
            <w:vAlign w:val="bottom"/>
          </w:tcPr>
          <w:p>
            <w:pPr>
              <w:ind w:left="36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32,148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11,542</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43,690</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3,080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19,736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22,816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roll-forward of the Company's restructuring liabilities for the nine months ended December 28,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One-Time Employee</w:t>
            </w:r>
          </w:p>
        </w:tc>
        <w:tc>
          <w:tcPr>
            <w:tcW w:w="260" w:type="dxa"/>
            <w:vAlign w:val="bottom"/>
          </w:tcPr>
          <w:p>
            <w:pPr>
              <w:spacing w:after="0"/>
              <w:rPr>
                <w:sz w:val="14"/>
                <w:szCs w:val="14"/>
                <w:color w:val="auto"/>
              </w:rPr>
            </w:pPr>
          </w:p>
        </w:tc>
        <w:tc>
          <w:tcPr>
            <w:tcW w:w="14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Accelerated</w:t>
            </w:r>
          </w:p>
        </w:tc>
        <w:tc>
          <w:tcPr>
            <w:tcW w:w="12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Contract Termination</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and Other Associated</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Termination Benefits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Depreciation</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2"/>
              </w:rPr>
              <w:t>Costs</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restructuring balance as of March 30,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8,614</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Costs incurred and charged to expense</w:t>
            </w:r>
          </w:p>
        </w:tc>
        <w:tc>
          <w:tcPr>
            <w:tcW w:w="1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6,379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25,840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11,471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43,690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Transfer to right-of-use asset</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43"/>
        </w:trPr>
        <w:tc>
          <w:tcPr>
            <w:tcW w:w="4700" w:type="dxa"/>
            <w:vAlign w:val="bottom"/>
          </w:tcPr>
          <w:p>
            <w:pPr>
              <w:ind w:left="200"/>
              <w:spacing w:after="0"/>
              <w:rPr>
                <w:sz w:val="20"/>
                <w:szCs w:val="20"/>
                <w:color w:val="auto"/>
              </w:rPr>
            </w:pPr>
            <w:r>
              <w:rPr>
                <w:rFonts w:ascii="Arial" w:cs="Arial" w:eastAsia="Arial" w:hAnsi="Arial"/>
                <w:sz w:val="18"/>
                <w:szCs w:val="18"/>
                <w:color w:val="auto"/>
              </w:rPr>
              <w:t>Cash payments</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(12,080)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Non-cash activity</w:t>
            </w: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(25,840)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(32,147)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Accrued restructuring balance as of December 28, 2019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6,532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6,829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OPERATING SEGMENT INFORMATION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operating segments as of December 28, 2019 are Mobile Products (MP) and Infrastructure and Defense Products (IDP) based on the organizational structure and information reviewed by the Company's Chief Executive Officer, who is the Company's chief operating decision maker ("CODM"), and these segments are managed separately based on the end markets and applications they support. The CODM allocates resources and assesses the performance of each operating segment primarily based on non-GAAP operating income.</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MP is a global supplier of cellular RF and Wi-Fi solutions for a variety of mobile devices, including smartphones, wearables, laptops, tablets and cellular-based applications for the Internet of Things ("IoT").</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IDP is a global supplier of RF, system-on-a-chip and power management solutions for cellular base station, smart home, IoT, defense and automotive applications.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“All other” category includes operating expenses such as stock-based compensation, amortization of intangible assets, acquisition and integration related costs, restructuring costs, start-up costs, asset impairment and accelerated depreciation, (loss) gain on assets, and other miscellaneous corporate overhead expenses that the Company does not allocate to its reportable segments because these expenses are not included in the segment operating performance measures evaluated by the Company’s CODM. The CODM does not evaluate operating segments using discrete asset information. The Company’s operating segments do not record intercompany revenue. The Company does not allocate gains and losses from equity investments, interest and other income, or taxes to operating segments. Except as discussed above regarding the “All other” category, the Company’s accounting policies for segment reporting are the same as for the Company as a whole.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details of the Company’s reportable segments and a reconciliation of the “All other” category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1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4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2"/>
              </w:rPr>
              <w:t>December 28,</w:t>
            </w:r>
          </w:p>
        </w:tc>
        <w:tc>
          <w:tcPr>
            <w:tcW w:w="240" w:type="dxa"/>
            <w:vAlign w:val="bottom"/>
          </w:tcPr>
          <w:p>
            <w:pPr>
              <w:spacing w:after="0"/>
              <w:rPr>
                <w:sz w:val="13"/>
                <w:szCs w:val="13"/>
                <w:color w:val="auto"/>
              </w:rPr>
            </w:pPr>
          </w:p>
        </w:tc>
        <w:tc>
          <w:tcPr>
            <w:tcW w:w="14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December 29,</w:t>
            </w:r>
          </w:p>
        </w:tc>
        <w:tc>
          <w:tcPr>
            <w:tcW w:w="240" w:type="dxa"/>
            <w:vAlign w:val="bottom"/>
          </w:tcPr>
          <w:p>
            <w:pPr>
              <w:spacing w:after="0"/>
              <w:rPr>
                <w:sz w:val="13"/>
                <w:szCs w:val="13"/>
                <w:color w:val="auto"/>
              </w:rPr>
            </w:pPr>
          </w:p>
        </w:tc>
        <w:tc>
          <w:tcPr>
            <w:tcW w:w="14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December 28,</w:t>
            </w:r>
          </w:p>
        </w:tc>
        <w:tc>
          <w:tcPr>
            <w:tcW w:w="240" w:type="dxa"/>
            <w:vAlign w:val="bottom"/>
          </w:tcPr>
          <w:p>
            <w:pPr>
              <w:spacing w:after="0"/>
              <w:rPr>
                <w:sz w:val="13"/>
                <w:szCs w:val="13"/>
                <w:color w:val="auto"/>
              </w:rPr>
            </w:pPr>
          </w:p>
        </w:tc>
        <w:tc>
          <w:tcPr>
            <w:tcW w:w="1360" w:type="dxa"/>
            <w:vAlign w:val="bottom"/>
          </w:tcPr>
          <w:p>
            <w:pPr>
              <w:jc w:val="center"/>
              <w:ind w:right="193"/>
              <w:spacing w:after="0" w:line="153" w:lineRule="exact"/>
              <w:rPr>
                <w:sz w:val="20"/>
                <w:szCs w:val="20"/>
                <w:color w:val="auto"/>
              </w:rPr>
            </w:pPr>
            <w:r>
              <w:rPr>
                <w:rFonts w:ascii="Arial" w:cs="Arial" w:eastAsia="Arial" w:hAnsi="Arial"/>
                <w:sz w:val="14"/>
                <w:szCs w:val="14"/>
                <w:b w:val="1"/>
                <w:bCs w:val="1"/>
                <w:color w:val="auto"/>
                <w:w w:val="92"/>
              </w:rPr>
              <w:t>December 29,</w:t>
            </w:r>
          </w:p>
        </w:tc>
      </w:tr>
      <w:tr>
        <w:trPr>
          <w:trHeight w:val="192"/>
        </w:trPr>
        <w:tc>
          <w:tcPr>
            <w:tcW w:w="47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MP</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662,109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602,312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1,841,468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1,754,930</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IDP</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206,964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230,018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609,901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654,513</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869,073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832,330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2,451,369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2,409,443</w:t>
            </w:r>
          </w:p>
        </w:tc>
      </w:tr>
      <w:tr>
        <w:trPr>
          <w:trHeight w:val="67"/>
        </w:trPr>
        <w:tc>
          <w:tcPr>
            <w:tcW w:w="47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Operating income (loss):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MP</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219,778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180,394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553,144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466,513</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IDP</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32,628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80,861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97,721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192,376</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All other</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(99,337)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(180,098)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(329,803)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(506,470)</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153,069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81,157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321,062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152,419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(16,900)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(41,457)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(33,604)</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7,788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 xml:space="preserve">Other income (expense) </w:t>
            </w:r>
            <w:r>
              <w:rPr>
                <w:rFonts w:ascii="Arial" w:cs="Arial" w:eastAsia="Arial" w:hAnsi="Arial"/>
                <w:sz w:val="18"/>
                <w:szCs w:val="18"/>
                <w:i w:val="1"/>
                <w:iCs w:val="1"/>
                <w:color w:val="auto"/>
              </w:rPr>
              <w:t>(Notes 4 &amp; 7)</w:t>
            </w:r>
          </w:p>
        </w:tc>
        <w:tc>
          <w:tcPr>
            <w:tcW w:w="24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44,148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42,737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(85,007)</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183,191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70,889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330,454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41,596</w:t>
            </w:r>
          </w:p>
        </w:tc>
      </w:tr>
      <w:tr>
        <w:trPr>
          <w:trHeight w:val="20"/>
        </w:trPr>
        <w:tc>
          <w:tcPr>
            <w:tcW w:w="4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r>
      <w:tr>
        <w:trPr>
          <w:trHeight w:val="798"/>
        </w:trPr>
        <w:tc>
          <w:tcPr>
            <w:tcW w:w="4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91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4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2"/>
              </w:rPr>
              <w:t>December 28,</w:t>
            </w:r>
          </w:p>
        </w:tc>
        <w:tc>
          <w:tcPr>
            <w:tcW w:w="240" w:type="dxa"/>
            <w:vAlign w:val="bottom"/>
          </w:tcPr>
          <w:p>
            <w:pPr>
              <w:spacing w:after="0"/>
              <w:rPr>
                <w:sz w:val="13"/>
                <w:szCs w:val="13"/>
                <w:color w:val="auto"/>
              </w:rPr>
            </w:pPr>
          </w:p>
        </w:tc>
        <w:tc>
          <w:tcPr>
            <w:tcW w:w="14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December 29,</w:t>
            </w:r>
          </w:p>
        </w:tc>
        <w:tc>
          <w:tcPr>
            <w:tcW w:w="240" w:type="dxa"/>
            <w:vAlign w:val="bottom"/>
          </w:tcPr>
          <w:p>
            <w:pPr>
              <w:spacing w:after="0"/>
              <w:rPr>
                <w:sz w:val="13"/>
                <w:szCs w:val="13"/>
                <w:color w:val="auto"/>
              </w:rPr>
            </w:pPr>
          </w:p>
        </w:tc>
        <w:tc>
          <w:tcPr>
            <w:tcW w:w="14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December 28,</w:t>
            </w:r>
          </w:p>
        </w:tc>
        <w:tc>
          <w:tcPr>
            <w:tcW w:w="240" w:type="dxa"/>
            <w:vAlign w:val="bottom"/>
          </w:tcPr>
          <w:p>
            <w:pPr>
              <w:spacing w:after="0"/>
              <w:rPr>
                <w:sz w:val="13"/>
                <w:szCs w:val="13"/>
                <w:color w:val="auto"/>
              </w:rPr>
            </w:pPr>
          </w:p>
        </w:tc>
        <w:tc>
          <w:tcPr>
            <w:tcW w:w="1360" w:type="dxa"/>
            <w:vAlign w:val="bottom"/>
          </w:tcPr>
          <w:p>
            <w:pPr>
              <w:jc w:val="center"/>
              <w:ind w:right="193"/>
              <w:spacing w:after="0" w:line="153" w:lineRule="exact"/>
              <w:rPr>
                <w:sz w:val="20"/>
                <w:szCs w:val="20"/>
                <w:color w:val="auto"/>
              </w:rPr>
            </w:pPr>
            <w:r>
              <w:rPr>
                <w:rFonts w:ascii="Arial" w:cs="Arial" w:eastAsia="Arial" w:hAnsi="Arial"/>
                <w:sz w:val="14"/>
                <w:szCs w:val="14"/>
                <w:b w:val="1"/>
                <w:bCs w:val="1"/>
                <w:color w:val="auto"/>
                <w:w w:val="92"/>
              </w:rPr>
              <w:t>December 29,</w:t>
            </w:r>
          </w:p>
        </w:tc>
      </w:tr>
      <w:tr>
        <w:trPr>
          <w:trHeight w:val="192"/>
        </w:trPr>
        <w:tc>
          <w:tcPr>
            <w:tcW w:w="47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of “All other” category:</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(16,381)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(18,624)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(62,210)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(58,874)</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(398,518)</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Acquisition and integration related costs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(37,905)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(5,880)</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costs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(4,822)</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Start-up costs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(18,035)</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impairment and accelerated 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(17,994)</w:t>
            </w:r>
          </w:p>
        </w:tc>
      </w:tr>
      <w:tr>
        <w:trPr>
          <w:trHeight w:val="229"/>
        </w:trPr>
        <w:tc>
          <w:tcPr>
            <w:tcW w:w="4700" w:type="dxa"/>
            <w:vAlign w:val="bottom"/>
          </w:tcPr>
          <w:p>
            <w:pPr>
              <w:ind w:left="180"/>
              <w:spacing w:after="0"/>
              <w:rPr>
                <w:sz w:val="20"/>
                <w:szCs w:val="20"/>
                <w:color w:val="auto"/>
              </w:rPr>
            </w:pPr>
            <w:r>
              <w:rPr>
                <w:rFonts w:ascii="Arial" w:cs="Arial" w:eastAsia="Arial" w:hAnsi="Arial"/>
                <w:sz w:val="18"/>
                <w:szCs w:val="18"/>
                <w:color w:val="auto"/>
                <w:w w:val="90"/>
              </w:rPr>
              <w:t>Other (including (loss) gain on assets and other miscellaneous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700" w:type="dxa"/>
            <w:vAlign w:val="bottom"/>
          </w:tcPr>
          <w:p>
            <w:pPr>
              <w:ind w:left="340"/>
              <w:spacing w:after="0"/>
              <w:rPr>
                <w:sz w:val="20"/>
                <w:szCs w:val="20"/>
                <w:color w:val="auto"/>
              </w:rPr>
            </w:pPr>
            <w:r>
              <w:rPr>
                <w:rFonts w:ascii="Arial" w:cs="Arial" w:eastAsia="Arial" w:hAnsi="Arial"/>
                <w:sz w:val="18"/>
                <w:szCs w:val="18"/>
                <w:color w:val="auto"/>
              </w:rPr>
              <w:t>corporate overhead)</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(2,347)</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from operations for “All other”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(329,803)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(506,470)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Company’s provision for income taxes for the three and nine months ended December 28, 2019 and December 29, 2018 was calculated by applying an estimate of the annual effective tax rate for the full fiscal year to “ordinary” income or loss (pre-</w:t>
      </w:r>
    </w:p>
    <w:p>
      <w:pPr>
        <w:sectPr>
          <w:pgSz w:w="11900" w:h="16838" w:orient="portrait"/>
          <w:cols w:equalWidth="0" w:num="1">
            <w:col w:w="11420"/>
          </w:cols>
          <w:pgMar w:left="240" w:top="121" w:right="2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tax income or loss excluding unusual or infrequently occurring discrete items) for the three and nine months ended December 28, 2019 and December 29, 2018.</w:t>
      </w:r>
    </w:p>
    <w:p>
      <w:pPr>
        <w:spacing w:after="0" w:line="17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Company’s income tax expense was $21.8 million and $46.5 million, respectively, for the three and nine months ended December 28, 2019, and the Company’s income tax expense was $1.4 million and income tax benefit was $30.0 million, for the three and nine months ended December 29, 2018, respectively. The Company’s effective tax rate was 11.9% and 14.1% for the three and nine months ended December 28, 2019, respectively, and 1.9% and (72.2)% for the three and nine months ended December 29, 2018, respectively.</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Company's effective tax rate for the three and nine months ended December 28, 2019 differed from the statutory rate primarily due to tax rate differences in foreign jurisdictions, global intangible low tax income (“GILTI”), domestic tax credits generated, foreign permanent differences, the discrete treatment of postcombination compensation expenses related to the Active-Semi and Cavendish acquisitions, and a discrete expense related to the Company’s change in its permanent reinvestment assertion. The Company's effective tax rate for the three and nine months ended December 29, 2018 differed from the statutory rate primarily due to tax rate differences in foreign jurisdictions, foreign permanent differences, state income taxes, domestic tax credits generated, changes in unrecognized tax benefits, GILTI, a discrete tax benefit for changes in provisional estimates related to the one-time transition tax on certain unrepatriated earnings of foreign subsidiaries enacted in the Tax Cuts and Jobs Act and, for the nine months ended December 29, 2018 only, a discrete tax benefit resulting from a retroactive incentive allowing previously non-deductible payments to be amortized.</w:t>
      </w:r>
    </w:p>
    <w:p>
      <w:pPr>
        <w:spacing w:after="0" w:line="1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Management has concluded that it can no longer support an assertion that certain earnings which have previously been subject to U.S. federal taxation at its foreign subsidiaries are permanently reinvested. During the second quarter of fiscal 2020, the Company updated forecasts of cash balances and cash flow outside the U.S. and began to implement a more centralized approach to cash management. As a result, the Company recorded $4.0 million of discrete tax expense during the second quarter of fiscal 2020. During the third quarter of fiscal 2020, the Company recorded an additional $9.3 million of discrete deferred tax expense related to outside tax basis differences realized on the Company's investment in Cavendish. The Company had previously released in the third quarter of fiscal 2018 its permanent reinvestment assertion on its operating subsidiary in Singapore, Qorvo International Pte. Ltd.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per share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1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28, 2019</w:t>
            </w:r>
          </w:p>
        </w:tc>
        <w:tc>
          <w:tcPr>
            <w:tcW w:w="16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29, 2018</w:t>
            </w:r>
          </w:p>
        </w:tc>
        <w:tc>
          <w:tcPr>
            <w:tcW w:w="180" w:type="dxa"/>
            <w:vAlign w:val="bottom"/>
          </w:tcPr>
          <w:p>
            <w:pPr>
              <w:spacing w:after="0"/>
              <w:rPr>
                <w:sz w:val="22"/>
                <w:szCs w:val="22"/>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28, 2019</w:t>
            </w:r>
          </w:p>
        </w:tc>
        <w:tc>
          <w:tcPr>
            <w:tcW w:w="180" w:type="dxa"/>
            <w:vAlign w:val="bottom"/>
          </w:tcPr>
          <w:p>
            <w:pPr>
              <w:spacing w:after="0"/>
              <w:rPr>
                <w:sz w:val="22"/>
                <w:szCs w:val="22"/>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29, 2018</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5"/>
              </w:rPr>
              <w:t>Numerator for basic and diluted net income per share —</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vMerge w:val="restart"/>
          </w:tcPr>
          <w:p>
            <w:pPr>
              <w:jc w:val="right"/>
              <w:ind w:right="34"/>
              <w:spacing w:after="0"/>
              <w:rPr>
                <w:sz w:val="20"/>
                <w:szCs w:val="20"/>
                <w:color w:val="auto"/>
              </w:rPr>
            </w:pPr>
            <w:r>
              <w:rPr>
                <w:rFonts w:ascii="Arial" w:cs="Arial" w:eastAsia="Arial" w:hAnsi="Arial"/>
                <w:sz w:val="18"/>
                <w:szCs w:val="18"/>
                <w:color w:val="auto"/>
              </w:rPr>
              <w:t>161,356</w:t>
            </w:r>
          </w:p>
        </w:tc>
        <w:tc>
          <w:tcPr>
            <w:tcW w:w="10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vMerge w:val="restart"/>
          </w:tcPr>
          <w:p>
            <w:pPr>
              <w:jc w:val="right"/>
              <w:ind w:right="33"/>
              <w:spacing w:after="0"/>
              <w:rPr>
                <w:sz w:val="20"/>
                <w:szCs w:val="20"/>
                <w:color w:val="auto"/>
              </w:rPr>
            </w:pPr>
            <w:r>
              <w:rPr>
                <w:rFonts w:ascii="Arial" w:cs="Arial" w:eastAsia="Arial" w:hAnsi="Arial"/>
                <w:sz w:val="18"/>
                <w:szCs w:val="18"/>
                <w:color w:val="auto"/>
              </w:rPr>
              <w:t>69,517</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tcPr>
          <w:p>
            <w:pPr>
              <w:jc w:val="right"/>
              <w:ind w:right="14"/>
              <w:spacing w:after="0"/>
              <w:rPr>
                <w:sz w:val="20"/>
                <w:szCs w:val="20"/>
                <w:color w:val="auto"/>
              </w:rPr>
            </w:pPr>
            <w:r>
              <w:rPr>
                <w:rFonts w:ascii="Arial" w:cs="Arial" w:eastAsia="Arial" w:hAnsi="Arial"/>
                <w:sz w:val="18"/>
                <w:szCs w:val="18"/>
                <w:color w:val="auto"/>
              </w:rPr>
              <w:t>283,935</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tcPr>
          <w:p>
            <w:pPr>
              <w:jc w:val="right"/>
              <w:ind w:right="13"/>
              <w:spacing w:after="0"/>
              <w:rPr>
                <w:sz w:val="20"/>
                <w:szCs w:val="20"/>
                <w:color w:val="auto"/>
              </w:rPr>
            </w:pPr>
            <w:r>
              <w:rPr>
                <w:rFonts w:ascii="Arial" w:cs="Arial" w:eastAsia="Arial" w:hAnsi="Arial"/>
                <w:sz w:val="18"/>
                <w:szCs w:val="18"/>
                <w:color w:val="auto"/>
              </w:rPr>
              <w:t>71,608</w:t>
            </w:r>
          </w:p>
        </w:tc>
        <w:tc>
          <w:tcPr>
            <w:tcW w:w="0" w:type="dxa"/>
            <w:vAlign w:val="bottom"/>
          </w:tcPr>
          <w:p>
            <w:pPr>
              <w:spacing w:after="0"/>
              <w:rPr>
                <w:sz w:val="1"/>
                <w:szCs w:val="1"/>
                <w:color w:val="auto"/>
              </w:rPr>
            </w:pPr>
          </w:p>
        </w:tc>
      </w:tr>
      <w:tr>
        <w:trPr>
          <w:trHeight w:val="277"/>
        </w:trPr>
        <w:tc>
          <w:tcPr>
            <w:tcW w:w="47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net income available to common stockholders</w:t>
            </w:r>
          </w:p>
        </w:tc>
        <w:tc>
          <w:tcPr>
            <w:tcW w:w="160" w:type="dxa"/>
            <w:vAlign w:val="bottom"/>
            <w:tcBorders>
              <w:bottom w:val="single" w:sz="8" w:color="auto"/>
            </w:tcBorders>
            <w:vMerge w:val="continue"/>
          </w:tcPr>
          <w:p>
            <w:pPr>
              <w:spacing w:after="0"/>
              <w:rPr>
                <w:sz w:val="24"/>
                <w:szCs w:val="24"/>
                <w:color w:val="auto"/>
              </w:rPr>
            </w:pPr>
          </w:p>
        </w:tc>
        <w:tc>
          <w:tcPr>
            <w:tcW w:w="14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14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4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4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Denominator:</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5"/>
              </w:rPr>
              <w:t>Denominator for basic net income per share — weighted</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540"/>
              <w:spacing w:after="0"/>
              <w:rPr>
                <w:sz w:val="20"/>
                <w:szCs w:val="20"/>
                <w:color w:val="auto"/>
              </w:rPr>
            </w:pPr>
            <w:r>
              <w:rPr>
                <w:rFonts w:ascii="Arial" w:cs="Arial" w:eastAsia="Arial" w:hAnsi="Arial"/>
                <w:sz w:val="18"/>
                <w:szCs w:val="18"/>
                <w:color w:val="auto"/>
              </w:rPr>
              <w:t>average shares</w:t>
            </w:r>
          </w:p>
        </w:tc>
        <w:tc>
          <w:tcPr>
            <w:tcW w:w="16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116,129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124,308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117,436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125,437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Stock-based awards</w:t>
            </w:r>
          </w:p>
        </w:tc>
        <w:tc>
          <w:tcPr>
            <w:tcW w:w="160" w:type="dxa"/>
            <w:vAlign w:val="bottom"/>
          </w:tcPr>
          <w:p>
            <w:pPr>
              <w:spacing w:after="0"/>
              <w:rPr>
                <w:sz w:val="21"/>
                <w:szCs w:val="21"/>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2,326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2,276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Denominator for diluted net income per share — adjusted</w:t>
            </w:r>
          </w:p>
        </w:tc>
        <w:tc>
          <w:tcPr>
            <w:tcW w:w="16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118,455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126,842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119,712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128,360</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shares and assumed conversions</w:t>
            </w: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Basic net income per share</w:t>
            </w: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net income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the computation of diluted net income per share for the three and nine months ended December 28, 2019, less than 0.1 million and approximately 0.1 million outstanding shares, respectively, were excluded because the effect of their inclusion would have been anti-dilutive. In the computation of diluted net income per share for the three and nine months ended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December 29, 2018, approximately 0.5 million and 0.3 million outstanding shares, respectively, were excluded because the effect of their inclusion would have been anti-dilutive.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CONDENSED CONSOLIDATING FINANCIAL INFORMATION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accordance with the applicable indentures governing the 2025 Notes, the 2026 Notes and the 2029 Notes, the Company's obligations under the 2025 Notes, the 2026 Notes and the 2029 Notes are fully and unconditionally guaranteed on a joint and several basis by each Guarantor, each of which is 100% owned, directly or indirectly, by Qorvo, Inc. (the "Parent Company"). A Guarantor can be released in certain customary circumstances.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the condensed consolidating financial information separately for:</w:t>
      </w:r>
    </w:p>
    <w:p>
      <w:pPr>
        <w:spacing w:after="0" w:line="2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Parent Company, the issuer of the guaranteed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Guarantor subsidiaries, on a combined basis, as specified in the applicable indenture;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Non-guarantor subsidiaries, on a combined basis;</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Consolidating entries, eliminations and reclassifications representing adjustments to (a) eliminate intercompany transactions between or among the Parent Company, the Guarantor subsidiaries and the non-guarantor subsidiaries, (b) eliminate intercompany profit in inventory, (c) eliminate the investments in the Company’s subsidiaries and (d) record consolidating entries;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on a consolidated basis.</w:t>
      </w:r>
    </w:p>
    <w:p>
      <w:pPr>
        <w:spacing w:after="0" w:line="21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Each entity in the condensed consolidating financial information follows the same accounting policies as described in the consolidated financial statements, except for the use by the Parent Company and Guarantor subsidiaries of the equity method of accounting to reflect ownership interests in subsidiaries that are eliminated upon consolidation. The financial information may not necessarily be indicative of the financial position, results of operations, comprehensive (loss) income, and cash flows, had the Parent Company, Guarantor or non-guarantor subsidiaries operated as independent entities.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21" w:right="27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20" w:type="dxa"/>
            <w:vAlign w:val="bottom"/>
            <w:gridSpan w:val="3"/>
          </w:tcPr>
          <w:p>
            <w:pPr>
              <w:jc w:val="center"/>
              <w:ind w:right="48"/>
              <w:spacing w:after="0"/>
              <w:rPr>
                <w:sz w:val="20"/>
                <w:szCs w:val="20"/>
                <w:color w:val="auto"/>
              </w:rPr>
            </w:pPr>
            <w:r>
              <w:rPr>
                <w:rFonts w:ascii="Arial" w:cs="Arial" w:eastAsia="Arial" w:hAnsi="Arial"/>
                <w:sz w:val="16"/>
                <w:szCs w:val="16"/>
                <w:b w:val="1"/>
                <w:bCs w:val="1"/>
                <w:color w:val="auto"/>
                <w:w w:val="89"/>
              </w:rPr>
              <w:t>Condensed Consolidating Balance Sheet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28, 2019</w:t>
            </w:r>
          </w:p>
        </w:tc>
        <w:tc>
          <w:tcPr>
            <w:tcW w:w="14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080" w:type="dxa"/>
            <w:vAlign w:val="bottom"/>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15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Parent Company</w:t>
            </w:r>
          </w:p>
        </w:tc>
        <w:tc>
          <w:tcPr>
            <w:tcW w:w="1280" w:type="dxa"/>
            <w:vAlign w:val="bottom"/>
          </w:tcPr>
          <w:p>
            <w:pPr>
              <w:jc w:val="center"/>
              <w:ind w:left="25"/>
              <w:spacing w:after="0" w:line="147" w:lineRule="exact"/>
              <w:rPr>
                <w:sz w:val="20"/>
                <w:szCs w:val="20"/>
                <w:color w:val="auto"/>
              </w:rPr>
            </w:pPr>
            <w:r>
              <w:rPr>
                <w:rFonts w:ascii="Arial" w:cs="Arial" w:eastAsia="Arial" w:hAnsi="Arial"/>
                <w:sz w:val="14"/>
                <w:szCs w:val="14"/>
                <w:b w:val="1"/>
                <w:bCs w:val="1"/>
                <w:color w:val="auto"/>
                <w:w w:val="97"/>
              </w:rPr>
              <w:t>Guarantor</w:t>
            </w:r>
          </w:p>
        </w:tc>
        <w:tc>
          <w:tcPr>
            <w:tcW w:w="1680" w:type="dxa"/>
            <w:vAlign w:val="bottom"/>
          </w:tcPr>
          <w:p>
            <w:pPr>
              <w:jc w:val="center"/>
              <w:ind w:left="5"/>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460" w:type="dxa"/>
            <w:vAlign w:val="bottom"/>
          </w:tcPr>
          <w:p>
            <w:pPr>
              <w:ind w:left="140"/>
              <w:spacing w:after="0" w:line="147" w:lineRule="exact"/>
              <w:rPr>
                <w:sz w:val="20"/>
                <w:szCs w:val="20"/>
                <w:color w:val="auto"/>
              </w:rPr>
            </w:pPr>
            <w:r>
              <w:rPr>
                <w:rFonts w:ascii="Arial" w:cs="Arial" w:eastAsia="Arial" w:hAnsi="Arial"/>
                <w:sz w:val="14"/>
                <w:szCs w:val="14"/>
                <w:b w:val="1"/>
                <w:bCs w:val="1"/>
                <w:color w:val="auto"/>
              </w:rPr>
              <w:t>Eliminations and</w:t>
            </w:r>
          </w:p>
        </w:tc>
        <w:tc>
          <w:tcPr>
            <w:tcW w:w="1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6"/>
        </w:trPr>
        <w:tc>
          <w:tcPr>
            <w:tcW w:w="408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280" w:type="dxa"/>
            <w:vAlign w:val="bottom"/>
          </w:tcPr>
          <w:p>
            <w:pPr>
              <w:jc w:val="center"/>
              <w:ind w:left="5"/>
              <w:spacing w:after="0"/>
              <w:rPr>
                <w:sz w:val="20"/>
                <w:szCs w:val="20"/>
                <w:color w:val="auto"/>
              </w:rPr>
            </w:pPr>
            <w:r>
              <w:rPr>
                <w:rFonts w:ascii="Arial" w:cs="Arial" w:eastAsia="Arial" w:hAnsi="Arial"/>
                <w:sz w:val="14"/>
                <w:szCs w:val="14"/>
                <w:b w:val="1"/>
                <w:bCs w:val="1"/>
                <w:color w:val="auto"/>
                <w:w w:val="91"/>
              </w:rPr>
              <w:t>Subsidiaries</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8"/>
              </w:rPr>
              <w:t>Subsidiaries</w:t>
            </w:r>
          </w:p>
        </w:tc>
        <w:tc>
          <w:tcPr>
            <w:tcW w:w="1460" w:type="dxa"/>
            <w:vAlign w:val="bottom"/>
          </w:tcPr>
          <w:p>
            <w:pPr>
              <w:ind w:left="160"/>
              <w:spacing w:after="0"/>
              <w:rPr>
                <w:sz w:val="20"/>
                <w:szCs w:val="20"/>
                <w:color w:val="auto"/>
              </w:rPr>
            </w:pPr>
            <w:r>
              <w:rPr>
                <w:rFonts w:ascii="Arial" w:cs="Arial" w:eastAsia="Arial" w:hAnsi="Arial"/>
                <w:sz w:val="14"/>
                <w:szCs w:val="14"/>
                <w:b w:val="1"/>
                <w:bCs w:val="1"/>
                <w:color w:val="auto"/>
              </w:rPr>
              <w:t>Reclassifications</w:t>
            </w: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08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Accounts receivable, less allowance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Intercompany accounts and notes receivable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Other receivables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Long-term investments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w w:val="91"/>
              </w:rPr>
              <w:t>Long-term intercompany accounts and notes receivable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6,901,231</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6,567</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6,907,798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Intercompany accounts and notes payable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28,794</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33,794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1,566,905</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w w:val="95"/>
              </w:rPr>
              <w:t>Long-term intercompany accounts and notes payable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967,722</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2,568,421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4,339,377</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6,907,798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-4895850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-4552950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-4210050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-3858260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-3515360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-3172460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-2829560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-2108835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-1765935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-1423035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-2469515</wp:posOffset>
            </wp:positionV>
            <wp:extent cx="724662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520,845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576,879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1,097,724</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57,798</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352,037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409,835</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499,432</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6,319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(505,751)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158,751</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342,900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(21,766)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479,885</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22,713</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4,407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27,120</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1,695</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14,925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16,620</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33,382</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3,106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36,488</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1,294,616</w:t>
            </w:r>
          </w:p>
        </w:tc>
        <w:tc>
          <w:tcPr>
            <w:tcW w:w="3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1,300,573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(527,517)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2,067,672</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1,041,282</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232,906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1,278,988</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1,122,629</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1,293,173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2,415,802</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125,346</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469,961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595,307</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5,537</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35,359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40,896</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864,935</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236,904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(1,101,839)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2,819,038</w:t>
            </w:r>
          </w:p>
        </w:tc>
        <w:tc>
          <w:tcPr>
            <w:tcW w:w="3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(9,720,269)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97,717</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22,375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(5,821)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120,838</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7,371,100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3,591,251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(11,350,646)</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6,519,503</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764"/>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75,812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163,368</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239,180</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6,318</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499,432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(505,750)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102,294</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55,177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752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187,017</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5,302</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10,354</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49,352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59,706</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194,778</w:t>
            </w:r>
          </w:p>
        </w:tc>
        <w:tc>
          <w:tcPr>
            <w:tcW w:w="3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767,631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(504,998)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491,205</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1,649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1,568,554</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134,117</w:t>
            </w:r>
          </w:p>
        </w:tc>
        <w:tc>
          <w:tcPr>
            <w:tcW w:w="3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(1,101,839)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112,369</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31,538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(23,540)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120,367</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441,264</w:t>
            </w:r>
          </w:p>
        </w:tc>
        <w:tc>
          <w:tcPr>
            <w:tcW w:w="3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800,818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(1,630,377)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2,180,126</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6,929,836</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2,790,433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(9,720,269)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4,339,377</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7,371,100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3,591,251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(11,350,646)</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6,519,503</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-25400</wp:posOffset>
            </wp:positionV>
            <wp:extent cx="8661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-8255</wp:posOffset>
            </wp:positionV>
            <wp:extent cx="8661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-205105</wp:posOffset>
            </wp:positionV>
            <wp:extent cx="8661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-556895</wp:posOffset>
            </wp:positionV>
            <wp:extent cx="8661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-1251585</wp:posOffset>
            </wp:positionV>
            <wp:extent cx="8661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-2477770</wp:posOffset>
            </wp:positionV>
            <wp:extent cx="8661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-2658110</wp:posOffset>
            </wp:positionV>
            <wp:extent cx="8661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-4038600</wp:posOffset>
            </wp:positionV>
            <wp:extent cx="8661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60" w:space="420"/>
            <w:col w:w="5240"/>
          </w:cols>
          <w:pgMar w:left="240" w:top="121" w:right="2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20" w:type="dxa"/>
            <w:vAlign w:val="bottom"/>
            <w:gridSpan w:val="3"/>
          </w:tcPr>
          <w:p>
            <w:pPr>
              <w:jc w:val="center"/>
              <w:ind w:right="48"/>
              <w:spacing w:after="0"/>
              <w:rPr>
                <w:sz w:val="20"/>
                <w:szCs w:val="20"/>
                <w:color w:val="auto"/>
              </w:rPr>
            </w:pPr>
            <w:r>
              <w:rPr>
                <w:rFonts w:ascii="Arial" w:cs="Arial" w:eastAsia="Arial" w:hAnsi="Arial"/>
                <w:sz w:val="16"/>
                <w:szCs w:val="16"/>
                <w:b w:val="1"/>
                <w:bCs w:val="1"/>
                <w:color w:val="auto"/>
                <w:w w:val="89"/>
              </w:rPr>
              <w:t>Condensed Consolidating Balance Sheet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3"/>
              </w:rPr>
              <w:t>March 30, 2019</w:t>
            </w:r>
          </w:p>
        </w:tc>
        <w:tc>
          <w:tcPr>
            <w:tcW w:w="15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0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080" w:type="dxa"/>
            <w:vAlign w:val="bottom"/>
            <w:vMerge w:val="restart"/>
          </w:tcPr>
          <w:p>
            <w:pPr>
              <w:spacing w:after="0"/>
              <w:rPr>
                <w:sz w:val="20"/>
                <w:szCs w:val="20"/>
                <w:color w:val="auto"/>
              </w:rPr>
            </w:pPr>
            <w:r>
              <w:rPr>
                <w:rFonts w:ascii="Arial" w:cs="Arial" w:eastAsia="Arial" w:hAnsi="Arial"/>
                <w:sz w:val="16"/>
                <w:szCs w:val="16"/>
                <w:i w:val="1"/>
                <w:iCs w:val="1"/>
                <w:color w:val="auto"/>
              </w:rPr>
              <w:t>(in thousands)</w:t>
            </w:r>
          </w:p>
        </w:tc>
        <w:tc>
          <w:tcPr>
            <w:tcW w:w="15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Parent Company</w:t>
            </w:r>
          </w:p>
        </w:tc>
        <w:tc>
          <w:tcPr>
            <w:tcW w:w="13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7"/>
              </w:rPr>
              <w:t>Guarantor</w:t>
            </w:r>
          </w:p>
        </w:tc>
        <w:tc>
          <w:tcPr>
            <w:tcW w:w="1560" w:type="dxa"/>
            <w:vAlign w:val="bottom"/>
          </w:tcPr>
          <w:p>
            <w:pPr>
              <w:jc w:val="center"/>
              <w:ind w:left="5"/>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520" w:type="dxa"/>
            <w:vAlign w:val="bottom"/>
          </w:tcPr>
          <w:p>
            <w:pPr>
              <w:ind w:left="200"/>
              <w:spacing w:after="0" w:line="147" w:lineRule="exact"/>
              <w:rPr>
                <w:sz w:val="20"/>
                <w:szCs w:val="20"/>
                <w:color w:val="auto"/>
              </w:rPr>
            </w:pPr>
            <w:r>
              <w:rPr>
                <w:rFonts w:ascii="Arial" w:cs="Arial" w:eastAsia="Arial" w:hAnsi="Arial"/>
                <w:sz w:val="14"/>
                <w:szCs w:val="14"/>
                <w:b w:val="1"/>
                <w:bCs w:val="1"/>
                <w:color w:val="auto"/>
              </w:rPr>
              <w:t>Eliminations and</w:t>
            </w:r>
          </w:p>
        </w:tc>
        <w:tc>
          <w:tcPr>
            <w:tcW w:w="13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6"/>
        </w:trPr>
        <w:tc>
          <w:tcPr>
            <w:tcW w:w="408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Subsidiaries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8"/>
              </w:rPr>
              <w:t>Subsidiaries</w:t>
            </w:r>
          </w:p>
        </w:tc>
        <w:tc>
          <w:tcPr>
            <w:tcW w:w="1520" w:type="dxa"/>
            <w:vAlign w:val="bottom"/>
          </w:tcPr>
          <w:p>
            <w:pPr>
              <w:ind w:left="220"/>
              <w:spacing w:after="0"/>
              <w:rPr>
                <w:sz w:val="20"/>
                <w:szCs w:val="20"/>
                <w:color w:val="auto"/>
              </w:rPr>
            </w:pPr>
            <w:r>
              <w:rPr>
                <w:rFonts w:ascii="Arial" w:cs="Arial" w:eastAsia="Arial" w:hAnsi="Arial"/>
                <w:sz w:val="14"/>
                <w:szCs w:val="14"/>
                <w:b w:val="1"/>
                <w:bCs w:val="1"/>
                <w:color w:val="auto"/>
              </w:rPr>
              <w:t>Reclassifications</w:t>
            </w: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08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Accounts receivable, less allowance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Intercompany accounts and notes receivable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Other receivables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Long-term investments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w w:val="91"/>
              </w:rPr>
              <w:t>Long-term intercompany accounts and notes receivable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6,540,081</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17,245</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6,557,326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Intercompany accounts and notes payable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11,174</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24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11,174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919,270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w w:val="95"/>
              </w:rPr>
              <w:t>Long-term intercompany accounts and notes payable</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1,267,203</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2,197,647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4,359,679</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6,557,326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-4895850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-4552950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-4210050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-3858260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-3515360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-3172460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-2829560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-2108835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-1765935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-1423035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-2469515</wp:posOffset>
            </wp:positionV>
            <wp:extent cx="7246620"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231,865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479,170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711,035</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47,181</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330,991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378,172</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381,558</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62,640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(444,198)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173,885</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359,252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(21,344)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511,793</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24,087</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1,679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25,766</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5,121</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16,813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21,934</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33,956</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2,354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36,141</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897,653</w:t>
            </w:r>
          </w:p>
        </w:tc>
        <w:tc>
          <w:tcPr>
            <w:tcW w:w="3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1,252,899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(465,711)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1,684,841</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1,090,171</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268,040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8,302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1,366,513</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1,122,629</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1,051,260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2,173,889</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214,348</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193,862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408,210</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4,969</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92,817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97,786</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1,239,474</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93,923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(1,333,397)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2,321,170</w:t>
            </w:r>
          </w:p>
        </w:tc>
        <w:tc>
          <w:tcPr>
            <w:tcW w:w="3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(8,861,251)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46,784</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28,234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(15,478)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76,785</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6,937,198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2,981,035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(10,667,535)</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5,808,024</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764"/>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95,089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138,218</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233,307</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62,640</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381,558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(444,198)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96,238</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51,781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1,323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160,516</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41,880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41,711</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253,967</w:t>
            </w:r>
          </w:p>
        </w:tc>
        <w:tc>
          <w:tcPr>
            <w:tcW w:w="3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613,517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(443,044)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435,614</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920,935</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66,195</w:t>
            </w:r>
          </w:p>
        </w:tc>
        <w:tc>
          <w:tcPr>
            <w:tcW w:w="3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(1,333,398)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76,955</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45,202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(30,361)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91,796</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rPr>
              <w:t>397,117</w:t>
            </w:r>
          </w:p>
        </w:tc>
        <w:tc>
          <w:tcPr>
            <w:tcW w:w="3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660,384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(1,806,803)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1,448,345</w:t>
            </w:r>
          </w:p>
        </w:tc>
      </w:tr>
      <w:tr>
        <w:trPr>
          <w:trHeight w:val="270"/>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6,540,081</w:t>
            </w:r>
          </w:p>
        </w:tc>
        <w:tc>
          <w:tcPr>
            <w:tcW w:w="3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2,320,651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(8,860,732)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4,359,679</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jc w:val="right"/>
              <w:ind w:right="130"/>
              <w:spacing w:after="0"/>
              <w:rPr>
                <w:sz w:val="20"/>
                <w:szCs w:val="20"/>
                <w:color w:val="auto"/>
              </w:rPr>
            </w:pPr>
            <w:r>
              <w:rPr>
                <w:rFonts w:ascii="Arial" w:cs="Arial" w:eastAsia="Arial" w:hAnsi="Arial"/>
                <w:sz w:val="18"/>
                <w:szCs w:val="18"/>
                <w:color w:val="auto"/>
                <w:w w:val="87"/>
              </w:rPr>
              <w:t>6,937,198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2,981,035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(10,667,535)</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5,808,024</w:t>
            </w:r>
          </w:p>
        </w:tc>
      </w:tr>
      <w:tr>
        <w:trPr>
          <w:trHeight w:val="27"/>
        </w:trPr>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-25400</wp:posOffset>
            </wp:positionV>
            <wp:extent cx="8661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-8255</wp:posOffset>
            </wp:positionV>
            <wp:extent cx="8661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-205105</wp:posOffset>
            </wp:positionV>
            <wp:extent cx="8661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-556895</wp:posOffset>
            </wp:positionV>
            <wp:extent cx="8661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-1251585</wp:posOffset>
            </wp:positionV>
            <wp:extent cx="8661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-2477770</wp:posOffset>
            </wp:positionV>
            <wp:extent cx="8661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-2658110</wp:posOffset>
            </wp:positionV>
            <wp:extent cx="8661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-4038600</wp:posOffset>
            </wp:positionV>
            <wp:extent cx="8661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60" w:space="420"/>
            <w:col w:w="5240"/>
          </w:cols>
          <w:pgMar w:left="240" w:top="121" w:right="2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40" w:type="dxa"/>
            <w:vAlign w:val="bottom"/>
            <w:gridSpan w:val="12"/>
          </w:tcPr>
          <w:p>
            <w:pPr>
              <w:jc w:val="center"/>
              <w:ind w:left="971"/>
              <w:spacing w:after="0"/>
              <w:rPr>
                <w:sz w:val="20"/>
                <w:szCs w:val="20"/>
                <w:color w:val="auto"/>
              </w:rPr>
            </w:pPr>
            <w:r>
              <w:rPr>
                <w:rFonts w:ascii="Arial" w:cs="Arial" w:eastAsia="Arial" w:hAnsi="Arial"/>
                <w:sz w:val="16"/>
                <w:szCs w:val="16"/>
                <w:b w:val="1"/>
                <w:bCs w:val="1"/>
                <w:color w:val="auto"/>
                <w:w w:val="90"/>
              </w:rPr>
              <w:t>Condensed Consolidating Statement of Income and Comprehensive Income</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0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91"/>
              </w:rPr>
              <w:t>Three Months Ended December 28, 2019</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5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2"/>
                <w:szCs w:val="12"/>
                <w:color w:val="auto"/>
              </w:rPr>
            </w:pPr>
          </w:p>
        </w:tc>
        <w:tc>
          <w:tcPr>
            <w:tcW w:w="13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7"/>
              </w:rPr>
              <w:t>Parent Company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2"/>
                <w:szCs w:val="12"/>
                <w:color w:val="auto"/>
              </w:rPr>
            </w:pPr>
          </w:p>
        </w:tc>
        <w:tc>
          <w:tcPr>
            <w:tcW w:w="14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Eliminations and</w:t>
            </w:r>
          </w:p>
        </w:tc>
        <w:tc>
          <w:tcPr>
            <w:tcW w:w="260" w:type="dxa"/>
            <w:vAlign w:val="bottom"/>
          </w:tcPr>
          <w:p>
            <w:pPr>
              <w:spacing w:after="0"/>
              <w:rPr>
                <w:sz w:val="12"/>
                <w:szCs w:val="12"/>
                <w:color w:val="auto"/>
              </w:rPr>
            </w:pPr>
          </w:p>
        </w:tc>
        <w:tc>
          <w:tcPr>
            <w:tcW w:w="122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5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Reclassifications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246,326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789,083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869,073</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218,639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426,940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(144,617)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500,962</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362,143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368,111</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105,216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122,851</w:t>
            </w:r>
          </w:p>
        </w:tc>
        <w:tc>
          <w:tcPr>
            <w:tcW w:w="0" w:type="dxa"/>
            <w:vAlign w:val="bottom"/>
          </w:tcPr>
          <w:p>
            <w:pPr>
              <w:spacing w:after="0"/>
              <w:rPr>
                <w:sz w:val="1"/>
                <w:szCs w:val="1"/>
                <w:color w:val="auto"/>
              </w:rPr>
            </w:pPr>
          </w:p>
        </w:tc>
      </w:tr>
      <w:tr>
        <w:trPr>
          <w:trHeight w:val="243"/>
        </w:trPr>
        <w:tc>
          <w:tcPr>
            <w:tcW w:w="35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7,258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41,140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51,993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(19,186)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81,205</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operating expense</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10,986</w:t>
            </w: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16,381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59,738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161,128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(22,205)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215,042</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201,015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153,069</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(16,691)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(16,900)</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2,136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42,012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44,148</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245,284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183,191</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9,832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(20,953)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(21,835)</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in subsidiaries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184,595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224,332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(408,927)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161,355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184,110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224,331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(408,440)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161,356</w:t>
            </w:r>
          </w:p>
        </w:tc>
        <w:tc>
          <w:tcPr>
            <w:tcW w:w="0" w:type="dxa"/>
            <w:vAlign w:val="bottom"/>
          </w:tcPr>
          <w:p>
            <w:pPr>
              <w:spacing w:after="0"/>
              <w:rPr>
                <w:sz w:val="1"/>
                <w:szCs w:val="1"/>
                <w:color w:val="auto"/>
              </w:rPr>
            </w:pPr>
          </w:p>
        </w:tc>
      </w:tr>
      <w:tr>
        <w:trPr>
          <w:trHeight w:val="311"/>
        </w:trPr>
        <w:tc>
          <w:tcPr>
            <w:tcW w:w="3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162,171</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184,015</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225,389</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(409,404)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162,171</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40" w:type="dxa"/>
            <w:vAlign w:val="bottom"/>
            <w:gridSpan w:val="12"/>
          </w:tcPr>
          <w:p>
            <w:pPr>
              <w:jc w:val="center"/>
              <w:ind w:left="971"/>
              <w:spacing w:after="0"/>
              <w:rPr>
                <w:sz w:val="20"/>
                <w:szCs w:val="20"/>
                <w:color w:val="auto"/>
              </w:rPr>
            </w:pPr>
            <w:r>
              <w:rPr>
                <w:rFonts w:ascii="Arial" w:cs="Arial" w:eastAsia="Arial" w:hAnsi="Arial"/>
                <w:sz w:val="16"/>
                <w:szCs w:val="16"/>
                <w:b w:val="1"/>
                <w:bCs w:val="1"/>
                <w:color w:val="auto"/>
                <w:w w:val="90"/>
              </w:rPr>
              <w:t>Condensed Consolidating Statement of Income and Comprehensive Income</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0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91"/>
              </w:rPr>
              <w:t>Three Months Ended December 29, 2018</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5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2"/>
                <w:szCs w:val="12"/>
                <w:color w:val="auto"/>
              </w:rPr>
            </w:pPr>
          </w:p>
        </w:tc>
        <w:tc>
          <w:tcPr>
            <w:tcW w:w="13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7"/>
              </w:rPr>
              <w:t>Parent Company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2"/>
                <w:szCs w:val="12"/>
                <w:color w:val="auto"/>
              </w:rPr>
            </w:pPr>
          </w:p>
        </w:tc>
        <w:tc>
          <w:tcPr>
            <w:tcW w:w="14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Eliminations and</w:t>
            </w:r>
          </w:p>
        </w:tc>
        <w:tc>
          <w:tcPr>
            <w:tcW w:w="260" w:type="dxa"/>
            <w:vAlign w:val="bottom"/>
          </w:tcPr>
          <w:p>
            <w:pPr>
              <w:spacing w:after="0"/>
              <w:rPr>
                <w:sz w:val="12"/>
                <w:szCs w:val="12"/>
                <w:color w:val="auto"/>
              </w:rPr>
            </w:pPr>
          </w:p>
        </w:tc>
        <w:tc>
          <w:tcPr>
            <w:tcW w:w="122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5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Reclassifications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271,671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762,484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832,330</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225,156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447,084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(178,273)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493,967</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46,515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315,400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338,363</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94,114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109,985</w:t>
            </w:r>
          </w:p>
        </w:tc>
        <w:tc>
          <w:tcPr>
            <w:tcW w:w="0" w:type="dxa"/>
            <w:vAlign w:val="bottom"/>
          </w:tcPr>
          <w:p>
            <w:pPr>
              <w:spacing w:after="0"/>
              <w:rPr>
                <w:sz w:val="1"/>
                <w:szCs w:val="1"/>
                <w:color w:val="auto"/>
              </w:rPr>
            </w:pPr>
          </w:p>
        </w:tc>
      </w:tr>
      <w:tr>
        <w:trPr>
          <w:trHeight w:val="243"/>
        </w:trPr>
        <w:tc>
          <w:tcPr>
            <w:tcW w:w="35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10,327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53,131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82,581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(20,435)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125,604</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operating expense</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21,617</w:t>
            </w: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18,622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84,826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177,194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(23,436)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257,206</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138,206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81,157</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(9,562)</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(3,520)</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141,839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70,889</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6,147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(23,051)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15,532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in subsidiaries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93,079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157,371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(250,450)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69,517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93,196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157,371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(250,567)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69,517</w:t>
            </w:r>
          </w:p>
        </w:tc>
        <w:tc>
          <w:tcPr>
            <w:tcW w:w="0" w:type="dxa"/>
            <w:vAlign w:val="bottom"/>
          </w:tcPr>
          <w:p>
            <w:pPr>
              <w:spacing w:after="0"/>
              <w:rPr>
                <w:sz w:val="1"/>
                <w:szCs w:val="1"/>
                <w:color w:val="auto"/>
              </w:rPr>
            </w:pPr>
          </w:p>
        </w:tc>
      </w:tr>
      <w:tr>
        <w:trPr>
          <w:trHeight w:val="311"/>
        </w:trPr>
        <w:tc>
          <w:tcPr>
            <w:tcW w:w="3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68,455</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92,520</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156,974</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(249,494)</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68,455</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121" w:right="25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40" w:type="dxa"/>
            <w:vAlign w:val="bottom"/>
            <w:gridSpan w:val="12"/>
          </w:tcPr>
          <w:p>
            <w:pPr>
              <w:jc w:val="center"/>
              <w:ind w:left="971"/>
              <w:spacing w:after="0"/>
              <w:rPr>
                <w:sz w:val="20"/>
                <w:szCs w:val="20"/>
                <w:color w:val="auto"/>
              </w:rPr>
            </w:pPr>
            <w:r>
              <w:rPr>
                <w:rFonts w:ascii="Arial" w:cs="Arial" w:eastAsia="Arial" w:hAnsi="Arial"/>
                <w:sz w:val="16"/>
                <w:szCs w:val="16"/>
                <w:b w:val="1"/>
                <w:bCs w:val="1"/>
                <w:color w:val="auto"/>
                <w:w w:val="90"/>
              </w:rPr>
              <w:t>Condensed Consolidating Statement of Income and Comprehensive Income</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0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91"/>
              </w:rPr>
              <w:t>Nine Months Ended December 28, 2019</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5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2"/>
                <w:szCs w:val="12"/>
                <w:color w:val="auto"/>
              </w:rPr>
            </w:pPr>
          </w:p>
        </w:tc>
        <w:tc>
          <w:tcPr>
            <w:tcW w:w="13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7"/>
              </w:rPr>
              <w:t>Parent Company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2"/>
                <w:szCs w:val="12"/>
                <w:color w:val="auto"/>
              </w:rPr>
            </w:pPr>
          </w:p>
        </w:tc>
        <w:tc>
          <w:tcPr>
            <w:tcW w:w="14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Eliminations and</w:t>
            </w:r>
          </w:p>
        </w:tc>
        <w:tc>
          <w:tcPr>
            <w:tcW w:w="260" w:type="dxa"/>
            <w:vAlign w:val="bottom"/>
          </w:tcPr>
          <w:p>
            <w:pPr>
              <w:spacing w:after="0"/>
              <w:rPr>
                <w:sz w:val="12"/>
                <w:szCs w:val="12"/>
                <w:color w:val="auto"/>
              </w:rPr>
            </w:pPr>
          </w:p>
        </w:tc>
        <w:tc>
          <w:tcPr>
            <w:tcW w:w="122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5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Reclassifications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718,365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2,263,778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(530,774)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2,451,369</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656,503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1,270,889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(462,005)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1,465,387</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61,862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992,889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985,982</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315,937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357,385</w:t>
            </w:r>
          </w:p>
        </w:tc>
        <w:tc>
          <w:tcPr>
            <w:tcW w:w="0" w:type="dxa"/>
            <w:vAlign w:val="bottom"/>
          </w:tcPr>
          <w:p>
            <w:pPr>
              <w:spacing w:after="0"/>
              <w:rPr>
                <w:sz w:val="1"/>
                <w:szCs w:val="1"/>
                <w:color w:val="auto"/>
              </w:rPr>
            </w:pPr>
          </w:p>
        </w:tc>
      </w:tr>
      <w:tr>
        <w:trPr>
          <w:trHeight w:val="243"/>
        </w:trPr>
        <w:tc>
          <w:tcPr>
            <w:tcW w:w="35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39,085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136,132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147,636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(64,395)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258,458</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operating expense</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22,879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49,077</w:t>
            </w: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62,210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185,580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486,452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(69,322)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664,920</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506,437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321,062</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(40,776)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1,720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(41,457)</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8,112</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40,708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42,737</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553,831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330,454</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24,997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(59,359)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(46,519)</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in subsidiaries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361,923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494,472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(856,395)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283,934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361,370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494,472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(855,841)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283,935</w:t>
            </w:r>
          </w:p>
        </w:tc>
        <w:tc>
          <w:tcPr>
            <w:tcW w:w="0" w:type="dxa"/>
            <w:vAlign w:val="bottom"/>
          </w:tcPr>
          <w:p>
            <w:pPr>
              <w:spacing w:after="0"/>
              <w:rPr>
                <w:sz w:val="1"/>
                <w:szCs w:val="1"/>
                <w:color w:val="auto"/>
              </w:rPr>
            </w:pPr>
          </w:p>
        </w:tc>
      </w:tr>
      <w:tr>
        <w:trPr>
          <w:trHeight w:val="311"/>
        </w:trPr>
        <w:tc>
          <w:tcPr>
            <w:tcW w:w="3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283,716</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361,370</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494,222</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(855,592)</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283,716</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40" w:type="dxa"/>
            <w:vAlign w:val="bottom"/>
            <w:gridSpan w:val="12"/>
          </w:tcPr>
          <w:p>
            <w:pPr>
              <w:jc w:val="center"/>
              <w:ind w:left="971"/>
              <w:spacing w:after="0"/>
              <w:rPr>
                <w:sz w:val="20"/>
                <w:szCs w:val="20"/>
                <w:color w:val="auto"/>
              </w:rPr>
            </w:pPr>
            <w:r>
              <w:rPr>
                <w:rFonts w:ascii="Arial" w:cs="Arial" w:eastAsia="Arial" w:hAnsi="Arial"/>
                <w:sz w:val="16"/>
                <w:szCs w:val="16"/>
                <w:b w:val="1"/>
                <w:bCs w:val="1"/>
                <w:color w:val="auto"/>
                <w:w w:val="90"/>
              </w:rPr>
              <w:t>Condensed Consolidating Statement of Income and Comprehensive Income</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50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91"/>
              </w:rPr>
              <w:t>Nine Months Ended December 29, 2018</w:t>
            </w: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52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2"/>
                <w:szCs w:val="12"/>
                <w:color w:val="auto"/>
              </w:rPr>
            </w:pPr>
          </w:p>
        </w:tc>
        <w:tc>
          <w:tcPr>
            <w:tcW w:w="13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7"/>
              </w:rPr>
              <w:t>Parent Company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2"/>
                <w:szCs w:val="12"/>
                <w:color w:val="auto"/>
              </w:rPr>
            </w:pPr>
          </w:p>
        </w:tc>
        <w:tc>
          <w:tcPr>
            <w:tcW w:w="14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Eliminations and</w:t>
            </w:r>
          </w:p>
        </w:tc>
        <w:tc>
          <w:tcPr>
            <w:tcW w:w="260" w:type="dxa"/>
            <w:vAlign w:val="bottom"/>
          </w:tcPr>
          <w:p>
            <w:pPr>
              <w:spacing w:after="0"/>
              <w:rPr>
                <w:sz w:val="12"/>
                <w:szCs w:val="12"/>
                <w:color w:val="auto"/>
              </w:rPr>
            </w:pPr>
          </w:p>
        </w:tc>
        <w:tc>
          <w:tcPr>
            <w:tcW w:w="122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5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Reclassifications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740,241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2,214,289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(545,087)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2,409,443</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622,688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1,333,037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(474,892)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1,480,833</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117,553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881,252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928,610</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300,233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337,636</w:t>
            </w:r>
          </w:p>
        </w:tc>
        <w:tc>
          <w:tcPr>
            <w:tcW w:w="0" w:type="dxa"/>
            <w:vAlign w:val="bottom"/>
          </w:tcPr>
          <w:p>
            <w:pPr>
              <w:spacing w:after="0"/>
              <w:rPr>
                <w:sz w:val="1"/>
                <w:szCs w:val="1"/>
                <w:color w:val="auto"/>
              </w:rPr>
            </w:pPr>
          </w:p>
        </w:tc>
      </w:tr>
      <w:tr>
        <w:trPr>
          <w:trHeight w:val="243"/>
        </w:trPr>
        <w:tc>
          <w:tcPr>
            <w:tcW w:w="352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36,998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170,011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260,359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(66,327)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401,041</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operating expense</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37,514</w:t>
            </w:r>
          </w:p>
        </w:tc>
        <w:tc>
          <w:tcPr>
            <w:tcW w:w="0" w:type="dxa"/>
            <w:vAlign w:val="bottom"/>
          </w:tcPr>
          <w:p>
            <w:pPr>
              <w:spacing w:after="0"/>
              <w:rPr>
                <w:sz w:val="1"/>
                <w:szCs w:val="1"/>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58,873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218,073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570,603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(71,358)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776,191</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310,649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152,419</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(32,677)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(33,604)</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7,788</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(84,004)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(85,007)</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316,370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41,596</w:t>
            </w: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43,521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(26,717)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13,208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30,012</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in subsidiaries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203,641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329,578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(533,219)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71,608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202,478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329,578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(532,056)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71,608</w:t>
            </w:r>
          </w:p>
        </w:tc>
        <w:tc>
          <w:tcPr>
            <w:tcW w:w="0" w:type="dxa"/>
            <w:vAlign w:val="bottom"/>
          </w:tcPr>
          <w:p>
            <w:pPr>
              <w:spacing w:after="0"/>
              <w:rPr>
                <w:sz w:val="1"/>
                <w:szCs w:val="1"/>
                <w:color w:val="auto"/>
              </w:rPr>
            </w:pPr>
          </w:p>
        </w:tc>
      </w:tr>
      <w:tr>
        <w:trPr>
          <w:trHeight w:val="311"/>
        </w:trPr>
        <w:tc>
          <w:tcPr>
            <w:tcW w:w="3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68,290</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201,891</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326,701</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(528,592)</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68,290</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00"/>
          </w:cols>
          <w:pgMar w:left="240" w:top="121" w:right="25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80" w:type="dxa"/>
            <w:vAlign w:val="bottom"/>
            <w:gridSpan w:val="8"/>
          </w:tcPr>
          <w:p>
            <w:pPr>
              <w:jc w:val="center"/>
              <w:ind w:right="380"/>
              <w:spacing w:after="0"/>
              <w:rPr>
                <w:sz w:val="20"/>
                <w:szCs w:val="20"/>
                <w:color w:val="auto"/>
              </w:rPr>
            </w:pPr>
            <w:r>
              <w:rPr>
                <w:rFonts w:ascii="Arial" w:cs="Arial" w:eastAsia="Arial" w:hAnsi="Arial"/>
                <w:sz w:val="16"/>
                <w:szCs w:val="16"/>
                <w:b w:val="1"/>
                <w:bCs w:val="1"/>
                <w:color w:val="auto"/>
                <w:w w:val="89"/>
              </w:rPr>
              <w:t>Condensed Consolidating Statement of Cash Flows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18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91"/>
              </w:rPr>
              <w:t>Nine Months Ended December 28, 2019</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1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2"/>
                <w:szCs w:val="12"/>
                <w:color w:val="auto"/>
              </w:rPr>
            </w:pPr>
          </w:p>
        </w:tc>
        <w:tc>
          <w:tcPr>
            <w:tcW w:w="12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5"/>
              </w:rPr>
              <w:t>Parent Company</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2"/>
                <w:szCs w:val="12"/>
                <w:color w:val="auto"/>
              </w:rPr>
            </w:pPr>
          </w:p>
        </w:tc>
        <w:tc>
          <w:tcPr>
            <w:tcW w:w="134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Eliminations and</w:t>
            </w:r>
          </w:p>
        </w:tc>
        <w:tc>
          <w:tcPr>
            <w:tcW w:w="200" w:type="dxa"/>
            <w:vAlign w:val="bottom"/>
          </w:tcPr>
          <w:p>
            <w:pPr>
              <w:spacing w:after="0"/>
              <w:rPr>
                <w:sz w:val="12"/>
                <w:szCs w:val="12"/>
                <w:color w:val="auto"/>
              </w:rPr>
            </w:pPr>
          </w:p>
        </w:tc>
        <w:tc>
          <w:tcPr>
            <w:tcW w:w="11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0"/>
              </w:rPr>
              <w:t>Reclassifications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(279,501)</w:t>
            </w:r>
          </w:p>
        </w:tc>
        <w:tc>
          <w:tcPr>
            <w:tcW w:w="3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322,496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688,256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731,251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(129,004)</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Purchase of businesses, net of cash acquired</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(494,783)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(494,783)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available-for-sale debt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securities</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Other investing activities</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transactions with related parties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28,086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(28,086)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(74,517)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(520,497)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(28,086)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(623,100)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Proceeds from borrowings and debt issuances</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659,000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659,000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Repurchase of common stock, including transaction</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costs</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(390,117)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(390,117)</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Proceeds from the issuance of common stock</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37,530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37,530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withholding paid on behalf of employees for</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restricted stock units</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(21,013)</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Other financing activities</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(6,252)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transactions with related parties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(69,087)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28,086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279,501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41,001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(69,440)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28,086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279,148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w w:val="96"/>
              </w:rPr>
              <w:t>Net increase in cash, cash equivalents and restricted</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cash</w:t>
            </w:r>
          </w:p>
        </w:tc>
        <w:tc>
          <w:tcPr>
            <w:tcW w:w="16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288,980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97,818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386,798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the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the period</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231,865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479,517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711,382</w:t>
            </w: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w w:val="90"/>
              </w:rPr>
              <w:t>Cash, cash equivalents and restricted cash at the end of</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240" w:type="dxa"/>
            <w:vAlign w:val="bottom"/>
            <w:tcBorders>
              <w:top w:val="single" w:sz="8" w:color="auto"/>
            </w:tcBorders>
            <w:vMerge w:val="restart"/>
          </w:tcPr>
          <w:p>
            <w:pPr>
              <w:jc w:val="center"/>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520,845</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577,335</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1,098,180</w:t>
            </w:r>
          </w:p>
        </w:tc>
        <w:tc>
          <w:tcPr>
            <w:tcW w:w="0" w:type="dxa"/>
            <w:vAlign w:val="bottom"/>
          </w:tcPr>
          <w:p>
            <w:pPr>
              <w:spacing w:after="0"/>
              <w:rPr>
                <w:sz w:val="1"/>
                <w:szCs w:val="1"/>
                <w:color w:val="auto"/>
              </w:rPr>
            </w:pPr>
          </w:p>
        </w:tc>
      </w:tr>
      <w:tr>
        <w:trPr>
          <w:trHeight w:val="242"/>
        </w:trPr>
        <w:tc>
          <w:tcPr>
            <w:tcW w:w="4120" w:type="dxa"/>
            <w:vAlign w:val="bottom"/>
          </w:tcPr>
          <w:p>
            <w:pPr>
              <w:ind w:left="40"/>
              <w:spacing w:after="0"/>
              <w:rPr>
                <w:sz w:val="20"/>
                <w:szCs w:val="20"/>
                <w:color w:val="auto"/>
              </w:rPr>
            </w:pPr>
            <w:r>
              <w:rPr>
                <w:rFonts w:ascii="Arial" w:cs="Arial" w:eastAsia="Arial" w:hAnsi="Arial"/>
                <w:sz w:val="18"/>
                <w:szCs w:val="18"/>
                <w:color w:val="auto"/>
              </w:rPr>
              <w:t>the period</w:t>
            </w:r>
          </w:p>
        </w:tc>
        <w:tc>
          <w:tcPr>
            <w:tcW w:w="16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9"/>
              </w:rPr>
              <w:t>27</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gridSpan w:val="8"/>
          </w:tcPr>
          <w:p>
            <w:pPr>
              <w:jc w:val="center"/>
              <w:ind w:right="360"/>
              <w:spacing w:after="0"/>
              <w:rPr>
                <w:sz w:val="20"/>
                <w:szCs w:val="20"/>
                <w:color w:val="auto"/>
              </w:rPr>
            </w:pPr>
            <w:r>
              <w:rPr>
                <w:rFonts w:ascii="Arial" w:cs="Arial" w:eastAsia="Arial" w:hAnsi="Arial"/>
                <w:sz w:val="16"/>
                <w:szCs w:val="16"/>
                <w:b w:val="1"/>
                <w:bCs w:val="1"/>
                <w:color w:val="auto"/>
                <w:w w:val="89"/>
              </w:rPr>
              <w:t>Condensed Consolidating Statement of Cash Flows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0" w:type="dxa"/>
            <w:vAlign w:val="bottom"/>
            <w:gridSpan w:val="8"/>
          </w:tcPr>
          <w:p>
            <w:pPr>
              <w:jc w:val="center"/>
              <w:ind w:right="340"/>
              <w:spacing w:after="0"/>
              <w:rPr>
                <w:sz w:val="20"/>
                <w:szCs w:val="20"/>
                <w:color w:val="auto"/>
              </w:rPr>
            </w:pPr>
            <w:r>
              <w:rPr>
                <w:rFonts w:ascii="Arial" w:cs="Arial" w:eastAsia="Arial" w:hAnsi="Arial"/>
                <w:sz w:val="16"/>
                <w:szCs w:val="16"/>
                <w:b w:val="1"/>
                <w:bCs w:val="1"/>
                <w:color w:val="auto"/>
                <w:w w:val="91"/>
              </w:rPr>
              <w:t>Nine Months Ended December 29, 2018</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1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2"/>
                <w:szCs w:val="12"/>
                <w:color w:val="auto"/>
              </w:rPr>
            </w:pPr>
          </w:p>
        </w:tc>
        <w:tc>
          <w:tcPr>
            <w:tcW w:w="12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5"/>
              </w:rPr>
              <w:t>Parent Company</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ind w:left="140"/>
              <w:spacing w:after="0" w:line="147" w:lineRule="exact"/>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2"/>
                <w:szCs w:val="12"/>
                <w:color w:val="auto"/>
              </w:rPr>
            </w:pPr>
          </w:p>
        </w:tc>
        <w:tc>
          <w:tcPr>
            <w:tcW w:w="134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Eliminations and</w:t>
            </w:r>
          </w:p>
        </w:tc>
        <w:tc>
          <w:tcPr>
            <w:tcW w:w="200" w:type="dxa"/>
            <w:vAlign w:val="bottom"/>
          </w:tcPr>
          <w:p>
            <w:pPr>
              <w:spacing w:after="0"/>
              <w:rPr>
                <w:sz w:val="12"/>
                <w:szCs w:val="12"/>
                <w:color w:val="auto"/>
              </w:rPr>
            </w:pPr>
          </w:p>
        </w:tc>
        <w:tc>
          <w:tcPr>
            <w:tcW w:w="11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8"/>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0"/>
              </w:rPr>
              <w:t>Reclassifications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691,479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(688,262)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619,802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623,019</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(185,627)</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Purchase of available-for-sale debt securities</w:t>
            </w:r>
          </w:p>
        </w:tc>
        <w:tc>
          <w:tcPr>
            <w:tcW w:w="1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(132,729)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(132,729)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Proceeds from sales and maturities of available-for-</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sale debt securities</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133,132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133,132</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Other investing activities</w:t>
            </w:r>
          </w:p>
        </w:tc>
        <w:tc>
          <w:tcPr>
            <w:tcW w:w="1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(20,238)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transactions with related parties</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260,047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(260,047)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101,615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(47,030)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(260,047)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(205,462)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Repurchase of debt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(977,498)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(977,498)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Proceeds from debt issuances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631,300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631,300</w:t>
            </w:r>
          </w:p>
        </w:tc>
        <w:tc>
          <w:tcPr>
            <w:tcW w:w="0" w:type="dxa"/>
            <w:vAlign w:val="bottom"/>
          </w:tcPr>
          <w:p>
            <w:pPr>
              <w:spacing w:after="0"/>
              <w:rPr>
                <w:sz w:val="1"/>
                <w:szCs w:val="1"/>
                <w:color w:val="auto"/>
              </w:rPr>
            </w:pPr>
          </w:p>
        </w:tc>
      </w:tr>
      <w:tr>
        <w:trPr>
          <w:trHeight w:val="229"/>
        </w:trPr>
        <w:tc>
          <w:tcPr>
            <w:tcW w:w="4120" w:type="dxa"/>
            <w:vAlign w:val="bottom"/>
          </w:tcPr>
          <w:p>
            <w:pPr>
              <w:ind w:left="200"/>
              <w:spacing w:after="0"/>
              <w:rPr>
                <w:sz w:val="20"/>
                <w:szCs w:val="20"/>
                <w:color w:val="auto"/>
              </w:rPr>
            </w:pPr>
            <w:r>
              <w:rPr>
                <w:rFonts w:ascii="Arial" w:cs="Arial" w:eastAsia="Arial" w:hAnsi="Arial"/>
                <w:sz w:val="18"/>
                <w:szCs w:val="18"/>
                <w:color w:val="auto"/>
                <w:w w:val="94"/>
              </w:rPr>
              <w:t>Repurchase of common stock, including transaction</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0"/>
              <w:spacing w:after="0"/>
              <w:rPr>
                <w:sz w:val="20"/>
                <w:szCs w:val="20"/>
                <w:color w:val="auto"/>
              </w:rPr>
            </w:pPr>
            <w:r>
              <w:rPr>
                <w:rFonts w:ascii="Arial" w:cs="Arial" w:eastAsia="Arial" w:hAnsi="Arial"/>
                <w:sz w:val="18"/>
                <w:szCs w:val="18"/>
                <w:color w:val="auto"/>
              </w:rPr>
              <w:t>costs</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(338,675)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(338,675)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Proceeds from the issuance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25,452</w:t>
            </w:r>
          </w:p>
        </w:tc>
        <w:tc>
          <w:tcPr>
            <w:tcW w:w="0" w:type="dxa"/>
            <w:vAlign w:val="bottom"/>
          </w:tcPr>
          <w:p>
            <w:pPr>
              <w:spacing w:after="0"/>
              <w:rPr>
                <w:sz w:val="1"/>
                <w:szCs w:val="1"/>
                <w:color w:val="auto"/>
              </w:rPr>
            </w:pPr>
          </w:p>
        </w:tc>
      </w:tr>
      <w:tr>
        <w:trPr>
          <w:trHeight w:val="229"/>
        </w:trPr>
        <w:tc>
          <w:tcPr>
            <w:tcW w:w="4120" w:type="dxa"/>
            <w:vAlign w:val="bottom"/>
          </w:tcPr>
          <w:p>
            <w:pPr>
              <w:ind w:left="200"/>
              <w:spacing w:after="0"/>
              <w:rPr>
                <w:sz w:val="20"/>
                <w:szCs w:val="20"/>
                <w:color w:val="auto"/>
              </w:rPr>
            </w:pPr>
            <w:r>
              <w:rPr>
                <w:rFonts w:ascii="Arial" w:cs="Arial" w:eastAsia="Arial" w:hAnsi="Arial"/>
                <w:sz w:val="18"/>
                <w:szCs w:val="18"/>
                <w:color w:val="auto"/>
              </w:rPr>
              <w:t>Tax withholding paid on behalf of employees for</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0"/>
              <w:spacing w:after="0"/>
              <w:rPr>
                <w:sz w:val="20"/>
                <w:szCs w:val="20"/>
                <w:color w:val="auto"/>
              </w:rPr>
            </w:pPr>
            <w:r>
              <w:rPr>
                <w:rFonts w:ascii="Arial" w:cs="Arial" w:eastAsia="Arial" w:hAnsi="Arial"/>
                <w:sz w:val="18"/>
                <w:szCs w:val="18"/>
                <w:color w:val="auto"/>
              </w:rPr>
              <w:t>restricted stock units</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(24,595)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(24,595)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(7,510)</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Net transactions with related parties</w:t>
            </w:r>
          </w:p>
        </w:tc>
        <w:tc>
          <w:tcPr>
            <w:tcW w:w="1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(261,075)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260,047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(691,479)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(261,122)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260,047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(691,526)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Net (decrease) increase in cash, cash equivalents and</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(585,619)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309,281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(276,338)</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the</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beginning of the period</w:t>
            </w:r>
          </w:p>
        </w:tc>
        <w:tc>
          <w:tcPr>
            <w:tcW w:w="1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629,314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297,088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926,402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Cash, cash equivalents and restricted cash at the end of</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43,695</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606,369</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650,064</w:t>
            </w:r>
          </w:p>
        </w:tc>
        <w:tc>
          <w:tcPr>
            <w:tcW w:w="0" w:type="dxa"/>
            <w:vAlign w:val="bottom"/>
          </w:tcPr>
          <w:p>
            <w:pPr>
              <w:spacing w:after="0"/>
              <w:rPr>
                <w:sz w:val="1"/>
                <w:szCs w:val="1"/>
                <w:color w:val="auto"/>
              </w:rPr>
            </w:pPr>
          </w:p>
        </w:tc>
      </w:tr>
      <w:tr>
        <w:trPr>
          <w:trHeight w:val="23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period</w:t>
            </w:r>
          </w:p>
        </w:tc>
        <w:tc>
          <w:tcPr>
            <w:tcW w:w="160" w:type="dxa"/>
            <w:vAlign w:val="bottom"/>
            <w:vMerge w:val="continue"/>
            <w:shd w:val="clear" w:color="auto" w:fill="CCEEFF"/>
          </w:tcPr>
          <w:p>
            <w:pPr>
              <w:spacing w:after="0"/>
              <w:rPr>
                <w:sz w:val="20"/>
                <w:szCs w:val="20"/>
                <w:color w:val="auto"/>
              </w:rPr>
            </w:pPr>
          </w:p>
        </w:tc>
        <w:tc>
          <w:tcPr>
            <w:tcW w:w="1360" w:type="dxa"/>
            <w:vAlign w:val="bottom"/>
            <w:gridSpan w:val="2"/>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 MMIC Design Services, Inc. Acquisition</w:t>
      </w:r>
    </w:p>
    <w:p>
      <w:pPr>
        <w:spacing w:after="0" w:line="23"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On January 13, 2020, the Company entered into a definitive agreement to acquire Custom MMIC Design Services, Inc. (“Custom MMIC”) for a cash purchase price of approximately $105.0 million. Custom MMIC is a privately-held designer and supplier of high-performance monolithic microwave integrated circuits, primarily for military, aerospace, and space qualified applications and will become part of the Company’s IDP operating segment. Upon closing, the acquisition is expected to expand the Company's defense and aerospace portfolio and customer base. The Company anticipates the acquisition will be completed during the fourth quarter of fiscal 2020, subject to certain customary closing conditions.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Decawave Limited Acquisition</w:t>
      </w:r>
    </w:p>
    <w:p>
      <w:pPr>
        <w:spacing w:after="0" w:line="2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On January 24, 2020, the Company entered into a definitive agreement to acquire Decawave Limited (“Decawave”) for a cash purchase price of approximately $400.0 million. Decawave is a privately-held supplier of Ultra-Wideband solutions for IoT and smart consumer applications. Upon closing, the acquisition is expected to enhance the Company’s position in ultra-</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accurate location-based services and expand our opportunities in mobile, automotive and industrial and consumer IoT. The Company anticipates the acquisition will be completed during the fourth quarter of fiscal 2020, subject to certain customary closing conditions.</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680"/>
          </w:cols>
          <w:pgMar w:left="240" w:top="121" w:right="97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This Quarterly Report on Form 10-Q includes "forward-looking statements" within the meaning of the safe harbor provisions of the Private Securities Litigation Reform Act of 1995. These forward-looking statements include, but are not limited to, statements about our plans, objectives, representations and contentions, and are not historical facts and typically are identified by use of terms such as "may," "will," "should," "could," "expect," "plan," "anticipate," "believe," "estimate," "predict," "potential," "continue" and similar words, although some forward-looking statements are expressed differently. You should be aware that the forward-looking statements included herein represent management's current judgment and expectations, but our actual results, events and performance could differ materially from those expressed or implied by forward-looking statements. We do not intend to update any of these forward-looking statements or publicly announce the results of any revisions to these forward-looking statements, other than as is required under U.S. federal securities laws. Our business is subject to numerous risks and uncertainties, including those relating to fluctuations in our operating results; our substantial dependence on developing new products and achieving design wins; our dependence on a few large customers for a substantial portion of our revenue; a loss of revenue if contracts with the United States government or defense and aerospace contractors are canceled or delayed or if defense spending is reduced; our dependence on third parties; risks related to sales through distributors; risks associated with the operation of our manufacturing facilities; business disruptions; poor manufacturing yields; increased inventory risks and costs due to timing of customer forecasts; our inability to effectively manage or maintain evolving relationships with platform providers; risks from international sales and operations; economic regulation in China; changes in government trade policies, including imposition of tariffs and export restrictions; our ability to implement innovative technologies; underutilization of manufacturing facilities as a result of industry overcapacity; we may not be able to borrow funds under our credit facility or secure future financing; we may not be able to generate sufficient cash to service all of our debt; restrictions imposed by the agreements governing our debt; volatility in the price of our common stock; damage to our reputation or brand; fluctuations in the amount and frequency of our stock repurchases; our acquisitions and other strategic investments, including our recent acquisitions of Active-Semi International, Inc. ("Active-Semi") and Cavendish Kinetics Limited ("Cavendish") and our pending acquisitions of Custom MMIC Design Services, Inc. ("Custom MMIC") and Decawave Limited (“Decawave”), could fail to achieve financial or strategic objectives; our ability to attract, retain and motivate key employees; our reliance on our intellectual property portfolio; claims of infringement of third-party intellectual property rights; security breaches and other similar disruptions compromising our information; theft, loss or misuse of personal data by or about our employees, customers or third parties; warranty claims, product recalls and product liability; and risks associated with environmental, health and safety regulations and climate change. These and other risks and uncertainties, which are described in more detail in our most recent Annual Report on Form 10-K and in other reports and statements that we file with the SEC, could cause actual results and developments to be materially different from those expressed or implied by any of these forward-looking statements.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is intended to help the reader understand the consolidated results of operations and financial condition of Qorvo. MD&amp;A is provided as a supplement to, and should be read in conjunction with, our Condensed Consolidated Financial Statements and accompanying Notes to Condensed Consolidated Financial Statements.</w:t>
      </w:r>
    </w:p>
    <w:p>
      <w:pPr>
        <w:spacing w:after="0" w:line="166"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Qorvo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a product and technology leader at the forefront of the growing global demand for always-on connectivity. We combine a broad portfolio of innovative radio frequency ("RF") solutions, highly differentiated semiconductor technologies, systems-level expertise and global manufacturing scale to supply a diverse group of customers in expanding markets, including smartphones and other mobile devices, defense and aerospace, Wi-Fi customer premises equipment, cellular base stations, and multiple Internet of Things ("IoT") applications including the smart home and connected car.</w:t>
      </w:r>
    </w:p>
    <w:p>
      <w:pPr>
        <w:spacing w:after="0" w:line="20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We design, develop, manufacture and market our products to leading U.S. and international original equipment manufacturers and original design manufacturers in the following operating segments:</w:t>
      </w:r>
    </w:p>
    <w:p>
      <w:pPr>
        <w:spacing w:after="0" w:line="170" w:lineRule="exact"/>
        <w:rPr>
          <w:sz w:val="20"/>
          <w:szCs w:val="20"/>
          <w:color w:val="auto"/>
        </w:rPr>
      </w:pPr>
    </w:p>
    <w:p>
      <w:pPr>
        <w:ind w:left="340" w:right="30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Mobile Products (MP) </w:t>
      </w:r>
      <w:r>
        <w:rPr>
          <w:rFonts w:ascii="Arial" w:cs="Arial" w:eastAsia="Arial" w:hAnsi="Arial"/>
          <w:sz w:val="18"/>
          <w:szCs w:val="18"/>
          <w:color w:val="auto"/>
        </w:rPr>
        <w:t>- MP is a global supplier of cellular RF and Wi-Fi solutions for a variety of mobile devices, including smartphones, wearables,</w:t>
      </w:r>
      <w:r>
        <w:rPr>
          <w:rFonts w:ascii="Arial" w:cs="Arial" w:eastAsia="Arial" w:hAnsi="Arial"/>
          <w:sz w:val="18"/>
          <w:szCs w:val="18"/>
          <w:i w:val="1"/>
          <w:iCs w:val="1"/>
          <w:color w:val="auto"/>
        </w:rPr>
        <w:t xml:space="preserve"> </w:t>
      </w:r>
      <w:r>
        <w:rPr>
          <w:rFonts w:ascii="Arial" w:cs="Arial" w:eastAsia="Arial" w:hAnsi="Arial"/>
          <w:sz w:val="18"/>
          <w:szCs w:val="18"/>
          <w:color w:val="auto"/>
        </w:rPr>
        <w:t>laptops, tablets and cellular-based applications for the IoT.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340" w:right="6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Infrastructure and Defense Products (IDP) </w:t>
      </w:r>
      <w:r>
        <w:rPr>
          <w:rFonts w:ascii="Arial" w:cs="Arial" w:eastAsia="Arial" w:hAnsi="Arial"/>
          <w:sz w:val="18"/>
          <w:szCs w:val="18"/>
          <w:color w:val="auto"/>
        </w:rPr>
        <w:t>- IDP is a global supplier of RF, system-on-a-chip and power management solutions for cellular base station,</w:t>
      </w:r>
      <w:r>
        <w:rPr>
          <w:rFonts w:ascii="Arial" w:cs="Arial" w:eastAsia="Arial" w:hAnsi="Arial"/>
          <w:sz w:val="18"/>
          <w:szCs w:val="18"/>
          <w:i w:val="1"/>
          <w:iCs w:val="1"/>
          <w:color w:val="auto"/>
        </w:rPr>
        <w:t xml:space="preserve"> </w:t>
      </w:r>
      <w:r>
        <w:rPr>
          <w:rFonts w:ascii="Arial" w:cs="Arial" w:eastAsia="Arial" w:hAnsi="Arial"/>
          <w:sz w:val="18"/>
          <w:szCs w:val="18"/>
          <w:color w:val="auto"/>
        </w:rPr>
        <w:t>smart home, IoT, defense and automotive applications.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December 28, 2019, our reportable segments are MP and IDP. These business segments are based on the organizational structure and information reviewed by our Chief Executive Officer, who is our chief operating decision maker ("CODM"), and are managed separately based on the end markets and applications they support. The CODM allocates resources and evaluates the performance of each operating segment primarily based on non-GAAP operating income (see Note 11 of the Notes to Condensed Consolidated Financial Statements in Part I, Item 1 of this report for additional information regarding our operating segments).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FISCAL 2020 FINANCIAL HIGHLIGHTS:</w:t>
      </w:r>
    </w:p>
    <w:p>
      <w:pPr>
        <w:spacing w:after="0" w:line="229" w:lineRule="exact"/>
        <w:rPr>
          <w:sz w:val="20"/>
          <w:szCs w:val="20"/>
          <w:color w:val="auto"/>
        </w:rPr>
      </w:pPr>
    </w:p>
    <w:p>
      <w:pPr>
        <w:ind w:left="280" w:right="180" w:hanging="272"/>
        <w:spacing w:after="0" w:line="264" w:lineRule="auto"/>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Quarterly revenue increased 4.4% as compared to the third quarter of fiscal 2019, primarily due to higher demand for our mobile products in support of customers based in China and higher demand from a Korea-based customer, partially offset by lower demand from our largest end customer as well as lower demand for our base station products as a result of trade restrictions.</w:t>
      </w:r>
    </w:p>
    <w:p>
      <w:pPr>
        <w:spacing w:after="0" w:line="181" w:lineRule="exact"/>
        <w:rPr>
          <w:rFonts w:ascii="Arial" w:cs="Arial" w:eastAsia="Arial" w:hAnsi="Arial"/>
          <w:sz w:val="18"/>
          <w:szCs w:val="18"/>
          <w:color w:val="auto"/>
        </w:rPr>
      </w:pPr>
    </w:p>
    <w:p>
      <w:pPr>
        <w:ind w:left="280" w:hanging="272"/>
        <w:spacing w:after="0" w:line="264" w:lineRule="auto"/>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margin for the third quarter of fiscal 2020 was 42.4% as compared to 40.7% for the third quarter of fiscal 2019, primarily due to gross margin improvements related to lower intangible amortization expense and favorable changes in product mix, partially offset by average selling price erosion and lower factory utilization.</w:t>
      </w:r>
    </w:p>
    <w:p>
      <w:pPr>
        <w:spacing w:after="0" w:line="181" w:lineRule="exact"/>
        <w:rPr>
          <w:rFonts w:ascii="Arial" w:cs="Arial" w:eastAsia="Arial" w:hAnsi="Arial"/>
          <w:sz w:val="18"/>
          <w:szCs w:val="18"/>
          <w:color w:val="auto"/>
        </w:rPr>
      </w:pPr>
    </w:p>
    <w:p>
      <w:pPr>
        <w:ind w:left="280" w:right="180" w:hanging="272"/>
        <w:spacing w:after="0" w:line="277" w:lineRule="auto"/>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income was $153.1 million for the third quarter of fiscal 2020 as compared to $81.2 million for the third quarter of fiscal 2019. This increase was primarily due to lower operating expenses, higher revenue and higher gross margin.</w:t>
      </w:r>
    </w:p>
    <w:p>
      <w:pPr>
        <w:spacing w:after="0" w:line="170" w:lineRule="exact"/>
        <w:rPr>
          <w:rFonts w:ascii="Arial" w:cs="Arial" w:eastAsia="Arial" w:hAnsi="Arial"/>
          <w:sz w:val="18"/>
          <w:szCs w:val="18"/>
          <w:color w:val="auto"/>
        </w:rPr>
      </w:pPr>
    </w:p>
    <w:p>
      <w:pPr>
        <w:jc w:val="both"/>
        <w:ind w:left="280" w:right="140" w:hanging="272"/>
        <w:spacing w:after="0" w:line="264" w:lineRule="auto"/>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expenditures decreased to $40.7 million for the third quarter of fiscal 2020 as compared to $72.0 million for the third quarter of fiscal 2019. Our capital expenditures in the third quarter of fiscal 2020 included strategic investments in premium filter capacity and gallium nitride ("GaN") technology capabilities.</w:t>
      </w:r>
    </w:p>
    <w:p>
      <w:pPr>
        <w:spacing w:after="0" w:line="181" w:lineRule="exact"/>
        <w:rPr>
          <w:rFonts w:ascii="Arial" w:cs="Arial" w:eastAsia="Arial" w:hAnsi="Arial"/>
          <w:sz w:val="18"/>
          <w:szCs w:val="18"/>
          <w:color w:val="auto"/>
        </w:rPr>
      </w:pPr>
    </w:p>
    <w:p>
      <w:pPr>
        <w:ind w:left="280" w:hanging="272"/>
        <w:spacing w:after="0"/>
        <w:tabs>
          <w:tab w:leader="none" w:pos="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During the third quarter of fiscal 2020, we repurchased approximately 1.3 million shares of our common stock for approximately $125.0 million.</w:t>
      </w:r>
    </w:p>
    <w:p>
      <w:pPr>
        <w:spacing w:after="0" w:line="236" w:lineRule="exact"/>
        <w:rPr>
          <w:rFonts w:ascii="Arial" w:cs="Arial" w:eastAsia="Arial" w:hAnsi="Arial"/>
          <w:sz w:val="17"/>
          <w:szCs w:val="17"/>
          <w:color w:val="auto"/>
        </w:rPr>
      </w:pPr>
    </w:p>
    <w:p>
      <w:pPr>
        <w:ind w:left="280" w:right="40" w:hanging="272"/>
        <w:spacing w:after="0" w:line="264" w:lineRule="auto"/>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third quarter of fiscal 2020, we completed the acquisition of the remaining issued and outstanding capital of Cavendish for a total purchase price of $305.9 million. On the October 4, 2019 acquisition date, our previously held equity interest was remeasured, which resulted in the recognition of a gain of $43.0 million.</w:t>
      </w:r>
    </w:p>
    <w:p>
      <w:pPr>
        <w:spacing w:after="0" w:line="181" w:lineRule="exact"/>
        <w:rPr>
          <w:rFonts w:ascii="Arial" w:cs="Arial" w:eastAsia="Arial" w:hAnsi="Arial"/>
          <w:sz w:val="18"/>
          <w:szCs w:val="18"/>
          <w:color w:val="auto"/>
        </w:rPr>
      </w:pPr>
    </w:p>
    <w:p>
      <w:pPr>
        <w:ind w:left="280" w:hanging="272"/>
        <w:spacing w:after="0"/>
        <w:tabs>
          <w:tab w:leader="none" w:pos="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During the third quarter of fiscal 2020, we issued $550.0 million aggregate principal amount of 4.375% senior notes due 2029 (the "2029 Notes").</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121" w:right="29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Consolidated</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presents a summary of our results of operations for the three and nine months ended December 28, 2019 and December 29, 2018 (in thousands, except percentages):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December 28,</w:t>
            </w: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12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December 29,</w:t>
            </w:r>
          </w:p>
        </w:tc>
        <w:tc>
          <w:tcPr>
            <w:tcW w:w="12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920" w:type="dxa"/>
            <w:vAlign w:val="bottom"/>
          </w:tcPr>
          <w:p>
            <w:pPr>
              <w:jc w:val="center"/>
              <w:ind w:right="74"/>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2"/>
              </w:rPr>
              <w:t>(Decrease)</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869,073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832,330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36,743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500,962</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493,967</w:t>
            </w:r>
          </w:p>
        </w:tc>
        <w:tc>
          <w:tcPr>
            <w:tcW w:w="10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6,995</w:t>
            </w:r>
          </w:p>
        </w:tc>
        <w:tc>
          <w:tcPr>
            <w:tcW w:w="1460" w:type="dxa"/>
            <w:vAlign w:val="bottom"/>
            <w:gridSpan w:val="2"/>
          </w:tcPr>
          <w:p>
            <w:pPr>
              <w:jc w:val="right"/>
              <w:ind w:right="168"/>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368,111</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338,363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29,748</w:t>
            </w:r>
          </w:p>
        </w:tc>
        <w:tc>
          <w:tcPr>
            <w:tcW w:w="14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122,851</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109,985</w:t>
            </w:r>
          </w:p>
        </w:tc>
        <w:tc>
          <w:tcPr>
            <w:tcW w:w="10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12,866</w:t>
            </w:r>
          </w:p>
        </w:tc>
        <w:tc>
          <w:tcPr>
            <w:tcW w:w="1460" w:type="dxa"/>
            <w:vAlign w:val="bottom"/>
            <w:gridSpan w:val="2"/>
          </w:tcPr>
          <w:p>
            <w:pPr>
              <w:jc w:val="right"/>
              <w:ind w:right="168"/>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81,205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125,604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(44,399)</w:t>
            </w:r>
          </w:p>
        </w:tc>
        <w:tc>
          <w:tcPr>
            <w:tcW w:w="14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Other operating expense</w:t>
            </w: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10,986</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21,617</w:t>
            </w:r>
          </w:p>
        </w:tc>
        <w:tc>
          <w:tcPr>
            <w:tcW w:w="10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(10,631)</w:t>
            </w:r>
          </w:p>
        </w:tc>
        <w:tc>
          <w:tcPr>
            <w:tcW w:w="1460" w:type="dxa"/>
            <w:vAlign w:val="bottom"/>
            <w:gridSpan w:val="2"/>
          </w:tcPr>
          <w:p>
            <w:pPr>
              <w:jc w:val="right"/>
              <w:ind w:right="108"/>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153,069</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81,157</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71,912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88.6 %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3"/>
              </w:rPr>
              <w:t>Nine Months Ended</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December 28, 2019</w:t>
            </w:r>
          </w:p>
        </w:tc>
        <w:tc>
          <w:tcPr>
            <w:tcW w:w="120" w:type="dxa"/>
            <w:vAlign w:val="bottom"/>
            <w:vMerge w:val="restart"/>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 of Revenue</w:t>
            </w:r>
          </w:p>
        </w:tc>
        <w:tc>
          <w:tcPr>
            <w:tcW w:w="100" w:type="dxa"/>
            <w:vAlign w:val="bottom"/>
            <w:vMerge w:val="restart"/>
          </w:tcPr>
          <w:p>
            <w:pPr>
              <w:spacing w:after="0"/>
              <w:rPr>
                <w:sz w:val="13"/>
                <w:szCs w:val="13"/>
                <w:color w:val="auto"/>
              </w:rPr>
            </w:pP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December 29, 2018</w:t>
            </w:r>
          </w:p>
        </w:tc>
        <w:tc>
          <w:tcPr>
            <w:tcW w:w="100" w:type="dxa"/>
            <w:vAlign w:val="bottom"/>
            <w:vMerge w:val="restart"/>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 of Revenue</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center"/>
              <w:ind w:right="74"/>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2"/>
              </w:rPr>
              <w:t>(Decrease)</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2,451,369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2,409,443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41,926</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1,465,387</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1,480,833</w:t>
            </w:r>
          </w:p>
        </w:tc>
        <w:tc>
          <w:tcPr>
            <w:tcW w:w="10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(15,446)</w:t>
            </w:r>
          </w:p>
        </w:tc>
        <w:tc>
          <w:tcPr>
            <w:tcW w:w="1460" w:type="dxa"/>
            <w:vAlign w:val="bottom"/>
            <w:gridSpan w:val="2"/>
          </w:tcPr>
          <w:p>
            <w:pPr>
              <w:jc w:val="right"/>
              <w:ind w:right="108"/>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985,982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928,610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57,372</w:t>
            </w:r>
          </w:p>
        </w:tc>
        <w:tc>
          <w:tcPr>
            <w:tcW w:w="14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357,385</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337,636</w:t>
            </w:r>
          </w:p>
        </w:tc>
        <w:tc>
          <w:tcPr>
            <w:tcW w:w="10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19,749</w:t>
            </w:r>
          </w:p>
        </w:tc>
        <w:tc>
          <w:tcPr>
            <w:tcW w:w="1460" w:type="dxa"/>
            <w:vAlign w:val="bottom"/>
            <w:gridSpan w:val="2"/>
          </w:tcPr>
          <w:p>
            <w:pPr>
              <w:jc w:val="right"/>
              <w:ind w:right="168"/>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258,458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401,041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(142,583)</w:t>
            </w:r>
          </w:p>
        </w:tc>
        <w:tc>
          <w:tcPr>
            <w:tcW w:w="14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Other operating expense</w:t>
            </w: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49,077</w:t>
            </w:r>
          </w:p>
        </w:tc>
        <w:tc>
          <w:tcPr>
            <w:tcW w:w="120" w:type="dxa"/>
            <w:vAlign w:val="bottom"/>
          </w:tcPr>
          <w:p>
            <w:pPr>
              <w:spacing w:after="0"/>
              <w:rPr>
                <w:sz w:val="21"/>
                <w:szCs w:val="21"/>
                <w:color w:val="auto"/>
              </w:rPr>
            </w:pPr>
          </w:p>
        </w:tc>
        <w:tc>
          <w:tcPr>
            <w:tcW w:w="1160" w:type="dxa"/>
            <w:vAlign w:val="bottom"/>
          </w:tcPr>
          <w:p>
            <w:pPr>
              <w:jc w:val="right"/>
              <w:ind w:right="11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37,514</w:t>
            </w:r>
          </w:p>
        </w:tc>
        <w:tc>
          <w:tcPr>
            <w:tcW w:w="10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11,563</w:t>
            </w:r>
          </w:p>
        </w:tc>
        <w:tc>
          <w:tcPr>
            <w:tcW w:w="1460" w:type="dxa"/>
            <w:vAlign w:val="bottom"/>
            <w:gridSpan w:val="2"/>
          </w:tcPr>
          <w:p>
            <w:pPr>
              <w:jc w:val="right"/>
              <w:ind w:right="168"/>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321,062</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152,419</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168,643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110.6 %</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Revenue increased for the three months ended December 28, 2019, as compared to the three months ended December 29, 2018, primarily due to higher demand for our mobile products in support of customers based in China and higher demand from a Korea-based customer, partially offset by lower demand from our largest end customer as well as lower demand for our base station products as a result of trade restrictions.</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Revenue increased for the nine months ended December 28, 2019, as compared to the nine months ended December 29, 2018, primarily due to higher demand from a Korea-based customer, higher demand for our mobile products from Huawei Technologies Co., Ltd. and its affiliates ("Huawei") and sales of our programmable power management products as a result of the acquisition of Active-Semi. This increase was offset by lower demand for our base station products as a result of trade restrictions and lower demand for our Wi-Fi products.</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May 16, 2019, we suspended shipments of products to Huawei after the Bureau of Industry and Security ("BIS") of the U.S. Department of Commerce added Huawei Technologies Co., Ltd. and over 100 of its affiliates to the BIS's Entity List. Subsequently, we restarted shipments from outside the U.S. of certain products that are not subject to the Export Administration Regulations ("EAR") to Huawei in compliance with the BIS order. We have also applied for a license to ship other products that are subject to the EAR, as required by the rules governing the Entity List. Our sales to Huawei will continue to be impacted by trade restrictions.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margin for the three months ended December 28, 2019 was 42.4%, as compared to 40.7% for the three months ended December 29, 2018. This increase was primarily due to gross margin improvements related to lower intangible amortization expense and favorable changes in product mix, partially offset by average selling price erosion and lower factory utilization.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60" w:right="60"/>
        <w:spacing w:after="0" w:line="264" w:lineRule="auto"/>
        <w:rPr>
          <w:sz w:val="20"/>
          <w:szCs w:val="20"/>
          <w:color w:val="auto"/>
        </w:rPr>
      </w:pPr>
      <w:r>
        <w:rPr>
          <w:rFonts w:ascii="Arial" w:cs="Arial" w:eastAsia="Arial" w:hAnsi="Arial"/>
          <w:sz w:val="18"/>
          <w:szCs w:val="18"/>
          <w:color w:val="auto"/>
        </w:rPr>
        <w:t>Gross margin for the nine months ended December 28, 2019 was 40.2%, as compared to 38.5% for the nine months ended December 29, 2018. This increase was primarily due to lower intangible amortization expense, favorable changes in product mix and lower manufacturing costs, partially offset by average selling price erosion, lower factory utilization and increased restructuring charges.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Research and development expense increased $12.9 million, or 11.7%, for the three months ended December 28, 2019 as compared to the three months ended December 29, 2018, primarily due to higher personnel costs as well as the addition of Active-Semi and Cavendish expenses. Research and development expense increased $19.7 million, or 5.8%, for the nine months ended December 28, 2019 as compared to the nine months ended December 29, 2018, primarily due to higher personnel costs and the addition of Active-Semi and Cavendish expenses.</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Selling, general and administrative expense decreased $44.4 million, or 35.3%, for the three months ended December 28, 2019 as compared to the three months ended December 29, 2018, primarily due to lower intangible amortization, partially offset by higher personnel costs and the addition of Active-Semi expenses. Selling, general and administrative expense decreased $142.6 million, or 35.6%, for the nine months ended December 28, 2019 as compared to the nine months ended December 29, 2018, primarily due to lower intangible amortization, partially offset by higher personnel costs and the addition of Active-Semi expenses.</w:t>
      </w:r>
    </w:p>
    <w:p>
      <w:pPr>
        <w:spacing w:after="0" w:line="18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Other operating expense decreased $10.6 million for the three months ended December 28, 2019 as compared to the three months ended December 29, 2018, primarily due to lower restructuring expenses and lower start-up costs as compared to the three months ended December 29, 2018, partially offset by expenses related to the acquisitions of Active-Semi and Cavendish. Other operating expense increased $11.6 million for the nine months ended December 28, 2019 as compared to the nine months ended December 29, 2018, primarily due to expenses related to the acquisitions of Active-Semi and Cavendish. These costs were partially offset by lower start-up costs and restructuring expenses as compared to the nine months ended December 29,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Segment Product Revenue, Operating Income and Operating Income as a Percentage of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Products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2"/>
              </w:rPr>
              <w:t>December 28,</w:t>
            </w:r>
          </w:p>
        </w:tc>
        <w:tc>
          <w:tcPr>
            <w:tcW w:w="280" w:type="dxa"/>
            <w:vAlign w:val="bottom"/>
          </w:tcPr>
          <w:p>
            <w:pPr>
              <w:spacing w:after="0"/>
              <w:rPr>
                <w:sz w:val="13"/>
                <w:szCs w:val="13"/>
                <w:color w:val="auto"/>
              </w:rPr>
            </w:pPr>
          </w:p>
        </w:tc>
        <w:tc>
          <w:tcPr>
            <w:tcW w:w="15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2"/>
              </w:rPr>
              <w:t>December 29,</w:t>
            </w:r>
          </w:p>
        </w:tc>
        <w:tc>
          <w:tcPr>
            <w:tcW w:w="580" w:type="dxa"/>
            <w:vAlign w:val="bottom"/>
          </w:tcPr>
          <w:p>
            <w:pPr>
              <w:spacing w:after="0"/>
              <w:rPr>
                <w:sz w:val="13"/>
                <w:szCs w:val="13"/>
                <w:color w:val="auto"/>
              </w:rPr>
            </w:pPr>
          </w:p>
        </w:tc>
        <w:tc>
          <w:tcPr>
            <w:tcW w:w="108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w w:val="87"/>
              </w:rPr>
              <w:t>Increase</w:t>
            </w:r>
          </w:p>
        </w:tc>
        <w:tc>
          <w:tcPr>
            <w:tcW w:w="120" w:type="dxa"/>
            <w:vAlign w:val="bottom"/>
            <w:vMerge w:val="restart"/>
          </w:tcPr>
          <w:p>
            <w:pPr>
              <w:spacing w:after="0"/>
              <w:rPr>
                <w:sz w:val="13"/>
                <w:szCs w:val="13"/>
                <w:color w:val="auto"/>
              </w:rPr>
            </w:pPr>
          </w:p>
        </w:tc>
        <w:tc>
          <w:tcPr>
            <w:tcW w:w="17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662,109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602,312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59,797</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1"/>
                <w:szCs w:val="21"/>
                <w:color w:val="auto"/>
              </w:rPr>
            </w:pPr>
          </w:p>
        </w:tc>
        <w:tc>
          <w:tcPr>
            <w:tcW w:w="1480" w:type="dxa"/>
            <w:vAlign w:val="bottom"/>
          </w:tcPr>
          <w:p>
            <w:pPr>
              <w:jc w:val="right"/>
              <w:ind w:right="117"/>
              <w:spacing w:after="0"/>
              <w:rPr>
                <w:sz w:val="20"/>
                <w:szCs w:val="20"/>
                <w:color w:val="auto"/>
              </w:rPr>
            </w:pPr>
            <w:r>
              <w:rPr>
                <w:rFonts w:ascii="Arial" w:cs="Arial" w:eastAsia="Arial" w:hAnsi="Arial"/>
                <w:sz w:val="18"/>
                <w:szCs w:val="18"/>
                <w:color w:val="auto"/>
              </w:rPr>
              <w:t>219,778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119"/>
              <w:spacing w:after="0"/>
              <w:rPr>
                <w:sz w:val="20"/>
                <w:szCs w:val="20"/>
                <w:color w:val="auto"/>
              </w:rPr>
            </w:pPr>
            <w:r>
              <w:rPr>
                <w:rFonts w:ascii="Arial" w:cs="Arial" w:eastAsia="Arial" w:hAnsi="Arial"/>
                <w:sz w:val="18"/>
                <w:szCs w:val="18"/>
                <w:color w:val="auto"/>
              </w:rPr>
              <w:t>180,394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39,384</w:t>
            </w:r>
          </w:p>
        </w:tc>
        <w:tc>
          <w:tcPr>
            <w:tcW w:w="120" w:type="dxa"/>
            <w:vAlign w:val="bottom"/>
          </w:tcPr>
          <w:p>
            <w:pPr>
              <w:spacing w:after="0"/>
              <w:rPr>
                <w:sz w:val="21"/>
                <w:szCs w:val="21"/>
                <w:color w:val="auto"/>
              </w:rPr>
            </w:pPr>
          </w:p>
        </w:tc>
        <w:tc>
          <w:tcPr>
            <w:tcW w:w="1740" w:type="dxa"/>
            <w:vAlign w:val="bottom"/>
          </w:tcPr>
          <w:p>
            <w:pPr>
              <w:jc w:val="right"/>
              <w:ind w:right="119"/>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2"/>
              </w:rPr>
              <w:t>December 28,</w:t>
            </w:r>
          </w:p>
        </w:tc>
        <w:tc>
          <w:tcPr>
            <w:tcW w:w="280" w:type="dxa"/>
            <w:vAlign w:val="bottom"/>
          </w:tcPr>
          <w:p>
            <w:pPr>
              <w:spacing w:after="0"/>
              <w:rPr>
                <w:sz w:val="13"/>
                <w:szCs w:val="13"/>
                <w:color w:val="auto"/>
              </w:rPr>
            </w:pPr>
          </w:p>
        </w:tc>
        <w:tc>
          <w:tcPr>
            <w:tcW w:w="15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2"/>
              </w:rPr>
              <w:t>December 29,</w:t>
            </w:r>
          </w:p>
        </w:tc>
        <w:tc>
          <w:tcPr>
            <w:tcW w:w="580" w:type="dxa"/>
            <w:vAlign w:val="bottom"/>
          </w:tcPr>
          <w:p>
            <w:pPr>
              <w:spacing w:after="0"/>
              <w:rPr>
                <w:sz w:val="13"/>
                <w:szCs w:val="13"/>
                <w:color w:val="auto"/>
              </w:rPr>
            </w:pPr>
          </w:p>
        </w:tc>
        <w:tc>
          <w:tcPr>
            <w:tcW w:w="108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w w:val="87"/>
              </w:rPr>
              <w:t>Increase</w:t>
            </w:r>
          </w:p>
        </w:tc>
        <w:tc>
          <w:tcPr>
            <w:tcW w:w="120" w:type="dxa"/>
            <w:vAlign w:val="bottom"/>
            <w:vMerge w:val="restart"/>
          </w:tcPr>
          <w:p>
            <w:pPr>
              <w:spacing w:after="0"/>
              <w:rPr>
                <w:sz w:val="13"/>
                <w:szCs w:val="13"/>
                <w:color w:val="auto"/>
              </w:rPr>
            </w:pPr>
          </w:p>
        </w:tc>
        <w:tc>
          <w:tcPr>
            <w:tcW w:w="17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1,841,468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1,754,930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86,538</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1"/>
                <w:szCs w:val="21"/>
                <w:color w:val="auto"/>
              </w:rPr>
            </w:pPr>
          </w:p>
        </w:tc>
        <w:tc>
          <w:tcPr>
            <w:tcW w:w="1480" w:type="dxa"/>
            <w:vAlign w:val="bottom"/>
          </w:tcPr>
          <w:p>
            <w:pPr>
              <w:jc w:val="right"/>
              <w:ind w:right="117"/>
              <w:spacing w:after="0"/>
              <w:rPr>
                <w:sz w:val="20"/>
                <w:szCs w:val="20"/>
                <w:color w:val="auto"/>
              </w:rPr>
            </w:pPr>
            <w:r>
              <w:rPr>
                <w:rFonts w:ascii="Arial" w:cs="Arial" w:eastAsia="Arial" w:hAnsi="Arial"/>
                <w:sz w:val="18"/>
                <w:szCs w:val="18"/>
                <w:color w:val="auto"/>
              </w:rPr>
              <w:t>553,144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119"/>
              <w:spacing w:after="0"/>
              <w:rPr>
                <w:sz w:val="20"/>
                <w:szCs w:val="20"/>
                <w:color w:val="auto"/>
              </w:rPr>
            </w:pPr>
            <w:r>
              <w:rPr>
                <w:rFonts w:ascii="Arial" w:cs="Arial" w:eastAsia="Arial" w:hAnsi="Arial"/>
                <w:sz w:val="18"/>
                <w:szCs w:val="18"/>
                <w:color w:val="auto"/>
              </w:rPr>
              <w:t>466,513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86,631</w:t>
            </w:r>
          </w:p>
        </w:tc>
        <w:tc>
          <w:tcPr>
            <w:tcW w:w="120" w:type="dxa"/>
            <w:vAlign w:val="bottom"/>
          </w:tcPr>
          <w:p>
            <w:pPr>
              <w:spacing w:after="0"/>
              <w:rPr>
                <w:sz w:val="21"/>
                <w:szCs w:val="21"/>
                <w:color w:val="auto"/>
              </w:rPr>
            </w:pPr>
          </w:p>
        </w:tc>
        <w:tc>
          <w:tcPr>
            <w:tcW w:w="1740" w:type="dxa"/>
            <w:vAlign w:val="bottom"/>
          </w:tcPr>
          <w:p>
            <w:pPr>
              <w:jc w:val="right"/>
              <w:ind w:right="119"/>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2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MP revenue increased $59.8 million, or 9.9%, for the three months ended December 28, 2019 as compared to the three months ended December 29, 2018, primarily due to higher demand for our mobile products in support of customers based in China, higher demand from a Korea-based customer and higher demand from Huawei. These increases were partially offset by lower demand from our largest end customer.</w:t>
      </w:r>
    </w:p>
    <w:p>
      <w:pPr>
        <w:spacing w:after="0" w:line="16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MP revenue increased $86.5 million, or 4.9%, for the nine months ended December 28, 2019 as compared to the nine months ended December 29, 2018, primarily due to higher demand from a Korea-based customer and higher demand from Huawei.</w:t>
      </w:r>
    </w:p>
    <w:p>
      <w:pPr>
        <w:spacing w:after="0" w:line="17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MP operating income increased $39.4 million, or 21.8%, for the three months ended December 28, 2019 as compared to the three months ended December 29, 2018, primarily due to higher revenue and higher gross margin. Gross margin was positively impacted by favorable changes in product mix, partially offset by average selling price erosion and lower factory utilization.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MP operating income increased $86.6 million, or 18.6%, for the nine months ended December 28, 2019 as compared to the nine months ended December 29, 2018, primarily due to higher gross margin and higher revenue. Gross margin was positively impacted by favorable changes in product mix and lower manufacturing costs, partially offset by average selling price erosion and lower factory utilization.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and Defense Products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0"/>
              </w:rPr>
              <w:t>December 28,</w:t>
            </w:r>
          </w:p>
        </w:tc>
        <w:tc>
          <w:tcPr>
            <w:tcW w:w="240" w:type="dxa"/>
            <w:vAlign w:val="bottom"/>
          </w:tcPr>
          <w:p>
            <w:pPr>
              <w:spacing w:after="0"/>
              <w:rPr>
                <w:sz w:val="13"/>
                <w:szCs w:val="13"/>
                <w:color w:val="auto"/>
              </w:rPr>
            </w:pPr>
          </w:p>
        </w:tc>
        <w:tc>
          <w:tcPr>
            <w:tcW w:w="14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December 29,</w:t>
            </w:r>
          </w:p>
        </w:tc>
        <w:tc>
          <w:tcPr>
            <w:tcW w:w="280" w:type="dxa"/>
            <w:vAlign w:val="bottom"/>
          </w:tcPr>
          <w:p>
            <w:pPr>
              <w:spacing w:after="0"/>
              <w:rPr>
                <w:sz w:val="13"/>
                <w:szCs w:val="13"/>
                <w:color w:val="auto"/>
              </w:rPr>
            </w:pPr>
          </w:p>
        </w:tc>
        <w:tc>
          <w:tcPr>
            <w:tcW w:w="118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Decrease</w:t>
            </w:r>
          </w:p>
        </w:tc>
        <w:tc>
          <w:tcPr>
            <w:tcW w:w="100" w:type="dxa"/>
            <w:vAlign w:val="bottom"/>
            <w:vMerge w:val="restart"/>
          </w:tcPr>
          <w:p>
            <w:pPr>
              <w:spacing w:after="0"/>
              <w:rPr>
                <w:sz w:val="13"/>
                <w:szCs w:val="13"/>
                <w:color w:val="auto"/>
              </w:rPr>
            </w:pPr>
          </w:p>
        </w:tc>
        <w:tc>
          <w:tcPr>
            <w:tcW w:w="16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206,964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230,018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(23,054)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1"/>
                <w:szCs w:val="21"/>
                <w:color w:val="auto"/>
              </w:rPr>
            </w:pPr>
          </w:p>
        </w:tc>
        <w:tc>
          <w:tcPr>
            <w:tcW w:w="1320" w:type="dxa"/>
            <w:vAlign w:val="bottom"/>
          </w:tcPr>
          <w:p>
            <w:pPr>
              <w:jc w:val="right"/>
              <w:ind w:right="117"/>
              <w:spacing w:after="0"/>
              <w:rPr>
                <w:sz w:val="20"/>
                <w:szCs w:val="20"/>
                <w:color w:val="auto"/>
              </w:rPr>
            </w:pPr>
            <w:r>
              <w:rPr>
                <w:rFonts w:ascii="Arial" w:cs="Arial" w:eastAsia="Arial" w:hAnsi="Arial"/>
                <w:sz w:val="18"/>
                <w:szCs w:val="18"/>
                <w:color w:val="auto"/>
              </w:rPr>
              <w:t>32,628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9"/>
              <w:spacing w:after="0"/>
              <w:rPr>
                <w:sz w:val="20"/>
                <w:szCs w:val="20"/>
                <w:color w:val="auto"/>
              </w:rPr>
            </w:pPr>
            <w:r>
              <w:rPr>
                <w:rFonts w:ascii="Arial" w:cs="Arial" w:eastAsia="Arial" w:hAnsi="Arial"/>
                <w:sz w:val="18"/>
                <w:szCs w:val="18"/>
                <w:color w:val="auto"/>
              </w:rPr>
              <w:t>80,861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(48,233)</w:t>
            </w:r>
          </w:p>
        </w:tc>
        <w:tc>
          <w:tcPr>
            <w:tcW w:w="100" w:type="dxa"/>
            <w:vAlign w:val="bottom"/>
          </w:tcPr>
          <w:p>
            <w:pPr>
              <w:spacing w:after="0"/>
              <w:rPr>
                <w:sz w:val="21"/>
                <w:szCs w:val="21"/>
                <w:color w:val="auto"/>
              </w:rPr>
            </w:pPr>
          </w:p>
        </w:tc>
        <w:tc>
          <w:tcPr>
            <w:tcW w:w="1600" w:type="dxa"/>
            <w:vAlign w:val="bottom"/>
          </w:tcPr>
          <w:p>
            <w:pPr>
              <w:jc w:val="right"/>
              <w:ind w:right="119"/>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0"/>
              </w:rPr>
              <w:t>December 28,</w:t>
            </w:r>
          </w:p>
        </w:tc>
        <w:tc>
          <w:tcPr>
            <w:tcW w:w="240" w:type="dxa"/>
            <w:vAlign w:val="bottom"/>
          </w:tcPr>
          <w:p>
            <w:pPr>
              <w:spacing w:after="0"/>
              <w:rPr>
                <w:sz w:val="13"/>
                <w:szCs w:val="13"/>
                <w:color w:val="auto"/>
              </w:rPr>
            </w:pPr>
          </w:p>
        </w:tc>
        <w:tc>
          <w:tcPr>
            <w:tcW w:w="14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December 29,</w:t>
            </w:r>
          </w:p>
        </w:tc>
        <w:tc>
          <w:tcPr>
            <w:tcW w:w="280" w:type="dxa"/>
            <w:vAlign w:val="bottom"/>
          </w:tcPr>
          <w:p>
            <w:pPr>
              <w:spacing w:after="0"/>
              <w:rPr>
                <w:sz w:val="13"/>
                <w:szCs w:val="13"/>
                <w:color w:val="auto"/>
              </w:rPr>
            </w:pPr>
          </w:p>
        </w:tc>
        <w:tc>
          <w:tcPr>
            <w:tcW w:w="118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Decrease</w:t>
            </w:r>
          </w:p>
        </w:tc>
        <w:tc>
          <w:tcPr>
            <w:tcW w:w="100" w:type="dxa"/>
            <w:vAlign w:val="bottom"/>
            <w:vMerge w:val="restart"/>
          </w:tcPr>
          <w:p>
            <w:pPr>
              <w:spacing w:after="0"/>
              <w:rPr>
                <w:sz w:val="13"/>
                <w:szCs w:val="13"/>
                <w:color w:val="auto"/>
              </w:rPr>
            </w:pPr>
          </w:p>
        </w:tc>
        <w:tc>
          <w:tcPr>
            <w:tcW w:w="16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609,901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654,513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(44,612)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1"/>
                <w:szCs w:val="21"/>
                <w:color w:val="auto"/>
              </w:rPr>
            </w:pPr>
          </w:p>
        </w:tc>
        <w:tc>
          <w:tcPr>
            <w:tcW w:w="1320" w:type="dxa"/>
            <w:vAlign w:val="bottom"/>
          </w:tcPr>
          <w:p>
            <w:pPr>
              <w:jc w:val="right"/>
              <w:ind w:right="117"/>
              <w:spacing w:after="0"/>
              <w:rPr>
                <w:sz w:val="20"/>
                <w:szCs w:val="20"/>
                <w:color w:val="auto"/>
              </w:rPr>
            </w:pPr>
            <w:r>
              <w:rPr>
                <w:rFonts w:ascii="Arial" w:cs="Arial" w:eastAsia="Arial" w:hAnsi="Arial"/>
                <w:sz w:val="18"/>
                <w:szCs w:val="18"/>
                <w:color w:val="auto"/>
              </w:rPr>
              <w:t>97,721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99"/>
              <w:spacing w:after="0"/>
              <w:rPr>
                <w:sz w:val="20"/>
                <w:szCs w:val="20"/>
                <w:color w:val="auto"/>
              </w:rPr>
            </w:pPr>
            <w:r>
              <w:rPr>
                <w:rFonts w:ascii="Arial" w:cs="Arial" w:eastAsia="Arial" w:hAnsi="Arial"/>
                <w:sz w:val="18"/>
                <w:szCs w:val="18"/>
                <w:color w:val="auto"/>
              </w:rPr>
              <w:t>192,376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(94,655)</w:t>
            </w:r>
          </w:p>
        </w:tc>
        <w:tc>
          <w:tcPr>
            <w:tcW w:w="100" w:type="dxa"/>
            <w:vAlign w:val="bottom"/>
          </w:tcPr>
          <w:p>
            <w:pPr>
              <w:spacing w:after="0"/>
              <w:rPr>
                <w:sz w:val="21"/>
                <w:szCs w:val="21"/>
                <w:color w:val="auto"/>
              </w:rPr>
            </w:pPr>
          </w:p>
        </w:tc>
        <w:tc>
          <w:tcPr>
            <w:tcW w:w="1600" w:type="dxa"/>
            <w:vAlign w:val="bottom"/>
          </w:tcPr>
          <w:p>
            <w:pPr>
              <w:jc w:val="right"/>
              <w:ind w:right="119"/>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as a % of revenue</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IDP revenue decreased $23.1 million, or 10.0%, for the three months ended December 28, 2019 as compared to the three months ended December 29, 2018, primarily due to lower demand for our base station products as a result of trade restrictions, partially offset by higher demand for our defense and aerospace products as well as sales of our programmable power management products as a result of the acquisition of Active-Semi.</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IDP revenue decreased $44.6 million, or 6.8%, for the nine months ended December 28, 2019 as compared to the nine months ended December 29, 2018, primarily due to lower demand for our base station products as a result of trade restrictions and lower demand for our Wi-Fi products, partially offset by sales of our programmable power management products as a result of the acquisition of Active-Semi.</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IDP operating income decreased $48.2 million, or 59.6%, for the three months ended December 28, 2019 as compared to the three months ended</w:t>
      </w:r>
    </w:p>
    <w:p>
      <w:pPr>
        <w:spacing w:after="0" w:line="3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December 29, 2018, primarily due to higher operating expenses, lower gross margin and lower revenue. The increase in operating expenses was primarily due to higher personnel costs and the addition of Active-Semi expenses. Gross margin was negatively impacted by lower factory utilization, unfavorable changes in product mix and inventory charges.</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IDP operating income decreased $94.7 million, or 49.2%, for the nine months ended December 28, 2019 as compared to the nine months ended December 29, 2018, primarily due to higher operating expenses, lower gross margin and lower revenue. The increase in operating expenses was primarily due to higher personnel costs and the addition of Active-Semi expenses. Gross margin was negatively impacted by lower factory utilization, inventory charges and average selling price erosion.</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See Note 11 of the Notes to Condensed Consolidated Financial Statements for a reconciliation of segment operating income to the consolidated operating income for the three and nine months ended December 28, 2019 and December 29,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AND INCOME TAXES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01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036"/>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4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December 28,</w:t>
            </w:r>
          </w:p>
        </w:tc>
        <w:tc>
          <w:tcPr>
            <w:tcW w:w="260" w:type="dxa"/>
            <w:vAlign w:val="bottom"/>
          </w:tcPr>
          <w:p>
            <w:pPr>
              <w:spacing w:after="0"/>
              <w:rPr>
                <w:sz w:val="13"/>
                <w:szCs w:val="13"/>
                <w:color w:val="auto"/>
              </w:rPr>
            </w:pPr>
          </w:p>
        </w:tc>
        <w:tc>
          <w:tcPr>
            <w:tcW w:w="15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December 29,</w:t>
            </w:r>
          </w:p>
        </w:tc>
        <w:tc>
          <w:tcPr>
            <w:tcW w:w="280" w:type="dxa"/>
            <w:vAlign w:val="bottom"/>
          </w:tcPr>
          <w:p>
            <w:pPr>
              <w:spacing w:after="0"/>
              <w:rPr>
                <w:sz w:val="13"/>
                <w:szCs w:val="13"/>
                <w:color w:val="auto"/>
              </w:rPr>
            </w:pPr>
          </w:p>
        </w:tc>
        <w:tc>
          <w:tcPr>
            <w:tcW w:w="15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December 28,</w:t>
            </w:r>
          </w:p>
        </w:tc>
        <w:tc>
          <w:tcPr>
            <w:tcW w:w="260" w:type="dxa"/>
            <w:vAlign w:val="bottom"/>
          </w:tcPr>
          <w:p>
            <w:pPr>
              <w:spacing w:after="0"/>
              <w:rPr>
                <w:sz w:val="13"/>
                <w:szCs w:val="13"/>
                <w:color w:val="auto"/>
              </w:rPr>
            </w:pPr>
          </w:p>
        </w:tc>
        <w:tc>
          <w:tcPr>
            <w:tcW w:w="1440" w:type="dxa"/>
            <w:vAlign w:val="bottom"/>
          </w:tcPr>
          <w:p>
            <w:pPr>
              <w:jc w:val="right"/>
              <w:ind w:right="376"/>
              <w:spacing w:after="0" w:line="153" w:lineRule="exact"/>
              <w:rPr>
                <w:sz w:val="20"/>
                <w:szCs w:val="20"/>
                <w:color w:val="auto"/>
              </w:rPr>
            </w:pPr>
            <w:r>
              <w:rPr>
                <w:rFonts w:ascii="Arial" w:cs="Arial" w:eastAsia="Arial" w:hAnsi="Arial"/>
                <w:sz w:val="14"/>
                <w:szCs w:val="14"/>
                <w:b w:val="1"/>
                <w:bCs w:val="1"/>
                <w:color w:val="auto"/>
              </w:rPr>
              <w:t>December 29,</w:t>
            </w: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2018</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(33,604)</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21"/>
                <w:szCs w:val="21"/>
                <w:color w:val="auto"/>
              </w:rPr>
            </w:pPr>
          </w:p>
        </w:tc>
        <w:tc>
          <w:tcPr>
            <w:tcW w:w="1480" w:type="dxa"/>
            <w:vAlign w:val="bottom"/>
          </w:tcPr>
          <w:p>
            <w:pPr>
              <w:jc w:val="right"/>
              <w:ind w:right="57"/>
              <w:spacing w:after="0"/>
              <w:rPr>
                <w:sz w:val="20"/>
                <w:szCs w:val="20"/>
                <w:color w:val="auto"/>
              </w:rPr>
            </w:pPr>
            <w:r>
              <w:rPr>
                <w:rFonts w:ascii="Arial" w:cs="Arial" w:eastAsia="Arial" w:hAnsi="Arial"/>
                <w:sz w:val="18"/>
                <w:szCs w:val="18"/>
                <w:color w:val="auto"/>
              </w:rPr>
              <w:t>2,874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2,814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8"/>
              <w:spacing w:after="0"/>
              <w:rPr>
                <w:sz w:val="20"/>
                <w:szCs w:val="20"/>
                <w:color w:val="auto"/>
              </w:rPr>
            </w:pPr>
            <w:r>
              <w:rPr>
                <w:rFonts w:ascii="Arial" w:cs="Arial" w:eastAsia="Arial" w:hAnsi="Arial"/>
                <w:sz w:val="18"/>
                <w:szCs w:val="18"/>
                <w:color w:val="auto"/>
              </w:rPr>
              <w:t>8,112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7,788</w:t>
            </w:r>
          </w:p>
        </w:tc>
      </w:tr>
      <w:tr>
        <w:trPr>
          <w:trHeight w:val="27"/>
        </w:trPr>
        <w:tc>
          <w:tcPr>
            <w:tcW w:w="4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44,148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42,737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(85,007)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4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(21,835)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(46,519)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30,012</w:t>
            </w:r>
          </w:p>
        </w:tc>
      </w:tr>
      <w:tr>
        <w:trPr>
          <w:trHeight w:val="675"/>
        </w:trPr>
        <w:tc>
          <w:tcPr>
            <w:tcW w:w="4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jc w:val="right"/>
              <w:ind w:right="117"/>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During the three and nine months ended December 28, 2019, we recorded interest expense of $18.3 million and $45.8 million, respectively, primarily related to the 5.50% senior notes due July 15, 2026 (the "2026 Notes") and the 2029 Notes, which was partially offset by $1.4 million and $4.4 million, respectively, of capitalized interest.</w:t>
      </w:r>
    </w:p>
    <w:p>
      <w:pPr>
        <w:spacing w:after="0" w:line="1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three months ended December 29, 2018, we recorded interest expense of $11.5 million primarily related to the 7.00% senior notes due December 1, 2025 (the "2025 Notes") and the 2026 Notes, which was partially offset by $1.9 million of capitalized interest. During the nine months ended December 29, 2018, we recorded interest expense of $40.8 million primarily related to the 6.75% senior notes due December 1, 2023 (the "2023 Notes"), the 2025 Notes and the 2026 Notes, which was partially offset by $7.2 million of capitalized interest.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During the three and nine months ended December 28, 2019, we recorded a gain of $43.0 million related to the remeasurement of our previously held equity interest in Cavendish in connection with our purchase of the remaining issued and outstanding capital of the entity (see Note 4 of the Notes to Condensed Consolidated Financial Statements for information regarding the Cavendish acquisition). During the three and nine months ended December 29, 2018, we recorded a loss on debt extinguishment of $1.8 million and $84.0 million,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Our provision for income taxes for the three and nine months ended December 28, 2019 and December 29, 2018 was calculated by applying an estimate of the annual effective tax rate for the full fiscal year to “ordinary” income or loss (pre-tax income or loss excluding unusual or infrequently occurring discrete items) for those respective periods.</w:t>
      </w:r>
    </w:p>
    <w:p>
      <w:pPr>
        <w:spacing w:after="0" w:line="1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the three and nine months ended December 28, 2019, we recorded income tax expense of $21.8 million and $46.5 million, respectively, which was comprised primarily of tax expense related to international operations generating pre-tax book income and the reversal of the permanent reinvestment assertion with regards to unrepatriated foreign earnings, offset by a tax benefit related to domestic and international operations generating pre-tax book losses and domestic tax credits. For the three months ended December 29, 2018, we recorded income tax expense of $1.4 million, which was comprised primarily of tax expense related to international operations generating pre-tax book income, partially offset by tax benefit related to domestic and international operations generating pre-tax book losses. For the nine months ended December 29, 2018, we recorded income tax benefit of $30.0 million, which was comprised primarily of tax benefit related to domestic and international operations generating pre-tax book losses, a tax incentive granted in Singapore and adjustments in the provisional estimates required by the Tax Cuts and Jobs Act, partially offset by a tax expense related to international operations generating pre-tax book income.</w:t>
      </w:r>
    </w:p>
    <w:p>
      <w:pPr>
        <w:spacing w:after="0" w:line="1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 valuation allowance remained against certain domestic and foreign net deferred tax assets as it is more likely than not that the related deferred tax assets will not be realized.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Cash generated by operations is our primary source of liquidity. As of December 28, 2019, we had working capital of approximately $1,576.5 million, including $1,097.7 million in cash and cash equivalents, compared to working capital of approximately $1,249.2 million at March 30, 2019, including $711.0 million in cash and cash equivalents. The increase in working capital was primarily due to the issuance of $550.0 million aggregate principal amount of the 2029 Notes in the third quarter of fiscal 2020 and the $100.0 million draw on the Term Loan (as defined in “Commitments and Contingencies” below) in the first quarter of fiscal 2020. These increases to working capital were partially offset by the acquisition of Active-Semi in the first quarter of fiscal 2020 and the acquisition of Cavendish in the third quarter of fiscal 2020.</w:t>
      </w:r>
    </w:p>
    <w:p>
      <w:pPr>
        <w:spacing w:after="0" w:line="19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Our $1,097.7 million of total cash and cash equivalents as of December 28, 2019 includes approximately $573.1 million held by our foreign subsidiaries, of which $485.1 million is held by Qorvo International Pte. Ltd. in Singapore. If the undistributed earnings of our foreign subsidiaries are needed in the U.S., we may be required to pay state income and/or foreign local withholding taxes to repatriate these earnings.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October 31, 2019, we announced that our Board of Directors authorized a new share repurchase program (see Note 8 of the Notes to Condensed Consolidated Financial Statements for information regarding the new share repurchase program). During the nine months ended December 28, 2019, we repurchased approximately 5.1 million shares of our common stock for approximately $390.1 million under our prior and current share repurchase programs. As of December 28, 2019, $890.9 million remained available for repurchases under the current program.</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3"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Operating activities for the nine months ended December 28, 2019 generated cash of $731.3 million, compared to $623.0 million for the nine months ended December 29, 2018, primarily due to favorable changes in working capital driven by improvements in days sales outstanding during the nine months ended December 28, 2019.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3"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Net cash used in investing activities was $623.1 million for the nine months ended December 28, 2019, compared to $205.5 million for the nine months ended December 29, 2018, primarily due to the acquisitions of Active-Semi and Cavendish.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Net cash provided by financing activities was $279.1 million for the nine months ended December 28, 2019, compared to net cash used in financing activities of $691.5 million for the nine months ended December 29, 2018. During the nine months ended December 29, 2018, cash disbursed in connection with the retirement of all of the 2023 Notes and a majority of the 2025 Notes was partially offset by cash proceeds received from the issuance of the 2026 Notes. During the nine months ended December 28, 2019, we received cash proceeds of $559.0 million from the issuance of the 2029 Notes and $100.0 million from the draw on the Term Loan.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u w:val="single" w:color="auto"/>
          <w:color w:val="auto"/>
        </w:rPr>
        <w:t>2023 Notes and 2025 Notes</w:t>
      </w:r>
      <w:r>
        <w:rPr>
          <w:rFonts w:ascii="Arial" w:cs="Arial" w:eastAsia="Arial" w:hAnsi="Arial"/>
          <w:sz w:val="17"/>
          <w:szCs w:val="17"/>
          <w:i w:val="1"/>
          <w:iCs w:val="1"/>
          <w:color w:val="auto"/>
        </w:rPr>
        <w:t xml:space="preserve"> </w:t>
      </w:r>
      <w:r>
        <w:rPr>
          <w:rFonts w:ascii="Arial" w:cs="Arial" w:eastAsia="Arial" w:hAnsi="Arial"/>
          <w:sz w:val="17"/>
          <w:szCs w:val="17"/>
          <w:color w:val="auto"/>
        </w:rPr>
        <w:t>On November 19, 2015, we issued $450.0 million aggregate principal amount of the 2023 Notes and $550.0 million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amount of the 2025 Notes. The 2023 Notes were, and the 2025 Notes are, senior unsecured obligations of the Company and guaranteed, jointly and severally, by certain of our U.S. subsidiaries (the "Guarantors"). With respect to the 2023 Notes, interest was payable semi-annually on June 1 and December 1 of each year at a rate of 6.75% per annum, and with respect to the 2025 Notes, interest is payable on June 1 and December 1 of each year at a rate of 7.00% per annum. Interest paid on the 2025 Notes during the three and nine months ended December 28, 2019 was $0.8 million and $1.6 million, respectively. Interest paid on the 2025 Notes during the three months ended December 29, 2018 was $4.0 million, and interest paid on the 2023 Notes and 2025 Notes during the nine months ended December 29, 2018 was $45.5 million.</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fiscal years 2018 and 2019, we retired all of the issued and outstanding 2023 Notes and $526.6 million of the 2025 Notes. As of December 28, 2019, an aggregate principal amount of $23.4 million of the 2025 Notes remained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See Note 7 of the Notes to Condensed Consolidated Financial Statements for additional information regarding the 2023 Notes and the 2025 Notes.</w:t>
      </w:r>
    </w:p>
    <w:p>
      <w:pPr>
        <w:spacing w:after="0" w:line="237"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u w:val="single" w:color="auto"/>
          <w:color w:val="auto"/>
        </w:rPr>
        <w:t>2026 Notes</w:t>
      </w:r>
      <w:r>
        <w:rPr>
          <w:rFonts w:ascii="Arial" w:cs="Arial" w:eastAsia="Arial" w:hAnsi="Arial"/>
          <w:sz w:val="17"/>
          <w:szCs w:val="17"/>
          <w:i w:val="1"/>
          <w:iCs w:val="1"/>
          <w:color w:val="auto"/>
        </w:rPr>
        <w:t xml:space="preserve"> </w:t>
      </w:r>
      <w:r>
        <w:rPr>
          <w:rFonts w:ascii="Arial" w:cs="Arial" w:eastAsia="Arial" w:hAnsi="Arial"/>
          <w:sz w:val="17"/>
          <w:szCs w:val="17"/>
          <w:color w:val="auto"/>
        </w:rPr>
        <w:t>On July 16, 2018, we issued $500.0 million aggregate principal amount of the 2026 Notes. On August 28, 2018 and March 5, 2019, we completed</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offerings of an additional $130.0 million and $270.0 million, respectively, aggregate principal amount of the 2026 Notes. The 2026 Notes are senior unsecured obligations of the Company and are guaranteed, jointly and severally, by each of the Guarantors. Interest on the 2026 Notes is payable on January 15 and July 15 of each year at a rate of 5.50% per annum. We paid no interest on the 2026 Notes during the three months ended December 28, 2019 and paid interest of $24.8 million on the 2026 Notes during the nine months ended December 28, 2019.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See Note 7 of the Notes to Condensed Consolidated Financial Statements for additional information regarding the 2026 Notes.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u w:val="single" w:color="auto"/>
          <w:color w:val="auto"/>
        </w:rPr>
        <w:t>2029 Notes</w:t>
      </w:r>
      <w:r>
        <w:rPr>
          <w:rFonts w:ascii="Arial" w:cs="Arial" w:eastAsia="Arial" w:hAnsi="Arial"/>
          <w:sz w:val="18"/>
          <w:szCs w:val="18"/>
          <w:i w:val="1"/>
          <w:iCs w:val="1"/>
          <w:color w:val="auto"/>
        </w:rPr>
        <w:t xml:space="preserve"> </w:t>
      </w:r>
      <w:r>
        <w:rPr>
          <w:rFonts w:ascii="Arial" w:cs="Arial" w:eastAsia="Arial" w:hAnsi="Arial"/>
          <w:sz w:val="18"/>
          <w:szCs w:val="18"/>
          <w:color w:val="auto"/>
        </w:rPr>
        <w:t>On September 30, 2019, we issued $350.0 million aggregate principal amount of the 2029 Notes. On December 20, 2019, we completed an</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of an additional $200.0 million aggregate principal amount of the 2029 Notes. The 2029 Notes are senior unsecured obligations of the Company and are guaranteed, jointly and severally, by each of the Guarantors.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Interest on the 2029 Notes is payable on October 15 and April 15 of each year at a rate of 4.375% per annum, commencing April 15,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7 of the Notes to Condensed Consolidated Financial Statements for additional information regarding the 2029 Notes.</w:t>
      </w:r>
    </w:p>
    <w:p>
      <w:pPr>
        <w:spacing w:after="0" w:line="225"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i w:val="1"/>
          <w:iCs w:val="1"/>
          <w:u w:val="single" w:color="auto"/>
          <w:color w:val="auto"/>
        </w:rPr>
        <w:t>Credit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On December 5, 2017, we and the Guarantors entered into a five-year unsecured senior credit facility with Bank of America, N.A., as</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agent, swing line lender, and L/C issuer, and a syndicate of lenders (the “Credit Agreement”). On the same date, in connection with the execution of the Credit Agreement, we terminated our prior credit agreement, dated April 7, 2015.</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Credit Agreement included a senior delayed draw term loan of up to $400.0 million (the "Term Loan") and a $300.0 million revolving line of credit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"Revolving Facility"). In addition, we may request one or more additional tranches of term loans or increases in the Revolving Facility, up to an aggregate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$300.0 million and subject to securing additional funding commitments from the existing or new lenders (the “Incremental Facility,” together with the 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 and the Revolving Facility, the “Credit Facility”). On the closing date, $100.0 million of the Term Loan was funded, and this amount was subsequently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repaid in March 2018. On June 17, 2019, we drew $100.0 million of the Term Loan. The delayed draw availability period for the remaining $200.0 million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Term Loan expired on December 31, 2019. The Revolving Facility includes a $25.0 million sublimit for the issuance of standby letters of credit and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 million sublimit for swing line loans. The Credit Facility is available to finance working capital, capital expenditures and other corporate purposes.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obligations under the Credit Agreement are jointly and severally guaranteed by the Guarantors. Outstanding amounts are due in full on the maturity date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5, 2022 (with amounts borrowed under the swing line option due in full no later than ten business days after such loan is made). During the three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nine months ended December 28, 2019, there were no borrowings under the Revolving Facility. Interest paid on the Term Loan during the three and nine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months ended December 28, 2019 was $0.7 million and $1.6 million, respectively.</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Credit Agreement contains various conditions, covenants and representations with which we must be in compliance in order to borrow funds and to avoid an event of default. As of December 28, 2019, we were in compliance with all the financial covenants under the Credit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Note 7 of the Notes to Condensed Consolidated Financial Statements for additional information regarding the Credit Agreement.</w:t>
      </w:r>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i w:val="1"/>
          <w:iCs w:val="1"/>
          <w:u w:val="single" w:color="auto"/>
          <w:color w:val="auto"/>
        </w:rPr>
        <w:t>Capital Commitments</w:t>
      </w:r>
      <w:r>
        <w:rPr>
          <w:rFonts w:ascii="Arial" w:cs="Arial" w:eastAsia="Arial" w:hAnsi="Arial"/>
          <w:sz w:val="16"/>
          <w:szCs w:val="16"/>
          <w:i w:val="1"/>
          <w:iCs w:val="1"/>
          <w:color w:val="auto"/>
        </w:rPr>
        <w:t xml:space="preserve"> </w:t>
      </w:r>
      <w:r>
        <w:rPr>
          <w:rFonts w:ascii="Arial" w:cs="Arial" w:eastAsia="Arial" w:hAnsi="Arial"/>
          <w:sz w:val="16"/>
          <w:szCs w:val="16"/>
          <w:color w:val="auto"/>
        </w:rPr>
        <w:t>At December 28, 2019, we had capital commitments of approximately $47.5 million primarily for projects related to GaN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capabilities, premium filter capacity and manufacturing cost savings initiatives, as well as for equipment replacements and general corporate purposes.</w:t>
      </w:r>
    </w:p>
    <w:p>
      <w:pPr>
        <w:spacing w:after="0" w:line="12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i w:val="1"/>
          <w:iCs w:val="1"/>
          <w:u w:val="single" w:color="auto"/>
          <w:color w:val="auto"/>
        </w:rPr>
        <w:t>Pending Business Acquisitions</w:t>
      </w:r>
      <w:r>
        <w:rPr>
          <w:rFonts w:ascii="Arial" w:cs="Arial" w:eastAsia="Arial" w:hAnsi="Arial"/>
          <w:sz w:val="18"/>
          <w:szCs w:val="18"/>
          <w:i w:val="1"/>
          <w:iCs w:val="1"/>
          <w:color w:val="auto"/>
        </w:rPr>
        <w:t xml:space="preserve"> </w:t>
      </w:r>
      <w:r>
        <w:rPr>
          <w:rFonts w:ascii="Arial" w:cs="Arial" w:eastAsia="Arial" w:hAnsi="Arial"/>
          <w:sz w:val="18"/>
          <w:szCs w:val="18"/>
          <w:color w:val="auto"/>
        </w:rPr>
        <w:t>On January 13, 2020, we entered into a definitive agreement to acquire Custom MMIC for a cash purchase price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$105.0 million. In addition, on January 24, 2020, we entered into a definitive agreement to acquire Decawave for a cash purchase price of approximately $400.0 million.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See Note 15 of the Notes to Condensed Consolidated Financial Statements for additional information regarding the pending business acquisitions.</w:t>
      </w:r>
    </w:p>
    <w:p>
      <w:pPr>
        <w:spacing w:after="0" w:line="23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u w:val="single" w:color="auto"/>
          <w:color w:val="auto"/>
        </w:rPr>
        <w:t>Future Sources of Funding</w:t>
      </w:r>
      <w:r>
        <w:rPr>
          <w:rFonts w:ascii="Arial" w:cs="Arial" w:eastAsia="Arial" w:hAnsi="Arial"/>
          <w:sz w:val="17"/>
          <w:szCs w:val="17"/>
          <w:i w:val="1"/>
          <w:iCs w:val="1"/>
          <w:color w:val="auto"/>
        </w:rPr>
        <w:t xml:space="preserve"> </w:t>
      </w:r>
      <w:r>
        <w:rPr>
          <w:rFonts w:ascii="Arial" w:cs="Arial" w:eastAsia="Arial" w:hAnsi="Arial"/>
          <w:sz w:val="17"/>
          <w:szCs w:val="17"/>
          <w:color w:val="auto"/>
        </w:rPr>
        <w:t>Our future capital requirements may differ materially from those currently anticipated and will depend on many factors,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market acceptance of and demand for our products, acquisition opportunities, technological advances and our relationships with suppliers and customers. Based on current and projected levels of cash flow from operations, coupled with our existing cash and cash equivalents and our Credit Facility, we believe that we have sufficient liquidity to meet both our short-term and long-term cash requirements. However, if there is a significant decrease in demand for our products, or in the event that growth is faster than we anticipate, operating cash flows may be insufficient to meet our needs. If existing resources and cash from operations are not sufficient to meet our future requirements or if we perceive conditions to be favorable, we may seek additional debt or equity financing. We cannot be sure that any additional equity or debt financing will not be dilutive to holders of our common stock. Further, we cannot be sure that additional equity or debt financing, if required, will be available on favorable terms, if at all.</w:t>
      </w:r>
    </w:p>
    <w:p>
      <w:pPr>
        <w:spacing w:after="0" w:line="17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u w:val="single" w:color="auto"/>
          <w:color w:val="auto"/>
        </w:rPr>
        <w:t>Legal</w:t>
      </w:r>
      <w:r>
        <w:rPr>
          <w:rFonts w:ascii="Arial" w:cs="Arial" w:eastAsia="Arial" w:hAnsi="Arial"/>
          <w:sz w:val="18"/>
          <w:szCs w:val="18"/>
          <w:i w:val="1"/>
          <w:iCs w:val="1"/>
          <w:color w:val="auto"/>
        </w:rPr>
        <w:t xml:space="preserve"> </w:t>
      </w:r>
      <w:r>
        <w:rPr>
          <w:rFonts w:ascii="Arial" w:cs="Arial" w:eastAsia="Arial" w:hAnsi="Arial"/>
          <w:sz w:val="18"/>
          <w:szCs w:val="18"/>
          <w:color w:val="auto"/>
        </w:rPr>
        <w:t>We are involved in various legal proceedings and claims that have arisen in the ordinary course of business that have not been fully adjudicated. These</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when finally concluded and determined, will not, in the opinion of management, have a material adverse effect on our consolidated financial position or results of operations.</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u w:val="single" w:color="auto"/>
          <w:color w:val="auto"/>
        </w:rPr>
        <w:t>Taxes</w:t>
      </w:r>
      <w:r>
        <w:rPr>
          <w:rFonts w:ascii="Arial" w:cs="Arial" w:eastAsia="Arial" w:hAnsi="Arial"/>
          <w:sz w:val="17"/>
          <w:szCs w:val="17"/>
          <w:i w:val="1"/>
          <w:iCs w:val="1"/>
          <w:color w:val="auto"/>
        </w:rPr>
        <w:t xml:space="preserve"> </w:t>
      </w:r>
      <w:r>
        <w:rPr>
          <w:rFonts w:ascii="Arial" w:cs="Arial" w:eastAsia="Arial" w:hAnsi="Arial"/>
          <w:sz w:val="17"/>
          <w:szCs w:val="17"/>
          <w:color w:val="auto"/>
        </w:rPr>
        <w:t>We are subject to income and other taxes in the United States and in numerous foreign jurisdictions. Our domestic and foreign tax liabilities are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allocation of revenues and expenses in different jurisdictions. Additionally, the amount of taxes paid is subject to our interpretation of applicable tax laws in the jurisdictions in which we operate. We are subject to audits by tax authorities. While we endeavor to comply with all applicable tax laws, there can be no assurance that a governing tax authority will not have a different interpretation of the law than we do or that we will comply in all respects with applicable tax laws, which could result in additional taxes. There can be no assurance that the outcomes from tax audits will not have an adverse effect on our results of operations in the period during which the review is conducted.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2" w:right="25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 have been no material changes to our market risk exposures during the third quarter of fiscal 2020. For a discussion of our exposure to market risk, refer to Item 7A, “Quantitative and Qualitative Disclosures About Market Risk,” contained in Qorvo's Annual Report on Form 10-K for the fiscal year ended March 30,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the end of the period covered by this report, the Company’s management, with the participation of the Company’s Chief Executive Officer (CEO) and the Chief Financial Officer (CFO), evaluated the effectiveness of the Company’s disclosure controls and procedures in accordance with Rules 13a-15(e) and 15d-15(e) under the Exchange Act. Based on this evaluation, our CEO and CFO concluded that the Company’s disclosure controls and procedures were effective, as of such date, to enable the Company to record, process, summarize and report in a timely manner the information that the Company is required to disclose in its Exchange Act reports, and to accumulate and communicate such information to management, including the Company’s CEO and the CFO, as appropriate, to allow timely decisions regarding required disclosure.</w:t>
      </w:r>
    </w:p>
    <w:p>
      <w:pPr>
        <w:spacing w:after="0" w:line="178"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There were no changes to our internal control over financial reporting (as defined in Rules 13a-15(f) and 15d-15(f) under the Exchange Act) that occurred during the quarter ended December 28, 2019 that have materially affected, or are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addition to the other information set forth in this report and in our other reports and statements that we file with the SEC, including our quarterly reports on Form 10-Q, careful consideration should be given to the factors discussed in Part I, Item 1A., “Risk Factors” in Qorvo's Annual Report on Form 10-K for the fiscal year ended March 30, 2019, which could materially affect our business, financial condition or future results. The risks described in Qorvo's Annual Report on Form 10-K for the fiscal year ended March 30, 2019 are not the only risks that we face. Additional risks and uncertainties not currently known to us or that we currently deem to be immaterial also may materially adversely affect our business, financial condition and/or operating results.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2" w:right="25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Purchases of Equity Securities</w:t>
      </w:r>
    </w:p>
    <w:p>
      <w:pPr>
        <w:sectPr>
          <w:pgSz w:w="11900" w:h="16838" w:orient="portrait"/>
          <w:cols w:equalWidth="0" w:num="1">
            <w:col w:w="11300"/>
          </w:cols>
          <w:pgMar w:left="24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21437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number</w:t>
      </w:r>
    </w:p>
    <w:p>
      <w:pPr>
        <w:ind w:left="160"/>
        <w:spacing w:after="0" w:line="223" w:lineRule="auto"/>
        <w:rPr>
          <w:sz w:val="20"/>
          <w:szCs w:val="20"/>
          <w:color w:val="auto"/>
        </w:rPr>
      </w:pPr>
      <w:r>
        <w:rPr>
          <w:rFonts w:ascii="Arial" w:cs="Arial" w:eastAsia="Arial" w:hAnsi="Arial"/>
          <w:sz w:val="16"/>
          <w:szCs w:val="16"/>
          <w:b w:val="1"/>
          <w:bCs w:val="1"/>
          <w:color w:val="auto"/>
        </w:rPr>
        <w:t>of shares</w:t>
      </w:r>
    </w:p>
    <w:p>
      <w:pPr>
        <w:ind w:left="20"/>
        <w:spacing w:after="0"/>
        <w:tabs>
          <w:tab w:leader="none" w:pos="1180" w:val="left"/>
        </w:tabs>
        <w:rPr>
          <w:sz w:val="20"/>
          <w:szCs w:val="20"/>
          <w:color w:val="auto"/>
        </w:rPr>
      </w:pPr>
      <w:r>
        <w:rPr>
          <w:rFonts w:ascii="Arial" w:cs="Arial" w:eastAsia="Arial" w:hAnsi="Arial"/>
          <w:sz w:val="23"/>
          <w:szCs w:val="23"/>
          <w:b w:val="1"/>
          <w:bCs w:val="1"/>
          <w:color w:val="auto"/>
          <w:vertAlign w:val="subscript"/>
        </w:rPr>
        <w:t>purchased</w:t>
      </w:r>
      <w:r>
        <w:rPr>
          <w:rFonts w:ascii="Arial" w:cs="Arial" w:eastAsia="Arial" w:hAnsi="Arial"/>
          <w:sz w:val="13"/>
          <w:szCs w:val="13"/>
          <w:b w:val="1"/>
          <w:bCs w:val="1"/>
          <w:color w:val="auto"/>
        </w:rPr>
        <w:t xml:space="preserve"> </w:t>
      </w:r>
      <w:r>
        <w:rPr>
          <w:rFonts w:ascii="Arial" w:cs="Arial" w:eastAsia="Arial" w:hAnsi="Arial"/>
          <w:sz w:val="19"/>
          <w:szCs w:val="19"/>
          <w:b w:val="1"/>
          <w:bCs w:val="1"/>
          <w:color w:val="auto"/>
          <w:vertAlign w:val="subscript"/>
        </w:rPr>
        <w:t>(in</w:t>
      </w:r>
      <w:r>
        <w:rPr>
          <w:sz w:val="20"/>
          <w:szCs w:val="20"/>
          <w:color w:val="auto"/>
        </w:rPr>
        <w:tab/>
      </w:r>
      <w:r>
        <w:rPr>
          <w:rFonts w:ascii="Arial" w:cs="Arial" w:eastAsia="Arial" w:hAnsi="Arial"/>
          <w:sz w:val="14"/>
          <w:szCs w:val="14"/>
          <w:b w:val="1"/>
          <w:bCs w:val="1"/>
          <w:color w:val="auto"/>
        </w:rPr>
        <w:t>Average price paid per</w:t>
      </w:r>
    </w:p>
    <w:p>
      <w:pPr>
        <w:spacing w:after="0" w:line="1" w:lineRule="exact"/>
        <w:rPr>
          <w:sz w:val="20"/>
          <w:szCs w:val="20"/>
          <w:color w:val="auto"/>
        </w:rPr>
      </w:pPr>
    </w:p>
    <w:p>
      <w:pPr>
        <w:ind w:left="180"/>
        <w:spacing w:after="0"/>
        <w:tabs>
          <w:tab w:leader="none" w:pos="1780" w:val="left"/>
        </w:tabs>
        <w:rPr>
          <w:sz w:val="20"/>
          <w:szCs w:val="20"/>
          <w:color w:val="auto"/>
        </w:rPr>
      </w:pPr>
      <w:r>
        <w:rPr>
          <w:rFonts w:ascii="Arial" w:cs="Arial" w:eastAsia="Arial" w:hAnsi="Arial"/>
          <w:sz w:val="13"/>
          <w:szCs w:val="13"/>
          <w:b w:val="1"/>
          <w:bCs w:val="1"/>
          <w:color w:val="auto"/>
        </w:rPr>
        <w:t>thousands)</w:t>
      </w:r>
      <w:r>
        <w:rPr>
          <w:sz w:val="20"/>
          <w:szCs w:val="20"/>
          <w:color w:val="auto"/>
        </w:rPr>
        <w:tab/>
      </w:r>
      <w:r>
        <w:rPr>
          <w:rFonts w:ascii="Arial" w:cs="Arial" w:eastAsia="Arial" w:hAnsi="Arial"/>
          <w:sz w:val="16"/>
          <w:szCs w:val="16"/>
          <w:b w:val="1"/>
          <w:bCs w:val="1"/>
          <w:color w:val="auto"/>
        </w:rPr>
        <w:t>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26035</wp:posOffset>
            </wp:positionV>
            <wp:extent cx="18522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Total number of shares</w:t>
      </w:r>
    </w:p>
    <w:p>
      <w:pPr>
        <w:spacing w:after="0" w:line="26" w:lineRule="exact"/>
        <w:rPr>
          <w:sz w:val="20"/>
          <w:szCs w:val="20"/>
          <w:color w:val="auto"/>
        </w:rPr>
      </w:pPr>
    </w:p>
    <w:p>
      <w:pPr>
        <w:ind w:firstLine="29"/>
        <w:spacing w:after="0" w:line="301" w:lineRule="auto"/>
        <w:rPr>
          <w:sz w:val="20"/>
          <w:szCs w:val="20"/>
          <w:color w:val="auto"/>
        </w:rPr>
      </w:pPr>
      <w:r>
        <w:rPr>
          <w:rFonts w:ascii="Arial" w:cs="Arial" w:eastAsia="Arial" w:hAnsi="Arial"/>
          <w:sz w:val="14"/>
          <w:szCs w:val="14"/>
          <w:b w:val="1"/>
          <w:bCs w:val="1"/>
          <w:color w:val="auto"/>
        </w:rPr>
        <w:t>purchased as part of publicly announced plans or programs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12065</wp:posOffset>
            </wp:positionV>
            <wp:extent cx="14147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140"/>
        <w:spacing w:after="0" w:line="275" w:lineRule="auto"/>
        <w:rPr>
          <w:sz w:val="20"/>
          <w:szCs w:val="20"/>
          <w:color w:val="auto"/>
        </w:rPr>
      </w:pPr>
      <w:r>
        <w:rPr>
          <w:rFonts w:ascii="Arial" w:cs="Arial" w:eastAsia="Arial" w:hAnsi="Arial"/>
          <w:sz w:val="16"/>
          <w:szCs w:val="16"/>
          <w:b w:val="1"/>
          <w:bCs w:val="1"/>
          <w:color w:val="auto"/>
        </w:rPr>
        <w:t>Approximate dollar value of shares that may yet be purchased under the plans or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5080</wp:posOffset>
            </wp:positionV>
            <wp:extent cx="14922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84" w:lineRule="exact"/>
        <w:rPr>
          <w:sz w:val="20"/>
          <w:szCs w:val="20"/>
          <w:color w:val="auto"/>
        </w:rPr>
      </w:pPr>
    </w:p>
    <w:p>
      <w:pPr>
        <w:sectPr>
          <w:pgSz w:w="11900" w:h="16838" w:orient="portrait"/>
          <w:cols w:equalWidth="0" w:num="4">
            <w:col w:w="2980" w:space="720"/>
            <w:col w:w="2780" w:space="240"/>
            <w:col w:w="2060" w:space="340"/>
            <w:col w:w="2180"/>
          </w:cols>
          <w:pgMar w:left="240" w:top="122" w:right="359" w:bottom="1440" w:gutter="0" w:footer="0" w:header="0"/>
          <w:type w:val="continuous"/>
        </w:sectPr>
      </w:pPr>
    </w:p>
    <w:p>
      <w:pPr>
        <w:ind w:left="140"/>
        <w:spacing w:after="0"/>
        <w:rPr>
          <w:sz w:val="20"/>
          <w:szCs w:val="20"/>
          <w:color w:val="auto"/>
        </w:rPr>
      </w:pPr>
      <w:r>
        <w:rPr>
          <w:rFonts w:ascii="Arial" w:cs="Arial" w:eastAsia="Arial" w:hAnsi="Arial"/>
          <w:sz w:val="13"/>
          <w:szCs w:val="13"/>
          <w:color w:val="auto"/>
        </w:rPr>
        <w:t>September 29, 2019 to October 26, 2019</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October 27, 2019 to November 23, 2019</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2"/>
          <w:szCs w:val="12"/>
          <w:color w:val="auto"/>
        </w:rPr>
        <w:t>November 24, 2019 to December 28, 2019</w:t>
      </w:r>
    </w:p>
    <w:p>
      <w:pPr>
        <w:spacing w:after="0" w:line="132" w:lineRule="exact"/>
        <w:rPr>
          <w:sz w:val="20"/>
          <w:szCs w:val="20"/>
          <w:color w:val="auto"/>
        </w:rPr>
      </w:pPr>
    </w:p>
    <w:p>
      <w:pPr>
        <w:jc w:val="center"/>
        <w:ind w:left="70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120" w:type="dxa"/>
            <w:vAlign w:val="bottom"/>
          </w:tcPr>
          <w:p>
            <w:pPr>
              <w:jc w:val="right"/>
              <w:ind w:right="48"/>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15"/>
                <w:szCs w:val="15"/>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75.91</w:t>
            </w:r>
          </w:p>
        </w:tc>
        <w:tc>
          <w:tcPr>
            <w:tcW w:w="100" w:type="dxa"/>
            <w:vAlign w:val="bottom"/>
          </w:tcPr>
          <w:p>
            <w:pPr>
              <w:spacing w:after="0"/>
              <w:rPr>
                <w:sz w:val="15"/>
                <w:szCs w:val="15"/>
                <w:color w:val="auto"/>
              </w:rPr>
            </w:pPr>
          </w:p>
        </w:tc>
        <w:tc>
          <w:tcPr>
            <w:tcW w:w="2220" w:type="dxa"/>
            <w:vAlign w:val="bottom"/>
          </w:tcPr>
          <w:p>
            <w:pPr>
              <w:jc w:val="right"/>
              <w:ind w:right="28"/>
              <w:spacing w:after="0"/>
              <w:rPr>
                <w:sz w:val="20"/>
                <w:szCs w:val="20"/>
                <w:color w:val="auto"/>
              </w:rPr>
            </w:pPr>
            <w:r>
              <w:rPr>
                <w:rFonts w:ascii="Arial" w:cs="Arial" w:eastAsia="Arial" w:hAnsi="Arial"/>
                <w:sz w:val="14"/>
                <w:szCs w:val="14"/>
                <w:color w:val="auto"/>
              </w:rPr>
              <w:t>167</w:t>
            </w:r>
          </w:p>
        </w:tc>
      </w:tr>
      <w:tr>
        <w:trPr>
          <w:trHeight w:val="270"/>
        </w:trPr>
        <w:tc>
          <w:tcPr>
            <w:tcW w:w="1120" w:type="dxa"/>
            <w:vAlign w:val="bottom"/>
          </w:tcPr>
          <w:p>
            <w:pPr>
              <w:jc w:val="right"/>
              <w:ind w:right="48"/>
              <w:spacing w:after="0"/>
              <w:rPr>
                <w:sz w:val="20"/>
                <w:szCs w:val="20"/>
                <w:color w:val="auto"/>
              </w:rPr>
            </w:pPr>
            <w:r>
              <w:rPr>
                <w:rFonts w:ascii="Arial" w:cs="Arial" w:eastAsia="Arial" w:hAnsi="Arial"/>
                <w:sz w:val="14"/>
                <w:szCs w:val="14"/>
                <w:color w:val="auto"/>
              </w:rPr>
              <w:t>486</w:t>
            </w:r>
          </w:p>
        </w:tc>
        <w:tc>
          <w:tcPr>
            <w:tcW w:w="120" w:type="dxa"/>
            <w:vAlign w:val="bottom"/>
          </w:tcPr>
          <w:p>
            <w:pPr>
              <w:spacing w:after="0"/>
              <w:rPr>
                <w:sz w:val="23"/>
                <w:szCs w:val="23"/>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100.49</w:t>
            </w:r>
          </w:p>
        </w:tc>
        <w:tc>
          <w:tcPr>
            <w:tcW w:w="100" w:type="dxa"/>
            <w:vAlign w:val="bottom"/>
          </w:tcPr>
          <w:p>
            <w:pPr>
              <w:spacing w:after="0"/>
              <w:rPr>
                <w:sz w:val="23"/>
                <w:szCs w:val="23"/>
                <w:color w:val="auto"/>
              </w:rPr>
            </w:pPr>
          </w:p>
        </w:tc>
        <w:tc>
          <w:tcPr>
            <w:tcW w:w="2220" w:type="dxa"/>
            <w:vAlign w:val="bottom"/>
          </w:tcPr>
          <w:p>
            <w:pPr>
              <w:jc w:val="right"/>
              <w:ind w:right="28"/>
              <w:spacing w:after="0"/>
              <w:rPr>
                <w:sz w:val="20"/>
                <w:szCs w:val="20"/>
                <w:color w:val="auto"/>
              </w:rPr>
            </w:pPr>
            <w:r>
              <w:rPr>
                <w:rFonts w:ascii="Arial" w:cs="Arial" w:eastAsia="Arial" w:hAnsi="Arial"/>
                <w:sz w:val="14"/>
                <w:szCs w:val="14"/>
                <w:color w:val="auto"/>
              </w:rPr>
              <w:t>486</w:t>
            </w:r>
          </w:p>
        </w:tc>
      </w:tr>
      <w:tr>
        <w:trPr>
          <w:trHeight w:val="276"/>
        </w:trPr>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606</w:t>
            </w:r>
          </w:p>
        </w:tc>
        <w:tc>
          <w:tcPr>
            <w:tcW w:w="120" w:type="dxa"/>
            <w:vAlign w:val="bottom"/>
          </w:tcPr>
          <w:p>
            <w:pPr>
              <w:spacing w:after="0"/>
              <w:rPr>
                <w:sz w:val="24"/>
                <w:szCs w:val="24"/>
                <w:color w:val="auto"/>
              </w:rPr>
            </w:pPr>
          </w:p>
        </w:tc>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104.81</w:t>
            </w:r>
          </w:p>
        </w:tc>
        <w:tc>
          <w:tcPr>
            <w:tcW w:w="100" w:type="dxa"/>
            <w:vAlign w:val="bottom"/>
          </w:tcPr>
          <w:p>
            <w:pPr>
              <w:spacing w:after="0"/>
              <w:rPr>
                <w:sz w:val="24"/>
                <w:szCs w:val="24"/>
                <w:color w:val="auto"/>
              </w:rPr>
            </w:pPr>
          </w:p>
        </w:tc>
        <w:tc>
          <w:tcPr>
            <w:tcW w:w="2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606</w:t>
            </w:r>
          </w:p>
        </w:tc>
      </w:tr>
      <w:tr>
        <w:trPr>
          <w:trHeight w:val="237"/>
        </w:trPr>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1,259</w:t>
            </w:r>
          </w:p>
        </w:tc>
        <w:tc>
          <w:tcPr>
            <w:tcW w:w="120" w:type="dxa"/>
            <w:vAlign w:val="bottom"/>
          </w:tcPr>
          <w:p>
            <w:pPr>
              <w:spacing w:after="0"/>
              <w:rPr>
                <w:sz w:val="20"/>
                <w:szCs w:val="20"/>
                <w:color w:val="auto"/>
              </w:rPr>
            </w:pPr>
          </w:p>
        </w:tc>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99.30</w:t>
            </w:r>
          </w:p>
        </w:tc>
        <w:tc>
          <w:tcPr>
            <w:tcW w:w="100" w:type="dxa"/>
            <w:vAlign w:val="bottom"/>
          </w:tcPr>
          <w:p>
            <w:pPr>
              <w:spacing w:after="0"/>
              <w:rPr>
                <w:sz w:val="20"/>
                <w:szCs w:val="20"/>
                <w:color w:val="auto"/>
              </w:rPr>
            </w:pPr>
          </w:p>
        </w:tc>
        <w:tc>
          <w:tcPr>
            <w:tcW w:w="2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1,259</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$120.2 million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$954.3 million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$890.9 million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$890.9 million</w:t>
      </w:r>
    </w:p>
    <w:p>
      <w:pPr>
        <w:spacing w:after="0" w:line="271" w:lineRule="exact"/>
        <w:rPr>
          <w:sz w:val="20"/>
          <w:szCs w:val="20"/>
          <w:color w:val="auto"/>
        </w:rPr>
      </w:pPr>
    </w:p>
    <w:p>
      <w:pPr>
        <w:sectPr>
          <w:pgSz w:w="11900" w:h="16838" w:orient="portrait"/>
          <w:cols w:equalWidth="0" w:num="3">
            <w:col w:w="2900" w:space="720"/>
            <w:col w:w="6100" w:space="720"/>
            <w:col w:w="860"/>
          </w:cols>
          <w:pgMar w:left="240" w:top="122" w:right="359" w:bottom="1440" w:gutter="0" w:footer="0" w:header="0"/>
          <w:type w:val="continuous"/>
        </w:sectPr>
      </w:pPr>
    </w:p>
    <w:p>
      <w:pPr>
        <w:spacing w:after="0" w:line="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On October 31, 2019, we announced that our Board of Directors authorized a new share repurchase program to repurchase up to $1.0 billion of the Company's outstanding common stock, which included approximately $117.0 million authorized under the prior program which was terminated concurrent with the new authorization. Under this program, share repurchases will be made in accordance with applicable securities laws on the open market or in privately negotiated transactions. The extent to which we repurchase our shares, the number of shares and the timing of any repurchases will depend on general market conditions, regulatory requirements, alternative investment opportunities and other considerations. The program does not require us to repurchase a minimum number of shares, does not have a fixed term, and may be modified, suspended or terminated at any time without prior notice.</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00"/>
          </w:cols>
          <w:pgMar w:left="240" w:top="122" w:right="359" w:bottom="1440" w:gutter="0" w:footer="0" w:header="0"/>
          <w:type w:val="continuous"/>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p>
      <w:pPr>
        <w:ind w:left="620" w:right="20" w:hanging="373"/>
        <w:spacing w:after="0" w:line="277" w:lineRule="auto"/>
        <w:tabs>
          <w:tab w:leader="none" w:pos="60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69">
        <w:r>
          <w:rPr>
            <w:rFonts w:ascii="Arial" w:cs="Arial" w:eastAsia="Arial" w:hAnsi="Arial"/>
            <w:sz w:val="18"/>
            <w:szCs w:val="18"/>
            <w:u w:val="single" w:color="auto"/>
            <w:color w:val="0000FF"/>
          </w:rPr>
          <w:t>Indenture, dated as of September 30, 2019, among Qorvo, Inc., the Guarantors party thereto and MUFG Union Bank, N.A., as Trustee (incorporated</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by reference to Exhibit 4.1 to the Current Report on Form 8-K filed with the SEC on October 1, 2019)</w:t>
        </w:r>
      </w:hyperlink>
    </w:p>
    <w:p>
      <w:pPr>
        <w:spacing w:after="0" w:line="200" w:lineRule="exact"/>
        <w:rPr>
          <w:sz w:val="20"/>
          <w:szCs w:val="20"/>
          <w:color w:val="auto"/>
        </w:rPr>
      </w:pPr>
    </w:p>
    <w:p>
      <w:pPr>
        <w:spacing w:after="0" w:line="349" w:lineRule="exact"/>
        <w:rPr>
          <w:sz w:val="20"/>
          <w:szCs w:val="20"/>
          <w:color w:val="auto"/>
        </w:rPr>
      </w:pPr>
    </w:p>
    <w:p>
      <w:pPr>
        <w:ind w:left="620" w:right="20" w:hanging="373"/>
        <w:spacing w:after="0" w:line="264" w:lineRule="auto"/>
        <w:tabs>
          <w:tab w:leader="none" w:pos="60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hyperlink r:id="rId70">
        <w:r>
          <w:rPr>
            <w:rFonts w:ascii="Arial" w:cs="Arial" w:eastAsia="Arial" w:hAnsi="Arial"/>
            <w:sz w:val="18"/>
            <w:szCs w:val="18"/>
            <w:u w:val="single" w:color="auto"/>
            <w:color w:val="0000FF"/>
          </w:rPr>
          <w:t>Registration Rights Agreement, dated as of September 30, 2019, among Qorvo, Inc., the Guarantors named therein and BofA Securities, Inc., as</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representative of the several Initial Purchasers named therein (incorporated by reference to Exhibit 4.2 to the Current Report on Form 8-K filed with</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the SEC on October 1, 2019)</w:t>
        </w:r>
      </w:hyperlink>
    </w:p>
    <w:p>
      <w:pPr>
        <w:spacing w:after="0" w:line="200" w:lineRule="exact"/>
        <w:rPr>
          <w:rFonts w:ascii="Arial" w:cs="Arial" w:eastAsia="Arial" w:hAnsi="Arial"/>
          <w:sz w:val="18"/>
          <w:szCs w:val="18"/>
          <w:u w:val="single" w:color="auto"/>
          <w:color w:val="0000FF"/>
        </w:rPr>
      </w:pPr>
    </w:p>
    <w:p>
      <w:pPr>
        <w:spacing w:after="0" w:line="359" w:lineRule="exact"/>
        <w:rPr>
          <w:rFonts w:ascii="Arial" w:cs="Arial" w:eastAsia="Arial" w:hAnsi="Arial"/>
          <w:sz w:val="18"/>
          <w:szCs w:val="18"/>
          <w:u w:val="single" w:color="auto"/>
          <w:color w:val="0000FF"/>
        </w:rPr>
      </w:pPr>
    </w:p>
    <w:p>
      <w:pPr>
        <w:ind w:left="620" w:right="40" w:hanging="373"/>
        <w:spacing w:after="0" w:line="308" w:lineRule="auto"/>
        <w:tabs>
          <w:tab w:leader="none" w:pos="600" w:val="left"/>
        </w:tabs>
        <w:rPr>
          <w:rFonts w:ascii="Arial" w:cs="Arial" w:eastAsia="Arial" w:hAnsi="Arial"/>
          <w:sz w:val="17"/>
          <w:szCs w:val="17"/>
          <w:u w:val="single" w:color="auto"/>
          <w:color w:val="0000FF"/>
        </w:rPr>
      </w:pPr>
      <w:r>
        <w:rPr>
          <w:rFonts w:ascii="Arial" w:cs="Arial" w:eastAsia="Arial" w:hAnsi="Arial"/>
          <w:sz w:val="18"/>
          <w:szCs w:val="18"/>
          <w:color w:val="auto"/>
        </w:rPr>
        <w:t>4.3</w:t>
      </w:r>
      <w:r>
        <w:rPr>
          <w:sz w:val="20"/>
          <w:szCs w:val="20"/>
          <w:color w:val="auto"/>
        </w:rPr>
        <w:tab/>
      </w:r>
      <w:hyperlink r:id="rId71">
        <w:r>
          <w:rPr>
            <w:rFonts w:ascii="Arial" w:cs="Arial" w:eastAsia="Arial" w:hAnsi="Arial"/>
            <w:sz w:val="17"/>
            <w:szCs w:val="17"/>
            <w:u w:val="single" w:color="auto"/>
            <w:color w:val="0000FF"/>
          </w:rPr>
          <w:t>Supplemental Indenture, dated as of December 20, 2019, among Qorvo, Inc., the Guarantors party thereto and MUFG Union Bank, N.A., as Trustee</w:t>
        </w:r>
      </w:hyperlink>
      <w:r>
        <w:rPr>
          <w:rFonts w:ascii="Arial" w:cs="Arial" w:eastAsia="Arial" w:hAnsi="Arial"/>
          <w:sz w:val="17"/>
          <w:szCs w:val="17"/>
          <w:u w:val="single" w:color="auto"/>
          <w:color w:val="0000FF"/>
        </w:rPr>
        <w:t xml:space="preserve"> </w:t>
      </w:r>
      <w:hyperlink r:id="rId71">
        <w:r>
          <w:rPr>
            <w:rFonts w:ascii="Arial" w:cs="Arial" w:eastAsia="Arial" w:hAnsi="Arial"/>
            <w:sz w:val="17"/>
            <w:szCs w:val="17"/>
            <w:u w:val="single" w:color="auto"/>
            <w:color w:val="0000FF"/>
          </w:rPr>
          <w:t>(incorporated by reference to Exhibit 4.1 to the Current Report on Form 8-K filed with the SEC on December 20, 2019)</w:t>
        </w:r>
      </w:hyperlink>
    </w:p>
    <w:p>
      <w:pPr>
        <w:spacing w:after="0" w:line="200" w:lineRule="exact"/>
        <w:rPr>
          <w:sz w:val="20"/>
          <w:szCs w:val="20"/>
          <w:color w:val="auto"/>
        </w:rPr>
      </w:pPr>
    </w:p>
    <w:p>
      <w:pPr>
        <w:spacing w:after="0" w:line="325" w:lineRule="exact"/>
        <w:rPr>
          <w:sz w:val="20"/>
          <w:szCs w:val="20"/>
          <w:color w:val="auto"/>
        </w:rPr>
      </w:pPr>
    </w:p>
    <w:p>
      <w:pPr>
        <w:ind w:left="620" w:right="20" w:hanging="373"/>
        <w:spacing w:after="0" w:line="264" w:lineRule="auto"/>
        <w:tabs>
          <w:tab w:leader="none" w:pos="600" w:val="left"/>
        </w:tabs>
        <w:rPr>
          <w:rFonts w:ascii="Arial" w:cs="Arial" w:eastAsia="Arial" w:hAnsi="Arial"/>
          <w:sz w:val="18"/>
          <w:szCs w:val="18"/>
          <w:u w:val="single" w:color="auto"/>
          <w:color w:val="0000FF"/>
        </w:rPr>
      </w:pPr>
      <w:r>
        <w:rPr>
          <w:rFonts w:ascii="Arial" w:cs="Arial" w:eastAsia="Arial" w:hAnsi="Arial"/>
          <w:sz w:val="18"/>
          <w:szCs w:val="18"/>
          <w:color w:val="auto"/>
        </w:rPr>
        <w:t>4.4</w:t>
      </w:r>
      <w:r>
        <w:rPr>
          <w:sz w:val="20"/>
          <w:szCs w:val="20"/>
          <w:color w:val="auto"/>
        </w:rPr>
        <w:tab/>
      </w:r>
      <w:hyperlink r:id="rId72">
        <w:r>
          <w:rPr>
            <w:rFonts w:ascii="Arial" w:cs="Arial" w:eastAsia="Arial" w:hAnsi="Arial"/>
            <w:sz w:val="18"/>
            <w:szCs w:val="18"/>
            <w:u w:val="single" w:color="auto"/>
            <w:color w:val="0000FF"/>
          </w:rPr>
          <w:t>Registration Rights Agreement, dated as of December 20, 2019, among Qorvo, Inc., the Guarantors named therein and BofA Securities, Inc., as</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representative of the several Initial Purchasers named therein (incorporated by reference to Exhibit 4.2 to the Current Report on Form 8-K filed with</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the SEC on December 20, 2019)</w:t>
        </w:r>
      </w:hyperlink>
    </w:p>
    <w:p>
      <w:pPr>
        <w:spacing w:after="0" w:line="200" w:lineRule="exact"/>
        <w:rPr>
          <w:rFonts w:ascii="Arial" w:cs="Arial" w:eastAsia="Arial" w:hAnsi="Arial"/>
          <w:sz w:val="18"/>
          <w:szCs w:val="18"/>
          <w:u w:val="single" w:color="auto"/>
          <w:color w:val="0000FF"/>
        </w:rPr>
      </w:pPr>
    </w:p>
    <w:p>
      <w:pPr>
        <w:spacing w:after="0" w:line="359" w:lineRule="exact"/>
        <w:rPr>
          <w:rFonts w:ascii="Arial" w:cs="Arial" w:eastAsia="Arial" w:hAnsi="Arial"/>
          <w:sz w:val="18"/>
          <w:szCs w:val="18"/>
          <w:u w:val="single" w:color="auto"/>
          <w:color w:val="0000FF"/>
        </w:rPr>
      </w:pPr>
    </w:p>
    <w:p>
      <w:pPr>
        <w:ind w:left="160"/>
        <w:spacing w:after="0"/>
        <w:tabs>
          <w:tab w:leader="none" w:pos="60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w:anchor="page43">
        <w:r>
          <w:rPr>
            <w:rFonts w:ascii="Arial" w:cs="Arial" w:eastAsia="Arial" w:hAnsi="Arial"/>
            <w:sz w:val="16"/>
            <w:szCs w:val="16"/>
            <w:u w:val="single" w:color="auto"/>
            <w:color w:val="0000FF"/>
          </w:rPr>
          <w:t>2019 Declaration of Amendment to Qorvo, Inc. 2007 Employee Stock Purchase Plan, dated as of October 30, 2019</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3" w:lineRule="exact"/>
        <w:rPr>
          <w:rFonts w:ascii="Arial" w:cs="Arial" w:eastAsia="Arial" w:hAnsi="Arial"/>
          <w:sz w:val="18"/>
          <w:szCs w:val="18"/>
          <w:u w:val="single" w:color="auto"/>
          <w:color w:val="0000FF"/>
        </w:rPr>
      </w:pPr>
    </w:p>
    <w:p>
      <w:pPr>
        <w:ind w:left="160"/>
        <w:spacing w:after="0"/>
        <w:tabs>
          <w:tab w:leader="none" w:pos="600" w:val="left"/>
        </w:tabs>
        <w:rPr>
          <w:rFonts w:ascii="Arial" w:cs="Arial" w:eastAsia="Arial" w:hAnsi="Arial"/>
          <w:sz w:val="16"/>
          <w:szCs w:val="16"/>
          <w:u w:val="single" w:color="auto"/>
          <w:color w:val="0000FF"/>
        </w:rPr>
      </w:pPr>
      <w:r>
        <w:rPr>
          <w:rFonts w:ascii="Arial" w:cs="Arial" w:eastAsia="Arial" w:hAnsi="Arial"/>
          <w:sz w:val="18"/>
          <w:szCs w:val="18"/>
          <w:color w:val="auto"/>
        </w:rPr>
        <w:t>10.2</w:t>
      </w:r>
      <w:r>
        <w:rPr>
          <w:sz w:val="20"/>
          <w:szCs w:val="20"/>
          <w:color w:val="auto"/>
        </w:rPr>
        <w:tab/>
      </w:r>
      <w:hyperlink w:anchor="page45">
        <w:r>
          <w:rPr>
            <w:rFonts w:ascii="Arial" w:cs="Arial" w:eastAsia="Arial" w:hAnsi="Arial"/>
            <w:sz w:val="16"/>
            <w:szCs w:val="16"/>
            <w:u w:val="single" w:color="auto"/>
            <w:color w:val="0000FF"/>
          </w:rPr>
          <w:t>2019 Declaration of Amendment to Qorvo, Inc. Nonqualified Deferred Compensation Plan, dated as of October 30, 2019</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3" w:lineRule="exact"/>
        <w:rPr>
          <w:rFonts w:ascii="Arial" w:cs="Arial" w:eastAsia="Arial" w:hAnsi="Arial"/>
          <w:sz w:val="18"/>
          <w:szCs w:val="18"/>
          <w:u w:val="single" w:color="auto"/>
          <w:color w:val="0000FF"/>
        </w:rPr>
      </w:pPr>
    </w:p>
    <w:p>
      <w:pPr>
        <w:ind w:left="620" w:right="200" w:hanging="462"/>
        <w:spacing w:after="0" w:line="277" w:lineRule="auto"/>
        <w:tabs>
          <w:tab w:leader="none" w:pos="60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46">
        <w:r>
          <w:rPr>
            <w:rFonts w:ascii="Arial" w:cs="Arial" w:eastAsia="Arial" w:hAnsi="Arial"/>
            <w:sz w:val="18"/>
            <w:szCs w:val="18"/>
            <w:u w:val="single" w:color="auto"/>
            <w:color w:val="0000FF"/>
          </w:rPr>
          <w:t>Certification of Periodic Report by Robert A. Bruggeworth, as Chief Executive Officer, pursuant to Rule 13a-14(a) or 15d-14 (a) of the Exchange</w:t>
        </w:r>
      </w:hyperlink>
      <w:r>
        <w:rPr>
          <w:rFonts w:ascii="Arial" w:cs="Arial" w:eastAsia="Arial" w:hAnsi="Arial"/>
          <w:sz w:val="18"/>
          <w:szCs w:val="18"/>
          <w:u w:val="single" w:color="auto"/>
          <w:color w:val="0000FF"/>
        </w:rPr>
        <w:t xml:space="preserve"> </w:t>
      </w:r>
      <w:hyperlink w:anchor="page46">
        <w:r>
          <w:rPr>
            <w:rFonts w:ascii="Arial" w:cs="Arial" w:eastAsia="Arial" w:hAnsi="Arial"/>
            <w:sz w:val="18"/>
            <w:szCs w:val="18"/>
            <w:u w:val="single" w:color="auto"/>
            <w:color w:val="0000FF"/>
          </w:rPr>
          <w:t>Act, as adopted pursuant to Section 302 of the Sarbanes-Oxley Act of 2002</w:t>
        </w:r>
      </w:hyperlink>
    </w:p>
    <w:p>
      <w:pPr>
        <w:spacing w:after="0" w:line="292" w:lineRule="exact"/>
        <w:rPr>
          <w:sz w:val="20"/>
          <w:szCs w:val="20"/>
          <w:color w:val="auto"/>
        </w:rPr>
      </w:pPr>
    </w:p>
    <w:p>
      <w:pPr>
        <w:ind w:left="620" w:right="260" w:hanging="462"/>
        <w:spacing w:after="0" w:line="277" w:lineRule="auto"/>
        <w:tabs>
          <w:tab w:leader="none" w:pos="60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47">
        <w:r>
          <w:rPr>
            <w:rFonts w:ascii="Arial" w:cs="Arial" w:eastAsia="Arial" w:hAnsi="Arial"/>
            <w:sz w:val="18"/>
            <w:szCs w:val="18"/>
            <w:u w:val="single" w:color="auto"/>
            <w:color w:val="0000FF"/>
          </w:rPr>
          <w:t>Certification of Periodic Report by Mark J. Murphy, as Chief Financial Officer, pursuant to Rule 13a-14(a) or 15d-14 (a) of the Exchange Act, as</w:t>
        </w:r>
      </w:hyperlink>
      <w:r>
        <w:rPr>
          <w:rFonts w:ascii="Arial" w:cs="Arial" w:eastAsia="Arial" w:hAnsi="Arial"/>
          <w:sz w:val="18"/>
          <w:szCs w:val="18"/>
          <w:u w:val="single" w:color="auto"/>
          <w:color w:val="0000FF"/>
        </w:rPr>
        <w:t xml:space="preserve"> </w:t>
      </w:r>
      <w:hyperlink w:anchor="page47">
        <w:r>
          <w:rPr>
            <w:rFonts w:ascii="Arial" w:cs="Arial" w:eastAsia="Arial" w:hAnsi="Arial"/>
            <w:sz w:val="18"/>
            <w:szCs w:val="18"/>
            <w:u w:val="single" w:color="auto"/>
            <w:color w:val="0000FF"/>
          </w:rPr>
          <w:t>adopted pursuant to Section 302 of the Sarbanes-Oxley Act of 2002</w:t>
        </w:r>
      </w:hyperlink>
    </w:p>
    <w:p>
      <w:pPr>
        <w:spacing w:after="0" w:line="292" w:lineRule="exact"/>
        <w:rPr>
          <w:sz w:val="20"/>
          <w:szCs w:val="20"/>
          <w:color w:val="auto"/>
        </w:rPr>
      </w:pPr>
    </w:p>
    <w:p>
      <w:pPr>
        <w:ind w:left="620" w:right="100" w:hanging="462"/>
        <w:spacing w:after="0" w:line="277" w:lineRule="auto"/>
        <w:tabs>
          <w:tab w:leader="none" w:pos="60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48">
        <w:r>
          <w:rPr>
            <w:rFonts w:ascii="Arial" w:cs="Arial" w:eastAsia="Arial" w:hAnsi="Arial"/>
            <w:sz w:val="18"/>
            <w:szCs w:val="18"/>
            <w:u w:val="single" w:color="auto"/>
            <w:color w:val="0000FF"/>
          </w:rPr>
          <w:t>Certification of Periodic Report by Robert A. Bruggeworth, as Chief Executive Officer, pursuant to 18 U.S.C. Section 1350, as adopted pursuant to</w:t>
        </w:r>
      </w:hyperlink>
      <w:r>
        <w:rPr>
          <w:rFonts w:ascii="Arial" w:cs="Arial" w:eastAsia="Arial" w:hAnsi="Arial"/>
          <w:sz w:val="18"/>
          <w:szCs w:val="18"/>
          <w:u w:val="single" w:color="auto"/>
          <w:color w:val="0000FF"/>
        </w:rPr>
        <w:t xml:space="preserve"> </w:t>
      </w:r>
      <w:hyperlink w:anchor="page48">
        <w:r>
          <w:rPr>
            <w:rFonts w:ascii="Arial" w:cs="Arial" w:eastAsia="Arial" w:hAnsi="Arial"/>
            <w:sz w:val="18"/>
            <w:szCs w:val="18"/>
            <w:u w:val="single" w:color="auto"/>
            <w:color w:val="0000FF"/>
          </w:rPr>
          <w:t>Section 906 of the Sarbanes-Oxley Act of 2002</w:t>
        </w:r>
      </w:hyperlink>
    </w:p>
    <w:p>
      <w:pPr>
        <w:spacing w:after="0" w:line="292" w:lineRule="exact"/>
        <w:rPr>
          <w:sz w:val="20"/>
          <w:szCs w:val="20"/>
          <w:color w:val="auto"/>
        </w:rPr>
      </w:pPr>
    </w:p>
    <w:p>
      <w:pPr>
        <w:ind w:left="160"/>
        <w:spacing w:after="0"/>
        <w:tabs>
          <w:tab w:leader="none" w:pos="60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49">
        <w:r>
          <w:rPr>
            <w:rFonts w:ascii="Arial" w:cs="Arial" w:eastAsia="Arial" w:hAnsi="Arial"/>
            <w:sz w:val="16"/>
            <w:szCs w:val="16"/>
            <w:u w:val="single" w:color="auto"/>
            <w:color w:val="0000FF"/>
          </w:rPr>
          <w:t>Certification of Periodic Report by Mark J. Murphy, as Chief Financial Officer, pursuant to 18 U.S.C. Section 1350, as adopted pursuant to Section</w:t>
        </w:r>
      </w:hyperlink>
    </w:p>
    <w:p>
      <w:pPr>
        <w:spacing w:after="0" w:line="23" w:lineRule="exact"/>
        <w:rPr>
          <w:sz w:val="20"/>
          <w:szCs w:val="20"/>
          <w:color w:val="auto"/>
        </w:rPr>
      </w:pPr>
    </w:p>
    <w:p>
      <w:pPr>
        <w:ind w:left="6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906 of the Sarbanes-Oxley Act of 2002</w:t>
        </w:r>
      </w:hyperlink>
    </w:p>
    <w:p>
      <w:pPr>
        <w:spacing w:after="0" w:line="332" w:lineRule="exact"/>
        <w:rPr>
          <w:sz w:val="20"/>
          <w:szCs w:val="20"/>
          <w:color w:val="auto"/>
        </w:rPr>
      </w:pPr>
    </w:p>
    <w:p>
      <w:pPr>
        <w:ind w:left="620" w:hanging="423"/>
        <w:spacing w:after="0" w:line="255"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following materials from our Quarterly Report on Form 10-Q for the quarter ended December 28, 2019, formatted in iXBRL (Inline eXtensible Business Reporting Language): (i) the Condensed Consolidated Balance Sheets as of December 28, 2019 and March 30, 2019; (ii) the Condensed Consolidated Statements of Income for the three and nine months ended December 28, 2019 and December 29, 2018; (iii) the Condensed Consolidated Statements of Comprehensive Income for the three and nine months ended December 28, 2019 and December 29, 2018; (iv) the Condensed Consolidated Statements of Stockholders' Equity for the three and nine months ended December 28, 2019 and December 29, 2018; (v) the Condensed Consolidated Statements of Cash Flows for the nine months ended December 28, 2019 and December 29, 2018; and (vi) the Notes to Condensed Consolidated Financial Statements</w:t>
      </w:r>
    </w:p>
    <w:p>
      <w:pPr>
        <w:spacing w:after="0" w:line="311" w:lineRule="exact"/>
        <w:rPr>
          <w:sz w:val="20"/>
          <w:szCs w:val="20"/>
          <w:color w:val="auto"/>
        </w:rPr>
      </w:pPr>
    </w:p>
    <w:p>
      <w:pPr>
        <w:ind w:right="1780" w:firstLine="197"/>
        <w:spacing w:after="0" w:line="659" w:lineRule="auto"/>
        <w:tabs>
          <w:tab w:leader="none" w:pos="60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cover page from our Quarterly Report on Form 10-Q for the quarter ended December 28, 2019, formatted in iXBRL Our SEC file number for documents filed with the SEC pursuant to the Securities Exchange Act of 1934, as amended, is 001-36801.</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20"/>
          </w:cols>
          <w:pgMar w:left="240" w:top="122" w:right="3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Qorvo, Inc.</w:t>
      </w:r>
    </w:p>
    <w:p>
      <w:pPr>
        <w:spacing w:after="0" w:line="333" w:lineRule="exact"/>
        <w:rPr>
          <w:sz w:val="20"/>
          <w:szCs w:val="20"/>
          <w:color w:val="auto"/>
        </w:rPr>
      </w:pPr>
    </w:p>
    <w:p>
      <w:pPr>
        <w:ind w:left="40"/>
        <w:spacing w:after="0"/>
        <w:tabs>
          <w:tab w:leader="none" w:pos="640" w:val="left"/>
          <w:tab w:leader="none" w:pos="5620" w:val="left"/>
        </w:tabs>
        <w:rPr>
          <w:sz w:val="20"/>
          <w:szCs w:val="20"/>
          <w:color w:val="auto"/>
        </w:rPr>
      </w:pPr>
      <w:r>
        <w:rPr>
          <w:rFonts w:ascii="Arial" w:cs="Arial" w:eastAsia="Arial" w:hAnsi="Arial"/>
          <w:sz w:val="18"/>
          <w:szCs w:val="18"/>
          <w:color w:val="auto"/>
        </w:rPr>
        <w:t>Date:</w:t>
        <w:tab/>
        <w:t>January 30, 2020</w:t>
      </w:r>
      <w:r>
        <w:rPr>
          <w:sz w:val="20"/>
          <w:szCs w:val="20"/>
          <w:color w:val="auto"/>
        </w:rPr>
        <w:tab/>
      </w:r>
      <w:r>
        <w:rPr>
          <w:rFonts w:ascii="Arial" w:cs="Arial" w:eastAsia="Arial" w:hAnsi="Arial"/>
          <w:sz w:val="16"/>
          <w:szCs w:val="16"/>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29070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J. Murphy</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720"/>
          </w:cols>
          <w:pgMar w:left="240" w:top="122" w:right="939" w:bottom="1440" w:gutter="0" w:footer="0" w:header="0"/>
        </w:sectPr>
      </w:pPr>
    </w:p>
    <w:bookmarkStart w:id="42" w:name="page43"/>
    <w:bookmarkEnd w:id="42"/>
    <w:p>
      <w:pPr>
        <w:jc w:val="center"/>
        <w:ind w:right="40"/>
        <w:spacing w:after="0"/>
        <w:rPr>
          <w:sz w:val="20"/>
          <w:szCs w:val="20"/>
          <w:color w:val="auto"/>
        </w:rPr>
      </w:pPr>
      <w:r>
        <w:rPr>
          <w:rFonts w:ascii="Arial" w:cs="Arial" w:eastAsia="Arial" w:hAnsi="Arial"/>
          <w:sz w:val="20"/>
          <w:szCs w:val="20"/>
          <w:b w:val="1"/>
          <w:bCs w:val="1"/>
          <w:color w:val="auto"/>
        </w:rPr>
        <w:t>2019 DECLARATION OF AMENDMENT TO</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QORVO, INC.</w:t>
      </w:r>
    </w:p>
    <w:p>
      <w:pPr>
        <w:jc w:val="center"/>
        <w:ind w:right="40"/>
        <w:spacing w:after="0"/>
        <w:rPr>
          <w:sz w:val="20"/>
          <w:szCs w:val="20"/>
          <w:color w:val="auto"/>
        </w:rPr>
      </w:pPr>
      <w:r>
        <w:rPr>
          <w:rFonts w:ascii="Arial" w:cs="Arial" w:eastAsia="Arial" w:hAnsi="Arial"/>
          <w:sz w:val="20"/>
          <w:szCs w:val="20"/>
          <w:b w:val="1"/>
          <w:bCs w:val="1"/>
          <w:color w:val="auto"/>
        </w:rPr>
        <w:t>2007 EMPLOYEE STOCK PURCHASE PLAN</w:t>
      </w:r>
    </w:p>
    <w:p>
      <w:pPr>
        <w:spacing w:after="0" w:line="20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THIS 2019 DECLARATION OF AMENDMENT, is made effective as of the 30th day of October, 2019, by QORVO, INC. (the “Company”), to the Company’s 2007 Employee Stock Purchase Plan, as amended (the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 E C I T A L S</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Board of Directors of the Company has deemed it advisable to amend the definition of “Fair Market Value” in the Plan to provide that the value of the Company’s Common Stock as determined on an Exercise Date (as defined in the Plan) shall be the closing sales price for such stock on the trading date immediately preceding the Exercise Date; and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Company desires to evidence such amendment by this 2019 Declaration of Amendment.</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NOW, THEREFORE, IT IS DECLARED that Section 2(r) of the Plan shall be and hereby is amended in its entirety as follows:</w:t>
      </w:r>
    </w:p>
    <w:p>
      <w:pPr>
        <w:spacing w:after="0" w:line="216" w:lineRule="exact"/>
        <w:rPr>
          <w:sz w:val="20"/>
          <w:szCs w:val="20"/>
          <w:color w:val="auto"/>
        </w:rPr>
      </w:pPr>
    </w:p>
    <w:p>
      <w:pPr>
        <w:ind w:right="20" w:firstLine="656"/>
        <w:spacing w:after="0" w:line="246" w:lineRule="auto"/>
        <w:tabs>
          <w:tab w:leader="none" w:pos="1008"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Amendment to Section 2(r)</w:t>
      </w:r>
      <w:r>
        <w:rPr>
          <w:rFonts w:ascii="Arial" w:cs="Arial" w:eastAsia="Arial" w:hAnsi="Arial"/>
          <w:sz w:val="20"/>
          <w:szCs w:val="20"/>
          <w:color w:val="auto"/>
        </w:rPr>
        <w:t>. Section 2 (“Definitions”) of the Plan is hereby amended by deleting Section 2(r) in its entirety and inserting the following in lieu thereof:</w:t>
      </w:r>
    </w:p>
    <w:p>
      <w:pPr>
        <w:spacing w:after="0" w:line="177" w:lineRule="exact"/>
        <w:rPr>
          <w:sz w:val="20"/>
          <w:szCs w:val="20"/>
          <w:color w:val="auto"/>
        </w:rPr>
      </w:pPr>
    </w:p>
    <w:p>
      <w:pPr>
        <w:ind w:right="20" w:firstLine="1297"/>
        <w:spacing w:after="0" w:line="260" w:lineRule="auto"/>
        <w:rPr>
          <w:sz w:val="20"/>
          <w:szCs w:val="20"/>
          <w:color w:val="auto"/>
        </w:rPr>
      </w:pPr>
      <w:r>
        <w:rPr>
          <w:rFonts w:ascii="Arial" w:cs="Arial" w:eastAsia="Arial" w:hAnsi="Arial"/>
          <w:sz w:val="20"/>
          <w:szCs w:val="20"/>
          <w:color w:val="auto"/>
        </w:rPr>
        <w:t>“(r) “</w:t>
      </w:r>
      <w:r>
        <w:rPr>
          <w:rFonts w:ascii="Arial" w:cs="Arial" w:eastAsia="Arial" w:hAnsi="Arial"/>
          <w:sz w:val="20"/>
          <w:szCs w:val="20"/>
          <w:u w:val="single" w:color="auto"/>
          <w:color w:val="auto"/>
        </w:rPr>
        <w:t>Fair Market Value</w:t>
      </w:r>
      <w:r>
        <w:rPr>
          <w:rFonts w:ascii="Arial" w:cs="Arial" w:eastAsia="Arial" w:hAnsi="Arial"/>
          <w:sz w:val="20"/>
          <w:szCs w:val="20"/>
          <w:color w:val="auto"/>
        </w:rPr>
        <w:t>” means, as of any date and unless the Administrator determines otherwise, the value of Common Stock determined as follows:</w:t>
      </w:r>
    </w:p>
    <w:p>
      <w:pPr>
        <w:spacing w:after="0" w:line="177" w:lineRule="exact"/>
        <w:rPr>
          <w:sz w:val="20"/>
          <w:szCs w:val="20"/>
          <w:color w:val="auto"/>
        </w:rPr>
      </w:pPr>
    </w:p>
    <w:p>
      <w:pPr>
        <w:jc w:val="both"/>
        <w:ind w:firstLine="1953"/>
        <w:spacing w:after="0" w:line="274" w:lineRule="auto"/>
        <w:tabs>
          <w:tab w:leader="none" w:pos="23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Common Stock is listed on any established stock exchange or a national market system, including without limitation the Nasdaq Stock Market, LLC, its Fair Market Value will be the closing sales price for such stock on the date immediately preceding the valuation date (or, if there is no closing sales price on such date, then on the trading date nearest preceding the valuation date for which closing price information is available) as quoted on such exchange or system on the valuation date, as reported in The Wall Street Journal or such other source as the Administrator deems reliable; provided, however, that the Fair Market Value of the Common Stock on (X) any Offering Date will be the closing sales price for such stock on the trading date immediately preceding such Offering Date and (Y) any Exercise Date will be the closing sales price for such stock on the trading date immediately preceding such Exercise Date;</w:t>
      </w:r>
    </w:p>
    <w:p>
      <w:pPr>
        <w:spacing w:after="0" w:line="169" w:lineRule="exact"/>
        <w:rPr>
          <w:rFonts w:ascii="Arial" w:cs="Arial" w:eastAsia="Arial" w:hAnsi="Arial"/>
          <w:sz w:val="18"/>
          <w:szCs w:val="18"/>
          <w:color w:val="auto"/>
        </w:rPr>
      </w:pPr>
    </w:p>
    <w:p>
      <w:pPr>
        <w:jc w:val="both"/>
        <w:ind w:firstLine="1953"/>
        <w:spacing w:after="0" w:line="259" w:lineRule="auto"/>
        <w:tabs>
          <w:tab w:leader="none" w:pos="2430" w:val="left"/>
        </w:tabs>
        <w:numPr>
          <w:ilvl w:val="0"/>
          <w:numId w:val="12"/>
        </w:numPr>
        <w:rPr>
          <w:rFonts w:ascii="Arial" w:cs="Arial" w:eastAsia="Arial" w:hAnsi="Arial"/>
          <w:sz w:val="19"/>
          <w:szCs w:val="19"/>
          <w:color w:val="auto"/>
        </w:rPr>
      </w:pPr>
      <w:r>
        <w:rPr>
          <w:rFonts w:ascii="Arial" w:cs="Arial" w:eastAsia="Arial" w:hAnsi="Arial"/>
          <w:sz w:val="19"/>
          <w:szCs w:val="19"/>
          <w:color w:val="auto"/>
        </w:rPr>
        <w:t>If the Common Stock is regularly quoted by a recognized securities dealer but selling prices are not reported, its Fair Market Value will be the mean of the closing bid and asked prices for the Common Stock on the date immediately preceding the valuation date, as reported in The Wall Street Journal or such other source as the Administrator deems reliable; provided, however, that the Fair Market Value of the Common Stock on (X) any Offering Date will be the mean of the closing bid and asked prices for such stock on the trading date immediately preceding such Offering Date and (Y) any Exercise Date will be the mean of the closing bid and asked prices for such stock on the trading date immediately preceding such Exercise Date; or</w:t>
      </w:r>
    </w:p>
    <w:p>
      <w:pPr>
        <w:spacing w:after="0" w:line="178" w:lineRule="exact"/>
        <w:rPr>
          <w:rFonts w:ascii="Arial" w:cs="Arial" w:eastAsia="Arial" w:hAnsi="Arial"/>
          <w:sz w:val="19"/>
          <w:szCs w:val="19"/>
          <w:color w:val="auto"/>
        </w:rPr>
      </w:pPr>
    </w:p>
    <w:p>
      <w:pPr>
        <w:ind w:firstLine="1953"/>
        <w:spacing w:after="0" w:line="260" w:lineRule="auto"/>
        <w:tabs>
          <w:tab w:leader="none" w:pos="2466"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 the absence of an established market for the Common Stock, the Fair Market Value thereof will be determined in good faith by the Administrator.”</w:t>
      </w:r>
    </w:p>
    <w:p>
      <w:pPr>
        <w:sectPr>
          <w:pgSz w:w="11900" w:h="16838" w:orient="portrait"/>
          <w:cols w:equalWidth="0" w:num="1">
            <w:col w:w="11420"/>
          </w:cols>
          <w:pgMar w:left="240" w:top="333" w:right="239" w:bottom="1440" w:gutter="0" w:footer="0" w:header="0"/>
        </w:sectPr>
      </w:pPr>
    </w:p>
    <w:bookmarkStart w:id="43" w:name="page44"/>
    <w:bookmarkEnd w:id="43"/>
    <w:p>
      <w:pPr>
        <w:ind w:left="1040" w:hanging="384"/>
        <w:spacing w:after="0"/>
        <w:tabs>
          <w:tab w:leader="none" w:pos="1040"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Continued Effect</w:t>
      </w:r>
      <w:r>
        <w:rPr>
          <w:rFonts w:ascii="Arial" w:cs="Arial" w:eastAsia="Arial" w:hAnsi="Arial"/>
          <w:sz w:val="20"/>
          <w:szCs w:val="20"/>
          <w:color w:val="auto"/>
        </w:rPr>
        <w:t>. Except as set forth herein, the Plan shall remain unchanged and in full force and effect.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 WITNESS WHEREOF, this 2019 Declaration of Amendment is executed on behalf of Qorvo, Inc. effective as of the day and year first above written.</w:t>
      </w:r>
    </w:p>
    <w:p>
      <w:pPr>
        <w:spacing w:after="0" w:line="17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QORVO, INC.</w:t>
      </w:r>
    </w:p>
    <w:p>
      <w:pPr>
        <w:sectPr>
          <w:pgSz w:w="11900" w:h="16838" w:orient="portrait"/>
          <w:cols w:equalWidth="0" w:num="1">
            <w:col w:w="11420"/>
          </w:cols>
          <w:pgMar w:left="240" w:top="339" w:right="2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color w:val="auto"/>
        </w:rPr>
        <w:t>ATTEST: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Philip E. Smith</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Philip E. Smith</w:t>
      </w:r>
    </w:p>
    <w:p>
      <w:pPr>
        <w:spacing w:after="0"/>
        <w:rPr>
          <w:sz w:val="20"/>
          <w:szCs w:val="20"/>
          <w:color w:val="auto"/>
        </w:rPr>
      </w:pPr>
      <w:r>
        <w:rPr>
          <w:rFonts w:ascii="Arial" w:cs="Arial" w:eastAsia="Arial" w:hAnsi="Arial"/>
          <w:sz w:val="20"/>
          <w:szCs w:val="20"/>
          <w:color w:val="auto"/>
        </w:rPr>
        <w:t>Assistant 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Robert A. Bruggeworth</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Robert A. Bruggeworth</w:t>
      </w:r>
    </w:p>
    <w:p>
      <w:pPr>
        <w:spacing w:after="0"/>
        <w:rPr>
          <w:sz w:val="20"/>
          <w:szCs w:val="20"/>
          <w:color w:val="auto"/>
        </w:rPr>
      </w:pPr>
      <w:r>
        <w:rPr>
          <w:rFonts w:ascii="Arial" w:cs="Arial" w:eastAsia="Arial" w:hAnsi="Arial"/>
          <w:sz w:val="20"/>
          <w:szCs w:val="20"/>
          <w:color w:val="auto"/>
        </w:rPr>
        <w:t>Chief Executive Officer</w:t>
      </w:r>
    </w:p>
    <w:p>
      <w:pPr>
        <w:sectPr>
          <w:pgSz w:w="11900" w:h="16838" w:orient="portrait"/>
          <w:cols w:equalWidth="0" w:num="2">
            <w:col w:w="4180" w:space="360"/>
            <w:col w:w="6880"/>
          </w:cols>
          <w:pgMar w:left="240" w:top="339" w:right="239"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20"/>
          <w:szCs w:val="20"/>
          <w:b w:val="1"/>
          <w:bCs w:val="1"/>
          <w:color w:val="auto"/>
        </w:rPr>
        <w:t>2019 DECLARATION OF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QORVO, INC.</w:t>
      </w:r>
    </w:p>
    <w:p>
      <w:pPr>
        <w:jc w:val="center"/>
        <w:spacing w:after="0"/>
        <w:rPr>
          <w:sz w:val="20"/>
          <w:szCs w:val="20"/>
          <w:color w:val="auto"/>
        </w:rPr>
      </w:pPr>
      <w:r>
        <w:rPr>
          <w:rFonts w:ascii="Arial" w:cs="Arial" w:eastAsia="Arial" w:hAnsi="Arial"/>
          <w:sz w:val="20"/>
          <w:szCs w:val="20"/>
          <w:b w:val="1"/>
          <w:bCs w:val="1"/>
          <w:color w:val="auto"/>
        </w:rPr>
        <w:t>NONQUALIFIED DEFERRED COMPENSATION PLAN</w:t>
      </w:r>
    </w:p>
    <w:p>
      <w:pPr>
        <w:spacing w:after="0" w:line="21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THIS DECLARATION OF AMENDMENT, made the 30th day of October, 2019, by Qorvo, Inc. (the “Company”), as sponsor of the Qorvo, Inc. Nonqualified Deferred Compensation Plan (the “Plan”).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 E C I T A L S :</w:t>
      </w:r>
    </w:p>
    <w:p>
      <w:pPr>
        <w:spacing w:after="0" w:line="23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It is deemed advisable to amend the eligibility provisions of the Plan to increase the minimum base salary requirement from $160,000 to $180,000 and to authorize the Retirement Plan Committee, as Administrator, to adjust the limit as necessary to continue to comply with the top-hat exemption under ERISA.</w:t>
      </w:r>
    </w:p>
    <w:p>
      <w:pPr>
        <w:spacing w:after="0" w:line="20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NOW, THEREFORE, it is declared that the Plan shall be and hereby is amended, effective for Plan Years beginning on and after January 1, 2020, as follows:</w:t>
      </w:r>
    </w:p>
    <w:p>
      <w:pPr>
        <w:spacing w:after="0" w:line="190" w:lineRule="exact"/>
        <w:rPr>
          <w:sz w:val="20"/>
          <w:szCs w:val="20"/>
          <w:color w:val="auto"/>
        </w:rPr>
      </w:pPr>
    </w:p>
    <w:p>
      <w:pPr>
        <w:ind w:left="1460" w:hanging="804"/>
        <w:spacing w:after="0"/>
        <w:tabs>
          <w:tab w:leader="none" w:pos="14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Delete Section 1.1(o) in its entirety and substitute therefor the following new Section 1.1(o):</w:t>
      </w:r>
    </w:p>
    <w:p>
      <w:pPr>
        <w:spacing w:after="0" w:line="216"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0"/>
          <w:szCs w:val="20"/>
          <w:color w:val="auto"/>
        </w:rPr>
        <w:t>“(o) “</w:t>
      </w:r>
      <w:r>
        <w:rPr>
          <w:rFonts w:ascii="Arial" w:cs="Arial" w:eastAsia="Arial" w:hAnsi="Arial"/>
          <w:sz w:val="20"/>
          <w:szCs w:val="20"/>
          <w:i w:val="1"/>
          <w:iCs w:val="1"/>
          <w:color w:val="auto"/>
        </w:rPr>
        <w:t>Eligible Employee</w:t>
      </w:r>
      <w:r>
        <w:rPr>
          <w:rFonts w:ascii="Arial" w:cs="Arial" w:eastAsia="Arial" w:hAnsi="Arial"/>
          <w:sz w:val="20"/>
          <w:szCs w:val="20"/>
          <w:color w:val="auto"/>
        </w:rPr>
        <w:t>” means (i) any U.S. payroll-based Employee who has an annualized rate of Base Salary of at least $180,000 (the “Base Salary Limit”) and who is determined by the Administrator to be a management or highly compensated Employee of the Employer, (ii) any Outside Director, or (iii) any other Employee designated by the Company’s Vice-President of Human Resources.”</w:t>
      </w:r>
    </w:p>
    <w:p>
      <w:pPr>
        <w:spacing w:after="0" w:line="205" w:lineRule="exact"/>
        <w:rPr>
          <w:sz w:val="20"/>
          <w:szCs w:val="20"/>
          <w:color w:val="auto"/>
        </w:rPr>
      </w:pPr>
    </w:p>
    <w:p>
      <w:pPr>
        <w:ind w:left="1460" w:hanging="804"/>
        <w:spacing w:after="0"/>
        <w:tabs>
          <w:tab w:leader="none" w:pos="14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Delete Section 11.1(c) in its entirety and substitute therefor the following new Section 11.1(c):</w:t>
      </w:r>
    </w:p>
    <w:p>
      <w:pPr>
        <w:spacing w:after="0" w:line="216" w:lineRule="exact"/>
        <w:rPr>
          <w:sz w:val="20"/>
          <w:szCs w:val="20"/>
          <w:color w:val="auto"/>
        </w:rPr>
      </w:pPr>
    </w:p>
    <w:p>
      <w:pPr>
        <w:jc w:val="both"/>
        <w:ind w:left="660" w:firstLine="648"/>
        <w:spacing w:after="0" w:line="316" w:lineRule="auto"/>
        <w:rPr>
          <w:sz w:val="20"/>
          <w:szCs w:val="20"/>
          <w:color w:val="auto"/>
        </w:rPr>
      </w:pPr>
      <w:r>
        <w:rPr>
          <w:rFonts w:ascii="Arial" w:cs="Arial" w:eastAsia="Arial" w:hAnsi="Arial"/>
          <w:sz w:val="18"/>
          <w:szCs w:val="18"/>
          <w:color w:val="auto"/>
        </w:rPr>
        <w:t>“(c) To periodically adjust the Base Salary Limit set forth in Section 1.1(o) as necessary to continue to comply with the top-hat exemption under ERISA and to decide all questions concerning the Plan and the eligibility of any person to participate in the Plan;”</w:t>
      </w:r>
    </w:p>
    <w:p>
      <w:pPr>
        <w:spacing w:after="0" w:line="144" w:lineRule="exact"/>
        <w:rPr>
          <w:sz w:val="20"/>
          <w:szCs w:val="20"/>
          <w:color w:val="auto"/>
        </w:rPr>
      </w:pPr>
    </w:p>
    <w:p>
      <w:pPr>
        <w:ind w:left="1460" w:hanging="804"/>
        <w:spacing w:after="0"/>
        <w:tabs>
          <w:tab w:leader="none" w:pos="14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Add the following new sentence to the end of Section 8.1:</w:t>
      </w:r>
    </w:p>
    <w:p>
      <w:pPr>
        <w:spacing w:after="0" w:line="216" w:lineRule="exact"/>
        <w:rPr>
          <w:sz w:val="20"/>
          <w:szCs w:val="20"/>
          <w:color w:val="auto"/>
        </w:rPr>
      </w:pPr>
    </w:p>
    <w:p>
      <w:pPr>
        <w:ind w:left="660" w:right="20"/>
        <w:spacing w:after="0" w:line="287" w:lineRule="auto"/>
        <w:rPr>
          <w:sz w:val="20"/>
          <w:szCs w:val="20"/>
          <w:color w:val="auto"/>
        </w:rPr>
      </w:pPr>
      <w:r>
        <w:rPr>
          <w:rFonts w:ascii="Arial" w:cs="Arial" w:eastAsia="Arial" w:hAnsi="Arial"/>
          <w:sz w:val="19"/>
          <w:szCs w:val="19"/>
          <w:color w:val="auto"/>
        </w:rPr>
        <w:t>“Notwithstanding any provision of the Plan to the contrary, the Administrator’s adjustment of the Base Salary Limit in accordance with Section 11.1(c) shall not require the approval of the Board or the adoption of a written amendment to the Plan.”</w:t>
      </w:r>
    </w:p>
    <w:p>
      <w:pPr>
        <w:spacing w:after="0" w:line="160" w:lineRule="exact"/>
        <w:rPr>
          <w:sz w:val="20"/>
          <w:szCs w:val="20"/>
          <w:color w:val="auto"/>
        </w:rPr>
      </w:pPr>
    </w:p>
    <w:p>
      <w:pPr>
        <w:ind w:firstLine="1270"/>
        <w:spacing w:after="0" w:line="267"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this Declaration of Amendment has been executed on behalf of the Company as of the date and</w:t>
      </w:r>
      <w:r>
        <w:rPr>
          <w:rFonts w:ascii="Arial" w:cs="Arial" w:eastAsia="Arial" w:hAnsi="Arial"/>
          <w:sz w:val="20"/>
          <w:szCs w:val="20"/>
          <w:b w:val="1"/>
          <w:bCs w:val="1"/>
          <w:color w:val="auto"/>
        </w:rPr>
        <w:t xml:space="preserve"> </w:t>
      </w:r>
      <w:r>
        <w:rPr>
          <w:rFonts w:ascii="Arial" w:cs="Arial" w:eastAsia="Arial" w:hAnsi="Arial"/>
          <w:sz w:val="20"/>
          <w:szCs w:val="20"/>
          <w:color w:val="auto"/>
        </w:rPr>
        <w:t>year first above written.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880"/>
        <w:spacing w:after="0"/>
        <w:rPr>
          <w:sz w:val="20"/>
          <w:szCs w:val="20"/>
          <w:color w:val="auto"/>
        </w:rPr>
      </w:pPr>
      <w:r>
        <w:rPr>
          <w:rFonts w:ascii="Arial" w:cs="Arial" w:eastAsia="Arial" w:hAnsi="Arial"/>
          <w:sz w:val="20"/>
          <w:szCs w:val="20"/>
          <w:b w:val="1"/>
          <w:bCs w:val="1"/>
          <w:color w:val="auto"/>
        </w:rPr>
        <w:t>QORVO, INC.</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880"/>
        <w:spacing w:after="0"/>
        <w:tabs>
          <w:tab w:leader="none" w:pos="66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Robert A. Bruggeworth</w:t>
      </w:r>
    </w:p>
    <w:p>
      <w:pPr>
        <w:spacing w:after="0" w:line="54" w:lineRule="exact"/>
        <w:rPr>
          <w:sz w:val="20"/>
          <w:szCs w:val="20"/>
          <w:color w:val="auto"/>
        </w:rPr>
      </w:pPr>
    </w:p>
    <w:p>
      <w:pPr>
        <w:ind w:left="6620"/>
        <w:spacing w:after="0"/>
        <w:rPr>
          <w:sz w:val="20"/>
          <w:szCs w:val="20"/>
          <w:color w:val="auto"/>
        </w:rPr>
      </w:pPr>
      <w:r>
        <w:rPr>
          <w:rFonts w:ascii="Arial" w:cs="Arial" w:eastAsia="Arial" w:hAnsi="Arial"/>
          <w:sz w:val="20"/>
          <w:szCs w:val="20"/>
          <w:color w:val="auto"/>
        </w:rPr>
        <w:t>Robert A. Bruggeworth</w:t>
      </w:r>
    </w:p>
    <w:p>
      <w:pPr>
        <w:spacing w:after="0" w:line="54" w:lineRule="exact"/>
        <w:rPr>
          <w:sz w:val="20"/>
          <w:szCs w:val="20"/>
          <w:color w:val="auto"/>
        </w:rPr>
      </w:pPr>
    </w:p>
    <w:p>
      <w:pPr>
        <w:ind w:left="6620"/>
        <w:spacing w:after="0"/>
        <w:rPr>
          <w:sz w:val="20"/>
          <w:szCs w:val="20"/>
          <w:color w:val="auto"/>
        </w:rPr>
      </w:pPr>
      <w:r>
        <w:rPr>
          <w:rFonts w:ascii="Arial" w:cs="Arial" w:eastAsia="Arial" w:hAnsi="Arial"/>
          <w:sz w:val="20"/>
          <w:szCs w:val="20"/>
          <w:color w:val="auto"/>
        </w:rPr>
        <w:t>Chief Executive Officer</w:t>
      </w:r>
    </w:p>
    <w:p>
      <w:pPr>
        <w:sectPr>
          <w:pgSz w:w="11900" w:h="16838" w:orient="portrait"/>
          <w:cols w:equalWidth="0" w:num="1">
            <w:col w:w="11420"/>
          </w:cols>
          <w:pgMar w:left="240" w:top="333"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A. Bruggeworth, certify that:</w:t>
      </w:r>
    </w:p>
    <w:p>
      <w:pPr>
        <w:spacing w:after="0" w:line="225" w:lineRule="exact"/>
        <w:rPr>
          <w:sz w:val="20"/>
          <w:szCs w:val="20"/>
          <w:color w:val="auto"/>
        </w:rPr>
      </w:pPr>
    </w:p>
    <w:p>
      <w:pPr>
        <w:ind w:left="800" w:hanging="792"/>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25" w:lineRule="exact"/>
        <w:rPr>
          <w:rFonts w:ascii="Arial" w:cs="Arial" w:eastAsia="Arial" w:hAnsi="Arial"/>
          <w:sz w:val="18"/>
          <w:szCs w:val="18"/>
          <w:color w:val="auto"/>
        </w:rPr>
      </w:pPr>
    </w:p>
    <w:p>
      <w:pPr>
        <w:ind w:right="40" w:firstLine="8"/>
        <w:spacing w:after="0" w:line="342" w:lineRule="auto"/>
        <w:tabs>
          <w:tab w:leader="none" w:pos="783"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783"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0" w:firstLine="8"/>
        <w:spacing w:after="0" w:line="264" w:lineRule="auto"/>
        <w:tabs>
          <w:tab w:leader="none" w:pos="78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340" w:hanging="4"/>
        <w:spacing w:after="0" w:line="264" w:lineRule="auto"/>
        <w:tabs>
          <w:tab w:leader="none" w:pos="144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4"/>
        <w:spacing w:after="0" w:line="264" w:lineRule="auto"/>
        <w:tabs>
          <w:tab w:leader="none" w:pos="145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60" w:hanging="4"/>
        <w:spacing w:after="0" w:line="342" w:lineRule="auto"/>
        <w:tabs>
          <w:tab w:leader="none" w:pos="1448"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20" w:hanging="4"/>
        <w:spacing w:after="0" w:line="264" w:lineRule="auto"/>
        <w:tabs>
          <w:tab w:leader="none" w:pos="145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783"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360" w:hanging="4"/>
        <w:spacing w:after="0" w:line="308" w:lineRule="auto"/>
        <w:tabs>
          <w:tab w:leader="none" w:pos="1448"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40" w:hanging="4"/>
        <w:spacing w:after="0" w:line="277" w:lineRule="auto"/>
        <w:tabs>
          <w:tab w:leader="none" w:pos="145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January 30, 2020</w:t>
      </w:r>
    </w:p>
    <w:p>
      <w:pPr>
        <w:spacing w:after="0" w:line="200" w:lineRule="exact"/>
        <w:rPr>
          <w:sz w:val="20"/>
          <w:szCs w:val="20"/>
          <w:color w:val="auto"/>
        </w:rPr>
      </w:pPr>
    </w:p>
    <w:p>
      <w:pPr>
        <w:spacing w:after="0" w:line="29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Robert A. Bruggeworth</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00"/>
          </w:cols>
          <w:pgMar w:left="240" w:top="553"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J. Murphy, certify that:</w:t>
      </w:r>
    </w:p>
    <w:p>
      <w:pPr>
        <w:spacing w:after="0" w:line="225"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25" w:lineRule="exact"/>
        <w:rPr>
          <w:rFonts w:ascii="Arial" w:cs="Arial" w:eastAsia="Arial" w:hAnsi="Arial"/>
          <w:sz w:val="18"/>
          <w:szCs w:val="18"/>
          <w:color w:val="auto"/>
        </w:rPr>
      </w:pPr>
    </w:p>
    <w:p>
      <w:pPr>
        <w:ind w:right="420" w:firstLine="8"/>
        <w:spacing w:after="0" w:line="342" w:lineRule="auto"/>
        <w:tabs>
          <w:tab w:leader="none" w:pos="315"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80" w:firstLine="8"/>
        <w:spacing w:after="0" w:line="277" w:lineRule="auto"/>
        <w:tabs>
          <w:tab w:leader="none" w:pos="3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40" w:firstLine="8"/>
        <w:spacing w:after="0" w:line="264" w:lineRule="auto"/>
        <w:tabs>
          <w:tab w:leader="none" w:pos="31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hanging="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20" w:hanging="4"/>
        <w:spacing w:after="0" w:line="264" w:lineRule="auto"/>
        <w:tabs>
          <w:tab w:leader="none" w:pos="9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720" w:hanging="4"/>
        <w:spacing w:after="0" w:line="342" w:lineRule="auto"/>
        <w:tabs>
          <w:tab w:leader="none" w:pos="9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200" w:hanging="4"/>
        <w:spacing w:after="0" w:line="264" w:lineRule="auto"/>
        <w:tabs>
          <w:tab w:leader="none" w:pos="9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300" w:firstLine="8"/>
        <w:spacing w:after="0" w:line="308" w:lineRule="auto"/>
        <w:tabs>
          <w:tab w:leader="none" w:pos="312"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120" w:hanging="4"/>
        <w:spacing w:after="0" w:line="277" w:lineRule="auto"/>
        <w:tabs>
          <w:tab w:leader="none" w:pos="97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80" w:hanging="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January 30, 2020</w:t>
      </w:r>
    </w:p>
    <w:p>
      <w:pPr>
        <w:spacing w:after="0" w:line="200" w:lineRule="exact"/>
        <w:rPr>
          <w:sz w:val="20"/>
          <w:szCs w:val="20"/>
          <w:color w:val="auto"/>
        </w:rPr>
      </w:pPr>
    </w:p>
    <w:p>
      <w:pPr>
        <w:spacing w:after="0" w:line="29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31750</wp:posOffset>
            </wp:positionV>
            <wp:extent cx="27527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Mark J. Murphy</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553" w:right="259" w:bottom="1440" w:gutter="0" w:footer="0" w:header="0"/>
        </w:sectPr>
      </w:pPr>
    </w:p>
    <w:bookmarkStart w:id="47" w:name="page48"/>
    <w:bookmarkEnd w:id="47"/>
    <w:p>
      <w:pPr>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59"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I, Robert A. Bruggeworth, President and Chief Executive Officer of Qorvo, Inc. (the “Company”), certify pursuant to Section 906 of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Sarbanes-Oxley Act of 2002, 18 U.S.C. Section 1350, that, to my knowledge:</w:t>
      </w:r>
    </w:p>
    <w:p>
      <w:pPr>
        <w:spacing w:after="0" w:line="213" w:lineRule="exact"/>
        <w:rPr>
          <w:sz w:val="20"/>
          <w:szCs w:val="20"/>
          <w:color w:val="auto"/>
        </w:rPr>
      </w:pPr>
    </w:p>
    <w:p>
      <w:pPr>
        <w:ind w:left="660" w:hanging="652"/>
        <w:spacing w:after="0" w:line="260" w:lineRule="auto"/>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December 28, 2019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right="140" w:hanging="652"/>
        <w:spacing w:after="0" w:line="260" w:lineRule="auto"/>
        <w:tabs>
          <w:tab w:leader="none" w:pos="6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39"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27305</wp:posOffset>
            </wp:positionV>
            <wp:extent cx="27527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47"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Robert A. Bruggeworth</w:t>
      </w:r>
    </w:p>
    <w:p>
      <w:pPr>
        <w:spacing w:after="0" w:line="54"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President and Chief Executive Officer</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January 30, 2020</w:t>
      </w:r>
    </w:p>
    <w:p>
      <w:pPr>
        <w:sectPr>
          <w:pgSz w:w="11900" w:h="16838" w:orient="portrait"/>
          <w:cols w:equalWidth="0" w:num="1">
            <w:col w:w="11360"/>
          </w:cols>
          <w:pgMar w:left="240" w:top="549" w:right="299" w:bottom="1440" w:gutter="0" w:footer="0" w:header="0"/>
        </w:sectPr>
      </w:pPr>
    </w:p>
    <w:bookmarkStart w:id="48" w:name="page49"/>
    <w:bookmarkEnd w:id="48"/>
    <w:p>
      <w:pPr>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59"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 Mark J. Murphy, Chief Financial Officer of Qorvo, Inc. (the “Company”), certify pursuant to Section 906 of the Sarbanes-Oxley Act of 2002, 18 U.S.C. Section 1350, that, to my knowledge:</w:t>
      </w:r>
    </w:p>
    <w:p>
      <w:pPr>
        <w:spacing w:after="0" w:line="190" w:lineRule="exact"/>
        <w:rPr>
          <w:sz w:val="20"/>
          <w:szCs w:val="20"/>
          <w:color w:val="auto"/>
        </w:rPr>
      </w:pPr>
    </w:p>
    <w:p>
      <w:pPr>
        <w:ind w:left="660" w:right="20" w:hanging="652"/>
        <w:spacing w:after="0" w:line="260" w:lineRule="auto"/>
        <w:tabs>
          <w:tab w:leader="none" w:pos="6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December 28, 2019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right="160" w:hanging="652"/>
        <w:spacing w:after="0" w:line="260" w:lineRule="auto"/>
        <w:tabs>
          <w:tab w:leader="none" w:pos="6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53" w:lineRule="exact"/>
        <w:rPr>
          <w:sz w:val="20"/>
          <w:szCs w:val="20"/>
          <w:color w:val="auto"/>
        </w:rPr>
      </w:pPr>
    </w:p>
    <w:p>
      <w:pPr>
        <w:ind w:left="840"/>
        <w:spacing w:after="0"/>
        <w:rPr>
          <w:sz w:val="20"/>
          <w:szCs w:val="20"/>
          <w:color w:val="auto"/>
        </w:rPr>
      </w:pPr>
      <w:r>
        <w:rPr>
          <w:rFonts w:ascii="Arial" w:cs="Arial" w:eastAsia="Arial" w:hAnsi="Arial"/>
          <w:sz w:val="20"/>
          <w:szCs w:val="20"/>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27305</wp:posOffset>
            </wp:positionV>
            <wp:extent cx="30099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Mark J. Murphy</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Chief Financial Officer</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January 30, 2020</w:t>
      </w:r>
    </w:p>
    <w:sectPr>
      <w:pgSz w:w="11900" w:h="16838" w:orient="portrait"/>
      <w:cols w:equalWidth="0" w:num="1">
        <w:col w:w="11380"/>
      </w:cols>
      <w:pgMar w:left="240" w:top="54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lowerRoman"/>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01"/>
    </w:lvl>
  </w:abstractNum>
  <w:abstractNum w:abstractNumId="9">
    <w:nsid w:val="1BEFD79F"/>
    <w:multiLevelType w:val="hybridMultilevel"/>
    <w:lvl w:ilvl="0">
      <w:lvlJc w:val="left"/>
      <w:lvlText w:val="%1"/>
      <w:numFmt w:val="decimal"/>
      <w:start w:val="104"/>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lowerRoman"/>
      <w:start w:val="1"/>
    </w:lvl>
  </w:abstractNum>
  <w:abstractNum w:abstractNumId="12">
    <w:nsid w:val="4E6AFB66"/>
    <w:multiLevelType w:val="hybridMultilevel"/>
    <w:lvl w:ilvl="0">
      <w:lvlJc w:val="left"/>
      <w:lvlText w:val="%1."/>
      <w:numFmt w:val="decimal"/>
      <w:start w:val="2"/>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2"/>
    </w:lvl>
  </w:abstractNum>
  <w:abstractNum w:abstractNumId="15">
    <w:nsid w:val="431BD7B7"/>
    <w:multiLevelType w:val="hybridMultilevel"/>
    <w:lvl w:ilvl="0">
      <w:lvlJc w:val="left"/>
      <w:lvlText w:val="%1."/>
      <w:numFmt w:val="decimal"/>
      <w:start w:val="3"/>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69" Type="http://schemas.openxmlformats.org/officeDocument/2006/relationships/hyperlink" Target="https://www.sec.gov/Archives/edgar/data/1604778/000160477819000072/qorvo-indenturefall201.htm" TargetMode="External"/><Relationship Id="rId70" Type="http://schemas.openxmlformats.org/officeDocument/2006/relationships/hyperlink" Target="https://www.sec.gov/Archives/edgar/data/1604778/000160477819000072/qorvo-registrationrigh.htm" TargetMode="External"/><Relationship Id="rId71" Type="http://schemas.openxmlformats.org/officeDocument/2006/relationships/hyperlink" Target="https://www.sec.gov/Archives/edgar/data/1604778/000160477819000099/qorvo-supplementalinde.htm" TargetMode="External"/><Relationship Id="rId72" Type="http://schemas.openxmlformats.org/officeDocument/2006/relationships/hyperlink" Target="https://www.sec.gov/Archives/edgar/data/1604778/000160477819000099/qorvo-registrationrigh.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2020-01-30T15:40:00Z</dcterms:created>
  <dcterms:modified xsi:type="dcterms:W3CDTF">2020-01-30T15:40:00Z</dcterms:modified>
</cp:coreProperties>
</file>