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657d2_425.htm"/>
      <w:bookmarkStart w:id="1" w:name="kstm2626657d2_425"/>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FORM 8-K</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Skyworks 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0" w:type="dxa"/>
          <w:right w:w="0" w:type="dxa"/>
        </w:tblCellMar>
      </w:tblPr>
      <w:tblGrid>
        <w:gridCol w:w="3695"/>
        <w:gridCol w:w="2195"/>
        <w:gridCol w:w="2900"/>
      </w:tblGrid>
      <w:tr>
        <w:trPr/>
        <w:tc>
          <w:tcPr>
            <w:tcW w:w="3695" w:type="dxa"/>
            <w:tcBorders/>
            <w:vAlign w:val="center"/>
          </w:tcPr>
          <w:p>
            <w:pPr>
              <w:pStyle w:val="TableContents"/>
              <w:bidi w:val="0"/>
              <w:spacing w:before="0" w:after="283"/>
              <w:jc w:val="center"/>
              <w:rPr>
                <w:b/>
              </w:rPr>
            </w:pPr>
            <w:r>
              <w:rPr>
                <w:b/>
              </w:rPr>
              <w:t>Delaware</w:t>
            </w:r>
          </w:p>
        </w:tc>
        <w:tc>
          <w:tcPr>
            <w:tcW w:w="2195" w:type="dxa"/>
            <w:tcBorders/>
            <w:vAlign w:val="center"/>
          </w:tcPr>
          <w:p>
            <w:pPr>
              <w:pStyle w:val="TableContents"/>
              <w:bidi w:val="0"/>
              <w:spacing w:before="0" w:after="283"/>
              <w:jc w:val="center"/>
              <w:rPr/>
            </w:pPr>
            <w:r>
              <w:rPr/>
              <w:t>001-05560</w:t>
            </w:r>
          </w:p>
        </w:tc>
        <w:tc>
          <w:tcPr>
            <w:tcW w:w="2900" w:type="dxa"/>
            <w:tcBorders/>
            <w:vAlign w:val="center"/>
          </w:tcPr>
          <w:p>
            <w:pPr>
              <w:pStyle w:val="TableContents"/>
              <w:bidi w:val="0"/>
              <w:spacing w:before="0" w:after="283"/>
              <w:jc w:val="center"/>
              <w:rPr>
                <w:b/>
              </w:rPr>
            </w:pPr>
            <w:r>
              <w:rPr>
                <w:b/>
              </w:rPr>
              <w:t>04-2302115</w:t>
            </w:r>
          </w:p>
        </w:tc>
      </w:tr>
      <w:tr>
        <w:trPr/>
        <w:tc>
          <w:tcPr>
            <w:tcW w:w="3695" w:type="dxa"/>
            <w:tcBorders/>
            <w:vAlign w:val="center"/>
          </w:tcPr>
          <w:p>
            <w:pPr>
              <w:pStyle w:val="TableContents"/>
              <w:bidi w:val="0"/>
              <w:spacing w:before="0" w:after="283"/>
              <w:jc w:val="center"/>
              <w:rPr>
                <w:i/>
                <w:sz w:val="20"/>
              </w:rPr>
            </w:pPr>
            <w:r>
              <w:rPr>
                <w:i/>
                <w:sz w:val="20"/>
              </w:rPr>
              <w:t>(State or other jurisdiction of incorporation)</w:t>
            </w:r>
          </w:p>
        </w:tc>
        <w:tc>
          <w:tcPr>
            <w:tcW w:w="2195" w:type="dxa"/>
            <w:tcBorders/>
            <w:vAlign w:val="center"/>
          </w:tcPr>
          <w:p>
            <w:pPr>
              <w:pStyle w:val="TableContents"/>
              <w:bidi w:val="0"/>
              <w:spacing w:before="0" w:after="283"/>
              <w:jc w:val="center"/>
              <w:rPr>
                <w:i/>
                <w:sz w:val="20"/>
              </w:rPr>
            </w:pPr>
            <w:r>
              <w:rPr>
                <w:i/>
                <w:sz w:val="20"/>
              </w:rPr>
              <w:t>(Commission File Number)</w:t>
            </w:r>
          </w:p>
        </w:tc>
        <w:tc>
          <w:tcPr>
            <w:tcW w:w="2900" w:type="dxa"/>
            <w:tcBorders/>
            <w:vAlign w:val="center"/>
          </w:tcPr>
          <w:p>
            <w:pPr>
              <w:pStyle w:val="TableContents"/>
              <w:bidi w:val="0"/>
              <w:spacing w:before="0" w:after="283"/>
              <w:jc w:val="center"/>
              <w:rPr>
                <w:i/>
                <w:sz w:val="20"/>
              </w:rPr>
            </w:pPr>
            <w:r>
              <w:rPr>
                <w:i/>
                <w:sz w:val="20"/>
              </w:rPr>
              <w:t>(I.R.S. Employer Identification No.)</w:t>
            </w:r>
          </w:p>
        </w:tc>
      </w:tr>
      <w:tr>
        <w:trPr/>
        <w:tc>
          <w:tcPr>
            <w:tcW w:w="369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b/>
              </w:rPr>
              <w:t>5260 California Avenue</w:t>
            </w:r>
            <w:r>
              <w:rPr/>
              <w:br/>
            </w:r>
            <w:r>
              <w:rPr>
                <w:b/>
              </w:rPr>
              <w:t>Irvine</w:t>
            </w:r>
            <w:r>
              <w:rPr/>
              <w:t xml:space="preserve">, </w:t>
            </w:r>
            <w:r>
              <w:rPr>
                <w:b/>
              </w:rPr>
              <w:t>California</w:t>
            </w:r>
          </w:p>
        </w:tc>
        <w:tc>
          <w:tcPr>
            <w:tcW w:w="2195"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center"/>
              <w:rPr>
                <w:b/>
              </w:rPr>
            </w:pPr>
            <w:r>
              <w:rPr>
                <w:b/>
              </w:rPr>
              <w:t>92617</w:t>
            </w:r>
          </w:p>
        </w:tc>
      </w:tr>
      <w:tr>
        <w:trPr/>
        <w:tc>
          <w:tcPr>
            <w:tcW w:w="3695" w:type="dxa"/>
            <w:tcBorders/>
            <w:vAlign w:val="center"/>
          </w:tcPr>
          <w:p>
            <w:pPr>
              <w:pStyle w:val="TableContents"/>
              <w:bidi w:val="0"/>
              <w:spacing w:before="0" w:after="283"/>
              <w:jc w:val="center"/>
              <w:rPr>
                <w:i/>
                <w:sz w:val="20"/>
              </w:rPr>
            </w:pPr>
            <w:r>
              <w:rPr>
                <w:i/>
                <w:sz w:val="20"/>
              </w:rPr>
              <w:t>(Address of principal executive offices)</w:t>
            </w:r>
          </w:p>
        </w:tc>
        <w:tc>
          <w:tcPr>
            <w:tcW w:w="2195"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5"/>
        <w:gridCol w:w="1586"/>
        <w:gridCol w:w="2798"/>
        <w:gridCol w:w="75"/>
      </w:tblGrid>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b/>
              </w:rPr>
            </w:pPr>
            <w:r>
              <w:rPr>
                <w:b/>
              </w:rPr>
              <w:t>(949)</w:t>
            </w:r>
          </w:p>
        </w:tc>
        <w:tc>
          <w:tcPr>
            <w:tcW w:w="2798" w:type="dxa"/>
            <w:tcBorders/>
            <w:vAlign w:val="center"/>
          </w:tcPr>
          <w:p>
            <w:pPr>
              <w:pStyle w:val="TableContents"/>
              <w:bidi w:val="0"/>
              <w:spacing w:before="0" w:after="283"/>
              <w:jc w:val="left"/>
              <w:rPr>
                <w:b/>
              </w:rPr>
            </w:pPr>
            <w:r>
              <w:rPr>
                <w:b/>
              </w:rPr>
              <w:t>231-3000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center"/>
              <w:rPr>
                <w:i/>
                <w:sz w:val="20"/>
              </w:rPr>
            </w:pPr>
            <w:r>
              <w:rPr>
                <w:i/>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5030"/>
        <w:gridCol w:w="75"/>
      </w:tblGrid>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b/>
              </w:rPr>
            </w:pPr>
            <w:r>
              <w:rPr>
                <w:b/>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i/>
                <w:sz w:val="20"/>
              </w:rPr>
            </w:pPr>
            <w:r>
              <w:rPr>
                <w:i/>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1894"/>
        <w:gridCol w:w="4376"/>
      </w:tblGrid>
      <w:tr>
        <w:trPr/>
        <w:tc>
          <w:tcPr>
            <w:tcW w:w="3935" w:type="dxa"/>
            <w:tcBorders>
              <w:bottom w:val="single" w:sz="8" w:space="0" w:color="000000"/>
            </w:tcBorders>
            <w:vAlign w:val="center"/>
          </w:tcPr>
          <w:p>
            <w:pPr>
              <w:pStyle w:val="TableContents"/>
              <w:bidi w:val="0"/>
              <w:spacing w:before="0" w:after="283"/>
              <w:jc w:val="center"/>
              <w:rPr>
                <w:b/>
              </w:rPr>
            </w:pPr>
            <w:r>
              <w:rPr>
                <w:b/>
              </w:rPr>
              <w:t>Title of each class</w:t>
            </w:r>
          </w:p>
        </w:tc>
        <w:tc>
          <w:tcPr>
            <w:tcW w:w="1894" w:type="dxa"/>
            <w:tcBorders>
              <w:bottom w:val="single" w:sz="8" w:space="0" w:color="000000"/>
            </w:tcBorders>
            <w:vAlign w:val="center"/>
          </w:tcPr>
          <w:p>
            <w:pPr>
              <w:pStyle w:val="TableContents"/>
              <w:bidi w:val="0"/>
              <w:spacing w:before="0" w:after="283"/>
              <w:jc w:val="center"/>
              <w:rPr>
                <w:b/>
              </w:rPr>
            </w:pPr>
            <w:r>
              <w:rPr>
                <w:b/>
              </w:rPr>
              <w:t>Trading Symbol(s)</w:t>
            </w:r>
          </w:p>
        </w:tc>
        <w:tc>
          <w:tcPr>
            <w:tcW w:w="4376"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935" w:type="dxa"/>
            <w:tcBorders/>
            <w:tcMar>
              <w:bottom w:w="0" w:type="dxa"/>
            </w:tcMar>
            <w:vAlign w:val="center"/>
          </w:tcPr>
          <w:p>
            <w:pPr>
              <w:pStyle w:val="TableContents"/>
              <w:bidi w:val="0"/>
              <w:spacing w:before="0" w:after="283"/>
              <w:jc w:val="center"/>
              <w:rPr/>
            </w:pPr>
            <w:r>
              <w:rPr/>
              <w:t>Common Stock, par value $0.25 per share</w:t>
            </w:r>
          </w:p>
        </w:tc>
        <w:tc>
          <w:tcPr>
            <w:tcW w:w="1894" w:type="dxa"/>
            <w:tcBorders/>
            <w:tcMar>
              <w:bottom w:w="0" w:type="dxa"/>
            </w:tcMar>
            <w:vAlign w:val="center"/>
          </w:tcPr>
          <w:p>
            <w:pPr>
              <w:pStyle w:val="TableContents"/>
              <w:bidi w:val="0"/>
              <w:spacing w:before="0" w:after="283"/>
              <w:jc w:val="center"/>
              <w:rPr/>
            </w:pPr>
            <w:r>
              <w:rPr/>
              <w:t>SWKS</w:t>
            </w:r>
          </w:p>
        </w:tc>
        <w:tc>
          <w:tcPr>
            <w:tcW w:w="4376" w:type="dxa"/>
            <w:tcBorders/>
            <w:tcMar>
              <w:bottom w:w="0" w:type="dxa"/>
            </w:tcMar>
            <w:vAlign w:val="center"/>
          </w:tcPr>
          <w:p>
            <w:pPr>
              <w:pStyle w:val="TableContents"/>
              <w:bidi w:val="0"/>
              <w:spacing w:before="0" w:after="283"/>
              <w:jc w:val="center"/>
              <w:rPr/>
            </w:pPr>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Skyworks Solutions, Inc. (“Skyworks”) issued a press release. The full text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mergers (the “Mergers”) with Qorvo, Inc.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9" w:right="0" w:hanging="119"/>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119" w:right="0" w:hanging="119"/>
        <w:jc w:val="left"/>
        <w:rPr>
          <w:caps w:val="false"/>
          <w:smallCaps w:val="false"/>
        </w:rPr>
      </w:pPr>
      <w:r>
        <w:rPr>
          <w:caps w:val="false"/>
          <w:smallCaps w:val="false"/>
        </w:rPr>
        <w:t> </w:t>
      </w:r>
    </w:p>
    <w:p>
      <w:pPr>
        <w:pStyle w:val="TextBody"/>
        <w:bidi w:val="0"/>
        <w:spacing w:before="0" w:after="0"/>
        <w:ind w:left="119" w:right="119"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Exhibits</w:t>
      </w:r>
    </w:p>
    <w:p>
      <w:pPr>
        <w:pStyle w:val="TextBody"/>
        <w:bidi w:val="0"/>
        <w:spacing w:before="0" w:after="0"/>
        <w:ind w:left="119" w:right="119"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0"/>
        <w:gridCol w:w="60"/>
        <w:gridCol w:w="9405"/>
      </w:tblGrid>
      <w:tr>
        <w:trPr/>
        <w:tc>
          <w:tcPr>
            <w:tcW w:w="7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05"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740" w:type="dxa"/>
            <w:tcBorders/>
            <w:tcMar>
              <w:bottom w:w="0" w:type="dxa"/>
            </w:tcMar>
            <w:vAlign w:val="center"/>
          </w:tcPr>
          <w:p>
            <w:pPr>
              <w:pStyle w:val="TableContents"/>
              <w:bidi w:val="0"/>
              <w:spacing w:before="0" w:after="283"/>
              <w:jc w:val="left"/>
              <w:rPr/>
            </w:pPr>
            <w:hyperlink w:anchor="tm2626657d2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05" w:type="dxa"/>
            <w:tcBorders/>
            <w:tcMar>
              <w:bottom w:w="0" w:type="dxa"/>
            </w:tcMar>
            <w:vAlign w:val="center"/>
          </w:tcPr>
          <w:p>
            <w:pPr>
              <w:pStyle w:val="TableContents"/>
              <w:bidi w:val="0"/>
              <w:spacing w:before="0" w:after="283"/>
              <w:jc w:val="left"/>
              <w:rPr/>
            </w:pPr>
            <w:hyperlink w:anchor="tm2626657d2_ex99-1.htm">
              <w:r>
                <w:rPr>
                  <w:rStyle w:val="InternetLink"/>
                  <w:sz w:val="20"/>
                </w:rPr>
                <w:t>Press Release, dated September 30, 2026</w:t>
              </w:r>
            </w:hyperlink>
          </w:p>
        </w:tc>
      </w:tr>
      <w:tr>
        <w:trPr/>
        <w:tc>
          <w:tcPr>
            <w:tcW w:w="740"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05" w:type="dxa"/>
            <w:tcBorders/>
            <w:tcMar>
              <w:bottom w:w="0" w:type="dxa"/>
            </w:tcMar>
            <w:vAlign w:val="center"/>
          </w:tcPr>
          <w:p>
            <w:pPr>
              <w:pStyle w:val="TableContents"/>
              <w:bidi w:val="0"/>
              <w:spacing w:before="0" w:after="283"/>
              <w:jc w:val="left"/>
              <w:rPr>
                <w:sz w:val="20"/>
              </w:rPr>
            </w:pPr>
            <w:r>
              <w:rPr>
                <w:sz w:val="20"/>
              </w:rPr>
              <w:t>Cover Page Interactive Data File (formatted as Inline XBRL with applicable taxonomy extension information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655"/>
        <w:gridCol w:w="545"/>
        <w:gridCol w:w="4130"/>
      </w:tblGrid>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sz w:val="20"/>
              </w:rPr>
            </w:pPr>
            <w:r>
              <w:rPr>
                <w:sz w:val="20"/>
              </w:rPr>
              <w:t>Skyworks Solutions, Inc.</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i/>
                <w:sz w:val="20"/>
              </w:rPr>
            </w:pPr>
            <w:r>
              <w:rPr>
                <w:i/>
                <w:sz w:val="20"/>
              </w:rPr>
              <w:t>September 30, 2026</w:t>
            </w:r>
          </w:p>
        </w:tc>
        <w:tc>
          <w:tcPr>
            <w:tcW w:w="545" w:type="dxa"/>
            <w:tcBorders/>
            <w:vAlign w:val="center"/>
          </w:tcPr>
          <w:p>
            <w:pPr>
              <w:pStyle w:val="TableContents"/>
              <w:bidi w:val="0"/>
              <w:spacing w:before="0" w:after="283"/>
              <w:jc w:val="left"/>
              <w:rPr>
                <w:i/>
                <w:sz w:val="20"/>
              </w:rPr>
            </w:pPr>
            <w:r>
              <w:rPr>
                <w:i/>
                <w:sz w:val="20"/>
              </w:rPr>
              <w:t>By:</w:t>
            </w:r>
          </w:p>
        </w:tc>
        <w:tc>
          <w:tcPr>
            <w:tcW w:w="4130" w:type="dxa"/>
            <w:tcBorders/>
            <w:vAlign w:val="center"/>
          </w:tcPr>
          <w:p>
            <w:pPr>
              <w:pStyle w:val="TableContents"/>
              <w:bidi w:val="0"/>
              <w:spacing w:before="0" w:after="283"/>
              <w:jc w:val="left"/>
              <w:rPr>
                <w:i/>
                <w:sz w:val="20"/>
              </w:rPr>
            </w:pPr>
            <w:r>
              <w:rPr>
                <w:i/>
                <w:sz w:val="20"/>
              </w:rPr>
              <w:t>/s/ Philip Carter</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i/>
                <w:sz w:val="20"/>
              </w:rPr>
            </w:pPr>
            <w:r>
              <w:rPr>
                <w:i/>
                <w:sz w:val="20"/>
              </w:rPr>
              <w:t>Name:</w:t>
            </w:r>
          </w:p>
        </w:tc>
        <w:tc>
          <w:tcPr>
            <w:tcW w:w="4130" w:type="dxa"/>
            <w:tcBorders>
              <w:top w:val="single" w:sz="8" w:space="0" w:color="000000"/>
            </w:tcBorders>
            <w:tcMar>
              <w:top w:w="28" w:type="dxa"/>
            </w:tcMar>
            <w:vAlign w:val="center"/>
          </w:tcPr>
          <w:p>
            <w:pPr>
              <w:pStyle w:val="TableContents"/>
              <w:bidi w:val="0"/>
              <w:spacing w:before="0" w:after="283"/>
              <w:jc w:val="left"/>
              <w:rPr>
                <w:i/>
                <w:sz w:val="20"/>
              </w:rPr>
            </w:pPr>
            <w:r>
              <w:rPr>
                <w:i/>
                <w:sz w:val="20"/>
              </w:rPr>
              <w:t>Philip Carter</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i/>
                <w:sz w:val="20"/>
              </w:rPr>
            </w:pPr>
            <w:r>
              <w:rPr>
                <w:i/>
                <w:sz w:val="20"/>
              </w:rPr>
              <w:t>Title:</w:t>
            </w:r>
          </w:p>
        </w:tc>
        <w:tc>
          <w:tcPr>
            <w:tcW w:w="4130" w:type="dxa"/>
            <w:tcBorders/>
            <w:vAlign w:val="center"/>
          </w:tcPr>
          <w:p>
            <w:pPr>
              <w:pStyle w:val="TableContents"/>
              <w:bidi w:val="0"/>
              <w:spacing w:before="0" w:after="283"/>
              <w:jc w:val="left"/>
              <w:rPr>
                <w:i/>
                <w:sz w:val="20"/>
              </w:rPr>
            </w:pPr>
            <w:r>
              <w:rPr>
                <w:i/>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2" w:name="tm2626657d2_ex99-1.htm"/>
      <w:bookmarkStart w:id="3" w:name="kstm2626657d2_ex991"/>
      <w:bookmarkEnd w:id="2"/>
      <w:bookmarkEnd w:id="3"/>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8954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57200"/>
                    </a:xfrm>
                    <a:prstGeom prst="rect">
                      <a:avLst/>
                    </a:prstGeom>
                  </pic:spPr>
                </pic:pic>
              </a:graphicData>
            </a:graphic>
          </wp:inline>
        </w:drawing>
      </w:r>
      <w:r>
        <w:rPr/>
        <w:t> </w:t>
      </w:r>
    </w:p>
    <w:p>
      <w:pPr>
        <w:pStyle w:val="TextBody"/>
        <w:bidi w:val="0"/>
        <w:spacing w:before="0" w:after="283"/>
        <w:jc w:val="left"/>
        <w:rPr/>
      </w:pPr>
      <w:r>
        <w:rPr/>
        <w:t> </w:t>
      </w:r>
    </w:p>
    <w:tbl>
      <w:tblPr>
        <w:tblW w:w="5530" w:type="dxa"/>
        <w:jc w:val="left"/>
        <w:tblInd w:w="0" w:type="dxa"/>
        <w:tblLayout w:type="fixed"/>
        <w:tblCellMar>
          <w:top w:w="0" w:type="dxa"/>
          <w:left w:w="0" w:type="dxa"/>
          <w:bottom w:w="0" w:type="dxa"/>
          <w:right w:w="0" w:type="dxa"/>
        </w:tblCellMar>
      </w:tblPr>
      <w:tblGrid>
        <w:gridCol w:w="3200"/>
        <w:gridCol w:w="2330"/>
      </w:tblGrid>
      <w:tr>
        <w:trPr/>
        <w:tc>
          <w:tcPr>
            <w:tcW w:w="32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Griffiths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230-4867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Constance.Griffiths@skyworksinc.com</w:t>
            </w:r>
          </w:p>
        </w:tc>
        <w:tc>
          <w:tcPr>
            <w:tcW w:w="2330" w:type="dxa"/>
            <w:tcBorders/>
            <w:vAlign w:val="center"/>
          </w:tcPr>
          <w:p>
            <w:pPr>
              <w:pStyle w:val="TableContents"/>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Receives All Necessary Clearances for Proposed Combination with Qorvo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IRVINE, Calif., -- September 30, 2026</w:t>
      </w:r>
      <w:r>
        <w:rPr>
          <w:rFonts w:ascii="Times New Roman;Times;Serif" w:hAnsi="Times New Roman;Times;Serif"/>
          <w:b w:val="false"/>
          <w:i w:val="false"/>
          <w:caps w:val="false"/>
          <w:smallCaps w:val="false"/>
          <w:sz w:val="20"/>
        </w:rPr>
        <w:t xml:space="preserve"> - Skyworks Solutions, Inc. (Nasdaq: SWKS) today announced that it has received all necessary regulatory clearances to proceed with the previously announced transaction with Qorvo, Inc. (Nasdaq: QRVO) (the “Mergers”). The parties expect to close the Mergers on or about October 5, 2026, subject to the satisfaction or waiver of the remaining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and Qorvo previously announced on October 28, 2025 their agreement to combine in a cash-and-stock transaction, bringing together the companies’ complementary product and technology portfolios and world-class engineering capabilities. The combination will create a U.S.-based, global leader in high-performance radio frequency, analog and mixed-signal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Skyworks previously announced offers to exchange any and all of the outstanding 4.375% Senior Notes due 2029 issued by Qorvo and any and all of the outstanding 3.375% Senior Notes due 2031 issued by Qorvo, in each case for new notes issued by Skyworks (together with related consent solicitations for proposed amendments to the applicable indenture governing each series of such Qorvo notes), pursuant to the terms and subject to the conditions set forth in Skyworks’ registration statement on Form S-4, which was declared effective on May 29, 2026, and the related final prospectus filed with the Securities and Exchange Commission (the “SEC”) on May 29, 2026 (as it may be amended or supplemented from time to time, the “Prospectus”). Each exchange offer and consent solicitation is conditioned upon the closing of the Mergers, which condition may not be waived by Skyworks. The closing of the Mergers is not conditioned upon the results of the exchange offers and consent solicitations.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expects to pay the Consent Payments (as defined in the Prospectus) with respect to the consent solicitations concurrently with, or promptly following, the closing of the Mergers. The related exchange offers currently are expected to expire at 5:00 p.m., New York City time, on October 2, 2026. Skyworks anticipates issuing a separate press release to extend the expiration date of the exchange offers to a date and time following the closing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We are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 For more information, please visit Skyworks’ website at: www.skyworksinc.com.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Mergers with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tender, consent,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and consent solicitations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Securities Act and Section 21E of the Securities Exchange Act of 1934, as amended. These forward-looking statements are based on Skyworks’ and Qorvo’s current expectations, estimates and projections about the expected date of closing of the Mergers, the exchange offers and the consent solicitations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Skyworks Contacts: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Griffiths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230-4867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Constance.Griffiths@skyworksinc.com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3375</Words>
  <Characters>20048</Characters>
  <CharactersWithSpaces>23459</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