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Nelson Roderick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19"/>
        <w:gridCol w:w="787"/>
        <w:gridCol w:w="661"/>
        <w:gridCol w:w="303"/>
        <w:gridCol w:w="944"/>
        <w:gridCol w:w="459"/>
        <w:gridCol w:w="624"/>
        <w:gridCol w:w="1178"/>
        <w:gridCol w:w="1010"/>
        <w:gridCol w:w="9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12,515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that was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and (ii) each outstanding restricted stock unit award corresponding to shares of Qorvo common stock held by the Reporting Person was cancelled in consideration for the right to receive (x) the Merger Consideration in respect of each share of Qorvo common stock then subject thereto and (y) an amount in cash equal to all dividend equivalents accrued but unpaid with respect thereto.</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5095"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4050</Characters>
  <CharactersWithSpaces>4733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