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537845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503555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640" w:right="460" w:hanging="614"/>
        <w:spacing w:after="0" w:line="238"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28,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40" w:right="44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58420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Qorvo,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46-5288992</w:t>
            </w:r>
          </w:p>
        </w:tc>
      </w:tr>
      <w:tr>
        <w:trPr>
          <w:trHeight w:val="210"/>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0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9"/>
              </w:rPr>
              <w:t>7628 Thorndike Road</w:t>
            </w:r>
          </w:p>
        </w:tc>
        <w:tc>
          <w:tcPr>
            <w:tcW w:w="3220" w:type="dxa"/>
            <w:vAlign w:val="bottom"/>
          </w:tcPr>
          <w:p>
            <w:pPr>
              <w:spacing w:after="0"/>
              <w:rPr>
                <w:sz w:val="24"/>
                <w:szCs w:val="24"/>
                <w:color w:val="auto"/>
              </w:rPr>
            </w:pPr>
          </w:p>
        </w:tc>
      </w:tr>
      <w:tr>
        <w:trPr>
          <w:trHeight w:val="238"/>
        </w:trPr>
        <w:tc>
          <w:tcPr>
            <w:tcW w:w="4720" w:type="dxa"/>
            <w:vAlign w:val="bottom"/>
          </w:tcPr>
          <w:p>
            <w:pPr>
              <w:jc w:val="center"/>
              <w:ind w:right="534"/>
              <w:spacing w:after="0"/>
              <w:rPr>
                <w:sz w:val="20"/>
                <w:szCs w:val="20"/>
                <w:color w:val="auto"/>
              </w:rPr>
            </w:pPr>
            <w:r>
              <w:rPr>
                <w:rFonts w:ascii="Times New Roman" w:cs="Times New Roman" w:eastAsia="Times New Roman" w:hAnsi="Times New Roman"/>
                <w:sz w:val="18"/>
                <w:szCs w:val="18"/>
                <w:b w:val="1"/>
                <w:bCs w:val="1"/>
                <w:color w:val="auto"/>
                <w:w w:val="99"/>
              </w:rPr>
              <w:t>Greensboro, North Carolina</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27409-9421</w:t>
            </w:r>
          </w:p>
        </w:tc>
      </w:tr>
      <w:tr>
        <w:trPr>
          <w:trHeight w:val="210"/>
        </w:trPr>
        <w:tc>
          <w:tcPr>
            <w:tcW w:w="4720" w:type="dxa"/>
            <w:vAlign w:val="bottom"/>
          </w:tcPr>
          <w:p>
            <w:pPr>
              <w:jc w:val="center"/>
              <w:ind w:right="5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(336) 664-1233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0" w:lineRule="exact"/>
        <w:rPr>
          <w:sz w:val="24"/>
          <w:szCs w:val="24"/>
          <w:color w:val="auto"/>
        </w:rPr>
      </w:pPr>
    </w:p>
    <w:p>
      <w:pPr>
        <w:spacing w:after="0" w:line="25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198"/>
        </w:trPr>
        <w:tc>
          <w:tcPr>
            <w:tcW w:w="580" w:type="dxa"/>
            <w:vAlign w:val="bottom"/>
          </w:tcPr>
          <w:p>
            <w:pPr>
              <w:spacing w:after="0"/>
              <w:rPr>
                <w:sz w:val="17"/>
                <w:szCs w:val="17"/>
                <w:color w:val="auto"/>
              </w:rPr>
            </w:pPr>
          </w:p>
        </w:tc>
        <w:tc>
          <w:tcPr>
            <w:tcW w:w="2000" w:type="dxa"/>
            <w:vAlign w:val="bottom"/>
            <w:gridSpan w:val="2"/>
          </w:tcPr>
          <w:p>
            <w:pPr>
              <w:jc w:val="center"/>
              <w:ind w:right="6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60" w:type="dxa"/>
            <w:vAlign w:val="bottom"/>
          </w:tcPr>
          <w:p>
            <w:pPr>
              <w:spacing w:after="0"/>
              <w:rPr>
                <w:sz w:val="17"/>
                <w:szCs w:val="17"/>
                <w:color w:val="auto"/>
              </w:rPr>
            </w:pPr>
          </w:p>
        </w:tc>
        <w:tc>
          <w:tcPr>
            <w:tcW w:w="2040" w:type="dxa"/>
            <w:vAlign w:val="bottom"/>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gridSpan w:val="2"/>
          </w:tcPr>
          <w:p>
            <w:pPr>
              <w:jc w:val="center"/>
              <w:ind w:left="5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7"/>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43"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right="18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January 22, 2025, there were 93,396,832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QORVO, INC. AND SUBSIDIARIES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4200" w:type="dxa"/>
            <w:vAlign w:val="bottom"/>
            <w:gridSpan w:val="7"/>
            <w:vMerge w:val="restart"/>
          </w:tcPr>
          <w:p>
            <w:pPr>
              <w:spacing w:after="0"/>
              <w:rPr>
                <w:sz w:val="24"/>
                <w:szCs w:val="24"/>
                <w:color w:val="auto"/>
              </w:rPr>
            </w:pPr>
          </w:p>
        </w:tc>
        <w:tc>
          <w:tcPr>
            <w:tcW w:w="3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4200" w:type="dxa"/>
            <w:vAlign w:val="bottom"/>
            <w:gridSpan w:val="7"/>
            <w:vMerge w:val="continue"/>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1. Financial Statements (Unaudited).</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240" w:type="dxa"/>
            <w:vAlign w:val="bottom"/>
            <w:gridSpan w:val="8"/>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w:t>
            </w:r>
          </w:p>
        </w:tc>
        <w:tc>
          <w:tcPr>
            <w:tcW w:w="2240" w:type="dxa"/>
            <w:vAlign w:val="bottom"/>
            <w:gridSpan w:val="2"/>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72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960" w:type="dxa"/>
            <w:vAlign w:val="bottom"/>
            <w:gridSpan w:val="3"/>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0" w:type="dxa"/>
            <w:vAlign w:val="bottom"/>
          </w:tcPr>
          <w:p>
            <w:pPr>
              <w:spacing w:after="0"/>
              <w:rPr>
                <w:sz w:val="1"/>
                <w:szCs w:val="1"/>
                <w:color w:val="auto"/>
              </w:rPr>
            </w:pPr>
          </w:p>
        </w:tc>
      </w:tr>
      <w:tr>
        <w:trPr>
          <w:trHeight w:val="210"/>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9"/>
        </w:trPr>
        <w:tc>
          <w:tcPr>
            <w:tcW w:w="53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2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4500" w:type="dxa"/>
            <w:vAlign w:val="bottom"/>
            <w:gridSpan w:val="10"/>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5720" w:type="dxa"/>
            <w:vAlign w:val="bottom"/>
            <w:gridSpan w:val="1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9"/>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r>
              <w:rPr>
                <w:rFonts w:ascii="Times New Roman" w:cs="Times New Roman" w:eastAsia="Times New Roman" w:hAnsi="Times New Roman"/>
                <w:sz w:val="18"/>
                <w:szCs w:val="18"/>
                <w:b w:val="1"/>
                <w:bCs w:val="1"/>
                <w:color w:val="000000"/>
              </w:rPr>
              <w:t>.</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10"/>
        </w:trPr>
        <w:tc>
          <w:tcPr>
            <w:tcW w:w="20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Item 5. Other Information.</w:t>
            </w:r>
          </w:p>
        </w:tc>
        <w:tc>
          <w:tcPr>
            <w:tcW w:w="3140" w:type="dxa"/>
            <w:vAlign w:val="bottom"/>
            <w:tcBorders>
              <w:top w:val="single" w:sz="8" w:color="0000FF"/>
            </w:tcBorders>
            <w:gridSpan w:val="10"/>
          </w:tcPr>
          <w:p>
            <w:pPr>
              <w:spacing w:after="0"/>
              <w:rPr>
                <w:sz w:val="18"/>
                <w:szCs w:val="18"/>
                <w:color w:val="auto"/>
              </w:rPr>
            </w:pPr>
          </w:p>
        </w:tc>
        <w:tc>
          <w:tcPr>
            <w:tcW w:w="224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6. Exhibits.</w:t>
            </w:r>
          </w:p>
        </w:tc>
        <w:tc>
          <w:tcPr>
            <w:tcW w:w="6180" w:type="dxa"/>
            <w:vAlign w:val="bottom"/>
            <w:gridSpan w:val="14"/>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480"/>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40" w:type="dxa"/>
            <w:vAlign w:val="bottom"/>
          </w:tcPr>
          <w:p>
            <w:pPr>
              <w:spacing w:after="0"/>
              <w:rPr>
                <w:sz w:val="16"/>
                <w:szCs w:val="16"/>
                <w:color w:val="auto"/>
              </w:rPr>
            </w:pPr>
          </w:p>
        </w:tc>
        <w:tc>
          <w:tcPr>
            <w:tcW w:w="14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1,029,258</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$313 as of December 28, 2024 and March 30, 2024</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412,960</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710,555</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40,563</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78,993</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of disposal group held for sale</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2,096,863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2,446,034</w:t>
            </w: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$1,806,645 and $1,683,592 as of December 28,</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and March 30, 2024, respectively</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870,982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2,534,601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509,383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5,963,096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6,554,635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252,993</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336,767</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438,740</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113,215</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of disposal group held for sale</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88,372</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1,230,087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1,549,272</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2,582,663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2,998,263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(Note 10)</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8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 $.0001 par value; 405,000 shares authorized; 93,559 and</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95,798 shares issued and outstanding at December 28, 2024 and March 30, 2024, respectively</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3,455,850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3,651,067</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(89,598)</w:t>
            </w:r>
          </w:p>
        </w:tc>
      </w:tr>
      <w:tr>
        <w:trPr>
          <w:trHeight w:val="223"/>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3,380,433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3,556,372</w:t>
            </w:r>
          </w:p>
        </w:tc>
      </w:tr>
      <w:tr>
        <w:trPr>
          <w:trHeight w:val="248"/>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6,554,635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2,828,518</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1,721,880</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1,106,638</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502,366</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296,033</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1,044,915</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61,723</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(51,963)</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44,046</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(117,103)</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(73,057)</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0" w:type="dxa"/>
            <w:vAlign w:val="bottom"/>
          </w:tcPr>
          <w:p>
            <w:pPr>
              <w:spacing w:after="0"/>
              <w:rPr>
                <w:sz w:val="1"/>
                <w:szCs w:val="1"/>
                <w:color w:val="auto"/>
              </w:rPr>
            </w:pPr>
          </w:p>
        </w:tc>
      </w:tr>
      <w:tr>
        <w:trPr>
          <w:trHeight w:val="234"/>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(73,057)</w:t>
            </w: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pension liability</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4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including intra-</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4"/>
        </w:trPr>
        <w:tc>
          <w:tcPr>
            <w:tcW w:w="442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entity foreign currency transactions that are of a long-</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4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term investment nature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pension actuarial gain</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19,278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(69,780)</w:t>
            </w: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34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3"/>
                <w:szCs w:val="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28,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3,410,169</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3,380,433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3,796,189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3,817,186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175"/>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(100,812)</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20,182</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30, 2023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3,638,347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34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3"/>
                <w:szCs w:val="3"/>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30,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3,556,372</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34,233</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(308,296)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28, 2024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93,559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3,455,850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3,380,433</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April 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3,821,474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3,902,794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(73,057)</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w:t>
            </w:r>
          </w:p>
        </w:tc>
        <w:tc>
          <w:tcPr>
            <w:tcW w:w="0" w:type="dxa"/>
            <w:vAlign w:val="bottom"/>
          </w:tcPr>
          <w:p>
            <w:pPr>
              <w:spacing w:after="0"/>
              <w:rPr>
                <w:sz w:val="1"/>
                <w:szCs w:val="1"/>
                <w:color w:val="auto"/>
              </w:rPr>
            </w:pPr>
          </w:p>
        </w:tc>
      </w:tr>
      <w:tr>
        <w:trPr>
          <w:trHeight w:val="175"/>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(301,978)</w:t>
            </w:r>
          </w:p>
        </w:tc>
        <w:tc>
          <w:tcPr>
            <w:tcW w:w="0" w:type="dxa"/>
            <w:vAlign w:val="bottom"/>
          </w:tcPr>
          <w:p>
            <w:pPr>
              <w:spacing w:after="0"/>
              <w:rPr>
                <w:sz w:val="1"/>
                <w:szCs w:val="1"/>
                <w:color w:val="auto"/>
              </w:rPr>
            </w:pPr>
          </w:p>
        </w:tc>
      </w:tr>
      <w:tr>
        <w:trPr>
          <w:trHeight w:val="229"/>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97,276</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30, 2023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3,638,347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Pr>
          <w:p>
            <w:pPr>
              <w:spacing w:after="0"/>
              <w:rPr>
                <w:sz w:val="16"/>
                <w:szCs w:val="16"/>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(73,057)</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146,841</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92,308</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62,365</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221,414</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99,253</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24,453</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(179,315)</w:t>
            </w:r>
          </w:p>
        </w:tc>
      </w:tr>
      <w:tr>
        <w:trPr>
          <w:trHeight w:val="230"/>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66,190</w:t>
            </w: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w:t>
            </w:r>
          </w:p>
        </w:tc>
      </w:tr>
      <w:tr>
        <w:trPr>
          <w:trHeight w:val="229"/>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183,091</w:t>
            </w:r>
          </w:p>
        </w:tc>
      </w:tr>
      <w:tr>
        <w:trPr>
          <w:trHeight w:val="23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r>
      <w:tr>
        <w:trPr>
          <w:trHeight w:val="229"/>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630,845</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(94,514)</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47,446</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23,777</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(23,291)</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(300,043)</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26,358</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and repurchase of debt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(17,914)</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sale of inventory subject to repurchase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(327,850)</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283,044</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808,943</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1,091,987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1,071,987</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769,432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1,091,987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included in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77,704</w:t>
            </w: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ind w:right="55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30, 2024.</w:t>
      </w:r>
    </w:p>
    <w:p>
      <w:pPr>
        <w:spacing w:after="0" w:line="2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have been eliminated in consolidation. The Company is organized into three operating and reportable segments that align technologies and applications with customers and end markets: High Performance Analog ("HPA"), Connectivity and Sensors Group ("CSG") and Advanced Cellular Group ("ACG").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fiscal 2025 presentation.</w:t>
      </w:r>
    </w:p>
    <w:p>
      <w:pPr>
        <w:spacing w:after="0" w:line="25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years 2025 and 2024 are 52-week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 AND OTHER DEVELOPMENTS</w:t>
      </w:r>
    </w:p>
    <w:p>
      <w:pPr>
        <w:spacing w:after="0" w:line="25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August 2022, the Creating Helpful Incentives to Produce Semiconductors and Science Act (the "CHIPS Act") was signed into law. The CHIPS Act provides for a 25% refundable tax credit on certain investments in domestic semiconductor manufacturing. The tax credit is provided for qualifying property and equipment which is placed in service after December 31, 2022, and for which construction begins before January 1, 2027. The CHIPS Act also provides for certain other financial incentives to further investments in domestic semiconductor manufacturing. During the three and nine months ended December 28, 2024, the Company recognized an anticipated tax credit within other non-current assets related to qualifying expenditures placed in service since December 31, 2022 (which will be amortized over the useful lives of the qualifying assets), with a corresponding reduction to the carrying amount of the qualifying property and equipment.</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("ASU 2023-07"), which requires enhanced disclosures related to significant segment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adopt ASU 2023-07 for its fiscal 2025 annual report and for interim periods beginning in fiscal 2026 on a retrospective basis. The Company is currently evaluating the effect this new standard will have on its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net of reserves, are as follows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December 28, 2024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201,748</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161,632</w:t>
            </w:r>
          </w:p>
        </w:tc>
      </w:tr>
      <w:tr>
        <w:trPr>
          <w:trHeight w:val="22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710,555</w:t>
            </w: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$35.3 million of inventories, net of reserves, which has been reclassified to "Assets of disposal group held for sale." Refer to Note 5 for additional information.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75"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DIVESTITURE</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December 16, 2023, the Company entered into a definitive agreement (the "Purchase Agreement") with Luxshare Precision Industry Co., Ltd. ("Luxshare") to divest its assembly and test operations in Beijing and Dezhou, China (the "China Disposal Group") for preliminary cash proceeds of approximately $240.0 million (for the cash on hand of the disposed business, the assets and liabilities of the China Disposal Group and inventory). In the fourth quarter of fiscal 2024, regulatory approvals were received, and the China Disposal Group met the criteria to be classified as held for sale in accordance with Accounting Standards Codification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China Disposal Group constituted a business, and therefore, the Company allocated $22.0 million of goodwill from three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units to assets held for sale based on a relative fair value basis. These reporting units were evaluated for impairment subsequent to the allocation of goodwill to the China Disposal Group and it was determined that the fair value of all reporting units was in excess of their carrying amounts. Additionally, in accordance with ASC 360, the China Disposal Group was measured at the lower of carrying value or fair value less costs to sell. As the carrying value of the China Disposal Group exceeded the fair value less costs to sell, a loss of $35.3 million was recognized for the fiscal year ended March 30, 2024, which was recorded in "Other operating expense" in the Consolidated Statement of Operations. The divestiture of the China Disposal Group did not meet the criteria to be reported as discontinued operations per ASC 205-20, "</w:t>
      </w:r>
      <w:r>
        <w:rPr>
          <w:rFonts w:ascii="Times New Roman" w:cs="Times New Roman" w:eastAsia="Times New Roman" w:hAnsi="Times New Roman"/>
          <w:sz w:val="18"/>
          <w:szCs w:val="18"/>
          <w:i w:val="1"/>
          <w:iCs w:val="1"/>
          <w:color w:val="auto"/>
        </w:rPr>
        <w:t>Presentation of Financial Statements: Discontinued Operations</w:t>
      </w:r>
      <w:r>
        <w:rPr>
          <w:rFonts w:ascii="Times New Roman" w:cs="Times New Roman" w:eastAsia="Times New Roman" w:hAnsi="Times New Roman"/>
          <w:sz w:val="18"/>
          <w:szCs w:val="18"/>
          <w:color w:val="auto"/>
        </w:rPr>
        <w:t>" ("ASC 205-20").</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completed the sale of its assembly and test operations in China on May 2, 2024 for a purchase price of approximately $232.0 million, resulting in an incremental loss of $8.0 million (which included an additional goodwill write-off of $1.0 million) recorded in "Other operating expense" in the Condensed Consolidated Statement of Operations for the three months ended June 29, 2024. The consideration received was for the cash on hand of the disposed business of $29.0 million, the assets and liabilities of the China Disposal Group of $76.0 million and inventory of $127.0 million. The inventory amount relates to inventory that the Company sold to Luxshare and is obligated to repurchase at a future date subsequent to the performance of assembly and test services by Luxshare pursuant to a supply agreement. The purchase price, which was subject to certain post-closing adjustments, increased to $234.0 million in the three months ended September 28, 2024, as a result of a $2.0 million increase in the value of inventory. Under the ongoing supply agreement, legal title to the inventory sold by the Company resides with Luxshare.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will continue to recognize the inventory on its balance sheet and record a financial liability (which is included in "Other current liabilities") equal to the cash received by the Company attributable to the inventory subject to repurchase.</w:t>
      </w:r>
    </w:p>
    <w:p>
      <w:pPr>
        <w:spacing w:after="0" w:line="2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cash received from the sale of the assets and liabilities of the China Disposal Group of $76.0 million is included in cash flows from investing activities in the Condensed Consolidated Statement of Cash Flows for the nine months ended December 28, 2024, net of a $20.0 million deposit received in fiscal 2024 upon execution of the Purchase Agreement (which was included in “Other investing activities” in the fiscal 2024 Consolidated Statement of Cash Flows). The net proceeds from the sale of inventory subject to repurchase by the Company is included in cash flows from financing activities in the Condensed Consolidated Statement of Cash Flows for the nine months ended December 28,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HELD FOR SALE</w:t>
      </w:r>
    </w:p>
    <w:p>
      <w:pPr>
        <w:spacing w:after="0" w:line="25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the second quarter of fiscal 2025, the Company determined that there was a more-likely-than-not expectation of divesting its silicon carbide ("SiC") power device business and impairment testing was triggered. The inventory and long-lived assets that were held and used by this business were reviewed for impairment in accordance with ASC 330</w:t>
      </w:r>
      <w:r>
        <w:rPr>
          <w:rFonts w:ascii="Times New Roman" w:cs="Times New Roman" w:eastAsia="Times New Roman" w:hAnsi="Times New Roman"/>
          <w:sz w:val="18"/>
          <w:szCs w:val="18"/>
          <w:i w:val="1"/>
          <w:iCs w:val="1"/>
          <w:color w:val="auto"/>
        </w:rPr>
        <w:t>, "Inventory"</w:t>
      </w:r>
      <w:r>
        <w:rPr>
          <w:rFonts w:ascii="Times New Roman" w:cs="Times New Roman" w:eastAsia="Times New Roman" w:hAnsi="Times New Roman"/>
          <w:sz w:val="18"/>
          <w:szCs w:val="18"/>
          <w:color w:val="auto"/>
        </w:rPr>
        <w:t xml:space="preserve"> and ASC 360, respectively, resulting in inventory write-downs of $13.7 million (for inventory expected to be disposed of) and impairments of intangible assets (primarily developed technology) of $16.6 million. In addition, as the SiC power device business constituted a reporting unit, the goodwill of the reporting unit was also subject to an impairment assessment in accordance with ASC 350, </w:t>
      </w:r>
      <w:r>
        <w:rPr>
          <w:rFonts w:ascii="Times New Roman" w:cs="Times New Roman" w:eastAsia="Times New Roman" w:hAnsi="Times New Roman"/>
          <w:sz w:val="18"/>
          <w:szCs w:val="18"/>
          <w:i w:val="1"/>
          <w:iCs w:val="1"/>
          <w:color w:val="auto"/>
        </w:rPr>
        <w:t xml:space="preserve">"Intangibles - Goodwill and Other" </w:t>
      </w:r>
      <w:r>
        <w:rPr>
          <w:rFonts w:ascii="Times New Roman" w:cs="Times New Roman" w:eastAsia="Times New Roman" w:hAnsi="Times New Roman"/>
          <w:sz w:val="18"/>
          <w:szCs w:val="18"/>
          <w:color w:val="auto"/>
        </w:rPr>
        <w:t>and it was determined that the carrying value exceeded the fair value of this reporting unit, resulting in a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charge of approximately $96.5 million (representing the entire goodwill assigned to this reporting unit).</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Subsequently, in December 2024, the Company entered into a definitive agreement to divest its SiC power device business (the "SiC Disposal Group") for cash proceeds of approximately $115.0 million. As of December 28, 2024, the SiC Disposal Group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met the criteria to be classified as held for sale in accordance with ASC 360. The divestiture of the SiC Disposal Group did not meet the criteria to be reported as discontinued operations per ASC 205-20.</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accordance with ASC 360, the SiC Disposal Group was measured at the lower of carrying value or fair value (based on the preliminary purchase price) less costs to sell. As the fair value less costs to sell exceeded the carrying value of the SiC Disposal Group, no loss was recognized upon classification of the SiC Disposal Group as held for sale.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major classes of assets and liabilities classified as held for sale as of December 28, 2024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74,034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35,317</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r>
      <w:tr>
        <w:trPr>
          <w:trHeight w:val="248"/>
        </w:trPr>
        <w:tc>
          <w:tcPr>
            <w:tcW w:w="9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of disposal group held for sale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38"/>
        </w:trPr>
        <w:tc>
          <w:tcPr>
            <w:tcW w:w="9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23"/>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of disposal group held for sale</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29,075</w:t>
            </w:r>
          </w:p>
        </w:tc>
      </w:tr>
      <w:tr>
        <w:trPr>
          <w:trHeight w:val="20"/>
        </w:trPr>
        <w:tc>
          <w:tcPr>
            <w:tcW w:w="9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January 14, 2025, the Company completed the sale of its SiC power device business, and based on the purchase price, the Company expects to record a gain on the sale in the fourth quarter of fiscal 2025.</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Refer to Note 6 for additional information regarding the impairment of goodwill and intangible assets in the second quarter of fiscal 2025 and refer to Note 12 for information regarding additional charges associated with the divestiture of the SiC power device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second quarter of fiscal 2025, the Company determined that there was a more-likely-than-not expectation of divesting its SiC power device business, and impairment testing was triggered. The impairment testing resulted in impairments of goodwill and intangible assets (primarily developed technology) of approximately $96.5 million and $16.6 million, respectively. The estimated fair values of the intangible assets and the reporting unit were determined using a market approach, and the significant inputs related to valuing these assets are classified as Level 3 in the fair value hierarchy. In December 2024, the Company entered into a definitive agreement to divest its SiC power device business and, as a result, the SiC Disposal Group met the criteria to be classified as held for sale as of December 28, 2024 in accordance with ASC 360 (refer to Note 5 for additional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HPA</w:t>
            </w: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CSG</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ACG</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as of March 30, 2024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2,534,601</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(96,458)</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written off related to sale of business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Anokiwave, Inc. measurement period adjustments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8"/>
        </w:trPr>
        <w:tc>
          <w:tcPr>
            <w:tcW w:w="52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as of December 28, 2024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2,437,234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80" w:firstLine="8"/>
        <w:spacing w:after="0" w:line="267" w:lineRule="auto"/>
        <w:tabs>
          <w:tab w:leader="none" w:pos="22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goodwill balance is presented net of accumulated impairment losses totaling $999.9 million and $903.4 million as of December 28, 2024 and March 30, 2024, respectively, which were recognized in fiscal years 2009, 2013, 2014, 2022, 2023, 2024 and 2025.</w:t>
      </w: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gross carrying amounts and accumulated amortization of intangible assets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320" w:type="dxa"/>
            <w:vAlign w:val="bottom"/>
          </w:tcPr>
          <w:p>
            <w:pPr>
              <w:spacing w:after="0"/>
              <w:rPr>
                <w:sz w:val="16"/>
                <w:szCs w:val="16"/>
                <w:color w:val="auto"/>
              </w:rPr>
            </w:pPr>
          </w:p>
        </w:tc>
        <w:tc>
          <w:tcPr>
            <w:tcW w:w="3040" w:type="dxa"/>
            <w:vAlign w:val="bottom"/>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40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3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3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484,347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licenses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(2)</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856,065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523,727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1,069,193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559,810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120" w:firstLine="8"/>
        <w:spacing w:after="0" w:line="261" w:lineRule="auto"/>
        <w:tabs>
          <w:tab w:leader="none" w:pos="22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December 28, 2024 balances exclude $109.5 million of gross carrying amount and $35.5 million of accumulated amortization for Developed technology, as well as $19.2 million of both gross carrying amount and accumulated amortization for Customer relationships of the SiC Disposal Group which has been reclassified to "Assets of disposal group held for sale." Refer to Note 5 for additional information.</w:t>
      </w:r>
    </w:p>
    <w:p>
      <w:pPr>
        <w:spacing w:after="0" w:line="1"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the impact of foreign currency translation.</w:t>
      </w:r>
    </w:p>
    <w:p>
      <w:pPr>
        <w:spacing w:after="0" w:line="2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AND FAIR VALUE MEASUREMENTS</w:t>
      </w:r>
    </w:p>
    <w:p>
      <w:pPr>
        <w:spacing w:after="0" w:line="25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 and are considered Level 1 in the fair value hierarchy. The fair value of the mutual funds as of December 28, 2024 and March 30, 2024 was $61.7 million and $52.3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20" w:type="dxa"/>
            <w:vAlign w:val="bottom"/>
          </w:tcPr>
          <w:p>
            <w:pPr>
              <w:spacing w:after="0"/>
              <w:rPr>
                <w:sz w:val="16"/>
                <w:szCs w:val="16"/>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439,738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premium, discount and issuance costs, net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1,988,012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(438,740)</w:t>
            </w:r>
          </w:p>
        </w:tc>
      </w:tr>
      <w:tr>
        <w:trPr>
          <w:trHeight w:val="248"/>
        </w:trPr>
        <w:tc>
          <w:tcPr>
            <w:tcW w:w="78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1,549,272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$325.0 million senior revolving line of credit (the "Revolving Facility"). Up to $25.0 million of the Revolving Facility may be used for the issuance of standby letters of credit, and up to $10.0 million of the Revolving Facility may be used for swing line advances (i.e., short-term borrowings made available from the lead lender). The Company may request at any time that the Revolving Facility be increased by up to $325.0 million, subject to securing additional funding commitments from existing or new lenders. The Revolving Facility is available to finance working capital, capital expenditures and other lawful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purposes. The initial maturity date of the Revolving Facility is April 23, 2029, which may be extended by up to two years by exercising extension options provided in the Credit Agreement.</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December 28, 2024, there were no borrowings under the Revolving Facility.</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the Company must be in compliance in order to borrow funds and avoid an event of default. As of December 28, 2024, the Company was in compliance with these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2024</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December 14, 2021, the Company issued $500.0 million aggregate principal amount of its 1.750% senior notes due 2024 (the "2024 Notes"). In fiscal 2024, the Company repurchased $60.3 million of the principal amount of the 2024 Notes, plus accrued and unpaid interest, on the open market. In the first quarter of fiscal 2025, the Company repurchased $27.3 million of the principal amount of the 2024 Notes, plus accrued and unpaid interest, on the open market, and the Company recognized a net gain on debt extinguishment of $0.6 million, which is included in "Other income, net" in the Condensed Consolidated Statement of Operations. The Company repaid the remaining principal balance of $412.5 million of the 2024 Notes, plus accrued and unpaid interest, with cash on hand upon maturity in December 2024.</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paid interest of $7.2 million and $8.6 million on the 2024 Notes during the nine months ended December 28, 2024 and December 30,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2029</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customary events of default, including payment default, exchange default, failure to provide certain notices thereunder and certain provisions related to bankruptcy events. The 2019 Indenture also contains customary negative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is payable on the 2029 Notes on April 15 and October 15 of each year. The Company paid interest of $37.2 million on the 2029 Notes during both the nine months ended December 28, 2024 and December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2031</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0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2019 Indenture.</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Interest is payable on the 2031 Notes on April 1 and October 1 of each year. The Company paid interest of $23.6 million and $11.8 million on the 2031 Notes during the nine months ended December 28, 2024 and December 30,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 of the 2029 Notes and the 2031 Notes as of December 28, 2024 was $795.2 million and $598.7 million, respectively (compared to the outstanding principal amount of $850.0 million and $700.0 million, respectively). The estimated fair value of the 2024 Notes, the 2029 Notes and the 2031 Notes as of March 30, 2024 was $426.9 million, $797.6 million and $603.8 million, respectively (compared to the outstanding principal amount of $439.7 million, $850.0 million and $700.0 million, respectively). The Company considers its debt to be Level 2 in the fair value hierarchy. Fair values are estimated based on quoted market prices for identical or similar instruments. The 2029 Notes and the 2031 Notes currently trade over-the-counter, and the fair values were estimated based upon the value of the last trade at the end of the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December 28, 2024, the Company recognized $19.4 million and $61.4 million of interest expense, respectively, primarily related to the 2024 Notes, the 2029 Notes and the 2031 Notes, which was partially offset by interest capitalized to property and equipment of $0.8 million and $3.1 million, respectively. Interest expense for the three and nine months ended December 28, 2024 also includes financing costs related to certain inventory (subject to repurchase) in connection with a supply agreement. During the three and nine months ended December 30, 2023, the Company recognized $18.2 million and $54.2 million of interest expense, respectively, primarily related to the 2024 Notes, the 2029 Notes and the 2031 Notes, which was partially offset by interest capitalized to property and equipment of $0.6 million and $2.3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REPURCHASES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20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December 28, 2024, the Company repurchased approximately 1.4 million and 3.3 million shares of its common stock, respectively, for approximately $100.8 million and $308.3 million, respectively (including transaction costs and excise tax). As of December 28, 2024, approximately $998.6 million remains authorized for repurchases under the current share repurchase program.</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December 30, 2023, the Company repurchased approximately 1.1 million and 3.1 million shares of its common stock, respectively, for approximately $100.8 million and $302.0 million, respectively (including transaction costs and excise tax) under its share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region (based on the location of the customers' headquarters) is summarized as follows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18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1,667,048</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541,878</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Asia</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355,313</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192,793</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71,486</w:t>
            </w:r>
          </w:p>
        </w:tc>
      </w:tr>
      <w:tr>
        <w:trPr>
          <w:trHeight w:val="223"/>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1,073,861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2,849,497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2,828,518</w:t>
            </w: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disaggregates revenue by operating segments (refer to Note 13).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Restructuring Initiatives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fiscal 2025, the Company initiated actions to reduce operating expenses, streamline its manufacturing footprint and focus on opportunities that align with its long-term profitability objectives (the "2025 Restructuring Initiatives"). As part of these actions, the Company determined in the second quarter of fiscal 2025 that there was a more-likely-than-not expectation of divesting its SiC power device business and impairment testing was triggered, which resulted in inventory write-downs of $13.7 million (for inventory expected to be disposed of), impairment of intangible assets of $16.6 million and a goodwill impairment charge of approximately $96.5 million. Subsequently, in December 2024, the Company entered into a definitive agreement to divest its SiC power device business and on January 14, 2025, the sale was completed. In addition, the Company took actions in the third quarter of fiscal 2025 to optimize its manufacturing footprint and reduce operating expenses, which included workforce reductions primarily targeting the Company's mass-market Android business and the cancellation of certain multiyear projects to update the Company's core business systems. In accordance with ASC 420, </w:t>
      </w:r>
      <w:r>
        <w:rPr>
          <w:rFonts w:ascii="Times New Roman" w:cs="Times New Roman" w:eastAsia="Times New Roman" w:hAnsi="Times New Roman"/>
          <w:sz w:val="18"/>
          <w:szCs w:val="18"/>
          <w:i w:val="1"/>
          <w:iCs w:val="1"/>
          <w:color w:val="auto"/>
        </w:rPr>
        <w:t>"Exit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Disposal Cost Obligations," </w:t>
      </w:r>
      <w:r>
        <w:rPr>
          <w:rFonts w:ascii="Times New Roman" w:cs="Times New Roman" w:eastAsia="Times New Roman" w:hAnsi="Times New Roman"/>
          <w:sz w:val="18"/>
          <w:szCs w:val="18"/>
          <w:color w:val="auto"/>
        </w:rPr>
        <w:t>the Company recorded $6.4 million related to the termination of a contract before the end of its term and recorded $27.7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costs that will continue to be incurred under a contract for its remaining term without economic benefit to the Company. The Company also recorded asset impairments of $15.8 million related to the write-off of capitalized software costs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360. Refer to Note 6 for additional information regarding the impairment of goodwill and intangible assets.</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will continue to evaluate its manufacturing footprint, cost structure and strategic opportunities but does not expect to incur additional material charges related to the 2025 Restructuring Initiatives.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fiscal 2025 charges resulting from the 2025 Restructuring Initiatives (in thousands):</w:t>
      </w:r>
    </w:p>
    <w:p>
      <w:pPr>
        <w:spacing w:after="0" w:line="4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Three Months Ended December 28, 2024</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5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500" w:type="dxa"/>
            <w:vAlign w:val="bottom"/>
            <w:tcBorders>
              <w:top w:val="single" w:sz="8" w:color="auto"/>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Goodwill Impairment</w:t>
            </w:r>
          </w:p>
        </w:tc>
        <w:tc>
          <w:tcPr>
            <w:tcW w:w="1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gridSpan w:val="2"/>
            <w:shd w:val="clear" w:color="auto" w:fill="CCEEFF"/>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50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44,236</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costs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840" w:type="dxa"/>
            <w:vAlign w:val="bottom"/>
            <w:tcBorders>
              <w:bottom w:val="single" w:sz="8" w:color="auto"/>
            </w:tcBorders>
            <w:gridSpan w:val="5"/>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December 28, 2024</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Goodwill Impairment</w:t>
            </w: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320" w:type="dxa"/>
            <w:vAlign w:val="bottom"/>
          </w:tcPr>
          <w:p>
            <w:pPr>
              <w:spacing w:after="0"/>
              <w:rPr>
                <w:sz w:val="11"/>
                <w:szCs w:val="11"/>
                <w:color w:val="auto"/>
              </w:rPr>
            </w:pPr>
          </w:p>
        </w:tc>
        <w:tc>
          <w:tcPr>
            <w:tcW w:w="108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47,284</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costs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143,402</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r>
        <w:trPr>
          <w:trHeight w:val="223"/>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197,325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liability activity related to the 2025 Restructuring Initiatives for the nine months ended December 28, 2024 (in thousands):</w:t>
      </w: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One-Time Employee</w:t>
            </w:r>
          </w:p>
        </w:tc>
        <w:tc>
          <w:tcPr>
            <w:tcW w:w="14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 Termination</w:t>
            </w:r>
          </w:p>
        </w:tc>
        <w:tc>
          <w:tcPr>
            <w:tcW w:w="400" w:type="dxa"/>
            <w:vAlign w:val="bottom"/>
          </w:tcPr>
          <w:p>
            <w:pPr>
              <w:spacing w:after="0"/>
              <w:rPr>
                <w:sz w:val="12"/>
                <w:szCs w:val="12"/>
                <w:color w:val="auto"/>
              </w:rPr>
            </w:pPr>
          </w:p>
        </w:tc>
        <w:tc>
          <w:tcPr>
            <w:tcW w:w="124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Other Costs</w:t>
            </w:r>
          </w:p>
        </w:tc>
        <w:tc>
          <w:tcPr>
            <w:tcW w:w="4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47,692</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December 28,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Restructuring Initiative</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2024 the Company entered into a definitive agreement with Luxshare to divest its assembly and test operations in Beijing and Dezhou, China. The sale of these operations (the "2024 Restructuring Initiative") was completed in the first quarter of fiscal 2025 (refer to Note 4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fiscal 2025 charges resulting from the 2024 Restructuring Initiative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gridSpan w:val="6"/>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Three Months Ended December 28, 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Nine Months Ended December 28, 2024</w:t>
            </w: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Cost of Goods</w:t>
            </w:r>
          </w:p>
        </w:tc>
        <w:tc>
          <w:tcPr>
            <w:tcW w:w="1300" w:type="dxa"/>
            <w:vAlign w:val="bottom"/>
            <w:gridSpan w:val="3"/>
            <w:shd w:val="clear" w:color="auto" w:fill="CCEEFF"/>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Cost of Goods</w:t>
            </w:r>
          </w:p>
        </w:tc>
        <w:tc>
          <w:tcPr>
            <w:tcW w:w="1300" w:type="dxa"/>
            <w:vAlign w:val="bottom"/>
            <w:gridSpan w:val="3"/>
            <w:shd w:val="clear" w:color="auto" w:fill="CCEEFF"/>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Sold</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costs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Refer to Note 4 for additional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immaterial legal and professional fees, recorded to "Other operating expense," in the third quarter of</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2024 as a result of the 2024 Restructuring Initiative.</w:t>
      </w:r>
    </w:p>
    <w:p>
      <w:pPr>
        <w:spacing w:after="0" w:line="25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December 28, 2024, the Company has recorded cumulative expenses of approximately $11.4 million, $44.4 million and $15.0 million for contract termination and other costs, asset impairment costs, and one-time employee termination benefits, respectively, as a result of the 2024 Restructuring Initiative. The Company does not expect to incur additional material charges related to the 2024 Restructuring Initiative.</w:t>
      </w:r>
    </w:p>
    <w:p>
      <w:pPr>
        <w:spacing w:after="0" w:line="203" w:lineRule="exact"/>
        <w:rPr>
          <w:sz w:val="20"/>
          <w:szCs w:val="20"/>
          <w:color w:val="auto"/>
        </w:rPr>
      </w:pPr>
    </w:p>
    <w:p>
      <w:pPr>
        <w:ind w:right="7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liability activity related to the 2024 Restructuring Initiative for the nine months ended December 28, 2024 (in thousands):</w:t>
      </w:r>
    </w:p>
    <w:tbl>
      <w:tblPr>
        <w:tblLayout w:type="fixed"/>
        <w:tblInd w:w="20" w:type="dxa"/>
        <w:tblCellMar>
          <w:top w:w="0" w:type="dxa"/>
          <w:left w:w="0" w:type="dxa"/>
          <w:bottom w:w="0" w:type="dxa"/>
          <w:right w:w="0" w:type="dxa"/>
        </w:tblCellMar>
      </w:tblPr>
      <w:tr>
        <w:trPr>
          <w:trHeight w:val="147"/>
        </w:trPr>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One-Time Employee</w:t>
            </w: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Contract Termination</w:t>
            </w:r>
          </w:p>
        </w:tc>
        <w:tc>
          <w:tcPr>
            <w:tcW w:w="380" w:type="dxa"/>
            <w:vAlign w:val="bottom"/>
          </w:tcPr>
          <w:p>
            <w:pPr>
              <w:spacing w:after="0"/>
              <w:rPr>
                <w:sz w:val="12"/>
                <w:szCs w:val="12"/>
                <w:color w:val="auto"/>
              </w:rPr>
            </w:pPr>
          </w:p>
        </w:tc>
        <w:tc>
          <w:tcPr>
            <w:tcW w:w="124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Other Costs</w:t>
            </w: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0" w:type="dxa"/>
            <w:vAlign w:val="bottom"/>
          </w:tcPr>
          <w:p>
            <w:pPr>
              <w:spacing w:after="0"/>
              <w:rPr>
                <w:sz w:val="1"/>
                <w:szCs w:val="1"/>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December 28,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Restructuring Initiatives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fiscal 2023, the Company initiated actions to improve efficiencies in its operations and further align the organization with its strategic objectives, which primarily included seeking strategic alternatives related to its biotechnology business (the "2023 Restructuring Initiatives"). The Company completed the sale of its biotechnology business in the third quarter of fiscal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immaterial costs, recorded to "Other operating expense," in fiscal 2025 as a result of the 2023 Restructuring Initiatives.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fiscal 2024 charges resulting from the 2023 Restructuring Initiatives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December 30, 2023</w:t>
            </w:r>
          </w:p>
        </w:tc>
        <w:tc>
          <w:tcPr>
            <w:tcW w:w="140" w:type="dxa"/>
            <w:vAlign w:val="bottom"/>
          </w:tcPr>
          <w:p>
            <w:pPr>
              <w:spacing w:after="0"/>
              <w:rPr>
                <w:sz w:val="16"/>
                <w:szCs w:val="16"/>
                <w:color w:val="auto"/>
              </w:rPr>
            </w:pPr>
          </w:p>
        </w:tc>
        <w:tc>
          <w:tcPr>
            <w:tcW w:w="3640" w:type="dxa"/>
            <w:vAlign w:val="bottom"/>
            <w:gridSpan w:val="7"/>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Nine Months Ended December 30, 2023</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Cost of Goods</w:t>
            </w:r>
          </w:p>
        </w:tc>
        <w:tc>
          <w:tcPr>
            <w:tcW w:w="1300" w:type="dxa"/>
            <w:vAlign w:val="bottom"/>
            <w:gridSpan w:val="3"/>
            <w:shd w:val="clear" w:color="auto" w:fill="CCEEFF"/>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Cost of Goods</w:t>
            </w:r>
          </w:p>
        </w:tc>
        <w:tc>
          <w:tcPr>
            <w:tcW w:w="1300" w:type="dxa"/>
            <w:vAlign w:val="bottom"/>
            <w:gridSpan w:val="3"/>
            <w:shd w:val="clear" w:color="auto" w:fill="CCEEFF"/>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2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Contract termination and other costs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22,558</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costs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14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reversal due to adjustment of previously accrued restructuring charges.</w:t>
      </w:r>
    </w:p>
    <w:p>
      <w:pPr>
        <w:spacing w:after="0" w:line="2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28, 2024, the Company has recorded cumulative expenses of approximately $46.3 million, $99.9 million, $12.4 million and $5.9 million for contract termination and other costs, asset impairment costs, goodwill impairment charges, and one-time employee termination benefits, respectively, as a result of the 2023 Restructuring Initiatives. The Company does not expect to incur additional material charges related to the 2023 Restructuring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6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liability activity related to the 2023 Restructuring Initiatives for the nine months ended December 28, 2024 (in thousands):</w:t>
      </w:r>
    </w:p>
    <w:tbl>
      <w:tblPr>
        <w:tblLayout w:type="fixed"/>
        <w:tblInd w:w="20" w:type="dxa"/>
        <w:tblCellMar>
          <w:top w:w="0" w:type="dxa"/>
          <w:left w:w="0" w:type="dxa"/>
          <w:bottom w:w="0" w:type="dxa"/>
          <w:right w:w="0" w:type="dxa"/>
        </w:tblCellMar>
      </w:tblPr>
      <w:tr>
        <w:trPr>
          <w:trHeight w:val="147"/>
        </w:trPr>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One-Time Employee</w:t>
            </w: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Contract Termination</w:t>
            </w:r>
          </w:p>
        </w:tc>
        <w:tc>
          <w:tcPr>
            <w:tcW w:w="380" w:type="dxa"/>
            <w:vAlign w:val="bottom"/>
          </w:tcPr>
          <w:p>
            <w:pPr>
              <w:spacing w:after="0"/>
              <w:rPr>
                <w:sz w:val="12"/>
                <w:szCs w:val="12"/>
                <w:color w:val="auto"/>
              </w:rPr>
            </w:pPr>
          </w:p>
        </w:tc>
        <w:tc>
          <w:tcPr>
            <w:tcW w:w="124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Other Costs</w:t>
            </w:r>
          </w:p>
        </w:tc>
        <w:tc>
          <w:tcPr>
            <w:tcW w:w="3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0" w:type="dxa"/>
            <w:vAlign w:val="bottom"/>
          </w:tcPr>
          <w:p>
            <w:pPr>
              <w:spacing w:after="0"/>
              <w:rPr>
                <w:sz w:val="1"/>
                <w:szCs w:val="1"/>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December 28,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fiscal 2025, the Company incurred immaterial legal fees and other costs, recorded to "Other operating expense" in connection with other miscellaneous restructuring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OPERATING SEGMENT INFORMATION</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three operating and reportable segments, HPA, CSG, and ACG, are based on the organizational structure and information reviewed by the Company's Chief Executive Officer, who is also the Company's chief operating decision maker ("CODM"). The CODM allocates resources and evaluates the performance of each of the three operating segments primarily based on operating income. The Company’s manufacturing facilities service and provide benefit to all three operating segments, and the operating costs of the facilities are reflected in the cost of goods sold for each operating segment. The Company’s operating segments do not record intercompany revenue. The Company does not allocate gains and losses from investments, interest expense, other income (expense), or taxes to operating segments. The CODM does not evaluate operating segments using discrete asset information.</w:t>
      </w:r>
    </w:p>
    <w:p>
      <w:pPr>
        <w:spacing w:after="0" w:line="21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HPA is a leading global supplier of radio frequency ("RF"), analog mixed signal and power management solutions. HPA leverages a diverse portfolio of differentiated process technologies and products to serve customers in automotive, consumer, defense and aerospace, infrastructure, industrial and enterprise, and mobile markets.</w:t>
      </w:r>
    </w:p>
    <w:p>
      <w:pPr>
        <w:spacing w:after="0" w:line="203" w:lineRule="exact"/>
        <w:rPr>
          <w:sz w:val="20"/>
          <w:szCs w:val="20"/>
          <w:color w:val="auto"/>
        </w:rPr>
      </w:pPr>
    </w:p>
    <w:p>
      <w:pPr>
        <w:jc w:val="both"/>
        <w:ind w:right="160"/>
        <w:spacing w:after="0" w:line="217" w:lineRule="auto"/>
        <w:rPr>
          <w:sz w:val="20"/>
          <w:szCs w:val="20"/>
          <w:color w:val="auto"/>
        </w:rPr>
      </w:pPr>
      <w:r>
        <w:rPr>
          <w:rFonts w:ascii="Times New Roman" w:cs="Times New Roman" w:eastAsia="Times New Roman" w:hAnsi="Times New Roman"/>
          <w:sz w:val="18"/>
          <w:szCs w:val="18"/>
          <w:color w:val="auto"/>
        </w:rPr>
        <w:t>CSG is a leading global supplier of connectivity and sensor solutions. CSG leverages broad expertise spanning ultra-wideband,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cellular Internet of Things, and microelectromechanical force sensing touch sensors to serve customers in automotive, consumer, industrial and enterprise, and mobile markets.</w:t>
      </w:r>
    </w:p>
    <w:p>
      <w:pPr>
        <w:spacing w:after="0" w:line="2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ACG is a leading global supplier of advanced cellular RF solutions for smartphones and consumer devices including tablets and wearables. ACG leverages world-class technology and systems-level expertise to deliver a broad portfolio of high-performance discrete and highly integrated cellular products.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"All other" category includes operating expenses such as stock-based compensation expense, amortization of acquired intangible assets, restructuring-related charges, acquisition and integration-related costs, goodwill and other asset impairments, net adjustments related to a terminated capacity reservation agreement, gain or loss on assets, costs associated with upgrading certain of the Company's core business systems and other miscellaneous corporate overhead expenses that the Company does not allocate to its operating segments, because these expenses are not included in the segment operating performance measures evaluated by the Company’s CODM.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details of the Company’s operating and reportable segments and a reconciliation of the "All other" category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8"/>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HPA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408,386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CSG</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311,783</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ACG</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635,072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846,073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2,028,858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2,108,349</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2,828,518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HPA</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50,988</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CSG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ACG</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593,595</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(129,047)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(281,349)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(509,384)</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8"/>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"All other" category:</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(90,622)</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Restructuring-related charges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(221,414)</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adjustments related to a terminated capacity</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reservation agreement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for "All other"</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(281,349)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(509,384)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12 for additional information.</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6 for additional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Company’s income tax expense was $7.6 million and $26.4 million for the three and nine months ended December 28, 2024, respectively, and $83.1 million and $117.1 million for the three and nine months ended December 30, 2023, respectively. The Company’s effective tax rate was 15.6% and 52.1% for the three and nine months ended December 28, 2024, respectively, and (189.9)% and 265.9% for the three and nine months ended December 30, 2023, respectively.</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December 28, 2024 differed from the statutory rate primarily due to tax rate differences in foreign jurisdictions, Global Intangible Low-Taxed Income ("GILTI"), domestic tax credits generated, discrete pretax items and discrete tax items. After consideration of pretax items taxed discretely in the period, the Company recognized tax expense associated with its ongoing operations and the period-to-date income, which was partially offset by discrete tax benefits of $11.4 million and $11.2 million for the three and nine months ended December 28, 2024, respectively. The discrete tax benefit for the three and nine months ended December 28, 2024 primarily related to the tax</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impacts of the 2025 Restructuring Initiatives (refer to Note 12 for additional information). For the nine months ended December 28, 2024, this tax benefit was partially offset by the tax effects of the sale of the Company's assembly and test operations in China (refer to Note 4 for additional information).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December 30, 2023 differed from the statutory rate primarily due to tax rate differences in foreign jurisdictions, GILTI, domestic tax credits generated, discrete charges and tax items recorded during the periods including effects of non-deductible goodwill impairment charges within the CSG segment. A discrete tax expense of $40.2 million and $45.7 million was recorded during the three and nine months ended December 30, 2023, respectively. The discrete tax expense for the three months ended December 30, 2023 primarily related to the tax impacts of the Company's reversal of its permanent reinvestment assertion, sale of its non-core biotechnology business, termination of a long-term capacity reservation agreement, and the correlative effects on GILTI. The discrete tax expense for the three and nine months ended December 30, 2023 was also impacted by foreign currency gains recognized for tax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8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Numerator for basic and diluted net income (loss) per</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share — net income (loss) available to common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(126,938)</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(73,057)</w:t>
            </w:r>
          </w:p>
        </w:tc>
        <w:tc>
          <w:tcPr>
            <w:tcW w:w="0" w:type="dxa"/>
            <w:vAlign w:val="bottom"/>
          </w:tcPr>
          <w:p>
            <w:pPr>
              <w:spacing w:after="0"/>
              <w:rPr>
                <w:sz w:val="1"/>
                <w:szCs w:val="1"/>
                <w:color w:val="auto"/>
              </w:rPr>
            </w:pPr>
          </w:p>
        </w:tc>
      </w:tr>
      <w:tr>
        <w:trPr>
          <w:trHeight w:val="221"/>
        </w:trPr>
        <w:tc>
          <w:tcPr>
            <w:tcW w:w="4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Denominator for basic net income (loss) per share —</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weighted-average shares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awards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4420" w:type="dxa"/>
            <w:vAlign w:val="bottom"/>
            <w:tcBorders>
              <w:top w:val="single" w:sz="8" w:color="CCEEFF"/>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net income (loss) per share —</w:t>
            </w:r>
          </w:p>
        </w:tc>
        <w:tc>
          <w:tcPr>
            <w:tcW w:w="18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adjusted weighted-average shares and assumed</w:t>
            </w: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97,905</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conversions</w:t>
            </w: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computation of diluted net income per share for the three and nine months ended December 28, 2024, approximately 2.0 million and 0.8 million shares, respectively, of outstanding stock-based awards were excluded because the effect of their inclusion would have been anti-dilutive. In the computation of net loss per share for the three and nine months ended December 30, 2023, approximately 2.2 million and 1.6 million shares, respectively, of outstanding stock-based awards were excluded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2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as of the date the statement is first made, but our actual results, events and performance could differ materially from those expressed or implied by forward-looking statements. We caution you not to place undue reliance upon any such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customers' forecasts; our inability to effectively manage or maintain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divestitures and other strategic investments failing to achieve financial or strategic objectives;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social,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failed system upgrades or regular maintenance and other similar disruptions to our IT systems;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under "Risk Factors" in Part I, Item 1A of our Annual Report on Form 10-K for the fiscal year ended March 30, 2024, and Qorvo's subsequent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the reader understand the consolidated results of operations and financial condition of Qorvo, Inc. and Subsidiaries (together, the "Company" or "Qorvo"). MD&amp;A is provided as a supplement to, and should be read in conjunction with, our Condensed Consolidated Financial Statements and accompanying 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Qorvo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leader in the development and commercialization of technologies and products for wireless, wired and power markets.</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design, develop, manufacture and market our products to U.S. and international original equipment manufacturers and original design manufacturers in three reportable operating segments: High Performance Analog ("HPA"), Connectivity and Sensors Group ("CSG") and Advanced Cellular Group ("ACG"). Refer to Note 13 of the Notes to Condensed Consolidated Financial Statements for additional information regarding our reportable operating segments as of December 28, 2024.</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HPA is a leading global supplier of radio frequency ("RF"), analog mixed signal and power management solutions. HPA leverages a diverse portfolio of differentiated process technologies and products to serve customers in automotive, consumer, defense and aerospace, infrastructure, industrial and enterprise, and mobile markets.</w:t>
      </w:r>
    </w:p>
    <w:p>
      <w:pPr>
        <w:spacing w:after="0" w:line="199" w:lineRule="exact"/>
        <w:rPr>
          <w:sz w:val="20"/>
          <w:szCs w:val="20"/>
          <w:color w:val="auto"/>
        </w:rPr>
      </w:pP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CSG is a leading global supplier of connectivity and sensor solutions. CSG leverages broad expertise spanning ultra-wideband,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cellular Internet of Things, and microelectromechanical force sensing touch sensors to serve customers in automotive, consumer, industrial and enterprise, and mobile markets.</w:t>
      </w:r>
    </w:p>
    <w:p>
      <w:pPr>
        <w:spacing w:after="0" w:line="2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ACG is a leading global supplier of advanced cellular RF solutions for smartphones and consumer devices including tablets and wearables. ACG leverages world-class technology and systems-level expertise to deliver a broad portfolio of high-performance discrete and highly integrated cellular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2" w:name="page23"/>
    <w:bookmarkEnd w:id="22"/>
    <w:p>
      <w:pPr>
        <w:ind w:left="33"/>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color w:val="auto"/>
        </w:rPr>
        <w:t>THIRD QUARTER FISCAL 2025 OVERVIEW</w:t>
      </w:r>
    </w:p>
    <w:p>
      <w:pPr>
        <w:spacing w:after="0" w:line="256" w:lineRule="exact"/>
        <w:rPr>
          <w:sz w:val="20"/>
          <w:szCs w:val="20"/>
          <w:color w:val="auto"/>
        </w:rPr>
      </w:pPr>
    </w:p>
    <w:p>
      <w:pPr>
        <w:ind w:left="333" w:hanging="333"/>
        <w:spacing w:after="0" w:line="261"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third quarter of fiscal 2025 decreased 14.7% as compared to the third quarter of fiscal 2024, driven by a mix shift among smartphone customers to lower RF content 5G smartphones and a higher percentage of mass market Android smartphones, which contain less RF content. Revenue increased in defense and aerospace, as well as in infrastructure, driven by the timing of defense programs and infrastructure deployment cycles as compared to the prior year.</w:t>
      </w:r>
    </w:p>
    <w:p>
      <w:pPr>
        <w:spacing w:after="0" w:line="206" w:lineRule="exact"/>
        <w:rPr>
          <w:rFonts w:ascii="Times New Roman" w:cs="Times New Roman" w:eastAsia="Times New Roman" w:hAnsi="Times New Roman"/>
          <w:sz w:val="18"/>
          <w:szCs w:val="18"/>
          <w:color w:val="auto"/>
        </w:rPr>
      </w:pPr>
    </w:p>
    <w:p>
      <w:pPr>
        <w:ind w:left="333" w:right="300" w:hanging="333"/>
        <w:spacing w:after="0" w:line="26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to 42.7% for the third quarter of fiscal 2025 as compared to 36.1% for the third quarter of fiscal 2024. Charges related to a long-term capacity reservation agreement negatively impacted gross margin by 4.8% in the third quarter of fiscal 2024. In the third quarter of fiscal 2025, favorable business mix increased gross margin compared to the prior year.</w:t>
      </w:r>
    </w:p>
    <w:p>
      <w:pPr>
        <w:spacing w:after="0" w:line="202" w:lineRule="exact"/>
        <w:rPr>
          <w:rFonts w:ascii="Times New Roman" w:cs="Times New Roman" w:eastAsia="Times New Roman" w:hAnsi="Times New Roman"/>
          <w:sz w:val="18"/>
          <w:szCs w:val="18"/>
          <w:color w:val="auto"/>
        </w:rPr>
      </w:pPr>
    </w:p>
    <w:p>
      <w:pPr>
        <w:ind w:left="333" w:right="300" w:hanging="333"/>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$53.0 million for the third quarter of fiscal 2025 as compared to operating loss of $41.6 million for the third quarter of fiscal 2024.</w:t>
      </w:r>
    </w:p>
    <w:p>
      <w:pPr>
        <w:spacing w:after="0" w:line="188" w:lineRule="exact"/>
        <w:rPr>
          <w:rFonts w:ascii="Times New Roman" w:cs="Times New Roman" w:eastAsia="Times New Roman" w:hAnsi="Times New Roman"/>
          <w:sz w:val="18"/>
          <w:szCs w:val="18"/>
          <w:color w:val="auto"/>
        </w:rPr>
      </w:pPr>
    </w:p>
    <w:p>
      <w:pPr>
        <w:ind w:left="333" w:right="420" w:hanging="333"/>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diluted share was $0.43 for the third quarter of fiscal 2025 as compared to net loss per share of $1.31 for the third quarter of fiscal 2024.</w:t>
      </w:r>
    </w:p>
    <w:p>
      <w:pPr>
        <w:spacing w:after="0" w:line="188" w:lineRule="exact"/>
        <w:rPr>
          <w:rFonts w:ascii="Times New Roman" w:cs="Times New Roman" w:eastAsia="Times New Roman" w:hAnsi="Times New Roman"/>
          <w:sz w:val="18"/>
          <w:szCs w:val="18"/>
          <w:color w:val="auto"/>
        </w:rPr>
      </w:pPr>
    </w:p>
    <w:p>
      <w:pPr>
        <w:ind w:left="333" w:right="140" w:hanging="333"/>
        <w:spacing w:after="0" w:line="28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$214.1 million for the third quarter of fiscal 2025 as compared to $492.9 million for the third quarter of fiscal 2024.</w:t>
      </w:r>
    </w:p>
    <w:p>
      <w:pPr>
        <w:spacing w:after="0" w:line="188"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$37.8 million for the third quarter of fiscal 2025 as compared to $26.4 million for the third quarter of fiscal 2024.</w:t>
      </w:r>
    </w:p>
    <w:p>
      <w:pPr>
        <w:spacing w:after="0" w:line="252"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the remaining principal balance of $412.5 million on our 1.750% senior notes due 2024 (the "2024 Notes") with cash on hand at maturity.</w:t>
      </w:r>
    </w:p>
    <w:p>
      <w:pPr>
        <w:spacing w:after="0" w:line="252" w:lineRule="exact"/>
        <w:rPr>
          <w:rFonts w:ascii="Times New Roman" w:cs="Times New Roman" w:eastAsia="Times New Roman" w:hAnsi="Times New Roman"/>
          <w:sz w:val="18"/>
          <w:szCs w:val="18"/>
          <w:color w:val="auto"/>
        </w:rPr>
      </w:pPr>
    </w:p>
    <w:p>
      <w:pPr>
        <w:ind w:left="333" w:right="60" w:hanging="333"/>
        <w:spacing w:after="0" w:line="26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$68.1 million in restructuring-related charges, primarily in connection with initiatives to optimize our manufacturing footprint and reduce operating expenses, which included charges for workforce reductions, asset impairments and contract cancellations, resulting from restructuring our Android business and canceling certain multiyear projects to update our core business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118"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our results of operations (in thousands, except percentages):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13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 w:type="dxa"/>
            <w:vAlign w:val="bottom"/>
          </w:tcPr>
          <w:p>
            <w:pPr>
              <w:spacing w:after="0"/>
              <w:rPr>
                <w:sz w:val="11"/>
                <w:szCs w:val="11"/>
                <w:color w:val="auto"/>
              </w:rPr>
            </w:pPr>
          </w:p>
        </w:tc>
        <w:tc>
          <w:tcPr>
            <w:tcW w:w="13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0" w:type="dxa"/>
            <w:vAlign w:val="bottom"/>
          </w:tcPr>
          <w:p>
            <w:pPr>
              <w:spacing w:after="0"/>
              <w:rPr>
                <w:sz w:val="11"/>
                <w:szCs w:val="11"/>
                <w:color w:val="auto"/>
              </w:rPr>
            </w:pPr>
          </w:p>
        </w:tc>
        <w:tc>
          <w:tcPr>
            <w:tcW w:w="1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136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916,317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1,073,861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(157,544)</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524,901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685,983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63.9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(161,082)</w:t>
            </w:r>
          </w:p>
        </w:tc>
        <w:tc>
          <w:tcPr>
            <w:tcW w:w="146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178,204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(109,299)</w:t>
            </w:r>
          </w:p>
        </w:tc>
        <w:tc>
          <w:tcPr>
            <w:tcW w:w="146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227.6 %</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rPr>
                <w:sz w:val="11"/>
                <w:szCs w:val="11"/>
                <w:color w:val="auto"/>
              </w:rPr>
            </w:pPr>
          </w:p>
        </w:tc>
        <w:tc>
          <w:tcPr>
            <w:tcW w:w="13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 w:type="dxa"/>
            <w:vAlign w:val="bottom"/>
          </w:tcPr>
          <w:p>
            <w:pPr>
              <w:spacing w:after="0"/>
              <w:rPr>
                <w:sz w:val="11"/>
                <w:szCs w:val="11"/>
                <w:color w:val="auto"/>
              </w:rPr>
            </w:pPr>
          </w:p>
        </w:tc>
        <w:tc>
          <w:tcPr>
            <w:tcW w:w="13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0" w:type="dxa"/>
            <w:vAlign w:val="bottom"/>
          </w:tcPr>
          <w:p>
            <w:pPr>
              <w:spacing w:after="0"/>
              <w:rPr>
                <w:sz w:val="11"/>
                <w:szCs w:val="11"/>
                <w:color w:val="auto"/>
              </w:rPr>
            </w:pPr>
          </w:p>
        </w:tc>
        <w:tc>
          <w:tcPr>
            <w:tcW w:w="1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2,849,497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2,828,518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20,979</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1,721,880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(41,409)</w:t>
            </w:r>
          </w:p>
        </w:tc>
        <w:tc>
          <w:tcPr>
            <w:tcW w:w="14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1,169,026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1,106,638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1460" w:type="dxa"/>
            <w:vAlign w:val="bottom"/>
            <w:tcBorders>
              <w:top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65,412</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31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4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4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Other operating expense includes goodwill impairment charges.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December 28, 2024 compared to the three months ended December 30, 2023</w:t>
      </w:r>
    </w:p>
    <w:p>
      <w:pPr>
        <w:spacing w:after="0" w:line="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 decrease in consolidated revenue resulted from a decrease in revenue of $211.0 million in ACG and increases in revenue of $52.8 million and $0.7 million in HPA and CSG, respectively, which are further discussed in our Operating Segments results below.</w:t>
      </w:r>
    </w:p>
    <w:p>
      <w:pPr>
        <w:spacing w:after="0" w:line="2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Charges related to a long-term capacity reservation agreement, which included a contract termination fee, negatively impacted gross margin by 4.8% in the three months ended December 30, 2023. In the three months ended December 28, 2024, favorable business mix increased gross margin compared to the prior year.</w:t>
      </w: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driven by a $14.9 million increase in employee-related costs (including salaries and benefits, and stock-based compensation expense).</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driven by a $6.3 million increase in employee-related costs (including salaries and benefits, and stock-based compensation expense), offset by a decrease in professional fees of $5.0 million.</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three months ended December 28, 2024, "Other operating expense" includes restructuring-related charges of $61.1 million, primarily related to the cancellation of certain multiyear projects to upgrade our core business systems. In the three months ended December 30, 2023, "Other operating expense" includes a goodwill impairment charge of $173.4 million and restructuring-related charges of $6.3 million. Refer to Note 12 of the Notes to Condensed Consolidated Financial Statements for additional information on restructuring-related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December 28, 2024 compared to the nine months ended December 30, 2023</w:t>
      </w:r>
    </w:p>
    <w:p>
      <w:pPr>
        <w:spacing w:after="0" w:line="29"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The increase in consolidated revenue resulted from increases in revenue of $59.5 million and $41.0 million in CSG and HPA, respectively, offset by a decrease in revenue of $79.5 million in ACG, which are further discussed in our Operating Segments results below.</w:t>
      </w:r>
    </w:p>
    <w:p>
      <w:pPr>
        <w:spacing w:after="0" w:line="2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Charges related to a long-term capacity reservation agreement, which included a contract termination fee, negatively impacted gross margin by 1.8% in the nine months ended December 30, 2023. In the nine months ended December 28, 2024, improved factory utilization increased gross margin, while average selling-price erosion negatively impacted gross margin.</w:t>
      </w:r>
    </w:p>
    <w:p>
      <w:pPr>
        <w:spacing w:after="0" w:line="20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driven by a $44.3 million increase in employee-related costs (including salaries and benefits, stock-based compensation expense and incentive-based cash compensation) and a $25.1 million increase in product development costs related to developing new process technologies and new product categories.</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driven by a $13.8 million increase in employee-related costs (including salaries and benefits, stock-based compensation expense and incentive-based cash compensation).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nine months ended December 28, 2024, "Other operating expense" includes a goodwill impairment charge of $96.5 million, other restructuring-related charges of $99.7 million and $14.8 million of expenses associated with multiyear projects to upgrade our core business systems, prior to cancellation of certain projects in the three months ended December 28, 2024. In the nine months ended December 30, 2023, "Other operating expense" includes goodwill impairment charges of $221.4 million, $16.0 million of restructuring-related charges and $8.4 million of expenses associated with certain multiyear projects to upgrade our core business systems. Refer to Note 6 of the Notes to Condensed Consolidated Financial Statements for additional information regarding the goodwill impairment charge and Note 12 of the Notes to Condensed Consolidated Financial Statements for additional information on restructuring-related charges.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Operating Segments</w:t>
            </w:r>
          </w:p>
        </w:tc>
        <w:tc>
          <w:tcPr>
            <w:tcW w:w="2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High Performance Analog</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20" w:type="dxa"/>
            <w:vAlign w:val="bottom"/>
          </w:tcPr>
          <w:p>
            <w:pPr>
              <w:spacing w:after="0"/>
              <w:rPr>
                <w:sz w:val="14"/>
                <w:szCs w:val="14"/>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280" w:type="dxa"/>
            <w:vAlign w:val="bottom"/>
          </w:tcPr>
          <w:p>
            <w:pPr>
              <w:spacing w:after="0"/>
              <w:rPr>
                <w:sz w:val="14"/>
                <w:szCs w:val="14"/>
                <w:color w:val="auto"/>
              </w:rPr>
            </w:pPr>
          </w:p>
        </w:tc>
        <w:tc>
          <w:tcPr>
            <w:tcW w:w="138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rPr>
              <w:t>Dollar</w:t>
            </w: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43"/>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2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171,678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118,890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52,788</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0" w:type="dxa"/>
            <w:vAlign w:val="bottom"/>
          </w:tcPr>
          <w:p>
            <w:pPr>
              <w:spacing w:after="0"/>
              <w:rPr>
                <w:sz w:val="1"/>
                <w:szCs w:val="1"/>
                <w:color w:val="auto"/>
              </w:rPr>
            </w:pPr>
          </w:p>
        </w:tc>
      </w:tr>
      <w:tr>
        <w:trPr>
          <w:trHeight w:val="230"/>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12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1,964.6</w:t>
            </w:r>
          </w:p>
        </w:tc>
        <w:tc>
          <w:tcPr>
            <w:tcW w:w="0" w:type="dxa"/>
            <w:vAlign w:val="bottom"/>
          </w:tcPr>
          <w:p>
            <w:pPr>
              <w:spacing w:after="0"/>
              <w:rPr>
                <w:sz w:val="1"/>
                <w:szCs w:val="1"/>
                <w:color w:val="auto"/>
              </w:rPr>
            </w:pPr>
          </w:p>
        </w:tc>
      </w:tr>
      <w:tr>
        <w:trPr>
          <w:trHeight w:val="229"/>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20" w:type="dxa"/>
            <w:vAlign w:val="bottom"/>
          </w:tcPr>
          <w:p>
            <w:pPr>
              <w:spacing w:after="0"/>
              <w:rPr>
                <w:sz w:val="14"/>
                <w:szCs w:val="14"/>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280" w:type="dxa"/>
            <w:vAlign w:val="bottom"/>
          </w:tcPr>
          <w:p>
            <w:pPr>
              <w:spacing w:after="0"/>
              <w:rPr>
                <w:sz w:val="14"/>
                <w:szCs w:val="14"/>
                <w:color w:val="auto"/>
              </w:rPr>
            </w:pPr>
          </w:p>
        </w:tc>
        <w:tc>
          <w:tcPr>
            <w:tcW w:w="1380" w:type="dxa"/>
            <w:vAlign w:val="bottom"/>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b w:val="1"/>
                <w:bCs w:val="1"/>
                <w:color w:val="auto"/>
              </w:rPr>
              <w:t>Dollar</w:t>
            </w: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43"/>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2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449,397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408,386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41,011</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4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December 28, 2024 compared to the three months ended December 30, 2023</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$52.8 million increase in HPA revenue was attributable to a $40.4 million increase in revenue from infrastructure, and defense and aerospace. The revenue increase in infrastructure was driven by the timing of infrastructure deployment cycles, while the revenue increase in defense and aerospace was driven by the timing of defense programs and incremental revenue resulting from the acquisition of Anokiwave, Inc. ("Anokiwave") in the fourth quarter of fiscal 2024.</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HPA operating income was due to the impact of higher revenue and improved factory utilization, partially offset by an increase in operating expenses of $7.4 million, resulting from the acquisition of Anokiwave and higher salaries and benefits.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HPA results for the three months ended December 28, 2024 include $8.6 million in revenue and an operating loss of $5.1 million from the silicon carbide ("SiC") power device business, which was subsequently sold in January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December 28, 2024 compared to the nine months ended December 30, 2023</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$41.0 million increase in HPA revenue was attributable to a $38.0 million increase in revenue from power management, infrastructure, and defense and aerospace. The revenue increase in power management, which includes our SiC-based products and products supporting solid-state drives and power tools, was driven by improved channel inventory levels compared to the prior year. The revenue increase in infrastructure was driven by the timing of infrastructure deployment cycles, while the revenue increase in defense and aerospace was impacted by the acquisition of Anokiwave.</w:t>
      </w: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decrease in HPA operating income was due to an increase in operating expenses, offset by the impact of higher revenue and improved factory utilization. Operating expenses increased $27.9 million, resulting from the acquisition of Anokiwave and higher employee-related costs (including salaries and benefits, as well as incentive-based cash compensation).</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HPA results for the nine months ended December 28, 2024 include $25.7 million in revenue and an operating loss of $14.6 million from the SiC power device business, which was subsequently sold in January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Connectivity and Sensors Group</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20" w:type="dxa"/>
            <w:vAlign w:val="bottom"/>
          </w:tcPr>
          <w:p>
            <w:pPr>
              <w:spacing w:after="0"/>
              <w:rPr>
                <w:sz w:val="14"/>
                <w:szCs w:val="14"/>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300" w:type="dxa"/>
            <w:vAlign w:val="bottom"/>
          </w:tcPr>
          <w:p>
            <w:pPr>
              <w:spacing w:after="0"/>
              <w:rPr>
                <w:sz w:val="14"/>
                <w:szCs w:val="14"/>
                <w:color w:val="auto"/>
              </w:rPr>
            </w:pPr>
          </w:p>
        </w:tc>
        <w:tc>
          <w:tcPr>
            <w:tcW w:w="1380" w:type="dxa"/>
            <w:vAlign w:val="bottom"/>
            <w:gridSpan w:val="2"/>
          </w:tcPr>
          <w:p>
            <w:pPr>
              <w:jc w:val="center"/>
              <w:ind w:right="4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Dollar</w:t>
            </w: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2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109,567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108,898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12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as a % of revenue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20" w:type="dxa"/>
            <w:vAlign w:val="bottom"/>
          </w:tcPr>
          <w:p>
            <w:pPr>
              <w:spacing w:after="0"/>
              <w:rPr>
                <w:sz w:val="14"/>
                <w:szCs w:val="14"/>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300" w:type="dxa"/>
            <w:vAlign w:val="bottom"/>
          </w:tcPr>
          <w:p>
            <w:pPr>
              <w:spacing w:after="0"/>
              <w:rPr>
                <w:sz w:val="14"/>
                <w:szCs w:val="14"/>
                <w:color w:val="auto"/>
              </w:rPr>
            </w:pPr>
          </w:p>
        </w:tc>
        <w:tc>
          <w:tcPr>
            <w:tcW w:w="1380" w:type="dxa"/>
            <w:vAlign w:val="bottom"/>
            <w:gridSpan w:val="2"/>
          </w:tcPr>
          <w:p>
            <w:pPr>
              <w:jc w:val="center"/>
              <w:ind w:right="4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Dollar</w:t>
            </w: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2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371,242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311,783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59,459</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19"/>
                <w:szCs w:val="19"/>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(73,476)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33,265</w:t>
            </w:r>
          </w:p>
        </w:tc>
        <w:tc>
          <w:tcPr>
            <w:tcW w:w="12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as a % of revenue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December 28, 2024 compared to the three months ended December 30, 2023</w:t>
      </w:r>
    </w:p>
    <w:p>
      <w:pPr>
        <w:spacing w:after="0" w:line="2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$0.7 million increase in CSG revenue was attributable to a $9.0 million increase in revenue for our ultra-wideband solutions, automotive connectivity and sensing products, reflecting new product releases and improved channel inventory levels compared to the prior year. These increases were offset by an $8.3 million decrease in revenue for our Wi-Fi components due to timing of customer product releases.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CSG operating loss was due to favorable product mix and improved factory utilization.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December 28, 2024 compared to the nine months ended December 30, 2023</w:t>
      </w:r>
    </w:p>
    <w:p>
      <w:pPr>
        <w:spacing w:after="0" w:line="29"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The $59.5 million increase in CSG revenue was attributable to a $66.6 million increase in revenue for our Wi-Fi components, ultra-wideband solutions, automotive connectivity and sensing products, reflecting new product releases and improved channel inventory levels compared to the prior year. These revenue increases were partially offset by a $7.1 million decrease in revenue from our biotechnology business, which was sold in fiscal 2024.</w:t>
      </w:r>
    </w:p>
    <w:p>
      <w:pPr>
        <w:spacing w:after="0" w:line="21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decrease in CSG operating loss was due to the impact of higher revenue, favorable product mix and improved factory utilization, partially offset by an increase in operating expenses of $5.4 million. The increase in operating expenses was driven by research and development expenses, including salaries and benefits, as well as incentive-based cash compensation, related to developing new process technologies and new product categories. In addition, our biotechnology business, which was sold in fiscal 2024, generated an operating loss of $8.8 million for the nine months ended December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Advanced Cellular Group</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20" w:type="dxa"/>
            <w:vAlign w:val="bottom"/>
          </w:tcPr>
          <w:p>
            <w:pPr>
              <w:spacing w:after="0"/>
              <w:rPr>
                <w:sz w:val="14"/>
                <w:szCs w:val="14"/>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300" w:type="dxa"/>
            <w:vAlign w:val="bottom"/>
          </w:tcPr>
          <w:p>
            <w:pPr>
              <w:spacing w:after="0"/>
              <w:rPr>
                <w:sz w:val="14"/>
                <w:szCs w:val="14"/>
                <w:color w:val="auto"/>
              </w:rPr>
            </w:pPr>
          </w:p>
        </w:tc>
        <w:tc>
          <w:tcPr>
            <w:tcW w:w="1380" w:type="dxa"/>
            <w:vAlign w:val="bottom"/>
            <w:gridSpan w:val="2"/>
          </w:tcPr>
          <w:p>
            <w:pPr>
              <w:jc w:val="center"/>
              <w:ind w:right="4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Dollar</w:t>
            </w: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2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635,072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846,073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(211,001)</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161,228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263,792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(102,564)</w:t>
            </w:r>
          </w:p>
        </w:tc>
        <w:tc>
          <w:tcPr>
            <w:tcW w:w="12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28, 2024</w:t>
            </w:r>
          </w:p>
        </w:tc>
        <w:tc>
          <w:tcPr>
            <w:tcW w:w="120" w:type="dxa"/>
            <w:vAlign w:val="bottom"/>
          </w:tcPr>
          <w:p>
            <w:pPr>
              <w:spacing w:after="0"/>
              <w:rPr>
                <w:sz w:val="14"/>
                <w:szCs w:val="14"/>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30, 2023</w:t>
            </w:r>
          </w:p>
        </w:tc>
        <w:tc>
          <w:tcPr>
            <w:tcW w:w="300" w:type="dxa"/>
            <w:vAlign w:val="bottom"/>
          </w:tcPr>
          <w:p>
            <w:pPr>
              <w:spacing w:after="0"/>
              <w:rPr>
                <w:sz w:val="14"/>
                <w:szCs w:val="14"/>
                <w:color w:val="auto"/>
              </w:rPr>
            </w:pPr>
          </w:p>
        </w:tc>
        <w:tc>
          <w:tcPr>
            <w:tcW w:w="1380" w:type="dxa"/>
            <w:vAlign w:val="bottom"/>
            <w:gridSpan w:val="2"/>
          </w:tcPr>
          <w:p>
            <w:pPr>
              <w:jc w:val="center"/>
              <w:ind w:right="4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Dollar</w:t>
            </w:r>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2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2,028,858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2,108,349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(79,491)</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492,734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593,595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(100,861)</w:t>
            </w:r>
          </w:p>
        </w:tc>
        <w:tc>
          <w:tcPr>
            <w:tcW w:w="12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December 28, 2024 compared to the three months ended December 30, 2023</w:t>
      </w:r>
    </w:p>
    <w:p>
      <w:pPr>
        <w:spacing w:after="0" w:line="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$211.0 million decrease in ACG revenue was driven by a mix shift among smartphone customers to lower RF content 5G smartphones. We are strategically focusing on opportunities in the flagship and premium tiers within the Android ecosystem and reducing our exposure in mass-market Android smartphones.</w:t>
      </w:r>
    </w:p>
    <w:p>
      <w:pPr>
        <w:spacing w:after="0" w:line="213"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decrease in ACG operating income was driven by lower revenue and an increase in operating expenses of $7.0 million. The increase in operating expenses was driven by research and development expenses, including salaries and benefits, related to developing new process technologies and new product categories.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December 28, 2024 compared to the nine months ended December 30, 2023</w:t>
      </w:r>
    </w:p>
    <w:p>
      <w:pPr>
        <w:spacing w:after="0" w:line="29"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8"/>
          <w:szCs w:val="18"/>
          <w:color w:val="auto"/>
        </w:rPr>
        <w:t>The $79.5 million decrease in ACG revenue was driven by a mix shift beginning in the second quarter of fiscal 2025 among smartphone customers to lower RF content 5G smartphones. We are strategically focusing on opportunities in the flagship and premium tiers within the Android ecosystem and reducing our exposure in mass-market Android smartphones.</w:t>
      </w:r>
    </w:p>
    <w:p>
      <w:pPr>
        <w:spacing w:after="0" w:line="21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decrease in ACG operating income was driven by an increase in operating expenses of $40.5 million, lower revenue and average selling-price erosion in Android mass market 5G smartphones. The increase in operating expenses was driven by research and development expenses, including salaries and benefits, as well as incentive-based cash compensation, related to developing new process technologies and new product categories.</w:t>
      </w: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Refer to Note 13 of the Notes to Condensed Consolidated Financial Statements for a reconciliation of reportable segment operating income (loss) to the consolidated operating income (loss) for the three and nine months ended December 28, 2024 and December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OTHER INCOME AND INCOME TAXES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29"/>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rPr>
              <w:t>(17,581)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rPr>
              <w:t>(58,343)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(51,963)</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ind w:left="715"/>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ind w:left="737"/>
              <w:spacing w:after="0"/>
              <w:rPr>
                <w:sz w:val="20"/>
                <w:szCs w:val="20"/>
                <w:color w:val="auto"/>
              </w:rPr>
            </w:pPr>
            <w:r>
              <w:rPr>
                <w:rFonts w:ascii="Times New Roman" w:cs="Times New Roman" w:eastAsia="Times New Roman" w:hAnsi="Times New Roman"/>
                <w:sz w:val="18"/>
                <w:szCs w:val="18"/>
                <w:color w:val="auto"/>
                <w:w w:val="96"/>
              </w:rPr>
              <w:t>41,713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rPr>
              <w:t>(83,147)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rPr>
              <w:t>(26,426)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December 28, 2024 and December 30, 2023, we recorded interest expense primarily related to our 2024 Notes, our 4.375% senior notes due 2029 (the "2029 Notes") and our 3.375% senior notes due 2031 (the "2031 Notes"). Refer to Note 8 of the Notes to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for the three and nine months ended December 28, 2024 also includes financing costs related to certain inventory (subject to repurchase) in connection with a supply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28, 2024, we recorded interest income of $11.7 million and net gains of $3.3 million from our share of the profit or loss from our limited partnership investments and gains or losses from other investments. During the nine months ended December 28, 2024, we recorded interest income of $37.9 million and net gains of $3.9 million from our share of the profit or loss from our limited partnership investments and gains or losses from other investments.</w:t>
      </w:r>
    </w:p>
    <w:p>
      <w:pPr>
        <w:spacing w:after="0" w:line="21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30, 2023, we recorded interest income of $9.6 million and net gains of $3.8 million from our share of the profit or loss from our limited partnership investments and gains or losses from other investments. During the nine months ended December 30, 2023, we recorded interest income of $25.5 million and net gains of $5.9 million from our share of the profit or loss from our limited partnership investments and gains or losses from other investments.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December 28, 2024, we recorded income tax expense of $7.6 million and $26.4 million, respectively, comprised primarily of tax expense related to international operations generating pre-tax book income and the impact of Global Intangible Low-Taxed Income ("GILTI"), partially offset by tax benefits related to domestic and international operations generating pre-tax book losses, domestic tax credits and discrete tax items. The discrete tax benefit for the three and nine months ended December 28, 2024 primarily related to the impacts of restructuring activities initiated in fiscal 2025 (refer to Note 12 of the Notes to Condensed Consolidated Financial Statements for additional information). For the nine months ended December 28, 2024, this tax benefit was offset by the discrete tax effects of the sale of the Company's assembly and test operations in China (refer to Note 4 of the Notes to Condensed Consolidated Financial Statements for additional information).</w:t>
      </w:r>
    </w:p>
    <w:p>
      <w:pPr>
        <w:spacing w:after="0" w:line="2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December 30, 2023, we recorded income tax expense of $83.1 million and $117.1 million, respectively, comprised primarily of tax expense related to international operations generating pre-tax book income, the impact of GILTI and discrete tax items, partially offset by tax benefits related to domestic and international operations generating pre-tax book losses and domestic tax credits recorded during the periods. The discrete tax expense for the three months ended December 30, 2023 primarily related to the tax impacts of the Company's reversal of its permanent reinvestment assertion, sale of its non-core biotechnology business, termination of a long-term capacity reservation agreement, and the correlative effects on GILTI. The discrete tax expense for the three and nine months ended December 30, 2023 was also impacted by foreign currency gains recognized for tax purposes.</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valuation allowance remained against certain domestic and foreign net deferred tax assets as it is more likely than not that the related deferred tax assets will not be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generated by operations is our primary source of liquidity. As of December 28, 2024, we had working capital of approximately $1,289.0 million, including $769.4 million in cash and cash equivalents, compared to working capital of approximately $1,215.9 million, including $1,029.3 million in cash and cash equivalents as of March 30, 2024.</w:t>
      </w:r>
    </w:p>
    <w:p>
      <w:pPr>
        <w:spacing w:after="0" w:line="20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$769.4 million of total cash and cash equivalents as of December 28, 2024, includes approximately $667.1 million held by our foreign subsidiaries, of which $472.3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from time to time,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August 2022, the Creating Helpful Incentives to Produce Semiconductors and Science Act (the "CHIPS Act") was signed into law. The CHIPS Act provides for a 25% refundable tax credit on certain investments in domestic semiconductor manufacturing. The tax credit is provided for qualifying property which is placed in service after December 31, 2022, and for which construction begins before January 1, 2027. We recognized an anticipated tax credit during the three and nine months ended December 28, 2024 within other non-current assets and will receive the cash benefit in future periods when applied against our tax obligations.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the nine months ended December 28, 2024, we repurchased approximately 3.3 million shares of our common stock for approximately $308.3 million (including transaction costs and excise tax) under our share repurchase program. As of December 28, 2024, approximately $998.6 million remains authorized for repurchases under the program.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was $423.0 million and $630.8 million for the nine months ended December 28, 2024 and December 30, 2023, respectively. The decrease in cash provided by operating activities was attributable to changes in net working capital and lower profitability when adjusted for non-cash items (which includes depreciation, intangible assets amortization, deferred income taxes, goodwill impairment, stock-based compensation expense and other non-cash items). The changes in net working capital were driven by decreases in current liabilities and reductions in inventory as compared to the prior year, partially offset by changes in accounts receivable resulting from timing of sales. Other current liabilities as of December 30, 2023 includes a contract termination fee of $65.0 million related to a long-term capacity reservation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$59.1 million and $23.3 million for the nine months ended December 28, 2024 and December 30, 2023, respectively. During the nine months ended December 28, 2024, we received proceeds of $55.6 million from the divestiture of our assembly and test operations in China. During the nine months ended December 30, 2023, we received proceeds of $47.4 million, primarily from the sale of our manufacturing facility in Farmers Branch, Texas, and a $20.0 million deposit upon execution of an agreement to divest our assembly and test operations in China.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was $640.9 million and $327.9 million for the nine months ended December 28, 2024 and December 30, 2023, respectively. During the nine months ended December 28, 2024, we received net proceeds of $129.3 million from Luxshare Precision Industry Co., Ltd. for inventory (subject to repurchase) in connection with our supply agreement (refer to Note 4 of the Notes to Condensed Consolidated Financial Statements for additional information), and we repaid $439.1 million of the principal amount of our 2024 Notes, which matured in December 2024 (refer to Note 8 of the Notes to Condensed Consolidated Financial Statements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23, 2024, we entered into a five-year unsecured senior credit facility pursuant to a credit agreement with Bank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 as administrative agent, swing line lender and letter of credit issuer and a syndicate of lenders (the “Credit Agreement”), which replaced our previous credit agreement. The Credit Agreement provides for a $325.0 million senior revolving line of credit (the “Revolving Facility”). We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December 28, 2024, there were no borrowings under the Revolving Facility.</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we must be in compliance in order to borrow funds and to avoid an event of default. As of December 28, 2024, we were in compliance with these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2024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December 14, 2021, we issued $500.0 million aggregate principal amount of our 2024 Notes. The remaining principal amount of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of $412.5 million was repaid with cash on hand, at maturity, in the third quarter of fiscal 2025.</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2029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30, 2019, we issued $350.0 million aggregate principal amount of our 2029 Notes. On December 20, 2019, and June 11,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issued an additional $200.0 million and $300.0 million, respectively, aggregate principal amount of our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spacing w:after="0" w:line="210"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2031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29, 2020, we issued $700.0 million aggregate principal amount of our 2031 Notes. Interest on the 2031 Notes is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our debt, refer to Note 8 of the Notes to Condensed Consolidated Financial Statements.</w:t>
      </w:r>
    </w:p>
    <w:p>
      <w:pPr>
        <w:spacing w:after="0" w:line="2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Capital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28, 2024, we had capital commitments of approximately $101.6 million primarily for expanding capability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support new products (which includes technology licenses of approximately $44.5 million), equipment and facility upgrades and cost savings initiatives.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Future Sources of Funding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future capital requirements may differ materially from those currently anticipated and will depend on many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availability from the Revolving Facility, we believe that we have sufficient liquidity to meet both our short-term and long-term cash requirements. However, if there is a significant decrease in demand for our products, or if investments in our business outpace revenue growth,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spacing w:after="0" w:line="21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involved in various legal proceedings and claims that have arisen in the ordinary course of business that have not been fully adjudicated.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spacing w:after="0" w:line="21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subject to income and other taxes in the United States and in numerous foreign jurisdictions. Our domestic and foreign tax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allocation of revenue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PARENT AND GUARANTOR FINANCIAL INFORMATION</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the indentures governing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"Parent"). A Guarantor can be released in certain customary circumstances. Our other U.S. subsidiaries and our non-U.S. subsidiaries do not guarantee the Notes (such subsidiaries are referred to as the "Non-Guarantors").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bl>
      <w:tblPr>
        <w:tblLayout w:type="fixed"/>
        <w:tblInd w:w="0" w:type="dxa"/>
        <w:tblCellMar>
          <w:top w:w="0" w:type="dxa"/>
          <w:left w:w="0" w:type="dxa"/>
          <w:bottom w:w="0" w:type="dxa"/>
          <w:right w:w="0" w:type="dxa"/>
        </w:tblCellMar>
      </w:tblP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4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12"/>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803,900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2,311,618</w:t>
            </w:r>
          </w:p>
        </w:tc>
      </w:tr>
      <w:tr>
        <w:trPr>
          <w:trHeight w:val="270"/>
        </w:trPr>
        <w:tc>
          <w:tcPr>
            <w:tcW w:w="7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241,062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727,138</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liabilities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2,306,883</w:t>
            </w:r>
          </w:p>
        </w:tc>
      </w:tr>
    </w:tbl>
    <w:p>
      <w:pPr>
        <w:spacing w:after="0" w:line="81"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from Non-Guarantor subsidiaries of $209.3 million and $129.8 million as of December 28, 2024 and March 30, 2024, respectively.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to Non-Guarantor subsidiaries of $668.6 million and $597.3 million as of December 28, 2024 and March 30, 2024, respectively.</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Statement of Income</w:t>
            </w:r>
          </w:p>
        </w:tc>
        <w:tc>
          <w:tcPr>
            <w:tcW w:w="140" w:type="dxa"/>
            <w:vAlign w:val="bottom"/>
          </w:tcPr>
          <w:p>
            <w:pPr>
              <w:spacing w:after="0"/>
              <w:rPr>
                <w:sz w:val="19"/>
                <w:szCs w:val="19"/>
                <w:color w:val="auto"/>
              </w:rPr>
            </w:pPr>
          </w:p>
        </w:tc>
        <w:tc>
          <w:tcPr>
            <w:tcW w:w="14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6"/>
                <w:szCs w:val="16"/>
                <w:color w:val="auto"/>
              </w:rPr>
            </w:pPr>
          </w:p>
        </w:tc>
        <w:tc>
          <w:tcPr>
            <w:tcW w:w="14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3"/>
        </w:trPr>
        <w:tc>
          <w:tcPr>
            <w:tcW w:w="9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870,598</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198,920</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exposures during the third quarter of fiscal 2025. For a discussion of our exposure to market risk, refer to Item 7A, "Quantitative and Qualitative Disclosures About Market Risk," contained in Qorvo's Annual Report on Form 10-K for the fiscal year ended March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with the participation of the Company’s Chief Executive Officer ("CEO") and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our CEO and CFO, as appropriate, to allow timely decisions regarding required disclosure.</w:t>
      </w:r>
    </w:p>
    <w:p>
      <w:pPr>
        <w:spacing w:after="0" w:line="21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that occurred during the quarter ended December 28,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and in our other reports and statements that we file with the SEC, careful consideration should be given to the factors discussed in Part I, Item 1A., "Risk Factors" in Qorvo's Annual Report on Form 10-K for the fiscal year ended March 30, 2024,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21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162"/>
        </w:trPr>
        <w:tc>
          <w:tcPr>
            <w:tcW w:w="4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Period</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plans or programs (in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4"/>
        </w:trPr>
        <w:tc>
          <w:tcPr>
            <w:tcW w:w="4020" w:type="dxa"/>
            <w:vAlign w:val="bottom"/>
            <w:gridSpan w:val="2"/>
            <w:vMerge w:val="continue"/>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2024 to October 26, 2024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27, 2024 to November 23,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24, 2024 to December 28,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0" w:type="dxa"/>
            <w:vAlign w:val="bottom"/>
          </w:tcPr>
          <w:p>
            <w:pPr>
              <w:spacing w:after="0"/>
              <w:rPr>
                <w:sz w:val="1"/>
                <w:szCs w:val="1"/>
                <w:color w:val="auto"/>
              </w:rPr>
            </w:pPr>
          </w:p>
        </w:tc>
      </w:tr>
      <w:tr>
        <w:trPr>
          <w:trHeight w:val="223"/>
        </w:trPr>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2, 2022, we announced that our Board of Directors authorized a share repurchase program to repurchase up to $2.0 billion of our outstanding common stock, which included the remaining authorized dollar amount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January 1, 2023, our share repurchases in excess of issuances are subject to a 1% excise tax enacted by the Inflation Reduction Act. The excise tax is recognized as part of the cost basis of shares acquired in the Condensed Consolidated Statements of Stockholders' Equity and is excluded from amounts presented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2025, no director or Section 16 officer adopted or terminated a "Rule 10b5-1 trading agreement" or a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Qorvo, Inc. Amended and Restated Severance Benefits Plan and Summary Plan Description</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600" w:hanging="277"/>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Subsidiary Guarantors</w:t>
      </w:r>
    </w:p>
    <w:p>
      <w:pPr>
        <w:spacing w:after="0" w:line="279" w:lineRule="exact"/>
        <w:rPr>
          <w:sz w:val="20"/>
          <w:szCs w:val="20"/>
          <w:color w:val="auto"/>
        </w:rPr>
      </w:pPr>
    </w:p>
    <w:p>
      <w:pPr>
        <w:ind w:left="600" w:right="160" w:hanging="404"/>
        <w:spacing w:after="0" w:line="237"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Periodic Report by Robert A. Bruggeworth, as Chief Executive Officer, pursuant to Rule 13a-14(a) or 15d-14(a) of the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Act, as adopted pursuant to Section 302 of the Sarbanes-Oxley Act of 2002</w:t>
      </w:r>
    </w:p>
    <w:p>
      <w:pPr>
        <w:spacing w:after="0" w:line="226" w:lineRule="exact"/>
        <w:rPr>
          <w:sz w:val="20"/>
          <w:szCs w:val="20"/>
          <w:color w:val="auto"/>
        </w:rPr>
      </w:pPr>
    </w:p>
    <w:p>
      <w:pPr>
        <w:ind w:left="600" w:right="200" w:hanging="404"/>
        <w:spacing w:after="0" w:line="237"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of Periodic Report by Grant A. Brown, as Chief Financial Officer, pursuant to Rule 13a-14(a) or 15d-14(a) of the Exchange Act,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adopted pursuant to Section 302 of the Sarbanes-Oxley Act of 2002</w:t>
      </w:r>
    </w:p>
    <w:p>
      <w:pPr>
        <w:spacing w:after="0" w:line="226" w:lineRule="exact"/>
        <w:rPr>
          <w:sz w:val="20"/>
          <w:szCs w:val="20"/>
          <w:color w:val="auto"/>
        </w:rPr>
      </w:pPr>
    </w:p>
    <w:p>
      <w:pPr>
        <w:ind w:left="600" w:right="180" w:hanging="404"/>
        <w:spacing w:after="0" w:line="237"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FF"/>
        </w:rPr>
        <w:t>Certification of Periodic Report by Robert A. Bruggeworth, as Chief Executive Officer, pursuant to 18 U.S.C. Section 1350, as adopted pursuant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Section 906 of the Sarbanes-Oxley Act of 2002</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FF"/>
        </w:rPr>
        <w:t>Certification of Periodic Report by Grant A. Brown, as Chief Financial Officer, pursuant to 18 U.S.C. Section 1350, as adopted pursuant to Section</w:t>
      </w:r>
    </w:p>
    <w:p>
      <w:pPr>
        <w:ind w:left="600"/>
        <w:spacing w:after="0"/>
        <w:rPr>
          <w:sz w:val="20"/>
          <w:szCs w:val="20"/>
          <w:color w:val="auto"/>
        </w:rPr>
      </w:pPr>
      <w:r>
        <w:rPr>
          <w:rFonts w:ascii="Times New Roman" w:cs="Times New Roman" w:eastAsia="Times New Roman" w:hAnsi="Times New Roman"/>
          <w:sz w:val="18"/>
          <w:szCs w:val="18"/>
          <w:u w:val="single" w:color="auto"/>
          <w:color w:val="0000FF"/>
        </w:rPr>
        <w:t>906 of the Sarbanes-Oxley Act of 2002</w:t>
      </w:r>
    </w:p>
    <w:p>
      <w:pPr>
        <w:spacing w:after="0" w:line="232" w:lineRule="exact"/>
        <w:rPr>
          <w:sz w:val="20"/>
          <w:szCs w:val="20"/>
          <w:color w:val="auto"/>
        </w:rPr>
      </w:pPr>
    </w:p>
    <w:p>
      <w:pPr>
        <w:ind w:left="600" w:right="560" w:hanging="367"/>
        <w:spacing w:after="0" w:line="220"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our Quarterly Report on Form 10-Q for the quarter ended December 28, 2024, formatted in iXBRL (Inline eXtensible Business Reporting Language): (i) the Condensed Consolidated Balance Sheets; (ii) the Condensed Consolidated Statements of Operations; (iii) the Condensed Consolidated Statements of Comprehensive Income (Loss); (iv) the Condensed Consolidated Statements of Stockholders' Equity; (v) the Condensed Consolidated Statements of Cash Flows; and (vi) the Notes to Condensed Consolidated Financial Statements</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104 The cover page from our Quarterly Report on Form 10-Q for the quarter ended December 28, 2024, formatted in iXBRL</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compensation plan or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Qorvo, Inc.</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2025</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A. Brown</w:t>
            </w:r>
          </w:p>
        </w:tc>
      </w:tr>
      <w:tr>
        <w:trPr>
          <w:trHeight w:val="218"/>
        </w:trPr>
        <w:tc>
          <w:tcPr>
            <w:tcW w:w="54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A. Brown</w:t>
            </w:r>
          </w:p>
        </w:tc>
      </w:tr>
      <w:tr>
        <w:trPr>
          <w:trHeight w:val="234"/>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118" w:right="37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SEVERANCE BENEFITS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SUMMARY PLAN DESCRIPTION</w:t>
      </w:r>
    </w:p>
    <w:p>
      <w:pPr>
        <w:sectPr>
          <w:pgSz w:w="11900" w:h="16838" w:orient="portrait"/>
          <w:cols w:equalWidth="0" w:num="1">
            <w:col w:w="9019"/>
          </w:cols>
          <w:pgMar w:left="1440" w:top="1440" w:right="1440" w:bottom="1440" w:gutter="0" w:footer="0" w:header="0"/>
        </w:sectPr>
      </w:pPr>
    </w:p>
    <w:bookmarkStart w:id="35" w:name="page36"/>
    <w:bookmarkEnd w:id="35"/>
    <w:p>
      <w:pPr>
        <w:ind w:left="5000"/>
        <w:spacing w:after="0"/>
        <w:rPr>
          <w:sz w:val="20"/>
          <w:szCs w:val="20"/>
          <w:color w:val="auto"/>
        </w:rPr>
      </w:pPr>
      <w:r>
        <w:rPr>
          <w:rFonts w:ascii="Arial" w:cs="Arial" w:eastAsia="Arial" w:hAnsi="Arial"/>
          <w:sz w:val="20"/>
          <w:szCs w:val="20"/>
          <w:b w:val="1"/>
          <w:bCs w:val="1"/>
          <w:color w:val="auto"/>
        </w:rPr>
        <w:t>QORVO, INC.</w:t>
      </w:r>
    </w:p>
    <w:p>
      <w:pPr>
        <w:spacing w:after="0" w:line="33"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AMENDED AND RESTATED</w:t>
      </w:r>
    </w:p>
    <w:p>
      <w:pPr>
        <w:jc w:val="center"/>
        <w:ind w:right="-19"/>
        <w:spacing w:after="0"/>
        <w:rPr>
          <w:sz w:val="20"/>
          <w:szCs w:val="20"/>
          <w:color w:val="auto"/>
        </w:rPr>
      </w:pPr>
      <w:r>
        <w:rPr>
          <w:rFonts w:ascii="Arial" w:cs="Arial" w:eastAsia="Arial" w:hAnsi="Arial"/>
          <w:sz w:val="20"/>
          <w:szCs w:val="20"/>
          <w:b w:val="1"/>
          <w:bCs w:val="1"/>
          <w:color w:val="auto"/>
        </w:rPr>
        <w:t>SEVERANCE BENEFITS PLAN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AND SUMMARY PLAN DESCRIPTION</w:t>
      </w:r>
    </w:p>
    <w:p>
      <w:pPr>
        <w:spacing w:after="0" w:line="196" w:lineRule="exact"/>
        <w:rPr>
          <w:sz w:val="20"/>
          <w:szCs w:val="20"/>
          <w:color w:val="auto"/>
        </w:rPr>
      </w:pPr>
    </w:p>
    <w:p>
      <w:pPr>
        <w:ind w:left="660" w:right="7460" w:hanging="652"/>
        <w:spacing w:after="0" w:line="419" w:lineRule="auto"/>
        <w:tabs>
          <w:tab w:leader="none" w:pos="651" w:val="left"/>
        </w:tabs>
        <w:numPr>
          <w:ilvl w:val="0"/>
          <w:numId w:val="11"/>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INTRODUCTION AND PURPOSE </w:t>
      </w:r>
      <w:r>
        <w:rPr>
          <w:rFonts w:ascii="Arial" w:cs="Arial" w:eastAsia="Arial" w:hAnsi="Arial"/>
          <w:sz w:val="21"/>
          <w:szCs w:val="21"/>
          <w:b w:val="1"/>
          <w:bCs w:val="1"/>
          <w:color w:val="auto"/>
        </w:rPr>
        <w:t xml:space="preserve">1.1 </w:t>
      </w:r>
      <w:r>
        <w:rPr>
          <w:rFonts w:ascii="Arial" w:cs="Arial" w:eastAsia="Arial" w:hAnsi="Arial"/>
          <w:sz w:val="19"/>
          <w:szCs w:val="19"/>
          <w:b w:val="1"/>
          <w:bCs w:val="1"/>
          <w:color w:val="auto"/>
        </w:rPr>
        <w:t>Purpose, Term and Scope</w:t>
      </w:r>
    </w:p>
    <w:p>
      <w:pPr>
        <w:spacing w:after="0" w:line="1"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0"/>
          <w:szCs w:val="20"/>
          <w:color w:val="auto"/>
        </w:rPr>
        <w:t>Qorvo, Inc. (the “</w:t>
      </w:r>
      <w:r>
        <w:rPr>
          <w:rFonts w:ascii="Arial" w:cs="Arial" w:eastAsia="Arial" w:hAnsi="Arial"/>
          <w:sz w:val="20"/>
          <w:szCs w:val="20"/>
          <w:b w:val="1"/>
          <w:bCs w:val="1"/>
          <w:color w:val="auto"/>
        </w:rPr>
        <w:t>Company</w:t>
      </w:r>
      <w:r>
        <w:rPr>
          <w:rFonts w:ascii="Arial" w:cs="Arial" w:eastAsia="Arial" w:hAnsi="Arial"/>
          <w:sz w:val="20"/>
          <w:szCs w:val="20"/>
          <w:color w:val="auto"/>
        </w:rPr>
        <w:t>”) has established this Amended and Restated Severance Benefits Plan (“</w:t>
      </w:r>
      <w:r>
        <w:rPr>
          <w:rFonts w:ascii="Arial" w:cs="Arial" w:eastAsia="Arial" w:hAnsi="Arial"/>
          <w:sz w:val="20"/>
          <w:szCs w:val="20"/>
          <w:b w:val="1"/>
          <w:bCs w:val="1"/>
          <w:color w:val="auto"/>
        </w:rPr>
        <w:t>Plan</w:t>
      </w:r>
      <w:r>
        <w:rPr>
          <w:rFonts w:ascii="Arial" w:cs="Arial" w:eastAsia="Arial" w:hAnsi="Arial"/>
          <w:sz w:val="20"/>
          <w:szCs w:val="20"/>
          <w:color w:val="auto"/>
        </w:rPr>
        <w:t>”), to assist Eligible Employees of the Company or its subsidiaries whose employment is involuntarily terminated on or after the Effective Date, in connection with changes made by the Company in its configuration, expense structure, and product focus, or who suffer a loss of employment in connection with a Change of Control of the Company with respect to which the Eligible Employee is not provided an opportunity to work for the surviving entity or its affiliates. The benefits described in this Plan apply to an Eligible Employee who becomes a Participant on or after the Effective Date. This Plan supersedes and replaces any previous plan, program, policy, practice or arrangement by which the Company or its subsidiaries may have provided severance benefits to employees wherever located. All prior severance plans, practices or programs, whether formal or informal, providing for severance benefits of any kind to employees of the Company or any of its subsidiaries who are based primarily in the United States, which plans, practices or programs have not previously terminated by their terms or otherwise, are hereby terminated as of the Effective Date of this Plan.</w:t>
      </w:r>
    </w:p>
    <w:p>
      <w:pPr>
        <w:spacing w:after="0" w:line="191"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0"/>
          <w:szCs w:val="20"/>
          <w:color w:val="auto"/>
        </w:rPr>
        <w:t>This description of the Plan shall serve as both the Plan Document and the Summary Plan Description. It explains eligibility, exclusions, benefits and administration of the Plan. Any questions about the Plan and its operation should be directed to the Plan Administrator.</w:t>
      </w:r>
    </w:p>
    <w:p>
      <w:pPr>
        <w:spacing w:after="0" w:line="15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Source of Funding</w:t>
      </w:r>
    </w:p>
    <w:p>
      <w:pPr>
        <w:spacing w:after="0" w:line="19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0"/>
          <w:szCs w:val="20"/>
          <w:color w:val="auto"/>
        </w:rPr>
        <w:t>The Plan is designed to be an unfunded “employee welfare benefit plan” as defined in Section 3(1) of ERISA. Benefits will be paid from the general assets of the Company if and when such benefits are owed. No Employee or any other person shall have any rights to or interest in any specific assets or accounts of the Company or any of its subsidiaries by reason of this Plan.</w:t>
      </w:r>
    </w:p>
    <w:p>
      <w:pPr>
        <w:spacing w:after="0" w:line="182" w:lineRule="exact"/>
        <w:rPr>
          <w:sz w:val="20"/>
          <w:szCs w:val="20"/>
          <w:color w:val="auto"/>
        </w:rPr>
      </w:pPr>
    </w:p>
    <w:p>
      <w:pPr>
        <w:ind w:left="660" w:right="4620" w:hanging="652"/>
        <w:spacing w:after="0" w:line="420" w:lineRule="auto"/>
        <w:tabs>
          <w:tab w:leader="none" w:pos="651" w:val="left"/>
        </w:tabs>
        <w:numPr>
          <w:ilvl w:val="0"/>
          <w:numId w:val="12"/>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PARTICIPATION IN THE PLAN AND ELIGIBILITY FOR BENEFITS </w:t>
      </w:r>
      <w:r>
        <w:rPr>
          <w:rFonts w:ascii="Arial" w:cs="Arial" w:eastAsia="Arial" w:hAnsi="Arial"/>
          <w:sz w:val="21"/>
          <w:szCs w:val="21"/>
          <w:b w:val="1"/>
          <w:bCs w:val="1"/>
          <w:color w:val="auto"/>
        </w:rPr>
        <w:t xml:space="preserve">2.1 </w:t>
      </w:r>
      <w:r>
        <w:rPr>
          <w:rFonts w:ascii="Arial" w:cs="Arial" w:eastAsia="Arial" w:hAnsi="Arial"/>
          <w:sz w:val="19"/>
          <w:szCs w:val="19"/>
          <w:b w:val="1"/>
          <w:bCs w:val="1"/>
          <w:color w:val="auto"/>
        </w:rPr>
        <w:t>Eligibility To Participate</w:t>
      </w:r>
    </w:p>
    <w:p>
      <w:pPr>
        <w:spacing w:after="0" w:line="1" w:lineRule="exact"/>
        <w:rPr>
          <w:sz w:val="20"/>
          <w:szCs w:val="20"/>
          <w:color w:val="auto"/>
        </w:rPr>
      </w:pPr>
    </w:p>
    <w:p>
      <w:pPr>
        <w:ind w:firstLine="1296"/>
        <w:spacing w:after="0" w:line="286" w:lineRule="auto"/>
        <w:rPr>
          <w:sz w:val="20"/>
          <w:szCs w:val="20"/>
          <w:color w:val="auto"/>
        </w:rPr>
      </w:pPr>
      <w:r>
        <w:rPr>
          <w:rFonts w:ascii="Arial" w:cs="Arial" w:eastAsia="Arial" w:hAnsi="Arial"/>
          <w:sz w:val="20"/>
          <w:szCs w:val="20"/>
          <w:color w:val="auto"/>
        </w:rPr>
        <w:t>An Employee must meet three basic requirements in order to be an Eligible Employee and thus eligible to participate in the Plan ,as set forth below:</w:t>
      </w:r>
    </w:p>
    <w:p>
      <w:pPr>
        <w:spacing w:after="0" w:line="140" w:lineRule="exact"/>
        <w:rPr>
          <w:sz w:val="20"/>
          <w:szCs w:val="20"/>
          <w:color w:val="auto"/>
        </w:rPr>
      </w:pPr>
    </w:p>
    <w:p>
      <w:pPr>
        <w:ind w:left="1960" w:hanging="656"/>
        <w:spacing w:after="0"/>
        <w:tabs>
          <w:tab w:leader="none" w:pos="1960" w:val="left"/>
        </w:tabs>
        <w:numPr>
          <w:ilvl w:val="0"/>
          <w:numId w:val="13"/>
        </w:numPr>
        <w:rPr>
          <w:rFonts w:ascii="Arial" w:cs="Arial" w:eastAsia="Arial" w:hAnsi="Arial"/>
          <w:sz w:val="22"/>
          <w:szCs w:val="22"/>
          <w:b w:val="1"/>
          <w:bCs w:val="1"/>
          <w:color w:val="auto"/>
        </w:rPr>
      </w:pPr>
      <w:r>
        <w:rPr>
          <w:rFonts w:ascii="Arial" w:cs="Arial" w:eastAsia="Arial" w:hAnsi="Arial"/>
          <w:sz w:val="20"/>
          <w:szCs w:val="20"/>
          <w:color w:val="auto"/>
        </w:rPr>
        <w:t>The Employee must not be excluded under Section 2.2.</w:t>
      </w:r>
    </w:p>
    <w:p>
      <w:pPr>
        <w:spacing w:after="0" w:line="179" w:lineRule="exact"/>
        <w:rPr>
          <w:rFonts w:ascii="Arial" w:cs="Arial" w:eastAsia="Arial" w:hAnsi="Arial"/>
          <w:sz w:val="22"/>
          <w:szCs w:val="22"/>
          <w:b w:val="1"/>
          <w:bCs w:val="1"/>
          <w:color w:val="auto"/>
        </w:rPr>
      </w:pPr>
    </w:p>
    <w:p>
      <w:pPr>
        <w:jc w:val="both"/>
        <w:ind w:firstLine="1304"/>
        <w:spacing w:after="0" w:line="224" w:lineRule="auto"/>
        <w:tabs>
          <w:tab w:leader="none" w:pos="1944" w:val="left"/>
        </w:tabs>
        <w:numPr>
          <w:ilvl w:val="0"/>
          <w:numId w:val="13"/>
        </w:numPr>
        <w:rPr>
          <w:rFonts w:ascii="Arial" w:cs="Arial" w:eastAsia="Arial" w:hAnsi="Arial"/>
          <w:sz w:val="22"/>
          <w:szCs w:val="22"/>
          <w:b w:val="1"/>
          <w:bCs w:val="1"/>
          <w:color w:val="auto"/>
        </w:rPr>
      </w:pPr>
      <w:r>
        <w:rPr>
          <w:rFonts w:ascii="Arial" w:cs="Arial" w:eastAsia="Arial" w:hAnsi="Arial"/>
          <w:sz w:val="20"/>
          <w:szCs w:val="20"/>
          <w:color w:val="auto"/>
        </w:rPr>
        <w:t>The Employee must be notified in writing by the Company that the Employee is eligible to participate in the Plan and that the Employee’s employment is being terminated on or after the Effective Date because the Employee’s position is or will be</w:t>
      </w:r>
    </w:p>
    <w:p>
      <w:pPr>
        <w:sectPr>
          <w:pgSz w:w="11900" w:h="16838" w:orient="portrait"/>
          <w:cols w:equalWidth="0" w:num="1">
            <w:col w:w="11240"/>
          </w:cols>
          <w:pgMar w:left="320" w:top="1412" w:right="339" w:bottom="1440" w:gutter="0" w:footer="0" w:header="0"/>
        </w:sectPr>
      </w:pPr>
    </w:p>
    <w:bookmarkStart w:id="36" w:name="page37"/>
    <w:bookmarkEnd w:id="36"/>
    <w:p>
      <w:pPr>
        <w:spacing w:after="0" w:line="243" w:lineRule="auto"/>
        <w:rPr>
          <w:sz w:val="20"/>
          <w:szCs w:val="20"/>
          <w:color w:val="auto"/>
        </w:rPr>
      </w:pPr>
      <w:r>
        <w:rPr>
          <w:rFonts w:ascii="Arial" w:cs="Arial" w:eastAsia="Arial" w:hAnsi="Arial"/>
          <w:sz w:val="20"/>
          <w:szCs w:val="20"/>
          <w:color w:val="auto"/>
        </w:rPr>
        <w:t>eliminated by the Company in connection with changes in its configuration and product focus or in connection with the Change of Control of the Company.</w:t>
      </w:r>
    </w:p>
    <w:p>
      <w:pPr>
        <w:spacing w:after="0" w:line="155" w:lineRule="exact"/>
        <w:rPr>
          <w:sz w:val="20"/>
          <w:szCs w:val="20"/>
          <w:color w:val="auto"/>
        </w:rPr>
      </w:pPr>
    </w:p>
    <w:p>
      <w:pPr>
        <w:ind w:left="1960" w:hanging="656"/>
        <w:spacing w:after="0"/>
        <w:tabs>
          <w:tab w:leader="none" w:pos="1960" w:val="left"/>
        </w:tabs>
        <w:numPr>
          <w:ilvl w:val="0"/>
          <w:numId w:val="14"/>
        </w:numPr>
        <w:rPr>
          <w:rFonts w:ascii="Arial" w:cs="Arial" w:eastAsia="Arial" w:hAnsi="Arial"/>
          <w:sz w:val="22"/>
          <w:szCs w:val="22"/>
          <w:b w:val="1"/>
          <w:bCs w:val="1"/>
          <w:color w:val="auto"/>
        </w:rPr>
      </w:pPr>
      <w:r>
        <w:rPr>
          <w:rFonts w:ascii="Arial" w:cs="Arial" w:eastAsia="Arial" w:hAnsi="Arial"/>
          <w:sz w:val="20"/>
          <w:szCs w:val="20"/>
          <w:color w:val="auto"/>
        </w:rPr>
        <w:t>A Disqualifying Event must not occur with respect to the Employee.</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Exclusion from Eligibility to Participate</w:t>
      </w:r>
    </w:p>
    <w:p>
      <w:pPr>
        <w:spacing w:after="0" w:line="199"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20"/>
          <w:szCs w:val="20"/>
          <w:color w:val="auto"/>
        </w:rPr>
        <w:t>An Employee who has an individual agreement providing for severance benefits shall not be eligible to participate in this Plan; provided, however, that such an Employee may become eligible to participate in this Plan and become eligible to receive benefits under this Plan if he or she irrevocably waives, in writing, all rights to severance benefits under the individual agreement. No Employee shall be eligible for benefits under both this Plan and any other plan or agreement.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Notice Date and Designated Separation Date</w:t>
      </w:r>
    </w:p>
    <w:p>
      <w:pPr>
        <w:spacing w:after="0" w:line="199" w:lineRule="exact"/>
        <w:rPr>
          <w:sz w:val="20"/>
          <w:szCs w:val="20"/>
          <w:color w:val="auto"/>
        </w:rPr>
      </w:pPr>
    </w:p>
    <w:p>
      <w:pPr>
        <w:jc w:val="both"/>
        <w:ind w:firstLine="1304"/>
        <w:spacing w:after="0" w:line="211" w:lineRule="auto"/>
        <w:tabs>
          <w:tab w:leader="none" w:pos="1944" w:val="left"/>
        </w:tabs>
        <w:numPr>
          <w:ilvl w:val="0"/>
          <w:numId w:val="15"/>
        </w:numPr>
        <w:rPr>
          <w:rFonts w:ascii="Arial" w:cs="Arial" w:eastAsia="Arial" w:hAnsi="Arial"/>
          <w:sz w:val="22"/>
          <w:szCs w:val="22"/>
          <w:b w:val="1"/>
          <w:bCs w:val="1"/>
          <w:color w:val="auto"/>
        </w:rPr>
      </w:pPr>
      <w:r>
        <w:rPr>
          <w:rFonts w:ascii="Arial" w:cs="Arial" w:eastAsia="Arial" w:hAnsi="Arial"/>
          <w:sz w:val="20"/>
          <w:szCs w:val="20"/>
          <w:color w:val="auto"/>
        </w:rPr>
        <w:t>The date on which the notice described in Section 2.1.B above is given shall be the “Notice Date.” The notice shall provide the date designated by the Company for termination of the Employee’s employment, which date shall be the “Designated Separation Date.” The Notice Date and the Designated Separation Date may be the same date. In the event the Company designates a Designated Separation Date later than the Notice Date, the period between the Employee’s Notice Date and Designated Separation Date shall be the Employee’s “Notice Period,” and shall be such period determined by the Company in its sole discretion, subject to any notice period required by applicable law. In the event an Employee’s employment is terminated prior to the Designated Separation Date, the Employee’s Notice Period will end on his or her actual Termination Date. In the event any notice period is required by applicable law, including the Worker Adjustment and Retraining Notification Act (“</w:t>
      </w:r>
      <w:r>
        <w:rPr>
          <w:rFonts w:ascii="Arial" w:cs="Arial" w:eastAsia="Arial" w:hAnsi="Arial"/>
          <w:sz w:val="20"/>
          <w:szCs w:val="20"/>
          <w:b w:val="1"/>
          <w:bCs w:val="1"/>
          <w:color w:val="auto"/>
        </w:rPr>
        <w:t>WARN</w:t>
      </w:r>
      <w:r>
        <w:rPr>
          <w:rFonts w:ascii="Arial" w:cs="Arial" w:eastAsia="Arial" w:hAnsi="Arial"/>
          <w:sz w:val="20"/>
          <w:szCs w:val="20"/>
          <w:color w:val="auto"/>
        </w:rPr>
        <w:t>”) or any other force reduction or plant closing law which requires the Company to give advance notice of termination due to layoff, reduction in force, plant or facility closing, or any other similar event or reason, any Notice Period provided under this Plan shall be deemed to run concurrently with any notice period required under applicable law.</w:t>
      </w:r>
    </w:p>
    <w:p>
      <w:pPr>
        <w:spacing w:after="0" w:line="158" w:lineRule="exact"/>
        <w:rPr>
          <w:rFonts w:ascii="Arial" w:cs="Arial" w:eastAsia="Arial" w:hAnsi="Arial"/>
          <w:sz w:val="22"/>
          <w:szCs w:val="22"/>
          <w:b w:val="1"/>
          <w:bCs w:val="1"/>
          <w:color w:val="auto"/>
        </w:rPr>
      </w:pPr>
    </w:p>
    <w:p>
      <w:pPr>
        <w:jc w:val="both"/>
        <w:ind w:firstLine="1304"/>
        <w:spacing w:after="0" w:line="211" w:lineRule="auto"/>
        <w:tabs>
          <w:tab w:leader="none" w:pos="1944" w:val="left"/>
        </w:tabs>
        <w:numPr>
          <w:ilvl w:val="0"/>
          <w:numId w:val="15"/>
        </w:numPr>
        <w:rPr>
          <w:rFonts w:ascii="Arial" w:cs="Arial" w:eastAsia="Arial" w:hAnsi="Arial"/>
          <w:sz w:val="22"/>
          <w:szCs w:val="22"/>
          <w:b w:val="1"/>
          <w:bCs w:val="1"/>
          <w:color w:val="auto"/>
        </w:rPr>
      </w:pPr>
      <w:r>
        <w:rPr>
          <w:rFonts w:ascii="Arial" w:cs="Arial" w:eastAsia="Arial" w:hAnsi="Arial"/>
          <w:sz w:val="20"/>
          <w:szCs w:val="20"/>
          <w:color w:val="auto"/>
        </w:rPr>
        <w:t>In the event the Company designates a Designated Separation Date later than the Notice Date, during the Notice Period, (a) the Employee will continue to be employed by the Employer; (b) provided and to the extent the Employee is actively at work or available for and reports to work as requested during the Notice Period, the Employee will receive his or her regular salary and benefits, including accrual of PTO and flex time under standard Company policies applicable to all Employees generally; and (c) the Employee will be provided with reasonable time off to seek another position within the Company or elsewhere. At the sole discretion of the Company, the Employee may be excused from reporting to work for some or all of the Notice Period but shall at all times be available to report to work as requested during the Notice Period. An Employee who fails to report to work upon request during the Notice Period and who is not entitled to leave under Company policy will be deemed to have voluntarily terminated his or her employment with the Company on the date he or she fails to report to work as requested (other than due to illness or another excused absence), as of which date the pay and benefits described in clause (b) of this Section 2.3.B shall terminate, and the Employee will lose eligibility for benefits under this Plan.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Disqualifying Events</w:t>
      </w:r>
    </w:p>
    <w:p>
      <w:pPr>
        <w:spacing w:after="0" w:line="19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0"/>
          <w:szCs w:val="20"/>
          <w:color w:val="auto"/>
        </w:rPr>
        <w:t>An Employee who is notified that he or she is eligible to participate in this Plan will cease to be eligible to participate in the Plan upon a Disqualifying Event, notwithstanding such notification of eligibility to participate or such Employee’s execution of an Agreement of</w:t>
      </w:r>
    </w:p>
    <w:p>
      <w:pPr>
        <w:sectPr>
          <w:pgSz w:w="11900" w:h="16838" w:orient="portrait"/>
          <w:cols w:equalWidth="0" w:num="1">
            <w:col w:w="11240"/>
          </w:cols>
          <w:pgMar w:left="320" w:top="1400" w:right="339" w:bottom="1440" w:gutter="0" w:footer="0" w:header="0"/>
        </w:sectPr>
      </w:pPr>
    </w:p>
    <w:bookmarkStart w:id="37" w:name="page38"/>
    <w:bookmarkEnd w:id="37"/>
    <w:p>
      <w:pPr>
        <w:spacing w:after="0" w:line="286" w:lineRule="auto"/>
        <w:rPr>
          <w:sz w:val="20"/>
          <w:szCs w:val="20"/>
          <w:color w:val="auto"/>
        </w:rPr>
      </w:pPr>
      <w:r>
        <w:rPr>
          <w:rFonts w:ascii="Arial" w:cs="Arial" w:eastAsia="Arial" w:hAnsi="Arial"/>
          <w:sz w:val="20"/>
          <w:szCs w:val="20"/>
          <w:color w:val="auto"/>
        </w:rPr>
        <w:t>Release and Waiver, and such Employee, upon such Disqualifying Event, shall not be eligible for benefits under this Plan. Such Disqualifying Events are as follows:</w:t>
      </w:r>
    </w:p>
    <w:p>
      <w:pPr>
        <w:spacing w:after="0" w:line="140" w:lineRule="exact"/>
        <w:rPr>
          <w:sz w:val="20"/>
          <w:szCs w:val="20"/>
          <w:color w:val="auto"/>
        </w:rPr>
      </w:pPr>
    </w:p>
    <w:p>
      <w:pPr>
        <w:jc w:val="both"/>
        <w:ind w:firstLine="1304"/>
        <w:spacing w:after="0" w:line="217" w:lineRule="auto"/>
        <w:tabs>
          <w:tab w:leader="none" w:pos="1944" w:val="left"/>
        </w:tabs>
        <w:numPr>
          <w:ilvl w:val="0"/>
          <w:numId w:val="16"/>
        </w:numPr>
        <w:rPr>
          <w:rFonts w:ascii="Arial" w:cs="Arial" w:eastAsia="Arial" w:hAnsi="Arial"/>
          <w:sz w:val="22"/>
          <w:szCs w:val="22"/>
          <w:b w:val="1"/>
          <w:bCs w:val="1"/>
          <w:color w:val="auto"/>
        </w:rPr>
      </w:pPr>
      <w:r>
        <w:rPr>
          <w:rFonts w:ascii="Arial" w:cs="Arial" w:eastAsia="Arial" w:hAnsi="Arial"/>
          <w:sz w:val="20"/>
          <w:szCs w:val="20"/>
          <w:color w:val="auto"/>
        </w:rPr>
        <w:t>The Employee is offered or placed in another position which position the Company has determined, in the Company’s sole discretion, to be of similar or greater base salary and within 100 miles of the facility to which the Employee was assigned immediately prior to his or her Notice Date, with (i) the Company or a subsidiary of the Company, (ii) the surviving entity or its affiliates in connection with or following a Change of Control of the Company or (iii) the acquirer or any of its affiliates in connection with the sale of any business, subsidiary or assets of the Company or any of its subsidiaries to a third party (each a “</w:t>
      </w:r>
      <w:r>
        <w:rPr>
          <w:rFonts w:ascii="Arial" w:cs="Arial" w:eastAsia="Arial" w:hAnsi="Arial"/>
          <w:sz w:val="20"/>
          <w:szCs w:val="20"/>
          <w:b w:val="1"/>
          <w:bCs w:val="1"/>
          <w:color w:val="auto"/>
        </w:rPr>
        <w:t>Comparable Position</w:t>
      </w:r>
      <w:r>
        <w:rPr>
          <w:rFonts w:ascii="Arial" w:cs="Arial" w:eastAsia="Arial" w:hAnsi="Arial"/>
          <w:sz w:val="20"/>
          <w:szCs w:val="20"/>
          <w:color w:val="auto"/>
        </w:rPr>
        <w:t>”), whether or not the Employee accepts the offer;</w:t>
      </w:r>
    </w:p>
    <w:p>
      <w:pPr>
        <w:spacing w:after="0" w:line="149" w:lineRule="exact"/>
        <w:rPr>
          <w:rFonts w:ascii="Arial" w:cs="Arial" w:eastAsia="Arial" w:hAnsi="Arial"/>
          <w:sz w:val="22"/>
          <w:szCs w:val="22"/>
          <w:b w:val="1"/>
          <w:bCs w:val="1"/>
          <w:color w:val="auto"/>
        </w:rPr>
      </w:pPr>
    </w:p>
    <w:p>
      <w:pPr>
        <w:jc w:val="both"/>
        <w:ind w:firstLine="1304"/>
        <w:spacing w:after="0" w:line="221" w:lineRule="auto"/>
        <w:tabs>
          <w:tab w:leader="none" w:pos="1944" w:val="left"/>
        </w:tabs>
        <w:numPr>
          <w:ilvl w:val="0"/>
          <w:numId w:val="16"/>
        </w:numPr>
        <w:rPr>
          <w:rFonts w:ascii="Arial" w:cs="Arial" w:eastAsia="Arial" w:hAnsi="Arial"/>
          <w:sz w:val="22"/>
          <w:szCs w:val="22"/>
          <w:b w:val="1"/>
          <w:bCs w:val="1"/>
          <w:color w:val="auto"/>
        </w:rPr>
      </w:pPr>
      <w:r>
        <w:rPr>
          <w:rFonts w:ascii="Arial" w:cs="Arial" w:eastAsia="Arial" w:hAnsi="Arial"/>
          <w:sz w:val="20"/>
          <w:szCs w:val="20"/>
          <w:color w:val="auto"/>
        </w:rPr>
        <w:t>The Employee is offered and accepts another position with (i) the Company or a subsidiary of the Company, (ii) the surviving entity or its affiliates in connection with or following a Change of Control of the Company or (iii) the acquirer or any of its affiliates in connection with the sale of any business, subsidiary or assets of the Company or any of its subsidiaries to a third party, regardless of salary or location;</w:t>
      </w:r>
    </w:p>
    <w:p>
      <w:pPr>
        <w:spacing w:after="0" w:line="157" w:lineRule="exact"/>
        <w:rPr>
          <w:rFonts w:ascii="Arial" w:cs="Arial" w:eastAsia="Arial" w:hAnsi="Arial"/>
          <w:sz w:val="22"/>
          <w:szCs w:val="22"/>
          <w:b w:val="1"/>
          <w:bCs w:val="1"/>
          <w:color w:val="auto"/>
        </w:rPr>
      </w:pPr>
    </w:p>
    <w:p>
      <w:pPr>
        <w:jc w:val="both"/>
        <w:ind w:firstLine="1304"/>
        <w:spacing w:after="0" w:line="216" w:lineRule="auto"/>
        <w:tabs>
          <w:tab w:leader="none" w:pos="1944" w:val="left"/>
        </w:tabs>
        <w:numPr>
          <w:ilvl w:val="0"/>
          <w:numId w:val="16"/>
        </w:numPr>
        <w:rPr>
          <w:rFonts w:ascii="Arial" w:cs="Arial" w:eastAsia="Arial" w:hAnsi="Arial"/>
          <w:sz w:val="22"/>
          <w:szCs w:val="22"/>
          <w:b w:val="1"/>
          <w:bCs w:val="1"/>
          <w:color w:val="auto"/>
        </w:rPr>
      </w:pPr>
      <w:r>
        <w:rPr>
          <w:rFonts w:ascii="Arial" w:cs="Arial" w:eastAsia="Arial" w:hAnsi="Arial"/>
          <w:sz w:val="20"/>
          <w:szCs w:val="20"/>
          <w:color w:val="auto"/>
        </w:rPr>
        <w:t>The Employee voluntarily terminates his or her employment with the Company after his or her Notice Date and prior to his or her Designated Separation Date and prior to having completed any transition of work responsibilities assigned to the Employee; provided, however, that it shall not be a Disqualifying Event for an Eligible Employee who is not assigned transition of work responsibilities or who completes such responsibilities to voluntarily terminate his or her employment prior to his or her Designated Separation Date with the written consent of the Company; or</w:t>
      </w:r>
    </w:p>
    <w:p>
      <w:pPr>
        <w:spacing w:after="0" w:line="172" w:lineRule="exact"/>
        <w:rPr>
          <w:rFonts w:ascii="Arial" w:cs="Arial" w:eastAsia="Arial" w:hAnsi="Arial"/>
          <w:sz w:val="22"/>
          <w:szCs w:val="22"/>
          <w:b w:val="1"/>
          <w:bCs w:val="1"/>
          <w:color w:val="auto"/>
        </w:rPr>
      </w:pPr>
    </w:p>
    <w:p>
      <w:pPr>
        <w:jc w:val="both"/>
        <w:ind w:firstLine="1304"/>
        <w:spacing w:after="0" w:line="211" w:lineRule="auto"/>
        <w:tabs>
          <w:tab w:leader="none" w:pos="1944" w:val="left"/>
        </w:tabs>
        <w:numPr>
          <w:ilvl w:val="0"/>
          <w:numId w:val="16"/>
        </w:numPr>
        <w:rPr>
          <w:rFonts w:ascii="Arial" w:cs="Arial" w:eastAsia="Arial" w:hAnsi="Arial"/>
          <w:sz w:val="22"/>
          <w:szCs w:val="22"/>
          <w:b w:val="1"/>
          <w:bCs w:val="1"/>
          <w:color w:val="auto"/>
        </w:rPr>
      </w:pPr>
      <w:r>
        <w:rPr>
          <w:rFonts w:ascii="Arial" w:cs="Arial" w:eastAsia="Arial" w:hAnsi="Arial"/>
          <w:sz w:val="20"/>
          <w:szCs w:val="20"/>
          <w:color w:val="auto"/>
        </w:rPr>
        <w:t>The Employee is terminated from his or her employment with the Company for Cause, or the Employee has engaged in conduct described below as constituting Cause, regardless of whether such conduct occurs or is discovered before or after the Notice Date or the Designated Separation Date. For purposes of this Plan, “</w:t>
      </w:r>
      <w:r>
        <w:rPr>
          <w:rFonts w:ascii="Arial" w:cs="Arial" w:eastAsia="Arial" w:hAnsi="Arial"/>
          <w:sz w:val="20"/>
          <w:szCs w:val="20"/>
          <w:b w:val="1"/>
          <w:bCs w:val="1"/>
          <w:color w:val="auto"/>
        </w:rPr>
        <w:t>Cause</w:t>
      </w:r>
      <w:r>
        <w:rPr>
          <w:rFonts w:ascii="Arial" w:cs="Arial" w:eastAsia="Arial" w:hAnsi="Arial"/>
          <w:sz w:val="20"/>
          <w:szCs w:val="20"/>
          <w:color w:val="auto"/>
        </w:rPr>
        <w:t>” means, unless the Administrator determines otherwise, Employee’s termination of employment or service resulting from the Participant’s (A) dishonesty; (B) failure to perform his or her duties for the Company; (C) engaging in fraudulent conduct or conduct that could be materially damaging to the Company without a reasonable good faith belief that such conduct was in the best interest of the Company; or (D) any other material breach of any employment policy of the Company or any of its subsidiaries, as in effect from time to time. The determination of “Cause” shall be made by the Administrator and its determination shall be final and conclusive. Without in any way limiting the effect of the foregoing, for purposes of the Plan, an Employee’s employment or service shall be deemed to have terminated for Cause if, after the Employee’s employment or service has terminated, facts and circumstances are discovered that would have justified, in the opinion of the Administrator, a termination for Cause.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Eligibility for Plan Benefits</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Participant must meet all of the following requirements in order to become eligible to receive benefits under the</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11" w:lineRule="exact"/>
        <w:rPr>
          <w:sz w:val="20"/>
          <w:szCs w:val="20"/>
          <w:color w:val="auto"/>
        </w:rPr>
      </w:pPr>
    </w:p>
    <w:p>
      <w:pPr>
        <w:ind w:firstLine="1304"/>
        <w:spacing w:after="0" w:line="230" w:lineRule="auto"/>
        <w:tabs>
          <w:tab w:leader="none" w:pos="1944" w:val="left"/>
        </w:tabs>
        <w:numPr>
          <w:ilvl w:val="0"/>
          <w:numId w:val="17"/>
        </w:numPr>
        <w:rPr>
          <w:rFonts w:ascii="Arial" w:cs="Arial" w:eastAsia="Arial" w:hAnsi="Arial"/>
          <w:sz w:val="22"/>
          <w:szCs w:val="22"/>
          <w:b w:val="1"/>
          <w:bCs w:val="1"/>
          <w:color w:val="auto"/>
        </w:rPr>
      </w:pPr>
      <w:r>
        <w:rPr>
          <w:rFonts w:ascii="Arial" w:cs="Arial" w:eastAsia="Arial" w:hAnsi="Arial"/>
          <w:sz w:val="20"/>
          <w:szCs w:val="20"/>
          <w:color w:val="auto"/>
        </w:rPr>
        <w:t>The Participant must cooperate at a level acceptable by the Company in the transition of work responsibilities, as determined necessary by the Company.</w:t>
      </w:r>
    </w:p>
    <w:p>
      <w:pPr>
        <w:spacing w:after="0" w:line="158" w:lineRule="exact"/>
        <w:rPr>
          <w:rFonts w:ascii="Arial" w:cs="Arial" w:eastAsia="Arial" w:hAnsi="Arial"/>
          <w:sz w:val="22"/>
          <w:szCs w:val="22"/>
          <w:b w:val="1"/>
          <w:bCs w:val="1"/>
          <w:color w:val="auto"/>
        </w:rPr>
      </w:pPr>
    </w:p>
    <w:p>
      <w:pPr>
        <w:jc w:val="both"/>
        <w:ind w:firstLine="1304"/>
        <w:spacing w:after="0" w:line="224" w:lineRule="auto"/>
        <w:tabs>
          <w:tab w:leader="none" w:pos="1944" w:val="left"/>
        </w:tabs>
        <w:numPr>
          <w:ilvl w:val="0"/>
          <w:numId w:val="17"/>
        </w:numPr>
        <w:rPr>
          <w:rFonts w:ascii="Arial" w:cs="Arial" w:eastAsia="Arial" w:hAnsi="Arial"/>
          <w:sz w:val="22"/>
          <w:szCs w:val="22"/>
          <w:b w:val="1"/>
          <w:bCs w:val="1"/>
          <w:color w:val="auto"/>
        </w:rPr>
      </w:pPr>
      <w:r>
        <w:rPr>
          <w:rFonts w:ascii="Arial" w:cs="Arial" w:eastAsia="Arial" w:hAnsi="Arial"/>
          <w:sz w:val="20"/>
          <w:szCs w:val="20"/>
          <w:color w:val="auto"/>
        </w:rPr>
        <w:t>The Participant must execute an Agreement of Release and Waiver acceptable to the Plan Administrator as a condition to receiving benefits under the Plan, and within the period provided in the form of Agreement of Release and Waiver provided by the Plan</w:t>
      </w:r>
    </w:p>
    <w:p>
      <w:pPr>
        <w:sectPr>
          <w:pgSz w:w="11900" w:h="16838" w:orient="portrait"/>
          <w:cols w:equalWidth="0" w:num="1">
            <w:col w:w="11240"/>
          </w:cols>
          <w:pgMar w:left="320" w:top="1414"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Administrator (and in any case no later than 45 days following the Termination Date), and such Agreement of Release and</w:t>
      </w:r>
    </w:p>
    <w:p>
      <w:pPr>
        <w:spacing w:after="0" w:line="204" w:lineRule="auto"/>
        <w:rPr>
          <w:sz w:val="20"/>
          <w:szCs w:val="20"/>
          <w:color w:val="auto"/>
        </w:rPr>
      </w:pPr>
      <w:r>
        <w:rPr>
          <w:rFonts w:ascii="Arial" w:cs="Arial" w:eastAsia="Arial" w:hAnsi="Arial"/>
          <w:sz w:val="20"/>
          <w:szCs w:val="20"/>
          <w:color w:val="auto"/>
        </w:rPr>
        <w:t>Waiver must become effective and irrevocable in accordance with its terms with the effect of releasing the Company, any Company subsidiary or affiliate, and certain related parties from all claims, as further described in Part 3, which Agreement of</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Release and Waiver must be received in the Human Resources Department of the Company no later than the date and time specified therein.</w:t>
      </w:r>
    </w:p>
    <w:p>
      <w:pPr>
        <w:spacing w:after="0" w:line="158" w:lineRule="exact"/>
        <w:rPr>
          <w:sz w:val="20"/>
          <w:szCs w:val="20"/>
          <w:color w:val="auto"/>
        </w:rPr>
      </w:pPr>
    </w:p>
    <w:p>
      <w:pPr>
        <w:jc w:val="both"/>
        <w:ind w:firstLine="1304"/>
        <w:spacing w:after="0" w:line="224" w:lineRule="auto"/>
        <w:tabs>
          <w:tab w:leader="none" w:pos="1944" w:val="left"/>
        </w:tabs>
        <w:numPr>
          <w:ilvl w:val="1"/>
          <w:numId w:val="18"/>
        </w:numPr>
        <w:rPr>
          <w:rFonts w:ascii="Arial" w:cs="Arial" w:eastAsia="Arial" w:hAnsi="Arial"/>
          <w:sz w:val="22"/>
          <w:szCs w:val="22"/>
          <w:b w:val="1"/>
          <w:bCs w:val="1"/>
          <w:color w:val="auto"/>
        </w:rPr>
      </w:pPr>
      <w:r>
        <w:rPr>
          <w:rFonts w:ascii="Arial" w:cs="Arial" w:eastAsia="Arial" w:hAnsi="Arial"/>
          <w:sz w:val="20"/>
          <w:szCs w:val="20"/>
          <w:color w:val="auto"/>
        </w:rPr>
        <w:t>In the event, as of the Termination Date, the Participant owes any debt to the Company, the Participant must execute a reduction and setoff agreement for the reduction of the Participant’s Cash Severance Benefit by the amount of any such debt.</w:t>
      </w:r>
    </w:p>
    <w:p>
      <w:pPr>
        <w:spacing w:after="0" w:line="169" w:lineRule="exact"/>
        <w:rPr>
          <w:rFonts w:ascii="Arial" w:cs="Arial" w:eastAsia="Arial" w:hAnsi="Arial"/>
          <w:sz w:val="22"/>
          <w:szCs w:val="22"/>
          <w:b w:val="1"/>
          <w:bCs w:val="1"/>
          <w:color w:val="auto"/>
        </w:rPr>
      </w:pPr>
    </w:p>
    <w:p>
      <w:pPr>
        <w:ind w:left="660" w:right="5340" w:hanging="652"/>
        <w:spacing w:after="0" w:line="430" w:lineRule="auto"/>
        <w:tabs>
          <w:tab w:leader="none" w:pos="651" w:val="left"/>
        </w:tabs>
        <w:numPr>
          <w:ilvl w:val="0"/>
          <w:numId w:val="19"/>
        </w:numPr>
        <w:rPr>
          <w:rFonts w:ascii="Arial" w:cs="Arial" w:eastAsia="Arial" w:hAnsi="Arial"/>
          <w:sz w:val="21"/>
          <w:szCs w:val="21"/>
          <w:b w:val="1"/>
          <w:bCs w:val="1"/>
          <w:color w:val="auto"/>
        </w:rPr>
      </w:pPr>
      <w:r>
        <w:rPr>
          <w:rFonts w:ascii="Arial" w:cs="Arial" w:eastAsia="Arial" w:hAnsi="Arial"/>
          <w:sz w:val="19"/>
          <w:szCs w:val="19"/>
          <w:b w:val="1"/>
          <w:bCs w:val="1"/>
          <w:color w:val="auto"/>
        </w:rPr>
        <w:t xml:space="preserve">SEVERANCE BENEFITS AND RELEASE REQUIREMENT </w:t>
      </w:r>
      <w:r>
        <w:rPr>
          <w:rFonts w:ascii="Arial" w:cs="Arial" w:eastAsia="Arial" w:hAnsi="Arial"/>
          <w:sz w:val="20"/>
          <w:szCs w:val="20"/>
          <w:b w:val="1"/>
          <w:bCs w:val="1"/>
          <w:color w:val="auto"/>
        </w:rPr>
        <w:t xml:space="preserve">3.1 </w:t>
      </w:r>
      <w:r>
        <w:rPr>
          <w:rFonts w:ascii="Arial" w:cs="Arial" w:eastAsia="Arial" w:hAnsi="Arial"/>
          <w:sz w:val="18"/>
          <w:szCs w:val="18"/>
          <w:b w:val="1"/>
          <w:bCs w:val="1"/>
          <w:color w:val="auto"/>
        </w:rPr>
        <w:t>Severance Benefits Payable Under the Plan</w:t>
      </w:r>
    </w:p>
    <w:p>
      <w:pPr>
        <w:spacing w:after="0" w:line="21" w:lineRule="exact"/>
        <w:rPr>
          <w:rFonts w:ascii="Arial" w:cs="Arial" w:eastAsia="Arial" w:hAnsi="Arial"/>
          <w:sz w:val="21"/>
          <w:szCs w:val="21"/>
          <w:b w:val="1"/>
          <w:bCs w:val="1"/>
          <w:color w:val="auto"/>
        </w:rPr>
      </w:pPr>
    </w:p>
    <w:p>
      <w:pPr>
        <w:jc w:val="both"/>
        <w:ind w:firstLine="1304"/>
        <w:spacing w:after="0" w:line="218" w:lineRule="auto"/>
        <w:tabs>
          <w:tab w:leader="none" w:pos="1944" w:val="left"/>
        </w:tabs>
        <w:numPr>
          <w:ilvl w:val="1"/>
          <w:numId w:val="19"/>
        </w:numPr>
        <w:rPr>
          <w:rFonts w:ascii="Arial" w:cs="Arial" w:eastAsia="Arial" w:hAnsi="Arial"/>
          <w:sz w:val="22"/>
          <w:szCs w:val="22"/>
          <w:b w:val="1"/>
          <w:bCs w:val="1"/>
          <w:color w:val="auto"/>
        </w:rPr>
      </w:pPr>
      <w:r>
        <w:rPr>
          <w:rFonts w:ascii="Arial" w:cs="Arial" w:eastAsia="Arial" w:hAnsi="Arial"/>
          <w:sz w:val="20"/>
          <w:szCs w:val="20"/>
          <w:i w:val="1"/>
          <w:iCs w:val="1"/>
          <w:color w:val="auto"/>
        </w:rPr>
        <w:t>Cash Severance Benefit</w:t>
      </w:r>
      <w:r>
        <w:rPr>
          <w:rFonts w:ascii="Arial" w:cs="Arial" w:eastAsia="Arial" w:hAnsi="Arial"/>
          <w:sz w:val="20"/>
          <w:szCs w:val="20"/>
          <w:color w:val="auto"/>
        </w:rPr>
        <w:t>. The Company will provide each Participant who satisfies the conditions for</w:t>
      </w:r>
      <w:r>
        <w:rPr>
          <w:rFonts w:ascii="Arial" w:cs="Arial" w:eastAsia="Arial" w:hAnsi="Arial"/>
          <w:sz w:val="20"/>
          <w:szCs w:val="20"/>
          <w:i w:val="1"/>
          <w:iCs w:val="1"/>
          <w:color w:val="auto"/>
        </w:rPr>
        <w:t xml:space="preserve"> </w:t>
      </w:r>
      <w:r>
        <w:rPr>
          <w:rFonts w:ascii="Arial" w:cs="Arial" w:eastAsia="Arial" w:hAnsi="Arial"/>
          <w:sz w:val="20"/>
          <w:szCs w:val="20"/>
          <w:color w:val="auto"/>
        </w:rPr>
        <w:t>eligibility for benefits set forth in Section 2.5 with a cash severance benefit, in the form of a single lump-sum severance benefit equal to 2 weeks of the Participant’s Current Weekly Base Pay plus 1 additional week of the Participant’s Current Weekly Base Pay for each Year of Service, with a maximum benefit equal to 26 weeks of Current Weekly Base Pay (the “</w:t>
      </w:r>
      <w:r>
        <w:rPr>
          <w:rFonts w:ascii="Arial" w:cs="Arial" w:eastAsia="Arial" w:hAnsi="Arial"/>
          <w:sz w:val="20"/>
          <w:szCs w:val="20"/>
          <w:b w:val="1"/>
          <w:bCs w:val="1"/>
          <w:color w:val="auto"/>
        </w:rPr>
        <w:t>Cash Severance</w:t>
      </w:r>
      <w:r>
        <w:rPr>
          <w:rFonts w:ascii="Arial" w:cs="Arial" w:eastAsia="Arial" w:hAnsi="Arial"/>
          <w:sz w:val="20"/>
          <w:szCs w:val="20"/>
          <w:color w:val="auto"/>
        </w:rPr>
        <w:t xml:space="preserve"> </w:t>
      </w:r>
      <w:r>
        <w:rPr>
          <w:rFonts w:ascii="Arial" w:cs="Arial" w:eastAsia="Arial" w:hAnsi="Arial"/>
          <w:sz w:val="20"/>
          <w:szCs w:val="20"/>
          <w:b w:val="1"/>
          <w:bCs w:val="1"/>
          <w:color w:val="auto"/>
        </w:rPr>
        <w:t>Benefit</w:t>
      </w:r>
      <w:r>
        <w:rPr>
          <w:rFonts w:ascii="Arial" w:cs="Arial" w:eastAsia="Arial" w:hAnsi="Arial"/>
          <w:sz w:val="20"/>
          <w:szCs w:val="20"/>
          <w:color w:val="auto"/>
        </w:rPr>
        <w:t>”).</w:t>
      </w:r>
    </w:p>
    <w:p>
      <w:pPr>
        <w:spacing w:after="0" w:line="149" w:lineRule="exact"/>
        <w:rPr>
          <w:rFonts w:ascii="Arial" w:cs="Arial" w:eastAsia="Arial" w:hAnsi="Arial"/>
          <w:sz w:val="22"/>
          <w:szCs w:val="22"/>
          <w:b w:val="1"/>
          <w:bCs w:val="1"/>
          <w:color w:val="auto"/>
        </w:rPr>
      </w:pPr>
    </w:p>
    <w:p>
      <w:pPr>
        <w:jc w:val="both"/>
        <w:ind w:firstLine="1304"/>
        <w:spacing w:after="0" w:line="214" w:lineRule="auto"/>
        <w:tabs>
          <w:tab w:leader="none" w:pos="1944" w:val="left"/>
        </w:tabs>
        <w:numPr>
          <w:ilvl w:val="1"/>
          <w:numId w:val="19"/>
        </w:numPr>
        <w:rPr>
          <w:rFonts w:ascii="Arial" w:cs="Arial" w:eastAsia="Arial" w:hAnsi="Arial"/>
          <w:sz w:val="22"/>
          <w:szCs w:val="22"/>
          <w:b w:val="1"/>
          <w:bCs w:val="1"/>
          <w:color w:val="auto"/>
        </w:rPr>
      </w:pPr>
      <w:r>
        <w:rPr>
          <w:rFonts w:ascii="Arial" w:cs="Arial" w:eastAsia="Arial" w:hAnsi="Arial"/>
          <w:sz w:val="20"/>
          <w:szCs w:val="20"/>
          <w:i w:val="1"/>
          <w:iCs w:val="1"/>
          <w:color w:val="auto"/>
        </w:rPr>
        <w:t>WARN Setoff</w:t>
      </w:r>
      <w:r>
        <w:rPr>
          <w:rFonts w:ascii="Arial" w:cs="Arial" w:eastAsia="Arial" w:hAnsi="Arial"/>
          <w:sz w:val="20"/>
          <w:szCs w:val="20"/>
          <w:color w:val="auto"/>
        </w:rPr>
        <w:t>. To the extent that any federal, state or local law, including, without limitation, WARN and</w:t>
      </w:r>
      <w:r>
        <w:rPr>
          <w:rFonts w:ascii="Arial" w:cs="Arial" w:eastAsia="Arial" w:hAnsi="Arial"/>
          <w:sz w:val="20"/>
          <w:szCs w:val="20"/>
          <w:i w:val="1"/>
          <w:iCs w:val="1"/>
          <w:color w:val="auto"/>
        </w:rPr>
        <w:t xml:space="preserve"> </w:t>
      </w:r>
      <w:r>
        <w:rPr>
          <w:rFonts w:ascii="Arial" w:cs="Arial" w:eastAsia="Arial" w:hAnsi="Arial"/>
          <w:sz w:val="20"/>
          <w:szCs w:val="20"/>
          <w:color w:val="auto"/>
        </w:rPr>
        <w:t>any other force reduction or so-called “plant closing” law requires the Company to give advance notice to a Participant because of that Participant’s involuntary termination due to layoff, reduction in force, plant or facility closing, sale of business, change of control, or any other similar event or reason, in the event the Participant’s Termination Date occurs prior to the end of the applicable statutory notice period and any pay in lieu of notice is required to be paid by the Company to the Participant under WARN (or such similar state or local law), then the Participant’s Cash Severance Benefit provided under this Plan shall be reduced by the amount of such pay in lieu of notice, but not to less than 2 weeks of Current Weekly Base Pay.</w:t>
      </w:r>
    </w:p>
    <w:p>
      <w:pPr>
        <w:spacing w:after="0" w:line="164" w:lineRule="exact"/>
        <w:rPr>
          <w:rFonts w:ascii="Arial" w:cs="Arial" w:eastAsia="Arial" w:hAnsi="Arial"/>
          <w:sz w:val="22"/>
          <w:szCs w:val="22"/>
          <w:b w:val="1"/>
          <w:bCs w:val="1"/>
          <w:color w:val="auto"/>
        </w:rPr>
      </w:pPr>
    </w:p>
    <w:p>
      <w:pPr>
        <w:ind w:firstLine="1304"/>
        <w:spacing w:after="0" w:line="230" w:lineRule="auto"/>
        <w:tabs>
          <w:tab w:leader="none" w:pos="1944" w:val="left"/>
        </w:tabs>
        <w:numPr>
          <w:ilvl w:val="1"/>
          <w:numId w:val="19"/>
        </w:numPr>
        <w:rPr>
          <w:rFonts w:ascii="Arial" w:cs="Arial" w:eastAsia="Arial" w:hAnsi="Arial"/>
          <w:sz w:val="22"/>
          <w:szCs w:val="22"/>
          <w:b w:val="1"/>
          <w:bCs w:val="1"/>
          <w:color w:val="auto"/>
        </w:rPr>
      </w:pPr>
      <w:r>
        <w:rPr>
          <w:rFonts w:ascii="Arial" w:cs="Arial" w:eastAsia="Arial" w:hAnsi="Arial"/>
          <w:sz w:val="20"/>
          <w:szCs w:val="20"/>
          <w:i w:val="1"/>
          <w:iCs w:val="1"/>
          <w:color w:val="auto"/>
        </w:rPr>
        <w:t>Tax Withholding</w:t>
      </w:r>
      <w:r>
        <w:rPr>
          <w:rFonts w:ascii="Arial" w:cs="Arial" w:eastAsia="Arial" w:hAnsi="Arial"/>
          <w:sz w:val="20"/>
          <w:szCs w:val="20"/>
          <w:color w:val="auto"/>
        </w:rPr>
        <w:t>. All Cash Severance Benefits payable under the Plan to a Participant shall be subject to</w:t>
      </w:r>
      <w:r>
        <w:rPr>
          <w:rFonts w:ascii="Arial" w:cs="Arial" w:eastAsia="Arial" w:hAnsi="Arial"/>
          <w:sz w:val="20"/>
          <w:szCs w:val="20"/>
          <w:i w:val="1"/>
          <w:iCs w:val="1"/>
          <w:color w:val="auto"/>
        </w:rPr>
        <w:t xml:space="preserve"> </w:t>
      </w:r>
      <w:r>
        <w:rPr>
          <w:rFonts w:ascii="Arial" w:cs="Arial" w:eastAsia="Arial" w:hAnsi="Arial"/>
          <w:sz w:val="20"/>
          <w:szCs w:val="20"/>
          <w:color w:val="auto"/>
        </w:rPr>
        <w:t>any applicable federal, state or local tax withholding at the supplemental rate.</w:t>
      </w:r>
    </w:p>
    <w:p>
      <w:pPr>
        <w:spacing w:after="0" w:line="171" w:lineRule="exact"/>
        <w:rPr>
          <w:rFonts w:ascii="Arial" w:cs="Arial" w:eastAsia="Arial" w:hAnsi="Arial"/>
          <w:sz w:val="22"/>
          <w:szCs w:val="22"/>
          <w:b w:val="1"/>
          <w:bCs w:val="1"/>
          <w:color w:val="auto"/>
        </w:rPr>
      </w:pPr>
    </w:p>
    <w:p>
      <w:pPr>
        <w:jc w:val="both"/>
        <w:ind w:firstLine="1304"/>
        <w:spacing w:after="0" w:line="219" w:lineRule="auto"/>
        <w:tabs>
          <w:tab w:leader="none" w:pos="1944" w:val="left"/>
        </w:tabs>
        <w:numPr>
          <w:ilvl w:val="1"/>
          <w:numId w:val="19"/>
        </w:numPr>
        <w:rPr>
          <w:rFonts w:ascii="Arial" w:cs="Arial" w:eastAsia="Arial" w:hAnsi="Arial"/>
          <w:sz w:val="22"/>
          <w:szCs w:val="22"/>
          <w:b w:val="1"/>
          <w:bCs w:val="1"/>
          <w:color w:val="auto"/>
        </w:rPr>
      </w:pPr>
      <w:r>
        <w:rPr>
          <w:rFonts w:ascii="Arial" w:cs="Arial" w:eastAsia="Arial" w:hAnsi="Arial"/>
          <w:sz w:val="20"/>
          <w:szCs w:val="20"/>
          <w:i w:val="1"/>
          <w:iCs w:val="1"/>
          <w:color w:val="auto"/>
        </w:rPr>
        <w:t>Debt Setoff</w:t>
      </w:r>
      <w:r>
        <w:rPr>
          <w:rFonts w:ascii="Arial" w:cs="Arial" w:eastAsia="Arial" w:hAnsi="Arial"/>
          <w:sz w:val="20"/>
          <w:szCs w:val="20"/>
          <w:color w:val="auto"/>
        </w:rPr>
        <w:t>. The after-tax amount of any Cash Severance Benefits payable under the Plan to a Participant</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subject to reduction by any amount the Participant owes to the Company as of the Termination Date, to the extent such reduction is permitted under applicable law.</w:t>
      </w:r>
    </w:p>
    <w:p>
      <w:pPr>
        <w:spacing w:after="0" w:line="172" w:lineRule="exact"/>
        <w:rPr>
          <w:rFonts w:ascii="Arial" w:cs="Arial" w:eastAsia="Arial" w:hAnsi="Arial"/>
          <w:sz w:val="22"/>
          <w:szCs w:val="22"/>
          <w:b w:val="1"/>
          <w:bCs w:val="1"/>
          <w:color w:val="auto"/>
        </w:rPr>
      </w:pPr>
    </w:p>
    <w:p>
      <w:pPr>
        <w:jc w:val="both"/>
        <w:ind w:firstLine="1304"/>
        <w:spacing w:after="0" w:line="212" w:lineRule="auto"/>
        <w:tabs>
          <w:tab w:leader="none" w:pos="1932" w:val="left"/>
        </w:tabs>
        <w:numPr>
          <w:ilvl w:val="1"/>
          <w:numId w:val="19"/>
        </w:numPr>
        <w:rPr>
          <w:rFonts w:ascii="Arial" w:cs="Arial" w:eastAsia="Arial" w:hAnsi="Arial"/>
          <w:sz w:val="22"/>
          <w:szCs w:val="22"/>
          <w:b w:val="1"/>
          <w:bCs w:val="1"/>
          <w:color w:val="auto"/>
        </w:rPr>
      </w:pPr>
      <w:r>
        <w:rPr>
          <w:rFonts w:ascii="Arial" w:cs="Arial" w:eastAsia="Arial" w:hAnsi="Arial"/>
          <w:sz w:val="20"/>
          <w:szCs w:val="20"/>
          <w:i w:val="1"/>
          <w:iCs w:val="1"/>
          <w:color w:val="auto"/>
        </w:rPr>
        <w:t xml:space="preserve">Form and Time of Payment of Cash Severance Benefit. </w:t>
      </w:r>
      <w:r>
        <w:rPr>
          <w:rFonts w:ascii="Arial" w:cs="Arial" w:eastAsia="Arial" w:hAnsi="Arial"/>
          <w:sz w:val="20"/>
          <w:szCs w:val="20"/>
          <w:color w:val="auto"/>
        </w:rPr>
        <w:t>The Cash Severance Benefit payable to a</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 will be paid in the form of a lump sum as soon as practicable, and generally with the next Company payroll cycle following the later of (a) the Participant’s Termination Date or (b) the effective date of the Participant’s Agreement of Release and Waiver. In no event will a Cash Severance Benefit be paid to a Participant who is age 40 or over until after the expiration of the 7-day revocation period (following execution of the Agreement of Release and Waiver by such Participant) provided under the Older Workers’ Benefit Protection Act, or at any time in the event such Participant revokes the Agreement of Release and Waiver with respect to claims under the Age Discrimination in Employment Act during the revocation period provided under that Act. If the Release Signing and Revocation Period (as defined below) begins in one calendar year and ends in the following calendar year,</w:t>
      </w:r>
    </w:p>
    <w:p>
      <w:pPr>
        <w:sectPr>
          <w:pgSz w:w="11900" w:h="16838" w:orient="portrait"/>
          <w:cols w:equalWidth="0" w:num="1">
            <w:col w:w="11240"/>
          </w:cols>
          <w:pgMar w:left="320" w:top="1391" w:right="339" w:bottom="1440" w:gutter="0" w:footer="0" w:header="0"/>
        </w:sectPr>
      </w:pPr>
    </w:p>
    <w:bookmarkStart w:id="39" w:name="page40"/>
    <w:bookmarkEnd w:id="39"/>
    <w:p>
      <w:pPr>
        <w:jc w:val="both"/>
        <w:spacing w:after="0" w:line="243" w:lineRule="auto"/>
        <w:rPr>
          <w:sz w:val="20"/>
          <w:szCs w:val="20"/>
          <w:color w:val="auto"/>
        </w:rPr>
      </w:pPr>
      <w:r>
        <w:rPr>
          <w:rFonts w:ascii="Arial" w:cs="Arial" w:eastAsia="Arial" w:hAnsi="Arial"/>
          <w:sz w:val="20"/>
          <w:szCs w:val="20"/>
          <w:color w:val="auto"/>
        </w:rPr>
        <w:t>to the extent necessary to comply with Section 409A of the Internal Revenue Code of 1986, as amended, the payment of the Cash Severance Benefit will be made in the later calendar year.</w:t>
      </w:r>
    </w:p>
    <w:p>
      <w:pPr>
        <w:spacing w:after="0" w:line="1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Purpose and Effect of the Release; Form of Release</w:t>
      </w:r>
    </w:p>
    <w:p>
      <w:pPr>
        <w:spacing w:after="0" w:line="199"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0"/>
          <w:szCs w:val="20"/>
          <w:color w:val="auto"/>
        </w:rPr>
        <w:t>An Employee who executes an Agreement of Release and Waiver agrees, to the extent permitted by law, not to file a lawsuit, complaint or other claim concerning his or her employment against the Company, any Company affiliate or subsidiary and other related parties identified in the Agreement of Release and Waiver ,except as set forth in the remainder of this Section 3.2 and subject to the Protected Rights (as defined below). Employees who are 40 years of age or over shall have at least 45 days to consider whether to sign the Agreement of Release and Waiver and a 7-day period to revoke the Agreement of Release and Waiver (the “</w:t>
      </w:r>
      <w:r>
        <w:rPr>
          <w:rFonts w:ascii="Arial" w:cs="Arial" w:eastAsia="Arial" w:hAnsi="Arial"/>
          <w:sz w:val="20"/>
          <w:szCs w:val="20"/>
          <w:b w:val="1"/>
          <w:bCs w:val="1"/>
          <w:color w:val="auto"/>
        </w:rPr>
        <w:t>Release Signing and Revocation Period</w:t>
      </w:r>
      <w:r>
        <w:rPr>
          <w:rFonts w:ascii="Arial" w:cs="Arial" w:eastAsia="Arial" w:hAnsi="Arial"/>
          <w:sz w:val="20"/>
          <w:szCs w:val="20"/>
          <w:color w:val="auto"/>
        </w:rPr>
        <w:t>”), as specifically set forth in the form of Agreement of Release and Waiver. If an Employee does file a lawsuit, complaint or other claim asserting any claim or demand within the scope of the Agreement of Release and Waiver, subject to the Protected Rights, the Company shall retain all rights and benefits of the Agreement of Release and Waiver and in addition, shall be entitled to cancel any and all future obligations of the Company under the Agreement of Release and Waiver and, to the full extent permissible under applicable law, to recoup the value of any Cash Severance Benefit paid under the Plan and the cost of all other Company-paid benefits provided under the Plan, together with the Company’s costs and attorneys’ fees.</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0"/>
          <w:szCs w:val="20"/>
          <w:color w:val="auto"/>
        </w:rPr>
        <w:t>A fully completed Agreement of Release and Waiver is required in order for an Employee to be eligible to receive Severance Benefits under the Plan. To be fully completed, the Agreement of Release and Waiver must be signed by the Employee and by an individual employed by the Company in a position of manager or higher level in the Company’s Human Resources Department.</w:t>
      </w:r>
    </w:p>
    <w:p>
      <w:pPr>
        <w:spacing w:after="0" w:line="182"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9"/>
          <w:szCs w:val="19"/>
          <w:color w:val="auto"/>
        </w:rPr>
        <w:t>Nothing in this Plan or otherwise precludes or otherwise limits the Participant’s ability to (A) communicate directly with and provide information, including documents, not otherwise protected from disclosure by any applicable law or privilege to any governmental agency or commission (“</w:t>
      </w:r>
      <w:r>
        <w:rPr>
          <w:rFonts w:ascii="Arial" w:cs="Arial" w:eastAsia="Arial" w:hAnsi="Arial"/>
          <w:sz w:val="19"/>
          <w:szCs w:val="19"/>
          <w:b w:val="1"/>
          <w:bCs w:val="1"/>
          <w:color w:val="auto"/>
        </w:rPr>
        <w:t>Government Agency</w:t>
      </w:r>
      <w:r>
        <w:rPr>
          <w:rFonts w:ascii="Arial" w:cs="Arial" w:eastAsia="Arial" w:hAnsi="Arial"/>
          <w:sz w:val="19"/>
          <w:szCs w:val="19"/>
          <w:color w:val="auto"/>
        </w:rPr>
        <w:t>”) or self-regulatory organization regarding possible legal violations, without disclosure to the Company; (B) disclose information which is required to be disclosed by applicable law, regulation, or order or requirement (including without limitation, by deposition, interrogatory, requests for documents, subpoena, civil investigative demand or similar process) of courts, administrative agencies, any Government Agency or self-regulatory organizations; (C) discuss or disclose information about unlawful acts in the workplace, such as harassment or discrimination or any other conduct that the Participant has a reasonable belief to be unlawful; or (D) testify in any legal proceeding where the Participant is legally required to testify. The Company may not retaliate against the Participant for any of these activities, and nothing in this Plan or otherwise requires the Participant to waive any monetary award or other payment that the Participant might become entitled to from any Government Agency or self-regulatory organization. Further, nothing in this Plan is intended to prevent the Participant from disclosing information or discussing information about unlawful acts in the workplace, such as harassment or discrimination or any other conduct that the Participant has reason to believe is unlawful. The Participant’s rights pursuant to this paragraph and the following paragraph are hereinafter referred to as the “</w:t>
      </w:r>
      <w:r>
        <w:rPr>
          <w:rFonts w:ascii="Arial" w:cs="Arial" w:eastAsia="Arial" w:hAnsi="Arial"/>
          <w:sz w:val="19"/>
          <w:szCs w:val="19"/>
          <w:b w:val="1"/>
          <w:bCs w:val="1"/>
          <w:color w:val="auto"/>
        </w:rPr>
        <w:t>Protected Rights</w:t>
      </w:r>
      <w:r>
        <w:rPr>
          <w:rFonts w:ascii="Arial" w:cs="Arial" w:eastAsia="Arial" w:hAnsi="Arial"/>
          <w:sz w:val="19"/>
          <w:szCs w:val="19"/>
          <w:color w:val="auto"/>
        </w:rPr>
        <w:t>”.</w:t>
      </w:r>
    </w:p>
    <w:p>
      <w:pPr>
        <w:spacing w:after="0" w:line="16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20"/>
          <w:szCs w:val="20"/>
          <w:color w:val="auto"/>
        </w:rPr>
        <w:t>Pursuant to the U.S. Defend Trade Secrets Act of 2016, the Participant and the Company acknowledge and agree that the Participant shall not have criminal or civil liability</w:t>
      </w:r>
    </w:p>
    <w:p>
      <w:pPr>
        <w:sectPr>
          <w:pgSz w:w="11900" w:h="16838" w:orient="portrait"/>
          <w:cols w:equalWidth="0" w:num="1">
            <w:col w:w="11240"/>
          </w:cols>
          <w:pgMar w:left="320" w:top="1400" w:right="339" w:bottom="1440" w:gutter="0" w:footer="0" w:header="0"/>
        </w:sectPr>
      </w:pPr>
    </w:p>
    <w:bookmarkStart w:id="40" w:name="page41"/>
    <w:bookmarkEnd w:id="40"/>
    <w:p>
      <w:pPr>
        <w:jc w:val="both"/>
        <w:spacing w:after="0" w:line="265" w:lineRule="auto"/>
        <w:rPr>
          <w:sz w:val="20"/>
          <w:szCs w:val="20"/>
          <w:color w:val="auto"/>
        </w:rPr>
      </w:pPr>
      <w:r>
        <w:rPr>
          <w:rFonts w:ascii="Arial" w:cs="Arial" w:eastAsia="Arial" w:hAnsi="Arial"/>
          <w:sz w:val="19"/>
          <w:szCs w:val="19"/>
          <w:color w:val="auto"/>
        </w:rPr>
        <w:t>under any federal or state trade secret law for the disclosure of a trade secret that (A) is made (i) in confidence to a government official, either directly or indirectly, through any of the Participant’s controlled affiliates,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the Participant files a lawsuit for retaliation by the Company for reporting a suspected violation of law, the Participant may disclose the trade secret to the Participant’s attorney and may use the trade secret information in the court proceeding, if the Participant</w:t>
      </w:r>
    </w:p>
    <w:p>
      <w:pPr>
        <w:spacing w:after="0" w:line="2" w:lineRule="exact"/>
        <w:rPr>
          <w:sz w:val="20"/>
          <w:szCs w:val="20"/>
          <w:color w:val="auto"/>
        </w:rPr>
      </w:pPr>
    </w:p>
    <w:p>
      <w:pPr>
        <w:ind w:right="20" w:firstLine="8"/>
        <w:spacing w:after="0" w:line="253" w:lineRule="auto"/>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files any document containing the trade secret under seal and (Y) does not disclose the trade secret, except pursuant to court order.</w:t>
      </w:r>
    </w:p>
    <w:p>
      <w:pPr>
        <w:spacing w:after="0" w:line="184"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2"/>
          <w:szCs w:val="22"/>
          <w:b w:val="1"/>
          <w:bCs w:val="1"/>
          <w:color w:val="auto"/>
        </w:rPr>
      </w:pPr>
      <w:r>
        <w:rPr>
          <w:rFonts w:ascii="Arial" w:cs="Arial" w:eastAsia="Arial" w:hAnsi="Arial"/>
          <w:sz w:val="20"/>
          <w:szCs w:val="20"/>
          <w:b w:val="1"/>
          <w:bCs w:val="1"/>
          <w:color w:val="auto"/>
        </w:rPr>
        <w:t>GENERAL PROVISIONS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Plan Administrator</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Administrator will have full power to administer the Plan in all of its details. For this purpose the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Administrator’s power will include, but will not be limited to, the following authority:</w:t>
      </w:r>
    </w:p>
    <w:p>
      <w:pPr>
        <w:spacing w:after="0" w:line="211" w:lineRule="exact"/>
        <w:rPr>
          <w:sz w:val="20"/>
          <w:szCs w:val="20"/>
          <w:color w:val="auto"/>
        </w:rPr>
      </w:pPr>
    </w:p>
    <w:p>
      <w:pPr>
        <w:ind w:firstLine="1304"/>
        <w:spacing w:after="0" w:line="230" w:lineRule="auto"/>
        <w:tabs>
          <w:tab w:leader="none" w:pos="1944" w:val="left"/>
        </w:tabs>
        <w:numPr>
          <w:ilvl w:val="0"/>
          <w:numId w:val="22"/>
        </w:numPr>
        <w:rPr>
          <w:rFonts w:ascii="Arial" w:cs="Arial" w:eastAsia="Arial" w:hAnsi="Arial"/>
          <w:sz w:val="22"/>
          <w:szCs w:val="22"/>
          <w:b w:val="1"/>
          <w:bCs w:val="1"/>
          <w:color w:val="auto"/>
        </w:rPr>
      </w:pPr>
      <w:r>
        <w:rPr>
          <w:rFonts w:ascii="Arial" w:cs="Arial" w:eastAsia="Arial" w:hAnsi="Arial"/>
          <w:sz w:val="20"/>
          <w:szCs w:val="20"/>
          <w:color w:val="auto"/>
        </w:rPr>
        <w:t>To make and enforce such rules and regulations as it deems necessary or proper for the efficient administration of the Plan or required to comply with applicable law;</w:t>
      </w:r>
    </w:p>
    <w:p>
      <w:pPr>
        <w:spacing w:after="0" w:line="171" w:lineRule="exact"/>
        <w:rPr>
          <w:rFonts w:ascii="Arial" w:cs="Arial" w:eastAsia="Arial" w:hAnsi="Arial"/>
          <w:sz w:val="22"/>
          <w:szCs w:val="22"/>
          <w:b w:val="1"/>
          <w:bCs w:val="1"/>
          <w:color w:val="auto"/>
        </w:rPr>
      </w:pPr>
    </w:p>
    <w:p>
      <w:pPr>
        <w:ind w:left="1960" w:hanging="656"/>
        <w:spacing w:after="0"/>
        <w:tabs>
          <w:tab w:leader="none" w:pos="1960" w:val="left"/>
        </w:tabs>
        <w:numPr>
          <w:ilvl w:val="0"/>
          <w:numId w:val="22"/>
        </w:numPr>
        <w:rPr>
          <w:rFonts w:ascii="Arial" w:cs="Arial" w:eastAsia="Arial" w:hAnsi="Arial"/>
          <w:sz w:val="22"/>
          <w:szCs w:val="22"/>
          <w:b w:val="1"/>
          <w:bCs w:val="1"/>
          <w:color w:val="auto"/>
        </w:rPr>
      </w:pPr>
      <w:r>
        <w:rPr>
          <w:rFonts w:ascii="Arial" w:cs="Arial" w:eastAsia="Arial" w:hAnsi="Arial"/>
          <w:sz w:val="20"/>
          <w:szCs w:val="20"/>
          <w:color w:val="auto"/>
        </w:rPr>
        <w:t>To interpret the Plan, its interpretation thereof in good faith to be final and conclusive on all persons;</w:t>
      </w:r>
    </w:p>
    <w:p>
      <w:pPr>
        <w:spacing w:after="0" w:line="179" w:lineRule="exact"/>
        <w:rPr>
          <w:rFonts w:ascii="Arial" w:cs="Arial" w:eastAsia="Arial" w:hAnsi="Arial"/>
          <w:sz w:val="22"/>
          <w:szCs w:val="22"/>
          <w:b w:val="1"/>
          <w:bCs w:val="1"/>
          <w:color w:val="auto"/>
        </w:rPr>
      </w:pPr>
    </w:p>
    <w:p>
      <w:pPr>
        <w:ind w:left="1960" w:hanging="656"/>
        <w:spacing w:after="0"/>
        <w:tabs>
          <w:tab w:leader="none" w:pos="1960" w:val="left"/>
        </w:tabs>
        <w:numPr>
          <w:ilvl w:val="0"/>
          <w:numId w:val="22"/>
        </w:numPr>
        <w:rPr>
          <w:rFonts w:ascii="Arial" w:cs="Arial" w:eastAsia="Arial" w:hAnsi="Arial"/>
          <w:sz w:val="22"/>
          <w:szCs w:val="22"/>
          <w:b w:val="1"/>
          <w:bCs w:val="1"/>
          <w:color w:val="auto"/>
        </w:rPr>
      </w:pPr>
      <w:r>
        <w:rPr>
          <w:rFonts w:ascii="Arial" w:cs="Arial" w:eastAsia="Arial" w:hAnsi="Arial"/>
          <w:sz w:val="20"/>
          <w:szCs w:val="20"/>
          <w:color w:val="auto"/>
        </w:rPr>
        <w:t>To decide all questions concerning the Plan and the eligibility of any person to participate in the Plan;</w:t>
      </w:r>
    </w:p>
    <w:p>
      <w:pPr>
        <w:spacing w:after="0" w:line="179" w:lineRule="exact"/>
        <w:rPr>
          <w:rFonts w:ascii="Arial" w:cs="Arial" w:eastAsia="Arial" w:hAnsi="Arial"/>
          <w:sz w:val="22"/>
          <w:szCs w:val="22"/>
          <w:b w:val="1"/>
          <w:bCs w:val="1"/>
          <w:color w:val="auto"/>
        </w:rPr>
      </w:pPr>
    </w:p>
    <w:p>
      <w:pPr>
        <w:ind w:firstLine="1304"/>
        <w:spacing w:after="0" w:line="230" w:lineRule="auto"/>
        <w:tabs>
          <w:tab w:leader="none" w:pos="1944" w:val="left"/>
        </w:tabs>
        <w:numPr>
          <w:ilvl w:val="0"/>
          <w:numId w:val="22"/>
        </w:numPr>
        <w:rPr>
          <w:rFonts w:ascii="Arial" w:cs="Arial" w:eastAsia="Arial" w:hAnsi="Arial"/>
          <w:sz w:val="22"/>
          <w:szCs w:val="22"/>
          <w:b w:val="1"/>
          <w:bCs w:val="1"/>
          <w:color w:val="auto"/>
        </w:rPr>
      </w:pPr>
      <w:r>
        <w:rPr>
          <w:rFonts w:ascii="Arial" w:cs="Arial" w:eastAsia="Arial" w:hAnsi="Arial"/>
          <w:sz w:val="20"/>
          <w:szCs w:val="20"/>
          <w:color w:val="auto"/>
        </w:rPr>
        <w:t>To compute the amount of benefits that will be payable to any Participant in accordance with the provisions of the Plan;</w:t>
      </w:r>
    </w:p>
    <w:p>
      <w:pPr>
        <w:spacing w:after="0" w:line="158" w:lineRule="exact"/>
        <w:rPr>
          <w:rFonts w:ascii="Arial" w:cs="Arial" w:eastAsia="Arial" w:hAnsi="Arial"/>
          <w:sz w:val="22"/>
          <w:szCs w:val="22"/>
          <w:b w:val="1"/>
          <w:bCs w:val="1"/>
          <w:color w:val="auto"/>
        </w:rPr>
      </w:pPr>
    </w:p>
    <w:p>
      <w:pPr>
        <w:ind w:left="1940" w:hanging="636"/>
        <w:spacing w:after="0"/>
        <w:tabs>
          <w:tab w:leader="none" w:pos="1940" w:val="left"/>
        </w:tabs>
        <w:numPr>
          <w:ilvl w:val="0"/>
          <w:numId w:val="22"/>
        </w:numPr>
        <w:rPr>
          <w:rFonts w:ascii="Arial" w:cs="Arial" w:eastAsia="Arial" w:hAnsi="Arial"/>
          <w:sz w:val="22"/>
          <w:szCs w:val="22"/>
          <w:b w:val="1"/>
          <w:bCs w:val="1"/>
          <w:color w:val="auto"/>
        </w:rPr>
      </w:pPr>
      <w:r>
        <w:rPr>
          <w:rFonts w:ascii="Arial" w:cs="Arial" w:eastAsia="Arial" w:hAnsi="Arial"/>
          <w:sz w:val="20"/>
          <w:szCs w:val="20"/>
          <w:color w:val="auto"/>
        </w:rPr>
        <w:t>To authorize the payment of benefits;</w:t>
      </w:r>
    </w:p>
    <w:p>
      <w:pPr>
        <w:spacing w:after="0" w:line="179" w:lineRule="exact"/>
        <w:rPr>
          <w:rFonts w:ascii="Arial" w:cs="Arial" w:eastAsia="Arial" w:hAnsi="Arial"/>
          <w:sz w:val="22"/>
          <w:szCs w:val="22"/>
          <w:b w:val="1"/>
          <w:bCs w:val="1"/>
          <w:color w:val="auto"/>
        </w:rPr>
      </w:pPr>
    </w:p>
    <w:p>
      <w:pPr>
        <w:ind w:left="1920" w:hanging="616"/>
        <w:spacing w:after="0"/>
        <w:tabs>
          <w:tab w:leader="none" w:pos="1920" w:val="left"/>
        </w:tabs>
        <w:numPr>
          <w:ilvl w:val="0"/>
          <w:numId w:val="22"/>
        </w:numPr>
        <w:rPr>
          <w:rFonts w:ascii="Arial" w:cs="Arial" w:eastAsia="Arial" w:hAnsi="Arial"/>
          <w:sz w:val="22"/>
          <w:szCs w:val="22"/>
          <w:b w:val="1"/>
          <w:bCs w:val="1"/>
          <w:color w:val="auto"/>
        </w:rPr>
      </w:pPr>
      <w:r>
        <w:rPr>
          <w:rFonts w:ascii="Arial" w:cs="Arial" w:eastAsia="Arial" w:hAnsi="Arial"/>
          <w:sz w:val="20"/>
          <w:szCs w:val="20"/>
          <w:color w:val="auto"/>
        </w:rPr>
        <w:t>To keep such records and submit such filings as may be required under applicable law;</w:t>
      </w:r>
    </w:p>
    <w:p>
      <w:pPr>
        <w:spacing w:after="0" w:line="179" w:lineRule="exact"/>
        <w:rPr>
          <w:rFonts w:ascii="Arial" w:cs="Arial" w:eastAsia="Arial" w:hAnsi="Arial"/>
          <w:sz w:val="22"/>
          <w:szCs w:val="22"/>
          <w:b w:val="1"/>
          <w:bCs w:val="1"/>
          <w:color w:val="auto"/>
        </w:rPr>
      </w:pPr>
    </w:p>
    <w:p>
      <w:pPr>
        <w:ind w:right="20" w:firstLine="1304"/>
        <w:spacing w:after="0" w:line="230" w:lineRule="auto"/>
        <w:tabs>
          <w:tab w:leader="none" w:pos="1943" w:val="left"/>
        </w:tabs>
        <w:numPr>
          <w:ilvl w:val="0"/>
          <w:numId w:val="22"/>
        </w:numPr>
        <w:rPr>
          <w:rFonts w:ascii="Arial" w:cs="Arial" w:eastAsia="Arial" w:hAnsi="Arial"/>
          <w:sz w:val="22"/>
          <w:szCs w:val="22"/>
          <w:b w:val="1"/>
          <w:bCs w:val="1"/>
          <w:color w:val="auto"/>
        </w:rPr>
      </w:pPr>
      <w:r>
        <w:rPr>
          <w:rFonts w:ascii="Arial" w:cs="Arial" w:eastAsia="Arial" w:hAnsi="Arial"/>
          <w:sz w:val="20"/>
          <w:szCs w:val="20"/>
          <w:color w:val="auto"/>
        </w:rPr>
        <w:t>To appoint such agents, counsel, accountants and consultants as may be required to assist in administering the Plan; and</w:t>
      </w:r>
    </w:p>
    <w:p>
      <w:pPr>
        <w:spacing w:after="0" w:line="171" w:lineRule="exact"/>
        <w:rPr>
          <w:rFonts w:ascii="Arial" w:cs="Arial" w:eastAsia="Arial" w:hAnsi="Arial"/>
          <w:sz w:val="22"/>
          <w:szCs w:val="22"/>
          <w:b w:val="1"/>
          <w:bCs w:val="1"/>
          <w:color w:val="auto"/>
        </w:rPr>
      </w:pPr>
    </w:p>
    <w:p>
      <w:pPr>
        <w:ind w:firstLine="1304"/>
        <w:spacing w:after="0" w:line="230" w:lineRule="auto"/>
        <w:tabs>
          <w:tab w:leader="none" w:pos="1944" w:val="left"/>
        </w:tabs>
        <w:numPr>
          <w:ilvl w:val="0"/>
          <w:numId w:val="22"/>
        </w:numPr>
        <w:rPr>
          <w:rFonts w:ascii="Arial" w:cs="Arial" w:eastAsia="Arial" w:hAnsi="Arial"/>
          <w:sz w:val="22"/>
          <w:szCs w:val="22"/>
          <w:b w:val="1"/>
          <w:bCs w:val="1"/>
          <w:color w:val="auto"/>
        </w:rPr>
      </w:pPr>
      <w:r>
        <w:rPr>
          <w:rFonts w:ascii="Arial" w:cs="Arial" w:eastAsia="Arial" w:hAnsi="Arial"/>
          <w:sz w:val="20"/>
          <w:szCs w:val="20"/>
          <w:color w:val="auto"/>
        </w:rPr>
        <w:t>By written instrument, to allocate and delegate its fiduciary responsibilities in a prudent manner consistent with the best interests of the Plan Participants.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Right To Amend or Terminate</w:t>
      </w:r>
    </w:p>
    <w:p>
      <w:pPr>
        <w:spacing w:after="0" w:line="19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0"/>
          <w:szCs w:val="20"/>
          <w:color w:val="auto"/>
        </w:rPr>
        <w:t>The Company reserves the power at any time to modify, amend, or terminate (in whole or in part) any or all of the provisions of the Plan, effective at such date as the Company shall determine. Any Plan amendment shall be adopted by action of the Company’s Board of Directors or by a corporate officer or officers authorized by the Board to act on behalf of Company in such matters. However, no such amendment, modification, termination or discontinuance shall have the effect of reducing the amount of a Participant’s Plan benefit, or deferring the time at which Plan benefits shall be paid to a Participant pursuant to the terms of the Plan, for any Participant who has executed and delivered to the Company an Agreement of</w:t>
      </w:r>
    </w:p>
    <w:p>
      <w:pPr>
        <w:sectPr>
          <w:pgSz w:w="11900" w:h="16838" w:orient="portrait"/>
          <w:cols w:equalWidth="0" w:num="1">
            <w:col w:w="11240"/>
          </w:cols>
          <w:pgMar w:left="320" w:top="1414" w:right="339" w:bottom="1440" w:gutter="0" w:footer="0" w:header="0"/>
        </w:sectPr>
      </w:pPr>
    </w:p>
    <w:bookmarkStart w:id="41" w:name="page42"/>
    <w:bookmarkEnd w:id="41"/>
    <w:p>
      <w:pPr>
        <w:jc w:val="both"/>
        <w:ind w:right="20"/>
        <w:spacing w:after="0" w:line="286" w:lineRule="auto"/>
        <w:rPr>
          <w:sz w:val="20"/>
          <w:szCs w:val="20"/>
          <w:color w:val="auto"/>
        </w:rPr>
      </w:pPr>
      <w:r>
        <w:rPr>
          <w:rFonts w:ascii="Arial" w:cs="Arial" w:eastAsia="Arial" w:hAnsi="Arial"/>
          <w:sz w:val="20"/>
          <w:szCs w:val="20"/>
          <w:color w:val="auto"/>
        </w:rPr>
        <w:t>Release and Waiver prior to the date of the Board resolution or executive action effecting such amendment, modification, termination or discontinuance.</w:t>
      </w:r>
    </w:p>
    <w:p>
      <w:pPr>
        <w:spacing w:after="0" w:line="1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Funding and Expenses</w:t>
      </w:r>
    </w:p>
    <w:p>
      <w:pPr>
        <w:spacing w:after="0" w:line="19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0"/>
          <w:szCs w:val="20"/>
          <w:color w:val="auto"/>
        </w:rPr>
        <w:t>The Cash Severance Benefits provided under the Plan shall be payable solely from the general assets of the Company. The Company shall have no obligation to set aside any funds in a separate account or trust for purposes of funding the benefits provided under the Plan. Benefits provided in the form of continued coverage under group insurance policies are provided by the applicable insurance carrier, and the Company shall have no responsibility for such benefits other than payment of the applicable premium cost as provided under this Plan. Expenses of operating and administering the Plan shall be borne entirely by the Company.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Right of Recovery</w:t>
      </w:r>
    </w:p>
    <w:p>
      <w:pPr>
        <w:spacing w:after="0" w:line="199"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0"/>
          <w:szCs w:val="20"/>
          <w:color w:val="auto"/>
        </w:rPr>
        <w:t>There are times that the Participant or the Participant’s beneficiary will be required to furnish information or proof necessary to determine their right to a Plan benefit. There may be negative consequences under the Plan if the Participant or the Participant’s beneficiary fail to submit the requested information or proof, make a false statement, or furnish fraudulent or incorrect information. For example, benefits under the Plan (and participation in the Plan, even if Participant or the Participant’s beneficiary would otherwise meet the Plan’s eligibility requirements) may be denied, suspended, or discontinued at any time and for any length of time (including permanently) by a duly authorized representative of the Plan or any of its designees in its sole and absolute discretion.</w:t>
      </w:r>
    </w:p>
    <w:p>
      <w:pPr>
        <w:spacing w:after="0" w:line="19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0"/>
          <w:szCs w:val="20"/>
          <w:color w:val="auto"/>
        </w:rPr>
        <w:t>If the Plan makes payment for benefits that are in excess of expenses actually incurred or in excess of allowable amounts, due to error (including, for example, a clerical error) or fraud or for any other reason, the Plan reserves the right to recover such overpayment plus interest and costs, through whatever means are necessary, including, without limitation, legal action or by offsetting future benefit payments to the Participant or the Participant’s beneficiary heirs, assigns, or estate.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Governing Law, Venue</w:t>
      </w:r>
    </w:p>
    <w:p>
      <w:pPr>
        <w:spacing w:after="0" w:line="199"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0"/>
          <w:szCs w:val="20"/>
          <w:color w:val="auto"/>
        </w:rPr>
        <w:t>The provisions of the Plan shall be construed, administered and enforced according to ERISA and, to the extent not preempted, by the laws of the State of North Carolina without application of its conflict of laws principles. Any claim relating to or arising under the Plan may only be brought in the U.S. District Court for the State of North Carolina. No other court is a proper venue or forum for a claim under the Plan. The U.S. District Court for the State of North Carolina will have personal jurisdiction over each Participant or any beneficiary named in an action.</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color w:val="auto"/>
        </w:rPr>
        <w:t>Addresses, Notice, Waiver of Notice</w:t>
      </w:r>
    </w:p>
    <w:p>
      <w:pPr>
        <w:spacing w:after="0" w:line="19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0"/>
          <w:szCs w:val="20"/>
          <w:color w:val="auto"/>
        </w:rPr>
        <w:t>Each Participant must have on file with the Company’s Human Resources Department his or her current mailing address. Any communications, statements or notices addressed to such a person at his or her last mailing address as filed with the Company’s Human Resources Department will be binding upon such person for all purposes of the Plan.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color w:val="auto"/>
        </w:rPr>
        <w:t>Severability</w:t>
      </w:r>
    </w:p>
    <w:p>
      <w:pPr>
        <w:sectPr>
          <w:pgSz w:w="11900" w:h="16838" w:orient="portrait"/>
          <w:cols w:equalWidth="0" w:num="1">
            <w:col w:w="11240"/>
          </w:cols>
          <w:pgMar w:left="320" w:top="1414" w:right="339" w:bottom="1440" w:gutter="0" w:footer="0" w:header="0"/>
        </w:sectPr>
      </w:pPr>
    </w:p>
    <w:bookmarkStart w:id="42" w:name="page43"/>
    <w:bookmarkEnd w:id="42"/>
    <w:p>
      <w:pPr>
        <w:jc w:val="both"/>
        <w:ind w:firstLine="1296"/>
        <w:spacing w:after="0" w:line="262" w:lineRule="auto"/>
        <w:rPr>
          <w:sz w:val="20"/>
          <w:szCs w:val="20"/>
          <w:color w:val="auto"/>
        </w:rPr>
      </w:pPr>
      <w:r>
        <w:rPr>
          <w:rFonts w:ascii="Arial" w:cs="Arial" w:eastAsia="Arial" w:hAnsi="Arial"/>
          <w:sz w:val="20"/>
          <w:szCs w:val="20"/>
          <w:color w:val="auto"/>
        </w:rPr>
        <w:t>If any provision of the Plan shall be held illegal or invalid for any reason, such illegality or invalidity shall not affect the remaining provisions of the Plan, and the Plan shall be construed and enforced as if such illegal and invalid provisions had never been part of the Plan.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9"/>
          <w:szCs w:val="19"/>
          <w:b w:val="1"/>
          <w:bCs w:val="1"/>
          <w:color w:val="auto"/>
        </w:rPr>
        <w:t>Voluntary Plan</w:t>
      </w:r>
    </w:p>
    <w:p>
      <w:pPr>
        <w:spacing w:after="0" w:line="199"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0"/>
          <w:szCs w:val="20"/>
          <w:color w:val="auto"/>
        </w:rPr>
        <w:t>The adoption of this Plan is purely voluntary on the part of the Company and shall not be deemed to constitute a contract between the Company, any Employee, Participant or other person not within the employ of the Company, or to be a consideration for, or an inducement or condition of, the employment of any Employee, Participant or other person, or to give any right to be retained in the employ of the Company, or to interfere with the right of an Employee to quit at any time, or to interfere with the right of the Company to discharge any Employee or other person at any time. Employment at the Company is Employment At-Will, and the adoption of this Plan shall not be construed as altering any employee’s at-will status or requiring cause or notice by the Company or the Employee to terminate the employment.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19"/>
          <w:szCs w:val="19"/>
          <w:b w:val="1"/>
          <w:bCs w:val="1"/>
          <w:color w:val="auto"/>
        </w:rPr>
        <w:t>Plan Communications</w:t>
      </w:r>
    </w:p>
    <w:p>
      <w:pPr>
        <w:spacing w:after="0" w:line="19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20"/>
          <w:szCs w:val="20"/>
          <w:color w:val="auto"/>
        </w:rPr>
        <w:t>No communications in connection with the Plan made by an Employee shall be effective unless duly executed on an appropriate form provided or approved by, and filed with, the Administrator.</w:t>
      </w:r>
    </w:p>
    <w:p>
      <w:pPr>
        <w:spacing w:after="0" w:line="354"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2"/>
          <w:szCs w:val="22"/>
          <w:b w:val="1"/>
          <w:bCs w:val="1"/>
          <w:color w:val="auto"/>
        </w:rPr>
      </w:pPr>
      <w:r>
        <w:rPr>
          <w:rFonts w:ascii="Arial" w:cs="Arial" w:eastAsia="Arial" w:hAnsi="Arial"/>
          <w:sz w:val="20"/>
          <w:szCs w:val="20"/>
          <w:b w:val="1"/>
          <w:bCs w:val="1"/>
          <w:color w:val="auto"/>
        </w:rPr>
        <w:t>CLAIMS PROCEDURE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Initial Benefit Claim Procedure</w:t>
      </w:r>
    </w:p>
    <w:p>
      <w:pPr>
        <w:spacing w:after="0" w:line="19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If a claim for benefits under the Plan is denied in whole or in part, the claimant will be notified by the Administrator within 90 days of the date the claim is delivered to the Administrator. If the Administrator determines that an extension of time for processing the claim is required, written notice of the extension shall be furnished to the claimant prior to the expiration of the initial 90-day period stating the circumstances requiring a delay and the date by which the Administrator expects to make a determination and review. In no event shall such extension exceed a period of 90 days from the end of the initial 90-day period. The notification will be written in understandable language and will state: (a) specific reasons for denial of the claim, (b) specific references to Plan provisions on which the denial is based, (c) a description (if appropriate) of any additional material or information necessary for the claimant to perfect the claim and an explanation of why such additional material or information is needed, and (d) an explanation of the Plan’s claims review procedure. If the Administrator does not respond to the claim within 90 days, the claim should be treated as being denied and the claimant may submit a written appeal.</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Time Limit for Submission of Initial Claim for Benefits</w:t>
      </w:r>
    </w:p>
    <w:p>
      <w:pPr>
        <w:spacing w:after="0" w:line="19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0"/>
          <w:szCs w:val="20"/>
          <w:color w:val="auto"/>
        </w:rPr>
        <w:t>No claim for Plan benefits shall be valid unless it is submitted in writing to the Plan Administrator within 90-days following the receipt or denial of the disputed benefit. Any person who is denied Plan benefits at the termination of his or her employment and who feels he or she is entitled to Plan benefits must file a written claim for Plan benefits within 90 days following the date of his or her termination of employment.</w:t>
      </w:r>
    </w:p>
    <w:p>
      <w:pPr>
        <w:sectPr>
          <w:pgSz w:w="11900" w:h="16838" w:orient="portrait"/>
          <w:cols w:equalWidth="0" w:num="1">
            <w:col w:w="11240"/>
          </w:cols>
          <w:pgMar w:left="320" w:top="1414" w:right="339" w:bottom="1440" w:gutter="0" w:footer="0" w:header="0"/>
        </w:sectPr>
      </w:pPr>
    </w:p>
    <w:bookmarkStart w:id="43" w:name="page44"/>
    <w:bookmarkEnd w:id="43"/>
    <w:p>
      <w:pPr>
        <w:ind w:left="660"/>
        <w:spacing w:after="0"/>
        <w:tabs>
          <w:tab w:leader="none" w:pos="12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Review of Claims Denials</w:t>
      </w:r>
    </w:p>
    <w:p>
      <w:pPr>
        <w:spacing w:after="0" w:line="19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Within 60 days after a claimant receives notice that a claim has been denied, the claimant or his or her authorized representative may make a request for a review by submitting to the Administrator a written statement: (a) requesting a review of the denial of the claim, (b) setting forth all of the grounds upon which the request for review is based and any facts in support thereof; and (c) setting forth any issues or comments which the claimant deems relevant to the claim. The claimant may, in addition to written comments, submit documents, records, and other information relating to the claim for benefits. The claimant shall be provided, upon request and free of charge, reasonable access to, and copies of, all documents, records and other information relevant to the claim for benefits. A document, record or other information shall be considered “relevant” to the claim if the document, record or other information (i) was relied upon in making the benefit determination; (ii) was submitted, considered or generated in the course of making the benefit determination, without regard to whether it was relied upon in making the benefit determination; or (iii) if it demonstrates the Administrator’s compliance with administrative processes and safeguards. The Administrator will review such request for review, considering all comments, documents, records and other information submitted by the claimant relating to the request for review, regardless of whether such information was submitted or considered in the initial benefit determination.</w:t>
      </w:r>
    </w:p>
    <w:p>
      <w:pPr>
        <w:spacing w:after="0" w:line="193"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0"/>
          <w:szCs w:val="20"/>
          <w:color w:val="auto"/>
        </w:rPr>
        <w:t>The Administrator shall make a decision on review and notify the claimant within 60 days after the receipt of the claimant’s request for review by the Plan, unless the Administrator determines that special circumstances require an extension of time for processing the review. If the Administrator determines an extension of time is required, written notice of the extension shall be furnished to the claimant prior to termination of the initial 60-day period for review of the claim. In no event shall such extension exceed a period of 60 days from the end of the initial period for review of the claim. The extension notice shall indicate the special circumstances requiring an extension of time and the date by which the Administrator expects to make its determination and review.</w:t>
      </w:r>
    </w:p>
    <w:p>
      <w:pPr>
        <w:spacing w:after="0" w:line="193"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0"/>
          <w:szCs w:val="20"/>
          <w:color w:val="auto"/>
        </w:rPr>
        <w:t>The Administrator shall provide the claimant with written or electronic notification of the determination on review. Any electronic notification shall comply with Department of Labor regulations regarding such matters. An adverse benefit determination shall set forth (a) the specific reason(s) for the adverse determination; (b) reference to the specific Plan provisions on which the benefit determination is based; (c) a statement the claimant is entitled to receive, upon request and free of charge, reasonable access to, and copies of all documents, records and other information relevant to the claimant’s claim for benefits; and (d) a statement that, having exhausted the Plan’s claims procedures, the claimant has the right to file suit in court under ERISA Section 501(a) to pursue a benefit claim under this Plan.</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Your Rights Under ERISA</w:t>
      </w:r>
    </w:p>
    <w:p>
      <w:pPr>
        <w:spacing w:after="0" w:line="19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20"/>
          <w:szCs w:val="20"/>
          <w:color w:val="auto"/>
        </w:rPr>
        <w:t>As a participant in the Plan, you are entitled to certain rights and protections under ERISA. ERISA provides that all Plan Participants shall be entitled to:</w:t>
      </w:r>
    </w:p>
    <w:p>
      <w:pPr>
        <w:spacing w:after="0" w:line="127" w:lineRule="exact"/>
        <w:rPr>
          <w:sz w:val="20"/>
          <w:szCs w:val="20"/>
          <w:color w:val="auto"/>
        </w:rPr>
      </w:pPr>
    </w:p>
    <w:p>
      <w:pPr>
        <w:ind w:left="1960" w:right="640" w:hanging="656"/>
        <w:spacing w:after="0" w:line="242" w:lineRule="auto"/>
        <w:tabs>
          <w:tab w:leader="none" w:pos="1948" w:val="left"/>
        </w:tabs>
        <w:numPr>
          <w:ilvl w:val="0"/>
          <w:numId w:val="24"/>
        </w:numPr>
        <w:rPr>
          <w:rFonts w:ascii="Times New Roman" w:cs="Times New Roman" w:eastAsia="Times New Roman" w:hAnsi="Times New Roman"/>
          <w:sz w:val="20"/>
          <w:szCs w:val="20"/>
          <w:color w:val="auto"/>
        </w:rPr>
      </w:pPr>
      <w:r>
        <w:rPr>
          <w:rFonts w:ascii="Arial" w:cs="Arial" w:eastAsia="Arial" w:hAnsi="Arial"/>
          <w:sz w:val="20"/>
          <w:szCs w:val="20"/>
          <w:color w:val="auto"/>
        </w:rPr>
        <w:t>Examine, without charge, at the Plan Administrator’s office, all documents governing the Plan, including this document.</w:t>
      </w:r>
    </w:p>
    <w:p>
      <w:pPr>
        <w:sectPr>
          <w:pgSz w:w="11900" w:h="16838" w:orient="portrait"/>
          <w:cols w:equalWidth="0" w:num="1">
            <w:col w:w="11240"/>
          </w:cols>
          <w:pgMar w:left="320" w:top="1394" w:right="339" w:bottom="1440" w:gutter="0" w:footer="0" w:header="0"/>
        </w:sectPr>
      </w:pPr>
    </w:p>
    <w:bookmarkStart w:id="44" w:name="page45"/>
    <w:bookmarkEnd w:id="44"/>
    <w:p>
      <w:pPr>
        <w:ind w:left="1960" w:right="660" w:hanging="656"/>
        <w:spacing w:after="0" w:line="242" w:lineRule="auto"/>
        <w:tabs>
          <w:tab w:leader="none" w:pos="1948" w:val="left"/>
        </w:tabs>
        <w:numPr>
          <w:ilvl w:val="0"/>
          <w:numId w:val="25"/>
        </w:numPr>
        <w:rPr>
          <w:rFonts w:ascii="Times New Roman" w:cs="Times New Roman" w:eastAsia="Times New Roman" w:hAnsi="Times New Roman"/>
          <w:sz w:val="20"/>
          <w:szCs w:val="20"/>
          <w:color w:val="auto"/>
        </w:rPr>
      </w:pPr>
      <w:r>
        <w:rPr>
          <w:rFonts w:ascii="Arial" w:cs="Arial" w:eastAsia="Arial" w:hAnsi="Arial"/>
          <w:sz w:val="20"/>
          <w:szCs w:val="20"/>
          <w:color w:val="auto"/>
        </w:rPr>
        <w:t>Obtain, upon written request to the Plan Administrator, copies of documents governing the operation of the Plan. The Administrator may make a reasonable charge for the copies.</w:t>
      </w:r>
    </w:p>
    <w:p>
      <w:pPr>
        <w:spacing w:after="0" w:line="15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20"/>
          <w:szCs w:val="20"/>
          <w:color w:val="auto"/>
        </w:rPr>
        <w:t>In addition to creating rights for Participants, ERISA imposes duties upon the people who are responsible for the operation of the Plan. The people who operate the Plan, called “Fiduciaries,” have a duty to do so prudently and in the interests of you and other Plan Participants and beneficiaries. No one, including your employer, or any other person, may fire you or otherwise discriminate against you in any way to prevent you from obtaining a welfare benefit or exercising your rights under</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ERISA.</w:t>
      </w:r>
    </w:p>
    <w:p>
      <w:pPr>
        <w:spacing w:after="0" w:line="19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20"/>
          <w:szCs w:val="20"/>
          <w:color w:val="auto"/>
        </w:rPr>
        <w:t>If your claim for benefits is denied or ignored, in whole or in part, you have a right to know why this was done, to obtain copies of documents relating to the decision, without charge, and to appeal any denial, all within certain time schedules.</w:t>
      </w:r>
    </w:p>
    <w:p>
      <w:pPr>
        <w:spacing w:after="0" w:line="14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0"/>
          <w:szCs w:val="20"/>
          <w:color w:val="auto"/>
        </w:rPr>
        <w:t>Under ERISA, there are steps you can take to enforce the above rights. For example, if you request a copy of Plan documents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Administrator. If you have a claim for benefits which is denied or ignored, in whole or in part, you may file suit in a state or federal court, except as otherwise provided in this Plan. If it should happen that Plan Fiduciaries misuse the Plan’s money, or if you are discriminated against for asserting your rights, you may seek assistance from the United States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89"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0"/>
          <w:szCs w:val="20"/>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(formerly known as the Pension and Welfare Benefits Administration), United States Department of Labor, listed in your telephone directory or the Division of Technical Assistance and Inquiries, Employee Benefits Security Administration, U.S. Department of Labor, 200 Constitution Ave.,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7"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22"/>
          <w:szCs w:val="22"/>
          <w:b w:val="1"/>
          <w:bCs w:val="1"/>
          <w:color w:val="auto"/>
        </w:rPr>
      </w:pPr>
      <w:r>
        <w:rPr>
          <w:rFonts w:ascii="Arial" w:cs="Arial" w:eastAsia="Arial" w:hAnsi="Arial"/>
          <w:sz w:val="20"/>
          <w:szCs w:val="20"/>
          <w:b w:val="1"/>
          <w:bCs w:val="1"/>
          <w:color w:val="auto"/>
        </w:rPr>
        <w:t>DEFINITIONS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following terms shall have the following meanings when used in this Plan:</w:t>
      </w:r>
    </w:p>
    <w:p>
      <w:pPr>
        <w:spacing w:after="0" w:line="209"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19"/>
          <w:szCs w:val="19"/>
          <w:b w:val="1"/>
          <w:bCs w:val="1"/>
          <w:color w:val="auto"/>
        </w:rPr>
        <w:t>“Administrator” or “Plan Administrator”</w:t>
      </w:r>
      <w:r>
        <w:rPr>
          <w:rFonts w:ascii="Arial" w:cs="Arial" w:eastAsia="Arial" w:hAnsi="Arial"/>
          <w:sz w:val="22"/>
          <w:szCs w:val="22"/>
          <w:b w:val="1"/>
          <w:bCs w:val="1"/>
          <w:color w:val="auto"/>
        </w:rPr>
        <w:t xml:space="preserve"> </w:t>
      </w:r>
      <w:r>
        <w:rPr>
          <w:rFonts w:ascii="Arial" w:cs="Arial" w:eastAsia="Arial" w:hAnsi="Arial"/>
          <w:sz w:val="19"/>
          <w:szCs w:val="19"/>
          <w:color w:val="auto"/>
        </w:rPr>
        <w:t>means the person(s) appointed by the Company to oversee the</w:t>
      </w:r>
      <w:r>
        <w:rPr>
          <w:rFonts w:ascii="Arial" w:cs="Arial" w:eastAsia="Arial" w:hAnsi="Arial"/>
          <w:sz w:val="22"/>
          <w:szCs w:val="22"/>
          <w:b w:val="1"/>
          <w:bCs w:val="1"/>
          <w:color w:val="auto"/>
        </w:rPr>
        <w:t xml:space="preserve"> </w:t>
      </w:r>
      <w:r>
        <w:rPr>
          <w:rFonts w:ascii="Arial" w:cs="Arial" w:eastAsia="Arial" w:hAnsi="Arial"/>
          <w:sz w:val="19"/>
          <w:szCs w:val="19"/>
          <w:color w:val="auto"/>
        </w:rPr>
        <w:t>operation of the Plan. If no such person is appointed, the Company shall be the Administrator.</w:t>
      </w:r>
    </w:p>
    <w:p>
      <w:pPr>
        <w:spacing w:after="0" w:line="124"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b w:val="1"/>
          <w:bCs w:val="1"/>
          <w:color w:val="auto"/>
        </w:rPr>
        <w:t xml:space="preserve">6.2 </w:t>
      </w:r>
      <w:r>
        <w:rPr>
          <w:rFonts w:ascii="Arial" w:cs="Arial" w:eastAsia="Arial" w:hAnsi="Arial"/>
          <w:sz w:val="19"/>
          <w:szCs w:val="19"/>
          <w:b w:val="1"/>
          <w:bCs w:val="1"/>
          <w:color w:val="auto"/>
        </w:rPr>
        <w:t>“Agreement of Release and Waiver”</w:t>
      </w:r>
      <w:r>
        <w:rPr>
          <w:rFonts w:ascii="Arial" w:cs="Arial" w:eastAsia="Arial" w:hAnsi="Arial"/>
          <w:sz w:val="22"/>
          <w:szCs w:val="22"/>
          <w:b w:val="1"/>
          <w:bCs w:val="1"/>
          <w:color w:val="auto"/>
        </w:rPr>
        <w:t xml:space="preserve"> </w:t>
      </w:r>
      <w:r>
        <w:rPr>
          <w:rFonts w:ascii="Arial" w:cs="Arial" w:eastAsia="Arial" w:hAnsi="Arial"/>
          <w:sz w:val="19"/>
          <w:szCs w:val="19"/>
          <w:color w:val="auto"/>
        </w:rPr>
        <w:t>means the written document that the Participant must execute in order to</w:t>
      </w:r>
      <w:r>
        <w:rPr>
          <w:rFonts w:ascii="Arial" w:cs="Arial" w:eastAsia="Arial" w:hAnsi="Arial"/>
          <w:sz w:val="22"/>
          <w:szCs w:val="22"/>
          <w:b w:val="1"/>
          <w:bCs w:val="1"/>
          <w:color w:val="auto"/>
        </w:rPr>
        <w:t xml:space="preserve"> </w:t>
      </w:r>
      <w:r>
        <w:rPr>
          <w:rFonts w:ascii="Arial" w:cs="Arial" w:eastAsia="Arial" w:hAnsi="Arial"/>
          <w:sz w:val="19"/>
          <w:szCs w:val="19"/>
          <w:color w:val="auto"/>
        </w:rPr>
        <w:t>receive benefits under the Plan.</w:t>
      </w:r>
    </w:p>
    <w:p>
      <w:pPr>
        <w:sectPr>
          <w:pgSz w:w="11900" w:h="16838" w:orient="portrait"/>
          <w:cols w:equalWidth="0" w:num="1">
            <w:col w:w="11240"/>
          </w:cols>
          <w:pgMar w:left="320" w:top="1400" w:right="339" w:bottom="1440" w:gutter="0" w:footer="0" w:header="0"/>
        </w:sectPr>
      </w:pPr>
    </w:p>
    <w:bookmarkStart w:id="45" w:name="page46"/>
    <w:bookmarkEnd w:id="45"/>
    <w:p>
      <w:pPr>
        <w:ind w:left="660"/>
        <w:spacing w:after="0"/>
        <w:tabs>
          <w:tab w:leader="none" w:pos="12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means the Board of Directors of the Company.</w:t>
      </w:r>
    </w:p>
    <w:p>
      <w:pPr>
        <w:spacing w:after="0" w:line="17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 xml:space="preserve">“Cash Severance Benefit” </w:t>
      </w:r>
      <w:r>
        <w:rPr>
          <w:rFonts w:ascii="Arial" w:cs="Arial" w:eastAsia="Arial" w:hAnsi="Arial"/>
          <w:sz w:val="19"/>
          <w:szCs w:val="19"/>
          <w:color w:val="auto"/>
        </w:rPr>
        <w:t>is defined in Section 3.1.A.</w:t>
      </w:r>
    </w:p>
    <w:p>
      <w:pPr>
        <w:spacing w:after="0" w:line="17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9"/>
          <w:szCs w:val="19"/>
          <w:b w:val="1"/>
          <w:bCs w:val="1"/>
          <w:color w:val="auto"/>
        </w:rPr>
        <w:t xml:space="preserve">“Cause” </w:t>
      </w:r>
      <w:r>
        <w:rPr>
          <w:rFonts w:ascii="Arial" w:cs="Arial" w:eastAsia="Arial" w:hAnsi="Arial"/>
          <w:sz w:val="19"/>
          <w:szCs w:val="19"/>
          <w:color w:val="auto"/>
        </w:rPr>
        <w:t>is defined in Section 2.4.D.</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6.6 </w:t>
      </w:r>
      <w:r>
        <w:rPr>
          <w:rFonts w:ascii="Arial" w:cs="Arial" w:eastAsia="Arial" w:hAnsi="Arial"/>
          <w:sz w:val="19"/>
          <w:szCs w:val="19"/>
          <w:b w:val="1"/>
          <w:bCs w:val="1"/>
          <w:color w:val="auto"/>
        </w:rPr>
        <w:t>“Change of Control”</w:t>
      </w:r>
      <w:r>
        <w:rPr>
          <w:rFonts w:ascii="Arial" w:cs="Arial" w:eastAsia="Arial" w:hAnsi="Arial"/>
          <w:sz w:val="22"/>
          <w:szCs w:val="22"/>
          <w:b w:val="1"/>
          <w:bCs w:val="1"/>
          <w:color w:val="auto"/>
        </w:rPr>
        <w:t xml:space="preserve"> </w:t>
      </w:r>
      <w:r>
        <w:rPr>
          <w:rFonts w:ascii="Arial" w:cs="Arial" w:eastAsia="Arial" w:hAnsi="Arial"/>
          <w:sz w:val="19"/>
          <w:szCs w:val="19"/>
          <w:color w:val="auto"/>
        </w:rPr>
        <w:t>shall have the meaning set forth in the Company’s 2022 Stock Incentive Plan, as may be</w:t>
      </w:r>
      <w:r>
        <w:rPr>
          <w:rFonts w:ascii="Arial" w:cs="Arial" w:eastAsia="Arial" w:hAnsi="Arial"/>
          <w:sz w:val="22"/>
          <w:szCs w:val="22"/>
          <w:b w:val="1"/>
          <w:bCs w:val="1"/>
          <w:color w:val="auto"/>
        </w:rPr>
        <w:t xml:space="preserve"> </w:t>
      </w:r>
      <w:r>
        <w:rPr>
          <w:rFonts w:ascii="Arial" w:cs="Arial" w:eastAsia="Arial" w:hAnsi="Arial"/>
          <w:sz w:val="19"/>
          <w:szCs w:val="19"/>
          <w:color w:val="auto"/>
        </w:rPr>
        <w:t>amended from time to time, or any successor plan thereto.</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9"/>
          <w:szCs w:val="19"/>
          <w:b w:val="1"/>
          <w:bCs w:val="1"/>
          <w:color w:val="auto"/>
        </w:rPr>
        <w:t xml:space="preserve">“Company” </w:t>
      </w:r>
      <w:r>
        <w:rPr>
          <w:rFonts w:ascii="Arial" w:cs="Arial" w:eastAsia="Arial" w:hAnsi="Arial"/>
          <w:sz w:val="19"/>
          <w:szCs w:val="19"/>
          <w:color w:val="auto"/>
        </w:rPr>
        <w:t>is defined in Section 1.1.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9"/>
          <w:szCs w:val="19"/>
          <w:b w:val="1"/>
          <w:bCs w:val="1"/>
          <w:color w:val="auto"/>
        </w:rPr>
        <w:t xml:space="preserve">“Comparable Position” </w:t>
      </w:r>
      <w:r>
        <w:rPr>
          <w:rFonts w:ascii="Arial" w:cs="Arial" w:eastAsia="Arial" w:hAnsi="Arial"/>
          <w:sz w:val="19"/>
          <w:szCs w:val="19"/>
          <w:color w:val="auto"/>
        </w:rPr>
        <w:t>is defined in Section 2.4.A.</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6.9</w:t>
      </w:r>
      <w:r>
        <w:rPr>
          <w:sz w:val="20"/>
          <w:szCs w:val="20"/>
          <w:color w:val="auto"/>
        </w:rPr>
        <w:tab/>
      </w:r>
      <w:r>
        <w:rPr>
          <w:rFonts w:ascii="Arial" w:cs="Arial" w:eastAsia="Arial" w:hAnsi="Arial"/>
          <w:sz w:val="19"/>
          <w:szCs w:val="19"/>
          <w:b w:val="1"/>
          <w:bCs w:val="1"/>
          <w:color w:val="auto"/>
        </w:rPr>
        <w:t xml:space="preserve">“Current Weekly Base Pay” </w:t>
      </w:r>
      <w:r>
        <w:rPr>
          <w:rFonts w:ascii="Arial" w:cs="Arial" w:eastAsia="Arial" w:hAnsi="Arial"/>
          <w:sz w:val="19"/>
          <w:szCs w:val="19"/>
          <w:color w:val="auto"/>
        </w:rPr>
        <w:t>means an Employee’s weekly rate of regular pay, determined by dividing his or her</w:t>
      </w:r>
    </w:p>
    <w:p>
      <w:pPr>
        <w:jc w:val="both"/>
        <w:spacing w:after="0" w:line="225" w:lineRule="auto"/>
        <w:rPr>
          <w:sz w:val="20"/>
          <w:szCs w:val="20"/>
          <w:color w:val="auto"/>
        </w:rPr>
      </w:pPr>
      <w:r>
        <w:rPr>
          <w:rFonts w:ascii="Arial" w:cs="Arial" w:eastAsia="Arial" w:hAnsi="Arial"/>
          <w:sz w:val="20"/>
          <w:szCs w:val="20"/>
          <w:color w:val="auto"/>
        </w:rPr>
        <w:t>annualized pay as of the Employee’s Termination Date by 52. Current Weekly Base Pay for purposes of this Plan does not include bonus pay, incentive awards, overtime, shift differential, employee benefits, or other fringe or incidental compensation.</w:t>
      </w:r>
    </w:p>
    <w:p>
      <w:pPr>
        <w:spacing w:after="0" w:line="15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9"/>
          <w:szCs w:val="19"/>
          <w:b w:val="1"/>
          <w:bCs w:val="1"/>
          <w:color w:val="auto"/>
        </w:rPr>
        <w:t xml:space="preserve">“Designated Separation Date” </w:t>
      </w:r>
      <w:r>
        <w:rPr>
          <w:rFonts w:ascii="Arial" w:cs="Arial" w:eastAsia="Arial" w:hAnsi="Arial"/>
          <w:sz w:val="19"/>
          <w:szCs w:val="19"/>
          <w:color w:val="auto"/>
        </w:rPr>
        <w:t>is the date defined in Section 2.3.A.</w:t>
      </w:r>
    </w:p>
    <w:p>
      <w:pPr>
        <w:spacing w:after="0" w:line="17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b w:val="1"/>
          <w:bCs w:val="1"/>
          <w:color w:val="auto"/>
        </w:rPr>
        <w:t>6.11</w:t>
      </w:r>
      <w:r>
        <w:rPr>
          <w:sz w:val="20"/>
          <w:szCs w:val="20"/>
          <w:color w:val="auto"/>
        </w:rPr>
        <w:tab/>
      </w:r>
      <w:r>
        <w:rPr>
          <w:rFonts w:ascii="Arial" w:cs="Arial" w:eastAsia="Arial" w:hAnsi="Arial"/>
          <w:sz w:val="19"/>
          <w:szCs w:val="19"/>
          <w:b w:val="1"/>
          <w:bCs w:val="1"/>
          <w:color w:val="auto"/>
        </w:rPr>
        <w:t xml:space="preserve">“Disqualifying Event” </w:t>
      </w:r>
      <w:r>
        <w:rPr>
          <w:rFonts w:ascii="Arial" w:cs="Arial" w:eastAsia="Arial" w:hAnsi="Arial"/>
          <w:sz w:val="19"/>
          <w:szCs w:val="19"/>
          <w:color w:val="auto"/>
        </w:rPr>
        <w:t>means an event described in Section 2.4.</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6.12</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means November 11, 2024.</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6.13</w:t>
      </w:r>
      <w:r>
        <w:rPr>
          <w:sz w:val="20"/>
          <w:szCs w:val="20"/>
          <w:color w:val="auto"/>
        </w:rPr>
        <w:tab/>
      </w:r>
      <w:r>
        <w:rPr>
          <w:rFonts w:ascii="Arial" w:cs="Arial" w:eastAsia="Arial" w:hAnsi="Arial"/>
          <w:sz w:val="19"/>
          <w:szCs w:val="19"/>
          <w:b w:val="1"/>
          <w:bCs w:val="1"/>
          <w:color w:val="auto"/>
        </w:rPr>
        <w:t xml:space="preserve">“Eligible Employee” </w:t>
      </w:r>
      <w:r>
        <w:rPr>
          <w:rFonts w:ascii="Arial" w:cs="Arial" w:eastAsia="Arial" w:hAnsi="Arial"/>
          <w:sz w:val="19"/>
          <w:szCs w:val="19"/>
          <w:color w:val="auto"/>
        </w:rPr>
        <w:t>is an employee who meets the eligibility criteria set forth in Section 2.1.</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6.14 </w:t>
      </w:r>
      <w:r>
        <w:rPr>
          <w:rFonts w:ascii="Arial" w:cs="Arial" w:eastAsia="Arial" w:hAnsi="Arial"/>
          <w:sz w:val="19"/>
          <w:szCs w:val="19"/>
          <w:b w:val="1"/>
          <w:bCs w:val="1"/>
          <w:color w:val="auto"/>
        </w:rPr>
        <w:t>“Employee”</w:t>
      </w:r>
      <w:r>
        <w:rPr>
          <w:rFonts w:ascii="Arial" w:cs="Arial" w:eastAsia="Arial" w:hAnsi="Arial"/>
          <w:sz w:val="22"/>
          <w:szCs w:val="22"/>
          <w:b w:val="1"/>
          <w:bCs w:val="1"/>
          <w:color w:val="auto"/>
        </w:rPr>
        <w:t xml:space="preserve"> </w:t>
      </w:r>
      <w:r>
        <w:rPr>
          <w:rFonts w:ascii="Arial" w:cs="Arial" w:eastAsia="Arial" w:hAnsi="Arial"/>
          <w:sz w:val="19"/>
          <w:szCs w:val="19"/>
          <w:color w:val="auto"/>
        </w:rPr>
        <w:t>means any regular full-time or part-time active Employee of the Employer, as determined by the</w:t>
      </w:r>
      <w:r>
        <w:rPr>
          <w:rFonts w:ascii="Arial" w:cs="Arial" w:eastAsia="Arial" w:hAnsi="Arial"/>
          <w:sz w:val="22"/>
          <w:szCs w:val="22"/>
          <w:b w:val="1"/>
          <w:bCs w:val="1"/>
          <w:color w:val="auto"/>
        </w:rPr>
        <w:t xml:space="preserve"> </w:t>
      </w:r>
      <w:r>
        <w:rPr>
          <w:rFonts w:ascii="Arial" w:cs="Arial" w:eastAsia="Arial" w:hAnsi="Arial"/>
          <w:sz w:val="19"/>
          <w:szCs w:val="19"/>
          <w:color w:val="auto"/>
        </w:rPr>
        <w:t>Employer and reported as a common law employee on the payroll records of the Employer. Employee excludes every other</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individual, including employees classified as temporary under the Company’s policies, Leased Employees, consultants, and independent contractors (including freelancers), regardless of whether a court or administrative agency subsequently</w:t>
      </w:r>
    </w:p>
    <w:p>
      <w:pPr>
        <w:spacing w:after="0" w:line="211" w:lineRule="auto"/>
        <w:rPr>
          <w:sz w:val="20"/>
          <w:szCs w:val="20"/>
          <w:color w:val="auto"/>
        </w:rPr>
      </w:pPr>
      <w:r>
        <w:rPr>
          <w:rFonts w:ascii="Arial" w:cs="Arial" w:eastAsia="Arial" w:hAnsi="Arial"/>
          <w:sz w:val="20"/>
          <w:szCs w:val="20"/>
          <w:color w:val="auto"/>
        </w:rPr>
        <w:t>determines that any such individual is a common law employee or should have been so classified during any period such</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individual provided services to the Employer and, unless otherwise determined by the Plan Administrator, any individual whose employment with the Company or any subsidiary is covered by a collective bargaining agreement.</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6.15</w:t>
      </w:r>
      <w:r>
        <w:rPr>
          <w:sz w:val="20"/>
          <w:szCs w:val="20"/>
          <w:color w:val="auto"/>
        </w:rPr>
        <w:tab/>
      </w:r>
      <w:r>
        <w:rPr>
          <w:rFonts w:ascii="Arial" w:cs="Arial" w:eastAsia="Arial" w:hAnsi="Arial"/>
          <w:sz w:val="19"/>
          <w:szCs w:val="19"/>
          <w:b w:val="1"/>
          <w:bCs w:val="1"/>
          <w:color w:val="auto"/>
        </w:rPr>
        <w:t xml:space="preserve">“Employer” </w:t>
      </w:r>
      <w:r>
        <w:rPr>
          <w:rFonts w:ascii="Arial" w:cs="Arial" w:eastAsia="Arial" w:hAnsi="Arial"/>
          <w:sz w:val="19"/>
          <w:szCs w:val="19"/>
          <w:color w:val="auto"/>
        </w:rPr>
        <w:t>means the Company and any of its subsidiaries.</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color w:val="auto"/>
        </w:rPr>
        <w:t xml:space="preserve">6.16 </w:t>
      </w:r>
      <w:r>
        <w:rPr>
          <w:rFonts w:ascii="Arial" w:cs="Arial" w:eastAsia="Arial" w:hAnsi="Arial"/>
          <w:sz w:val="19"/>
          <w:szCs w:val="19"/>
          <w:b w:val="1"/>
          <w:bCs w:val="1"/>
          <w:color w:val="auto"/>
        </w:rPr>
        <w:t>“Employment At-Will”</w:t>
      </w:r>
      <w:r>
        <w:rPr>
          <w:rFonts w:ascii="Arial" w:cs="Arial" w:eastAsia="Arial" w:hAnsi="Arial"/>
          <w:sz w:val="22"/>
          <w:szCs w:val="22"/>
          <w:b w:val="1"/>
          <w:bCs w:val="1"/>
          <w:color w:val="auto"/>
        </w:rPr>
        <w:t xml:space="preserve"> </w:t>
      </w:r>
      <w:r>
        <w:rPr>
          <w:rFonts w:ascii="Arial" w:cs="Arial" w:eastAsia="Arial" w:hAnsi="Arial"/>
          <w:sz w:val="19"/>
          <w:szCs w:val="19"/>
          <w:color w:val="auto"/>
        </w:rPr>
        <w:t>means the Employee and the Employer have the right to terminate the employment</w:t>
      </w:r>
      <w:r>
        <w:rPr>
          <w:rFonts w:ascii="Arial" w:cs="Arial" w:eastAsia="Arial" w:hAnsi="Arial"/>
          <w:sz w:val="22"/>
          <w:szCs w:val="22"/>
          <w:b w:val="1"/>
          <w:bCs w:val="1"/>
          <w:color w:val="auto"/>
        </w:rPr>
        <w:t xml:space="preserve"> </w:t>
      </w:r>
      <w:r>
        <w:rPr>
          <w:rFonts w:ascii="Arial" w:cs="Arial" w:eastAsia="Arial" w:hAnsi="Arial"/>
          <w:sz w:val="19"/>
          <w:szCs w:val="19"/>
          <w:color w:val="auto"/>
        </w:rPr>
        <w:t>relationship at any time, with or without cause and with or without notice. Any modification of an Employee’s “at-will” status with the Employer must be in writing and signed by the President and Chief Executive Officer of the Company.</w:t>
      </w:r>
    </w:p>
    <w:p>
      <w:pPr>
        <w:spacing w:after="0" w:line="13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2"/>
          <w:szCs w:val="22"/>
          <w:b w:val="1"/>
          <w:bCs w:val="1"/>
          <w:color w:val="auto"/>
        </w:rPr>
        <w:t xml:space="preserve">6.17 </w:t>
      </w:r>
      <w:r>
        <w:rPr>
          <w:rFonts w:ascii="Arial" w:cs="Arial" w:eastAsia="Arial" w:hAnsi="Arial"/>
          <w:sz w:val="19"/>
          <w:szCs w:val="19"/>
          <w:b w:val="1"/>
          <w:bCs w:val="1"/>
          <w:color w:val="auto"/>
        </w:rPr>
        <w:t>“ERISA”</w:t>
      </w:r>
      <w:r>
        <w:rPr>
          <w:rFonts w:ascii="Arial" w:cs="Arial" w:eastAsia="Arial" w:hAnsi="Arial"/>
          <w:sz w:val="22"/>
          <w:szCs w:val="22"/>
          <w:b w:val="1"/>
          <w:bCs w:val="1"/>
          <w:color w:val="auto"/>
        </w:rPr>
        <w:t xml:space="preserve"> </w:t>
      </w:r>
      <w:r>
        <w:rPr>
          <w:rFonts w:ascii="Arial" w:cs="Arial" w:eastAsia="Arial" w:hAnsi="Arial"/>
          <w:sz w:val="19"/>
          <w:szCs w:val="19"/>
          <w:color w:val="auto"/>
        </w:rPr>
        <w:t>means the Employee Retirement Income Security Act of 1974, as amended, and includes regulations</w:t>
      </w:r>
      <w:r>
        <w:rPr>
          <w:rFonts w:ascii="Arial" w:cs="Arial" w:eastAsia="Arial" w:hAnsi="Arial"/>
          <w:sz w:val="22"/>
          <w:szCs w:val="22"/>
          <w:b w:val="1"/>
          <w:bCs w:val="1"/>
          <w:color w:val="auto"/>
        </w:rPr>
        <w:t xml:space="preserve"> </w:t>
      </w:r>
      <w:r>
        <w:rPr>
          <w:rFonts w:ascii="Arial" w:cs="Arial" w:eastAsia="Arial" w:hAnsi="Arial"/>
          <w:sz w:val="19"/>
          <w:szCs w:val="19"/>
          <w:color w:val="auto"/>
        </w:rPr>
        <w:t>promulgated thereunder by the Secretary of Labor.</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6.18</w:t>
      </w:r>
      <w:r>
        <w:rPr>
          <w:sz w:val="20"/>
          <w:szCs w:val="20"/>
          <w:color w:val="auto"/>
        </w:rPr>
        <w:tab/>
      </w:r>
      <w:r>
        <w:rPr>
          <w:rFonts w:ascii="Arial" w:cs="Arial" w:eastAsia="Arial" w:hAnsi="Arial"/>
          <w:sz w:val="19"/>
          <w:szCs w:val="19"/>
          <w:b w:val="1"/>
          <w:bCs w:val="1"/>
          <w:color w:val="auto"/>
        </w:rPr>
        <w:t xml:space="preserve">“Government Agency” </w:t>
      </w:r>
      <w:r>
        <w:rPr>
          <w:rFonts w:ascii="Arial" w:cs="Arial" w:eastAsia="Arial" w:hAnsi="Arial"/>
          <w:sz w:val="19"/>
          <w:szCs w:val="19"/>
          <w:color w:val="auto"/>
        </w:rPr>
        <w:t>is defined in Section 3.2.</w:t>
      </w:r>
    </w:p>
    <w:p>
      <w:pPr>
        <w:sectPr>
          <w:pgSz w:w="11900" w:h="16838" w:orient="portrait"/>
          <w:cols w:equalWidth="0" w:num="1">
            <w:col w:w="11240"/>
          </w:cols>
          <w:pgMar w:left="320" w:top="1394" w:right="339" w:bottom="1440" w:gutter="0" w:footer="0" w:header="0"/>
        </w:sectPr>
      </w:pPr>
    </w:p>
    <w:bookmarkStart w:id="46" w:name="page47"/>
    <w:bookmarkEnd w:id="46"/>
    <w:p>
      <w:pPr>
        <w:jc w:val="both"/>
        <w:ind w:firstLine="648"/>
        <w:spacing w:after="0" w:line="238" w:lineRule="auto"/>
        <w:rPr>
          <w:sz w:val="20"/>
          <w:szCs w:val="20"/>
          <w:color w:val="auto"/>
        </w:rPr>
      </w:pPr>
      <w:r>
        <w:rPr>
          <w:rFonts w:ascii="Arial" w:cs="Arial" w:eastAsia="Arial" w:hAnsi="Arial"/>
          <w:sz w:val="22"/>
          <w:szCs w:val="22"/>
          <w:b w:val="1"/>
          <w:bCs w:val="1"/>
          <w:color w:val="auto"/>
        </w:rPr>
        <w:t xml:space="preserve">6.19 </w:t>
      </w:r>
      <w:r>
        <w:rPr>
          <w:rFonts w:ascii="Arial" w:cs="Arial" w:eastAsia="Arial" w:hAnsi="Arial"/>
          <w:sz w:val="19"/>
          <w:szCs w:val="19"/>
          <w:b w:val="1"/>
          <w:bCs w:val="1"/>
          <w:color w:val="auto"/>
        </w:rPr>
        <w:t>“Leased Employee”</w:t>
      </w:r>
      <w:r>
        <w:rPr>
          <w:rFonts w:ascii="Arial" w:cs="Arial" w:eastAsia="Arial" w:hAnsi="Arial"/>
          <w:sz w:val="22"/>
          <w:szCs w:val="22"/>
          <w:b w:val="1"/>
          <w:bCs w:val="1"/>
          <w:color w:val="auto"/>
        </w:rPr>
        <w:t xml:space="preserve"> </w:t>
      </w:r>
      <w:r>
        <w:rPr>
          <w:rFonts w:ascii="Arial" w:cs="Arial" w:eastAsia="Arial" w:hAnsi="Arial"/>
          <w:sz w:val="19"/>
          <w:szCs w:val="19"/>
          <w:color w:val="auto"/>
        </w:rPr>
        <w:t>means an Employee whose services are provided to the Employer under an agreement</w:t>
      </w:r>
      <w:r>
        <w:rPr>
          <w:rFonts w:ascii="Arial" w:cs="Arial" w:eastAsia="Arial" w:hAnsi="Arial"/>
          <w:sz w:val="22"/>
          <w:szCs w:val="22"/>
          <w:b w:val="1"/>
          <w:bCs w:val="1"/>
          <w:color w:val="auto"/>
        </w:rPr>
        <w:t xml:space="preserve"> </w:t>
      </w:r>
      <w:r>
        <w:rPr>
          <w:rFonts w:ascii="Arial" w:cs="Arial" w:eastAsia="Arial" w:hAnsi="Arial"/>
          <w:sz w:val="19"/>
          <w:szCs w:val="19"/>
          <w:color w:val="auto"/>
        </w:rPr>
        <w:t>with an outside leasing company or temporary employment agency to perform work under the direction or control of the Employer, as described in Section 414(n) of the Internal Revenue Code of 1986, as amended.</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6.20</w:t>
      </w:r>
      <w:r>
        <w:rPr>
          <w:sz w:val="20"/>
          <w:szCs w:val="20"/>
          <w:color w:val="auto"/>
        </w:rPr>
        <w:tab/>
      </w:r>
      <w:r>
        <w:rPr>
          <w:rFonts w:ascii="Arial" w:cs="Arial" w:eastAsia="Arial" w:hAnsi="Arial"/>
          <w:sz w:val="19"/>
          <w:szCs w:val="19"/>
          <w:b w:val="1"/>
          <w:bCs w:val="1"/>
          <w:color w:val="auto"/>
        </w:rPr>
        <w:t xml:space="preserve">“Notice Date” </w:t>
      </w:r>
      <w:r>
        <w:rPr>
          <w:rFonts w:ascii="Arial" w:cs="Arial" w:eastAsia="Arial" w:hAnsi="Arial"/>
          <w:sz w:val="19"/>
          <w:szCs w:val="19"/>
          <w:color w:val="auto"/>
        </w:rPr>
        <w:t>means the date the Company provides the notice described in Section 2.1.B to an Employee.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6.21</w:t>
      </w:r>
      <w:r>
        <w:rPr>
          <w:sz w:val="20"/>
          <w:szCs w:val="20"/>
          <w:color w:val="auto"/>
        </w:rPr>
        <w:tab/>
      </w:r>
      <w:r>
        <w:rPr>
          <w:rFonts w:ascii="Arial" w:cs="Arial" w:eastAsia="Arial" w:hAnsi="Arial"/>
          <w:sz w:val="19"/>
          <w:szCs w:val="19"/>
          <w:b w:val="1"/>
          <w:bCs w:val="1"/>
          <w:color w:val="auto"/>
        </w:rPr>
        <w:t xml:space="preserve">“Notice Period” </w:t>
      </w:r>
      <w:r>
        <w:rPr>
          <w:rFonts w:ascii="Arial" w:cs="Arial" w:eastAsia="Arial" w:hAnsi="Arial"/>
          <w:sz w:val="19"/>
          <w:szCs w:val="19"/>
          <w:color w:val="auto"/>
        </w:rPr>
        <w:t>means the period defined in Section 2.3.A.</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b w:val="1"/>
          <w:bCs w:val="1"/>
          <w:color w:val="auto"/>
        </w:rPr>
        <w:t xml:space="preserve">6.22 </w:t>
      </w:r>
      <w:r>
        <w:rPr>
          <w:rFonts w:ascii="Arial" w:cs="Arial" w:eastAsia="Arial" w:hAnsi="Arial"/>
          <w:sz w:val="19"/>
          <w:szCs w:val="19"/>
          <w:b w:val="1"/>
          <w:bCs w:val="1"/>
          <w:color w:val="auto"/>
        </w:rPr>
        <w:t>“Participant”</w:t>
      </w:r>
      <w:r>
        <w:rPr>
          <w:rFonts w:ascii="Arial" w:cs="Arial" w:eastAsia="Arial" w:hAnsi="Arial"/>
          <w:sz w:val="22"/>
          <w:szCs w:val="22"/>
          <w:b w:val="1"/>
          <w:bCs w:val="1"/>
          <w:color w:val="auto"/>
        </w:rPr>
        <w:t xml:space="preserve"> </w:t>
      </w:r>
      <w:r>
        <w:rPr>
          <w:rFonts w:ascii="Arial" w:cs="Arial" w:eastAsia="Arial" w:hAnsi="Arial"/>
          <w:sz w:val="19"/>
          <w:szCs w:val="19"/>
          <w:color w:val="auto"/>
        </w:rPr>
        <w:t>means an Eligible Employee who satisfies the requirements of Section 2.1 and who is not</w:t>
      </w:r>
      <w:r>
        <w:rPr>
          <w:rFonts w:ascii="Arial" w:cs="Arial" w:eastAsia="Arial" w:hAnsi="Arial"/>
          <w:sz w:val="22"/>
          <w:szCs w:val="22"/>
          <w:b w:val="1"/>
          <w:bCs w:val="1"/>
          <w:color w:val="auto"/>
        </w:rPr>
        <w:t xml:space="preserve"> </w:t>
      </w:r>
      <w:r>
        <w:rPr>
          <w:rFonts w:ascii="Arial" w:cs="Arial" w:eastAsia="Arial" w:hAnsi="Arial"/>
          <w:sz w:val="19"/>
          <w:szCs w:val="19"/>
          <w:color w:val="auto"/>
        </w:rPr>
        <w:t>excluded from participation under this Plan under Section 2.2 until such time as such Employee has a Disqualifying Event as described in Section 2.5 and thereby loses all eligibility for benefits under this Plan.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6.23</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is defined in Section 1.1.</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6.24</w:t>
      </w:r>
      <w:r>
        <w:rPr>
          <w:sz w:val="20"/>
          <w:szCs w:val="20"/>
          <w:color w:val="auto"/>
        </w:rPr>
        <w:tab/>
      </w:r>
      <w:r>
        <w:rPr>
          <w:rFonts w:ascii="Arial" w:cs="Arial" w:eastAsia="Arial" w:hAnsi="Arial"/>
          <w:sz w:val="19"/>
          <w:szCs w:val="19"/>
          <w:b w:val="1"/>
          <w:bCs w:val="1"/>
          <w:color w:val="auto"/>
        </w:rPr>
        <w:t xml:space="preserve">“Protected Rights” </w:t>
      </w:r>
      <w:r>
        <w:rPr>
          <w:rFonts w:ascii="Arial" w:cs="Arial" w:eastAsia="Arial" w:hAnsi="Arial"/>
          <w:sz w:val="19"/>
          <w:szCs w:val="19"/>
          <w:color w:val="auto"/>
        </w:rPr>
        <w:t>are defined in Section 2.3.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6.25</w:t>
      </w:r>
      <w:r>
        <w:rPr>
          <w:sz w:val="20"/>
          <w:szCs w:val="20"/>
          <w:color w:val="auto"/>
        </w:rPr>
        <w:tab/>
      </w:r>
      <w:r>
        <w:rPr>
          <w:rFonts w:ascii="Arial" w:cs="Arial" w:eastAsia="Arial" w:hAnsi="Arial"/>
          <w:sz w:val="19"/>
          <w:szCs w:val="19"/>
          <w:b w:val="1"/>
          <w:bCs w:val="1"/>
          <w:color w:val="auto"/>
        </w:rPr>
        <w:t>“Release Signing and Revocation Period</w:t>
      </w:r>
      <w:r>
        <w:rPr>
          <w:rFonts w:ascii="Arial" w:cs="Arial" w:eastAsia="Arial" w:hAnsi="Arial"/>
          <w:sz w:val="19"/>
          <w:szCs w:val="19"/>
          <w:color w:val="auto"/>
        </w:rPr>
        <w:t>” is defined in Section 2.3.</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6.26</w:t>
      </w:r>
      <w:r>
        <w:rPr>
          <w:sz w:val="20"/>
          <w:szCs w:val="20"/>
          <w:color w:val="auto"/>
        </w:rPr>
        <w:tab/>
      </w:r>
      <w:r>
        <w:rPr>
          <w:rFonts w:ascii="Arial" w:cs="Arial" w:eastAsia="Arial" w:hAnsi="Arial"/>
          <w:sz w:val="19"/>
          <w:szCs w:val="19"/>
          <w:b w:val="1"/>
          <w:bCs w:val="1"/>
          <w:color w:val="auto"/>
        </w:rPr>
        <w:t xml:space="preserve">“Termination Date” </w:t>
      </w:r>
      <w:r>
        <w:rPr>
          <w:rFonts w:ascii="Arial" w:cs="Arial" w:eastAsia="Arial" w:hAnsi="Arial"/>
          <w:sz w:val="19"/>
          <w:szCs w:val="19"/>
          <w:color w:val="auto"/>
        </w:rPr>
        <w:t>means the date an Eligible Employee’s employment with the Employer is terminated.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WARN</w:t>
      </w:r>
      <w:r>
        <w:rPr>
          <w:rFonts w:ascii="Arial" w:cs="Arial" w:eastAsia="Arial" w:hAnsi="Arial"/>
          <w:sz w:val="19"/>
          <w:szCs w:val="19"/>
          <w:color w:val="auto"/>
        </w:rPr>
        <w:t>” is defined in 2.3.A.</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6.28</w:t>
      </w:r>
      <w:r>
        <w:rPr>
          <w:sz w:val="20"/>
          <w:szCs w:val="20"/>
          <w:color w:val="auto"/>
        </w:rPr>
        <w:tab/>
      </w:r>
      <w:r>
        <w:rPr>
          <w:rFonts w:ascii="Arial" w:cs="Arial" w:eastAsia="Arial" w:hAnsi="Arial"/>
          <w:sz w:val="19"/>
          <w:szCs w:val="19"/>
          <w:b w:val="1"/>
          <w:bCs w:val="1"/>
          <w:color w:val="auto"/>
        </w:rPr>
        <w:t xml:space="preserve">“Year of Service” </w:t>
      </w:r>
      <w:r>
        <w:rPr>
          <w:rFonts w:ascii="Arial" w:cs="Arial" w:eastAsia="Arial" w:hAnsi="Arial"/>
          <w:sz w:val="19"/>
          <w:szCs w:val="19"/>
          <w:color w:val="auto"/>
        </w:rPr>
        <w:t>means each full and partial year of service, rounded to the nearest completed week of service,</w:t>
      </w:r>
    </w:p>
    <w:p>
      <w:pPr>
        <w:jc w:val="both"/>
        <w:spacing w:after="0" w:line="204" w:lineRule="auto"/>
        <w:rPr>
          <w:sz w:val="20"/>
          <w:szCs w:val="20"/>
          <w:color w:val="auto"/>
        </w:rPr>
      </w:pPr>
      <w:r>
        <w:rPr>
          <w:rFonts w:ascii="Arial" w:cs="Arial" w:eastAsia="Arial" w:hAnsi="Arial"/>
          <w:sz w:val="20"/>
          <w:szCs w:val="20"/>
          <w:color w:val="auto"/>
        </w:rPr>
        <w:t>beginning on the Employee’s date of hire and each anniversary thereof, determined as of the Employee’s Termination Date. In computing Years of Service for purposes of this Plan, all service credited under the Company benefit plans count, including</w:t>
      </w:r>
    </w:p>
    <w:p>
      <w:pPr>
        <w:spacing w:after="0" w:line="211" w:lineRule="auto"/>
        <w:rPr>
          <w:sz w:val="20"/>
          <w:szCs w:val="20"/>
          <w:color w:val="auto"/>
        </w:rPr>
      </w:pPr>
      <w:r>
        <w:rPr>
          <w:rFonts w:ascii="Arial" w:cs="Arial" w:eastAsia="Arial" w:hAnsi="Arial"/>
          <w:sz w:val="20"/>
          <w:szCs w:val="20"/>
          <w:color w:val="auto"/>
        </w:rPr>
        <w:t>service with a predecessor employer acquired by the Company which service is recognized for purposes of the Company</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benefit plans. Notwithstanding the foregoing, service taken into account for purposes of any prior severance payment under any plan, arrangement, program or policy of the Company or a predecessor employer shall not be taken into account in determining</w:t>
      </w:r>
    </w:p>
    <w:p>
      <w:pPr>
        <w:spacing w:after="0"/>
        <w:rPr>
          <w:sz w:val="20"/>
          <w:szCs w:val="20"/>
          <w:color w:val="auto"/>
        </w:rPr>
      </w:pPr>
      <w:r>
        <w:rPr>
          <w:rFonts w:ascii="Arial" w:cs="Arial" w:eastAsia="Arial" w:hAnsi="Arial"/>
          <w:sz w:val="20"/>
          <w:szCs w:val="20"/>
          <w:color w:val="auto"/>
        </w:rPr>
        <w:t>benefits payable under this Plan.</w:t>
      </w:r>
    </w:p>
    <w:p>
      <w:pPr>
        <w:spacing w:after="0" w:line="182"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22"/>
          <w:szCs w:val="22"/>
          <w:b w:val="1"/>
          <w:bCs w:val="1"/>
          <w:color w:val="auto"/>
        </w:rPr>
      </w:pPr>
      <w:r>
        <w:rPr>
          <w:rFonts w:ascii="Arial" w:cs="Arial" w:eastAsia="Arial" w:hAnsi="Arial"/>
          <w:sz w:val="20"/>
          <w:szCs w:val="20"/>
          <w:b w:val="1"/>
          <w:bCs w:val="1"/>
          <w:color w:val="auto"/>
        </w:rPr>
        <w:t>IDENTIFYING DATA</w:t>
      </w:r>
    </w:p>
    <w:p>
      <w:pPr>
        <w:spacing w:after="0" w:line="181" w:lineRule="exact"/>
        <w:rPr>
          <w:sz w:val="20"/>
          <w:szCs w:val="20"/>
          <w:color w:val="auto"/>
        </w:rPr>
      </w:pPr>
    </w:p>
    <w:p>
      <w:pPr>
        <w:ind w:right="20" w:firstLine="1296"/>
        <w:spacing w:after="0" w:line="271" w:lineRule="auto"/>
        <w:rPr>
          <w:sz w:val="20"/>
          <w:szCs w:val="20"/>
          <w:color w:val="auto"/>
        </w:rPr>
      </w:pPr>
      <w:r>
        <w:rPr>
          <w:rFonts w:ascii="Arial" w:cs="Arial" w:eastAsia="Arial" w:hAnsi="Arial"/>
          <w:sz w:val="20"/>
          <w:szCs w:val="20"/>
          <w:color w:val="auto"/>
        </w:rPr>
        <w:t>The following information identifies individuals who have responsibilities under this Plan. This heading also includes ERISA-required identification information with respect to the Plan itself.</w:t>
      </w:r>
    </w:p>
    <w:p>
      <w:pPr>
        <w:spacing w:after="0" w:line="177" w:lineRule="exact"/>
        <w:rPr>
          <w:sz w:val="20"/>
          <w:szCs w:val="20"/>
          <w:color w:val="auto"/>
        </w:rPr>
      </w:pPr>
    </w:p>
    <w:tbl>
      <w:tblPr>
        <w:tblLayout w:type="fixed"/>
        <w:tblInd w:w="3260" w:type="dxa"/>
        <w:tblCellMar>
          <w:top w:w="0" w:type="dxa"/>
          <w:left w:w="0" w:type="dxa"/>
          <w:bottom w:w="0" w:type="dxa"/>
          <w:right w:w="0" w:type="dxa"/>
        </w:tblCellMar>
      </w:tblPr>
      <w:tr>
        <w:trPr>
          <w:trHeight w:val="230"/>
        </w:trPr>
        <w:tc>
          <w:tcPr>
            <w:tcW w:w="3080" w:type="dxa"/>
            <w:vAlign w:val="bottom"/>
          </w:tcPr>
          <w:p>
            <w:pPr>
              <w:jc w:val="center"/>
              <w:ind w:right="881"/>
              <w:spacing w:after="0"/>
              <w:rPr>
                <w:sz w:val="20"/>
                <w:szCs w:val="20"/>
                <w:color w:val="auto"/>
              </w:rPr>
            </w:pPr>
            <w:r>
              <w:rPr>
                <w:rFonts w:ascii="Arial" w:cs="Arial" w:eastAsia="Arial" w:hAnsi="Arial"/>
                <w:sz w:val="20"/>
                <w:szCs w:val="20"/>
                <w:color w:val="auto"/>
                <w:w w:val="99"/>
              </w:rPr>
              <w:t>Name of Plan:</w:t>
            </w:r>
          </w:p>
        </w:tc>
        <w:tc>
          <w:tcPr>
            <w:tcW w:w="4260" w:type="dxa"/>
            <w:vAlign w:val="bottom"/>
          </w:tcPr>
          <w:p>
            <w:pPr>
              <w:jc w:val="center"/>
              <w:ind w:left="1061"/>
              <w:spacing w:after="0"/>
              <w:rPr>
                <w:sz w:val="20"/>
                <w:szCs w:val="20"/>
                <w:color w:val="auto"/>
              </w:rPr>
            </w:pPr>
            <w:r>
              <w:rPr>
                <w:rFonts w:ascii="Arial" w:cs="Arial" w:eastAsia="Arial" w:hAnsi="Arial"/>
                <w:sz w:val="20"/>
                <w:szCs w:val="20"/>
                <w:color w:val="auto"/>
                <w:w w:val="98"/>
              </w:rPr>
              <w:t>Qorvo, Inc. Amended and Restated</w:t>
            </w:r>
          </w:p>
        </w:tc>
      </w:tr>
      <w:tr>
        <w:trPr>
          <w:trHeight w:val="248"/>
        </w:trPr>
        <w:tc>
          <w:tcPr>
            <w:tcW w:w="3080" w:type="dxa"/>
            <w:vAlign w:val="bottom"/>
          </w:tcPr>
          <w:p>
            <w:pPr>
              <w:spacing w:after="0"/>
              <w:rPr>
                <w:sz w:val="21"/>
                <w:szCs w:val="21"/>
                <w:color w:val="auto"/>
              </w:rPr>
            </w:pPr>
          </w:p>
        </w:tc>
        <w:tc>
          <w:tcPr>
            <w:tcW w:w="4260" w:type="dxa"/>
            <w:vAlign w:val="bottom"/>
          </w:tcPr>
          <w:p>
            <w:pPr>
              <w:ind w:left="980"/>
              <w:spacing w:after="0"/>
              <w:rPr>
                <w:sz w:val="20"/>
                <w:szCs w:val="20"/>
                <w:color w:val="auto"/>
              </w:rPr>
            </w:pPr>
            <w:r>
              <w:rPr>
                <w:rFonts w:ascii="Arial" w:cs="Arial" w:eastAsia="Arial" w:hAnsi="Arial"/>
                <w:sz w:val="20"/>
                <w:szCs w:val="20"/>
                <w:color w:val="auto"/>
              </w:rPr>
              <w:t>Severance Benefits Plan</w:t>
            </w:r>
          </w:p>
        </w:tc>
      </w:tr>
      <w:tr>
        <w:trPr>
          <w:trHeight w:val="197"/>
        </w:trPr>
        <w:tc>
          <w:tcPr>
            <w:tcW w:w="3080" w:type="dxa"/>
            <w:vAlign w:val="bottom"/>
          </w:tcPr>
          <w:p>
            <w:pPr>
              <w:jc w:val="center"/>
              <w:ind w:right="881"/>
              <w:spacing w:after="0" w:line="197" w:lineRule="exact"/>
              <w:rPr>
                <w:sz w:val="20"/>
                <w:szCs w:val="20"/>
                <w:color w:val="auto"/>
              </w:rPr>
            </w:pPr>
            <w:r>
              <w:rPr>
                <w:rFonts w:ascii="Arial" w:cs="Arial" w:eastAsia="Arial" w:hAnsi="Arial"/>
                <w:sz w:val="20"/>
                <w:szCs w:val="20"/>
                <w:color w:val="auto"/>
                <w:w w:val="98"/>
              </w:rPr>
              <w:t>Sponsoring Employer:</w:t>
            </w:r>
          </w:p>
        </w:tc>
        <w:tc>
          <w:tcPr>
            <w:tcW w:w="4260" w:type="dxa"/>
            <w:vAlign w:val="bottom"/>
          </w:tcPr>
          <w:p>
            <w:pPr>
              <w:jc w:val="center"/>
              <w:ind w:left="1061"/>
              <w:spacing w:after="0" w:line="197" w:lineRule="exact"/>
              <w:rPr>
                <w:sz w:val="20"/>
                <w:szCs w:val="20"/>
                <w:color w:val="auto"/>
              </w:rPr>
            </w:pPr>
            <w:r>
              <w:rPr>
                <w:rFonts w:ascii="Arial" w:cs="Arial" w:eastAsia="Arial" w:hAnsi="Arial"/>
                <w:sz w:val="20"/>
                <w:szCs w:val="20"/>
                <w:color w:val="auto"/>
              </w:rPr>
              <w:t>Qorvo, Inc.</w:t>
            </w:r>
          </w:p>
        </w:tc>
      </w:tr>
      <w:tr>
        <w:trPr>
          <w:trHeight w:val="194"/>
        </w:trPr>
        <w:tc>
          <w:tcPr>
            <w:tcW w:w="3080" w:type="dxa"/>
            <w:vAlign w:val="bottom"/>
          </w:tcPr>
          <w:p>
            <w:pPr>
              <w:spacing w:after="0"/>
              <w:rPr>
                <w:sz w:val="16"/>
                <w:szCs w:val="16"/>
                <w:color w:val="auto"/>
              </w:rPr>
            </w:pPr>
          </w:p>
        </w:tc>
        <w:tc>
          <w:tcPr>
            <w:tcW w:w="4260" w:type="dxa"/>
            <w:vAlign w:val="bottom"/>
          </w:tcPr>
          <w:p>
            <w:pPr>
              <w:jc w:val="center"/>
              <w:ind w:left="1061"/>
              <w:spacing w:after="0" w:line="194" w:lineRule="exact"/>
              <w:rPr>
                <w:sz w:val="20"/>
                <w:szCs w:val="20"/>
                <w:color w:val="auto"/>
              </w:rPr>
            </w:pPr>
            <w:r>
              <w:rPr>
                <w:rFonts w:ascii="Arial" w:cs="Arial" w:eastAsia="Arial" w:hAnsi="Arial"/>
                <w:sz w:val="20"/>
                <w:szCs w:val="20"/>
                <w:color w:val="auto"/>
                <w:w w:val="98"/>
              </w:rPr>
              <w:t>7628 Thorndike Road</w:t>
            </w:r>
          </w:p>
        </w:tc>
      </w:tr>
      <w:tr>
        <w:trPr>
          <w:trHeight w:val="202"/>
        </w:trPr>
        <w:tc>
          <w:tcPr>
            <w:tcW w:w="3080" w:type="dxa"/>
            <w:vAlign w:val="bottom"/>
          </w:tcPr>
          <w:p>
            <w:pPr>
              <w:spacing w:after="0"/>
              <w:rPr>
                <w:sz w:val="17"/>
                <w:szCs w:val="17"/>
                <w:color w:val="auto"/>
              </w:rPr>
            </w:pPr>
          </w:p>
        </w:tc>
        <w:tc>
          <w:tcPr>
            <w:tcW w:w="4260" w:type="dxa"/>
            <w:vAlign w:val="bottom"/>
          </w:tcPr>
          <w:p>
            <w:pPr>
              <w:jc w:val="center"/>
              <w:ind w:left="1041"/>
              <w:spacing w:after="0" w:line="203" w:lineRule="exact"/>
              <w:rPr>
                <w:sz w:val="20"/>
                <w:szCs w:val="20"/>
                <w:color w:val="auto"/>
              </w:rPr>
            </w:pPr>
            <w:r>
              <w:rPr>
                <w:rFonts w:ascii="Arial" w:cs="Arial" w:eastAsia="Arial" w:hAnsi="Arial"/>
                <w:sz w:val="20"/>
                <w:szCs w:val="20"/>
                <w:color w:val="auto"/>
                <w:w w:val="98"/>
              </w:rPr>
              <w:t>Greensboro, NC 27409</w:t>
            </w:r>
          </w:p>
        </w:tc>
      </w:tr>
      <w:tr>
        <w:trPr>
          <w:trHeight w:val="257"/>
        </w:trPr>
        <w:tc>
          <w:tcPr>
            <w:tcW w:w="3080" w:type="dxa"/>
            <w:vAlign w:val="bottom"/>
          </w:tcPr>
          <w:p>
            <w:pPr>
              <w:spacing w:after="0"/>
              <w:rPr>
                <w:sz w:val="22"/>
                <w:szCs w:val="22"/>
                <w:color w:val="auto"/>
              </w:rPr>
            </w:pPr>
          </w:p>
        </w:tc>
        <w:tc>
          <w:tcPr>
            <w:tcW w:w="4260" w:type="dxa"/>
            <w:vAlign w:val="bottom"/>
          </w:tcPr>
          <w:p>
            <w:pPr>
              <w:jc w:val="center"/>
              <w:ind w:left="1041"/>
              <w:spacing w:after="0"/>
              <w:rPr>
                <w:sz w:val="20"/>
                <w:szCs w:val="20"/>
                <w:color w:val="auto"/>
              </w:rPr>
            </w:pPr>
            <w:r>
              <w:rPr>
                <w:rFonts w:ascii="Arial" w:cs="Arial" w:eastAsia="Arial" w:hAnsi="Arial"/>
                <w:sz w:val="20"/>
                <w:szCs w:val="20"/>
                <w:color w:val="auto"/>
                <w:w w:val="97"/>
              </w:rPr>
              <w:t>Tel: 503-615-9500</w:t>
            </w:r>
          </w:p>
        </w:tc>
      </w:tr>
      <w:tr>
        <w:trPr>
          <w:trHeight w:val="261"/>
        </w:trPr>
        <w:tc>
          <w:tcPr>
            <w:tcW w:w="3080" w:type="dxa"/>
            <w:vAlign w:val="bottom"/>
          </w:tcPr>
          <w:p>
            <w:pPr>
              <w:jc w:val="center"/>
              <w:ind w:right="881"/>
              <w:spacing w:after="0"/>
              <w:rPr>
                <w:sz w:val="20"/>
                <w:szCs w:val="20"/>
                <w:color w:val="auto"/>
              </w:rPr>
            </w:pPr>
            <w:r>
              <w:rPr>
                <w:rFonts w:ascii="Arial" w:cs="Arial" w:eastAsia="Arial" w:hAnsi="Arial"/>
                <w:sz w:val="20"/>
                <w:szCs w:val="20"/>
                <w:color w:val="auto"/>
                <w:w w:val="97"/>
              </w:rPr>
              <w:t>Federal Tax ID Number:</w:t>
            </w:r>
          </w:p>
        </w:tc>
        <w:tc>
          <w:tcPr>
            <w:tcW w:w="4260" w:type="dxa"/>
            <w:vAlign w:val="bottom"/>
          </w:tcPr>
          <w:p>
            <w:pPr>
              <w:jc w:val="center"/>
              <w:ind w:left="1061"/>
              <w:spacing w:after="0"/>
              <w:rPr>
                <w:sz w:val="20"/>
                <w:szCs w:val="20"/>
                <w:color w:val="auto"/>
              </w:rPr>
            </w:pPr>
            <w:r>
              <w:rPr>
                <w:rFonts w:ascii="Arial" w:cs="Arial" w:eastAsia="Arial" w:hAnsi="Arial"/>
                <w:sz w:val="20"/>
                <w:szCs w:val="20"/>
                <w:color w:val="auto"/>
                <w:w w:val="99"/>
              </w:rPr>
              <w:t>46-5288992</w:t>
            </w:r>
          </w:p>
        </w:tc>
      </w:tr>
    </w:tbl>
    <w:p>
      <w:pPr>
        <w:sectPr>
          <w:pgSz w:w="11900" w:h="16838" w:orient="portrait"/>
          <w:cols w:equalWidth="0" w:num="1">
            <w:col w:w="11240"/>
          </w:cols>
          <w:pgMar w:left="320" w:top="1394" w:right="339" w:bottom="1440" w:gutter="0" w:footer="0" w:header="0"/>
        </w:sectPr>
      </w:pPr>
    </w:p>
    <w:bookmarkStart w:id="47" w:name="page48"/>
    <w:bookmarkEnd w:id="47"/>
    <w:p>
      <w:pPr>
        <w:spacing w:after="0" w:line="1"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3480" w:type="dxa"/>
            <w:vAlign w:val="bottom"/>
          </w:tcPr>
          <w:p>
            <w:pPr>
              <w:jc w:val="center"/>
              <w:ind w:right="701"/>
              <w:spacing w:after="0"/>
              <w:rPr>
                <w:sz w:val="20"/>
                <w:szCs w:val="20"/>
                <w:color w:val="auto"/>
              </w:rPr>
            </w:pPr>
            <w:r>
              <w:rPr>
                <w:rFonts w:ascii="Arial" w:cs="Arial" w:eastAsia="Arial" w:hAnsi="Arial"/>
                <w:sz w:val="20"/>
                <w:szCs w:val="20"/>
                <w:color w:val="auto"/>
                <w:w w:val="99"/>
              </w:rPr>
              <w:t>Plan Administrator:</w:t>
            </w:r>
          </w:p>
        </w:tc>
        <w:tc>
          <w:tcPr>
            <w:tcW w:w="4200" w:type="dxa"/>
            <w:vAlign w:val="bottom"/>
          </w:tcPr>
          <w:p>
            <w:pPr>
              <w:jc w:val="center"/>
              <w:ind w:left="881"/>
              <w:spacing w:after="0"/>
              <w:rPr>
                <w:sz w:val="20"/>
                <w:szCs w:val="20"/>
                <w:color w:val="auto"/>
              </w:rPr>
            </w:pPr>
            <w:r>
              <w:rPr>
                <w:rFonts w:ascii="Arial" w:cs="Arial" w:eastAsia="Arial" w:hAnsi="Arial"/>
                <w:sz w:val="20"/>
                <w:szCs w:val="20"/>
                <w:color w:val="auto"/>
              </w:rPr>
              <w:t>Qorvo, Inc.</w:t>
            </w:r>
          </w:p>
        </w:tc>
      </w:tr>
      <w:tr>
        <w:trPr>
          <w:trHeight w:val="197"/>
        </w:trPr>
        <w:tc>
          <w:tcPr>
            <w:tcW w:w="3480" w:type="dxa"/>
            <w:vAlign w:val="bottom"/>
          </w:tcPr>
          <w:p>
            <w:pPr>
              <w:spacing w:after="0"/>
              <w:rPr>
                <w:sz w:val="17"/>
                <w:szCs w:val="17"/>
                <w:color w:val="auto"/>
              </w:rPr>
            </w:pPr>
          </w:p>
        </w:tc>
        <w:tc>
          <w:tcPr>
            <w:tcW w:w="4200" w:type="dxa"/>
            <w:vAlign w:val="bottom"/>
          </w:tcPr>
          <w:p>
            <w:pPr>
              <w:jc w:val="center"/>
              <w:ind w:left="881"/>
              <w:spacing w:after="0" w:line="197" w:lineRule="exact"/>
              <w:rPr>
                <w:sz w:val="20"/>
                <w:szCs w:val="20"/>
                <w:color w:val="auto"/>
              </w:rPr>
            </w:pPr>
            <w:r>
              <w:rPr>
                <w:rFonts w:ascii="Arial" w:cs="Arial" w:eastAsia="Arial" w:hAnsi="Arial"/>
                <w:sz w:val="20"/>
                <w:szCs w:val="20"/>
                <w:color w:val="auto"/>
                <w:w w:val="98"/>
              </w:rPr>
              <w:t>7628 Thorndike Road</w:t>
            </w:r>
          </w:p>
        </w:tc>
      </w:tr>
      <w:tr>
        <w:trPr>
          <w:trHeight w:val="194"/>
        </w:trPr>
        <w:tc>
          <w:tcPr>
            <w:tcW w:w="3480" w:type="dxa"/>
            <w:vAlign w:val="bottom"/>
          </w:tcPr>
          <w:p>
            <w:pPr>
              <w:spacing w:after="0"/>
              <w:rPr>
                <w:sz w:val="16"/>
                <w:szCs w:val="16"/>
                <w:color w:val="auto"/>
              </w:rPr>
            </w:pPr>
          </w:p>
        </w:tc>
        <w:tc>
          <w:tcPr>
            <w:tcW w:w="4200" w:type="dxa"/>
            <w:vAlign w:val="bottom"/>
          </w:tcPr>
          <w:p>
            <w:pPr>
              <w:jc w:val="center"/>
              <w:ind w:left="861"/>
              <w:spacing w:after="0" w:line="194" w:lineRule="exact"/>
              <w:rPr>
                <w:sz w:val="20"/>
                <w:szCs w:val="20"/>
                <w:color w:val="auto"/>
              </w:rPr>
            </w:pPr>
            <w:r>
              <w:rPr>
                <w:rFonts w:ascii="Arial" w:cs="Arial" w:eastAsia="Arial" w:hAnsi="Arial"/>
                <w:sz w:val="20"/>
                <w:szCs w:val="20"/>
                <w:color w:val="auto"/>
                <w:w w:val="98"/>
              </w:rPr>
              <w:t>Greensboro, NC 27409</w:t>
            </w:r>
          </w:p>
        </w:tc>
      </w:tr>
      <w:tr>
        <w:trPr>
          <w:trHeight w:val="257"/>
        </w:trPr>
        <w:tc>
          <w:tcPr>
            <w:tcW w:w="3480" w:type="dxa"/>
            <w:vAlign w:val="bottom"/>
          </w:tcPr>
          <w:p>
            <w:pPr>
              <w:spacing w:after="0"/>
              <w:rPr>
                <w:sz w:val="22"/>
                <w:szCs w:val="22"/>
                <w:color w:val="auto"/>
              </w:rPr>
            </w:pPr>
          </w:p>
        </w:tc>
        <w:tc>
          <w:tcPr>
            <w:tcW w:w="4200" w:type="dxa"/>
            <w:vAlign w:val="bottom"/>
          </w:tcPr>
          <w:p>
            <w:pPr>
              <w:jc w:val="center"/>
              <w:ind w:left="861"/>
              <w:spacing w:after="0"/>
              <w:rPr>
                <w:sz w:val="20"/>
                <w:szCs w:val="20"/>
                <w:color w:val="auto"/>
              </w:rPr>
            </w:pPr>
            <w:r>
              <w:rPr>
                <w:rFonts w:ascii="Arial" w:cs="Arial" w:eastAsia="Arial" w:hAnsi="Arial"/>
                <w:sz w:val="20"/>
                <w:szCs w:val="20"/>
                <w:color w:val="auto"/>
                <w:w w:val="97"/>
              </w:rPr>
              <w:t>Tel: 503-615-9500</w:t>
            </w:r>
          </w:p>
        </w:tc>
      </w:tr>
      <w:tr>
        <w:trPr>
          <w:trHeight w:val="203"/>
        </w:trPr>
        <w:tc>
          <w:tcPr>
            <w:tcW w:w="3480" w:type="dxa"/>
            <w:vAlign w:val="bottom"/>
          </w:tcPr>
          <w:p>
            <w:pPr>
              <w:jc w:val="center"/>
              <w:ind w:right="701"/>
              <w:spacing w:after="0" w:line="203" w:lineRule="exact"/>
              <w:rPr>
                <w:sz w:val="20"/>
                <w:szCs w:val="20"/>
                <w:color w:val="auto"/>
              </w:rPr>
            </w:pPr>
            <w:r>
              <w:rPr>
                <w:rFonts w:ascii="Arial" w:cs="Arial" w:eastAsia="Arial" w:hAnsi="Arial"/>
                <w:sz w:val="20"/>
                <w:szCs w:val="20"/>
                <w:color w:val="auto"/>
                <w:w w:val="98"/>
              </w:rPr>
              <w:t>Basis On Which</w:t>
            </w:r>
          </w:p>
        </w:tc>
        <w:tc>
          <w:tcPr>
            <w:tcW w:w="4200" w:type="dxa"/>
            <w:vAlign w:val="bottom"/>
          </w:tcPr>
          <w:p>
            <w:pPr>
              <w:jc w:val="center"/>
              <w:ind w:left="881"/>
              <w:spacing w:after="0" w:line="203" w:lineRule="exact"/>
              <w:rPr>
                <w:sz w:val="20"/>
                <w:szCs w:val="20"/>
                <w:color w:val="auto"/>
              </w:rPr>
            </w:pPr>
            <w:r>
              <w:rPr>
                <w:rFonts w:ascii="Arial" w:cs="Arial" w:eastAsia="Arial" w:hAnsi="Arial"/>
                <w:sz w:val="20"/>
                <w:szCs w:val="20"/>
                <w:color w:val="auto"/>
                <w:w w:val="98"/>
              </w:rPr>
              <w:t>Plan Year ending each December 31</w:t>
            </w:r>
          </w:p>
        </w:tc>
      </w:tr>
      <w:tr>
        <w:trPr>
          <w:trHeight w:val="243"/>
        </w:trPr>
        <w:tc>
          <w:tcPr>
            <w:tcW w:w="3480" w:type="dxa"/>
            <w:vAlign w:val="bottom"/>
          </w:tcPr>
          <w:p>
            <w:pPr>
              <w:jc w:val="center"/>
              <w:ind w:right="721"/>
              <w:spacing w:after="0"/>
              <w:rPr>
                <w:sz w:val="20"/>
                <w:szCs w:val="20"/>
                <w:color w:val="auto"/>
              </w:rPr>
            </w:pPr>
            <w:r>
              <w:rPr>
                <w:rFonts w:ascii="Arial" w:cs="Arial" w:eastAsia="Arial" w:hAnsi="Arial"/>
                <w:sz w:val="20"/>
                <w:szCs w:val="20"/>
                <w:color w:val="auto"/>
                <w:w w:val="98"/>
              </w:rPr>
              <w:t>Plan Records Are Kept:</w:t>
            </w:r>
          </w:p>
        </w:tc>
        <w:tc>
          <w:tcPr>
            <w:tcW w:w="4200" w:type="dxa"/>
            <w:vAlign w:val="bottom"/>
          </w:tcPr>
          <w:p>
            <w:pPr>
              <w:spacing w:after="0"/>
              <w:rPr>
                <w:sz w:val="21"/>
                <w:szCs w:val="21"/>
                <w:color w:val="auto"/>
              </w:rPr>
            </w:pPr>
          </w:p>
        </w:tc>
      </w:tr>
      <w:tr>
        <w:trPr>
          <w:trHeight w:val="203"/>
        </w:trPr>
        <w:tc>
          <w:tcPr>
            <w:tcW w:w="3480" w:type="dxa"/>
            <w:vAlign w:val="bottom"/>
          </w:tcPr>
          <w:p>
            <w:pPr>
              <w:jc w:val="center"/>
              <w:ind w:right="701"/>
              <w:spacing w:after="0" w:line="203" w:lineRule="exact"/>
              <w:rPr>
                <w:sz w:val="20"/>
                <w:szCs w:val="20"/>
                <w:color w:val="auto"/>
              </w:rPr>
            </w:pPr>
            <w:r>
              <w:rPr>
                <w:rFonts w:ascii="Arial" w:cs="Arial" w:eastAsia="Arial" w:hAnsi="Arial"/>
                <w:sz w:val="20"/>
                <w:szCs w:val="20"/>
                <w:color w:val="auto"/>
                <w:w w:val="98"/>
              </w:rPr>
              <w:t>Type Of Plan:</w:t>
            </w:r>
          </w:p>
        </w:tc>
        <w:tc>
          <w:tcPr>
            <w:tcW w:w="4200" w:type="dxa"/>
            <w:vAlign w:val="bottom"/>
          </w:tcPr>
          <w:p>
            <w:pPr>
              <w:jc w:val="center"/>
              <w:ind w:left="881"/>
              <w:spacing w:after="0" w:line="203" w:lineRule="exact"/>
              <w:rPr>
                <w:sz w:val="20"/>
                <w:szCs w:val="20"/>
                <w:color w:val="auto"/>
              </w:rPr>
            </w:pPr>
            <w:r>
              <w:rPr>
                <w:rFonts w:ascii="Arial" w:cs="Arial" w:eastAsia="Arial" w:hAnsi="Arial"/>
                <w:sz w:val="20"/>
                <w:szCs w:val="20"/>
                <w:color w:val="auto"/>
                <w:w w:val="98"/>
              </w:rPr>
              <w:t>Unfunded ERISA Welfare Benefit</w:t>
            </w:r>
          </w:p>
        </w:tc>
      </w:tr>
      <w:tr>
        <w:trPr>
          <w:trHeight w:val="243"/>
        </w:trPr>
        <w:tc>
          <w:tcPr>
            <w:tcW w:w="3480" w:type="dxa"/>
            <w:vAlign w:val="bottom"/>
          </w:tcPr>
          <w:p>
            <w:pPr>
              <w:spacing w:after="0"/>
              <w:rPr>
                <w:sz w:val="21"/>
                <w:szCs w:val="21"/>
                <w:color w:val="auto"/>
              </w:rPr>
            </w:pPr>
          </w:p>
        </w:tc>
        <w:tc>
          <w:tcPr>
            <w:tcW w:w="4200" w:type="dxa"/>
            <w:vAlign w:val="bottom"/>
          </w:tcPr>
          <w:p>
            <w:pPr>
              <w:jc w:val="center"/>
              <w:ind w:right="221"/>
              <w:spacing w:after="0"/>
              <w:rPr>
                <w:sz w:val="20"/>
                <w:szCs w:val="20"/>
                <w:color w:val="auto"/>
              </w:rPr>
            </w:pPr>
            <w:r>
              <w:rPr>
                <w:rFonts w:ascii="Arial" w:cs="Arial" w:eastAsia="Arial" w:hAnsi="Arial"/>
                <w:sz w:val="20"/>
                <w:szCs w:val="20"/>
                <w:color w:val="auto"/>
                <w:w w:val="99"/>
              </w:rPr>
              <w:t>Severance Plan</w:t>
            </w:r>
          </w:p>
        </w:tc>
      </w:tr>
      <w:tr>
        <w:trPr>
          <w:trHeight w:val="257"/>
        </w:trPr>
        <w:tc>
          <w:tcPr>
            <w:tcW w:w="3480" w:type="dxa"/>
            <w:vAlign w:val="bottom"/>
          </w:tcPr>
          <w:p>
            <w:pPr>
              <w:jc w:val="center"/>
              <w:ind w:right="721"/>
              <w:spacing w:after="0"/>
              <w:rPr>
                <w:sz w:val="20"/>
                <w:szCs w:val="20"/>
                <w:color w:val="auto"/>
              </w:rPr>
            </w:pPr>
            <w:r>
              <w:rPr>
                <w:rFonts w:ascii="Arial" w:cs="Arial" w:eastAsia="Arial" w:hAnsi="Arial"/>
                <w:sz w:val="20"/>
                <w:szCs w:val="20"/>
                <w:color w:val="auto"/>
                <w:w w:val="99"/>
              </w:rPr>
              <w:t>Plan Number:</w:t>
            </w:r>
          </w:p>
        </w:tc>
        <w:tc>
          <w:tcPr>
            <w:tcW w:w="4200" w:type="dxa"/>
            <w:vAlign w:val="bottom"/>
          </w:tcPr>
          <w:p>
            <w:pPr>
              <w:jc w:val="center"/>
              <w:ind w:left="881"/>
              <w:spacing w:after="0"/>
              <w:rPr>
                <w:sz w:val="20"/>
                <w:szCs w:val="20"/>
                <w:color w:val="auto"/>
              </w:rPr>
            </w:pPr>
            <w:r>
              <w:rPr>
                <w:rFonts w:ascii="Arial" w:cs="Arial" w:eastAsia="Arial" w:hAnsi="Arial"/>
                <w:sz w:val="20"/>
                <w:szCs w:val="20"/>
                <w:color w:val="auto"/>
              </w:rPr>
              <w:t>501</w:t>
            </w:r>
          </w:p>
        </w:tc>
      </w:tr>
      <w:tr>
        <w:trPr>
          <w:trHeight w:val="203"/>
        </w:trPr>
        <w:tc>
          <w:tcPr>
            <w:tcW w:w="3480" w:type="dxa"/>
            <w:vAlign w:val="bottom"/>
          </w:tcPr>
          <w:p>
            <w:pPr>
              <w:jc w:val="center"/>
              <w:ind w:right="701"/>
              <w:spacing w:after="0" w:line="203" w:lineRule="exact"/>
              <w:rPr>
                <w:sz w:val="20"/>
                <w:szCs w:val="20"/>
                <w:color w:val="auto"/>
              </w:rPr>
            </w:pPr>
            <w:r>
              <w:rPr>
                <w:rFonts w:ascii="Arial" w:cs="Arial" w:eastAsia="Arial" w:hAnsi="Arial"/>
                <w:sz w:val="20"/>
                <w:szCs w:val="20"/>
                <w:color w:val="auto"/>
                <w:w w:val="99"/>
              </w:rPr>
              <w:t>Agent For Service Of Process:</w:t>
            </w:r>
          </w:p>
        </w:tc>
        <w:tc>
          <w:tcPr>
            <w:tcW w:w="4200" w:type="dxa"/>
            <w:vAlign w:val="bottom"/>
          </w:tcPr>
          <w:p>
            <w:pPr>
              <w:jc w:val="center"/>
              <w:ind w:left="861"/>
              <w:spacing w:after="0" w:line="203" w:lineRule="exact"/>
              <w:rPr>
                <w:sz w:val="20"/>
                <w:szCs w:val="20"/>
                <w:color w:val="auto"/>
              </w:rPr>
            </w:pPr>
            <w:r>
              <w:rPr>
                <w:rFonts w:ascii="Arial" w:cs="Arial" w:eastAsia="Arial" w:hAnsi="Arial"/>
                <w:sz w:val="20"/>
                <w:szCs w:val="20"/>
                <w:color w:val="auto"/>
                <w:w w:val="98"/>
              </w:rPr>
              <w:t>Senior Vice President and Chief</w:t>
            </w:r>
          </w:p>
        </w:tc>
      </w:tr>
      <w:tr>
        <w:trPr>
          <w:trHeight w:val="197"/>
        </w:trPr>
        <w:tc>
          <w:tcPr>
            <w:tcW w:w="3480" w:type="dxa"/>
            <w:vAlign w:val="bottom"/>
          </w:tcPr>
          <w:p>
            <w:pPr>
              <w:spacing w:after="0"/>
              <w:rPr>
                <w:sz w:val="17"/>
                <w:szCs w:val="17"/>
                <w:color w:val="auto"/>
              </w:rPr>
            </w:pPr>
          </w:p>
        </w:tc>
        <w:tc>
          <w:tcPr>
            <w:tcW w:w="4200" w:type="dxa"/>
            <w:vAlign w:val="bottom"/>
          </w:tcPr>
          <w:p>
            <w:pPr>
              <w:jc w:val="center"/>
              <w:ind w:right="221"/>
              <w:spacing w:after="0" w:line="197" w:lineRule="exact"/>
              <w:rPr>
                <w:sz w:val="20"/>
                <w:szCs w:val="20"/>
                <w:color w:val="auto"/>
              </w:rPr>
            </w:pPr>
            <w:r>
              <w:rPr>
                <w:rFonts w:ascii="Arial" w:cs="Arial" w:eastAsia="Arial" w:hAnsi="Arial"/>
                <w:sz w:val="20"/>
                <w:szCs w:val="20"/>
                <w:color w:val="auto"/>
                <w:w w:val="99"/>
              </w:rPr>
              <w:t>Human Resources Officer</w:t>
            </w:r>
          </w:p>
        </w:tc>
      </w:tr>
      <w:tr>
        <w:trPr>
          <w:trHeight w:val="194"/>
        </w:trPr>
        <w:tc>
          <w:tcPr>
            <w:tcW w:w="3480" w:type="dxa"/>
            <w:vAlign w:val="bottom"/>
          </w:tcPr>
          <w:p>
            <w:pPr>
              <w:spacing w:after="0"/>
              <w:rPr>
                <w:sz w:val="16"/>
                <w:szCs w:val="16"/>
                <w:color w:val="auto"/>
              </w:rPr>
            </w:pPr>
          </w:p>
        </w:tc>
        <w:tc>
          <w:tcPr>
            <w:tcW w:w="4200" w:type="dxa"/>
            <w:vAlign w:val="bottom"/>
          </w:tcPr>
          <w:p>
            <w:pPr>
              <w:jc w:val="center"/>
              <w:ind w:left="881"/>
              <w:spacing w:after="0" w:line="194" w:lineRule="exact"/>
              <w:rPr>
                <w:sz w:val="20"/>
                <w:szCs w:val="20"/>
                <w:color w:val="auto"/>
              </w:rPr>
            </w:pPr>
            <w:r>
              <w:rPr>
                <w:rFonts w:ascii="Arial" w:cs="Arial" w:eastAsia="Arial" w:hAnsi="Arial"/>
                <w:sz w:val="20"/>
                <w:szCs w:val="20"/>
                <w:color w:val="auto"/>
              </w:rPr>
              <w:t>Qorvo, Inc.</w:t>
            </w:r>
          </w:p>
        </w:tc>
      </w:tr>
      <w:tr>
        <w:trPr>
          <w:trHeight w:val="203"/>
        </w:trPr>
        <w:tc>
          <w:tcPr>
            <w:tcW w:w="3480" w:type="dxa"/>
            <w:vAlign w:val="bottom"/>
          </w:tcPr>
          <w:p>
            <w:pPr>
              <w:spacing w:after="0"/>
              <w:rPr>
                <w:sz w:val="17"/>
                <w:szCs w:val="17"/>
                <w:color w:val="auto"/>
              </w:rPr>
            </w:pPr>
          </w:p>
        </w:tc>
        <w:tc>
          <w:tcPr>
            <w:tcW w:w="4200" w:type="dxa"/>
            <w:vAlign w:val="bottom"/>
          </w:tcPr>
          <w:p>
            <w:pPr>
              <w:jc w:val="center"/>
              <w:ind w:left="881"/>
              <w:spacing w:after="0" w:line="203" w:lineRule="exact"/>
              <w:rPr>
                <w:sz w:val="20"/>
                <w:szCs w:val="20"/>
                <w:color w:val="auto"/>
              </w:rPr>
            </w:pPr>
            <w:r>
              <w:rPr>
                <w:rFonts w:ascii="Arial" w:cs="Arial" w:eastAsia="Arial" w:hAnsi="Arial"/>
                <w:sz w:val="20"/>
                <w:szCs w:val="20"/>
                <w:color w:val="auto"/>
                <w:w w:val="98"/>
              </w:rPr>
              <w:t>7628 Thorndike Road</w:t>
            </w:r>
          </w:p>
        </w:tc>
      </w:tr>
      <w:tr>
        <w:trPr>
          <w:trHeight w:val="197"/>
        </w:trPr>
        <w:tc>
          <w:tcPr>
            <w:tcW w:w="3480" w:type="dxa"/>
            <w:vAlign w:val="bottom"/>
          </w:tcPr>
          <w:p>
            <w:pPr>
              <w:spacing w:after="0"/>
              <w:rPr>
                <w:sz w:val="17"/>
                <w:szCs w:val="17"/>
                <w:color w:val="auto"/>
              </w:rPr>
            </w:pPr>
          </w:p>
        </w:tc>
        <w:tc>
          <w:tcPr>
            <w:tcW w:w="4200" w:type="dxa"/>
            <w:vAlign w:val="bottom"/>
          </w:tcPr>
          <w:p>
            <w:pPr>
              <w:jc w:val="center"/>
              <w:ind w:left="861"/>
              <w:spacing w:after="0" w:line="197" w:lineRule="exact"/>
              <w:rPr>
                <w:sz w:val="20"/>
                <w:szCs w:val="20"/>
                <w:color w:val="auto"/>
              </w:rPr>
            </w:pPr>
            <w:r>
              <w:rPr>
                <w:rFonts w:ascii="Arial" w:cs="Arial" w:eastAsia="Arial" w:hAnsi="Arial"/>
                <w:sz w:val="20"/>
                <w:szCs w:val="20"/>
                <w:color w:val="auto"/>
                <w:w w:val="98"/>
              </w:rPr>
              <w:t>Greensboro, NC 27409</w:t>
            </w:r>
          </w:p>
        </w:tc>
      </w:tr>
      <w:tr>
        <w:trPr>
          <w:trHeight w:val="261"/>
        </w:trPr>
        <w:tc>
          <w:tcPr>
            <w:tcW w:w="3480" w:type="dxa"/>
            <w:vAlign w:val="bottom"/>
          </w:tcPr>
          <w:p>
            <w:pPr>
              <w:spacing w:after="0"/>
              <w:rPr>
                <w:sz w:val="22"/>
                <w:szCs w:val="22"/>
                <w:color w:val="auto"/>
              </w:rPr>
            </w:pPr>
          </w:p>
        </w:tc>
        <w:tc>
          <w:tcPr>
            <w:tcW w:w="4200" w:type="dxa"/>
            <w:vAlign w:val="bottom"/>
          </w:tcPr>
          <w:p>
            <w:pPr>
              <w:jc w:val="center"/>
              <w:ind w:left="861"/>
              <w:spacing w:after="0"/>
              <w:rPr>
                <w:sz w:val="20"/>
                <w:szCs w:val="20"/>
                <w:color w:val="auto"/>
              </w:rPr>
            </w:pPr>
            <w:r>
              <w:rPr>
                <w:rFonts w:ascii="Arial" w:cs="Arial" w:eastAsia="Arial" w:hAnsi="Arial"/>
                <w:sz w:val="20"/>
                <w:szCs w:val="20"/>
                <w:color w:val="auto"/>
                <w:w w:val="97"/>
              </w:rPr>
              <w:t>Tel: 503-615-9500</w:t>
            </w:r>
          </w:p>
        </w:tc>
      </w:tr>
    </w:tbl>
    <w:p>
      <w:pPr>
        <w:sectPr>
          <w:pgSz w:w="11900" w:h="16838" w:orient="portrait"/>
          <w:cols w:equalWidth="0" w:num="1">
            <w:col w:w="9540"/>
          </w:cols>
          <w:pgMar w:left="1440" w:top="1427" w:right="919" w:bottom="1440" w:gutter="0" w:footer="0" w:header="0"/>
        </w:sectPr>
      </w:pPr>
    </w:p>
    <w:bookmarkStart w:id="48" w:name="page49"/>
    <w:bookmarkEnd w:id="48"/>
    <w:p>
      <w:pPr>
        <w:ind w:left="640" w:hanging="632"/>
        <w:spacing w:after="0"/>
        <w:tabs>
          <w:tab w:leader="none" w:pos="640" w:val="left"/>
        </w:tabs>
        <w:numPr>
          <w:ilvl w:val="0"/>
          <w:numId w:val="28"/>
        </w:numPr>
        <w:rPr>
          <w:rFonts w:ascii="Arial" w:cs="Arial" w:eastAsia="Arial" w:hAnsi="Arial"/>
          <w:sz w:val="22"/>
          <w:szCs w:val="22"/>
          <w:b w:val="1"/>
          <w:bCs w:val="1"/>
          <w:color w:val="auto"/>
        </w:rPr>
      </w:pPr>
      <w:r>
        <w:rPr>
          <w:rFonts w:ascii="Arial" w:cs="Arial" w:eastAsia="Arial" w:hAnsi="Arial"/>
          <w:sz w:val="20"/>
          <w:szCs w:val="20"/>
          <w:b w:val="1"/>
          <w:bCs w:val="1"/>
          <w:color w:val="auto"/>
        </w:rPr>
        <w:t>EXECUTION OF PLAN</w:t>
      </w:r>
    </w:p>
    <w:p>
      <w:pPr>
        <w:spacing w:after="0" w:line="181" w:lineRule="exact"/>
        <w:rPr>
          <w:sz w:val="20"/>
          <w:szCs w:val="20"/>
          <w:color w:val="auto"/>
        </w:rPr>
      </w:pPr>
    </w:p>
    <w:p>
      <w:pPr>
        <w:ind w:firstLine="1296"/>
        <w:spacing w:after="0" w:line="286" w:lineRule="auto"/>
        <w:rPr>
          <w:sz w:val="20"/>
          <w:szCs w:val="20"/>
          <w:color w:val="auto"/>
        </w:rPr>
      </w:pPr>
      <w:r>
        <w:rPr>
          <w:rFonts w:ascii="Arial" w:cs="Arial" w:eastAsia="Arial" w:hAnsi="Arial"/>
          <w:sz w:val="20"/>
          <w:szCs w:val="20"/>
          <w:color w:val="auto"/>
        </w:rPr>
        <w:t>IN WITNESS WHEREOF, this instrument, evidencing the terms of the Qorvo, Inc. Severance Benefit Plan, is adopted as of the Effective Date.</w:t>
      </w:r>
    </w:p>
    <w:p>
      <w:pPr>
        <w:spacing w:after="0" w:line="200" w:lineRule="exact"/>
        <w:rPr>
          <w:sz w:val="20"/>
          <w:szCs w:val="20"/>
          <w:color w:val="auto"/>
        </w:rPr>
      </w:pPr>
    </w:p>
    <w:p>
      <w:pPr>
        <w:spacing w:after="0" w:line="397"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780" w:type="dxa"/>
        <w:tblCellMar>
          <w:top w:w="0" w:type="dxa"/>
          <w:left w:w="0" w:type="dxa"/>
          <w:bottom w:w="0" w:type="dxa"/>
          <w:right w:w="0" w:type="dxa"/>
        </w:tblCellMar>
      </w:tblPr>
      <w:tr>
        <w:trPr>
          <w:trHeight w:val="261"/>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Robert A. Bruggeworth</w:t>
            </w:r>
          </w:p>
        </w:tc>
      </w:tr>
      <w:tr>
        <w:trPr>
          <w:trHeight w:val="245"/>
        </w:trPr>
        <w:tc>
          <w:tcPr>
            <w:tcW w:w="920" w:type="dxa"/>
            <w:vAlign w:val="bottom"/>
          </w:tcPr>
          <w:p>
            <w:pPr>
              <w:spacing w:after="0"/>
              <w:rPr>
                <w:sz w:val="20"/>
                <w:szCs w:val="20"/>
                <w:color w:val="auto"/>
              </w:rPr>
            </w:pPr>
            <w:r>
              <w:rPr>
                <w:rFonts w:ascii="Arial" w:cs="Arial" w:eastAsia="Arial" w:hAnsi="Arial"/>
                <w:sz w:val="20"/>
                <w:szCs w:val="20"/>
                <w:color w:val="auto"/>
              </w:rPr>
              <w:t>Name:</w:t>
            </w:r>
          </w:p>
        </w:tc>
        <w:tc>
          <w:tcPr>
            <w:tcW w:w="4640" w:type="dxa"/>
            <w:vAlign w:val="bottom"/>
          </w:tcPr>
          <w:p>
            <w:pPr>
              <w:spacing w:after="0"/>
              <w:rPr>
                <w:sz w:val="20"/>
                <w:szCs w:val="20"/>
                <w:color w:val="auto"/>
              </w:rPr>
            </w:pPr>
            <w:r>
              <w:rPr>
                <w:rFonts w:ascii="Arial" w:cs="Arial" w:eastAsia="Arial" w:hAnsi="Arial"/>
                <w:sz w:val="20"/>
                <w:szCs w:val="20"/>
                <w:color w:val="auto"/>
              </w:rPr>
              <w:t>Robert A. Bruggeworth</w:t>
            </w:r>
          </w:p>
        </w:tc>
      </w:tr>
      <w:tr>
        <w:trPr>
          <w:trHeight w:val="261"/>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4640" w:type="dxa"/>
            <w:vAlign w:val="bottom"/>
          </w:tcPr>
          <w:p>
            <w:pPr>
              <w:spacing w:after="0"/>
              <w:rPr>
                <w:sz w:val="20"/>
                <w:szCs w:val="20"/>
                <w:color w:val="auto"/>
              </w:rPr>
            </w:pPr>
            <w:r>
              <w:rPr>
                <w:rFonts w:ascii="Arial" w:cs="Arial" w:eastAsia="Arial" w:hAnsi="Arial"/>
                <w:sz w:val="20"/>
                <w:szCs w:val="20"/>
                <w:color w:val="auto"/>
              </w:rPr>
              <w:t>President and Chief Executive Officer</w:t>
            </w:r>
          </w:p>
        </w:tc>
      </w:tr>
    </w:tbl>
    <w:p>
      <w:pPr>
        <w:sectPr>
          <w:pgSz w:w="11900" w:h="16838" w:orient="portrait"/>
          <w:cols w:equalWidth="0" w:num="1">
            <w:col w:w="11220"/>
          </w:cols>
          <w:pgMar w:left="320" w:top="1412"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4.375% Senior Notes due 2029 and the 3.375% Senior Notes due 2031 are guaranteed, jointly and severally, on an unsecured basis, by the following 100% owned subsidiaries of Qorvo, Inc., a Delaware corporation, as of December 28, 2024:</w:t>
      </w:r>
    </w:p>
    <w:p>
      <w:pPr>
        <w:spacing w:after="0" w:line="214" w:lineRule="exact"/>
        <w:rPr>
          <w:sz w:val="20"/>
          <w:szCs w:val="20"/>
          <w:color w:val="auto"/>
        </w:rPr>
      </w:pPr>
    </w:p>
    <w:tbl>
      <w:tblPr>
        <w:tblLayout w:type="fixed"/>
        <w:tblInd w:w="1550" w:type="dxa"/>
        <w:tblCellMar>
          <w:top w:w="0" w:type="dxa"/>
          <w:left w:w="0" w:type="dxa"/>
          <w:bottom w:w="0" w:type="dxa"/>
          <w:right w:w="0" w:type="dxa"/>
        </w:tblCellMar>
      </w:tblPr>
      <w:tr>
        <w:trPr>
          <w:trHeight w:val="234"/>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70"/>
        </w:trPr>
        <w:tc>
          <w:tcPr>
            <w:tcW w:w="422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020"/>
          </w:cols>
          <w:pgMar w:left="320" w:top="1413" w:right="5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52" w:lineRule="exact"/>
        <w:rPr>
          <w:rFonts w:ascii="Times New Roman" w:cs="Times New Roman" w:eastAsia="Times New Roman" w:hAnsi="Times New Roman"/>
          <w:sz w:val="18"/>
          <w:szCs w:val="18"/>
          <w:color w:val="auto"/>
        </w:rPr>
      </w:pPr>
    </w:p>
    <w:p>
      <w:pPr>
        <w:ind w:right="60" w:firstLine="8"/>
        <w:spacing w:after="0" w:line="312" w:lineRule="auto"/>
        <w:tabs>
          <w:tab w:leader="none" w:pos="64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right="20" w:firstLine="8"/>
        <w:spacing w:after="0" w:line="282"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0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0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80" w:hanging="4"/>
        <w:spacing w:after="0" w:line="282" w:lineRule="auto"/>
        <w:tabs>
          <w:tab w:leader="none" w:pos="130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January 29, 2025</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056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80"/>
          </w:cols>
          <w:pgMar w:left="320" w:top="887"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52" w:lineRule="exact"/>
        <w:rPr>
          <w:rFonts w:ascii="Times New Roman" w:cs="Times New Roman" w:eastAsia="Times New Roman" w:hAnsi="Times New Roman"/>
          <w:sz w:val="18"/>
          <w:szCs w:val="18"/>
          <w:color w:val="auto"/>
        </w:rPr>
      </w:pPr>
    </w:p>
    <w:p>
      <w:pPr>
        <w:ind w:right="220" w:firstLine="8"/>
        <w:spacing w:after="0" w:line="282"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80" w:firstLine="8"/>
        <w:spacing w:after="0" w:line="282"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40" w:firstLine="8"/>
        <w:spacing w:after="0" w:line="266" w:lineRule="auto"/>
        <w:tabs>
          <w:tab w:leader="none" w:pos="3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120" w:firstLine="8"/>
        <w:spacing w:after="0" w:line="282" w:lineRule="auto"/>
        <w:tabs>
          <w:tab w:leader="none" w:pos="3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60" w:hanging="4"/>
        <w:spacing w:after="0" w:line="282" w:lineRule="auto"/>
        <w:tabs>
          <w:tab w:leader="none" w:pos="97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January 29, 2025</w:t>
      </w:r>
    </w:p>
    <w:p>
      <w:pPr>
        <w:spacing w:after="0" w:line="200" w:lineRule="exact"/>
        <w:rPr>
          <w:sz w:val="20"/>
          <w:szCs w:val="20"/>
          <w:color w:val="auto"/>
        </w:rPr>
      </w:pPr>
    </w:p>
    <w:p>
      <w:pPr>
        <w:spacing w:after="0" w:line="2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29229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Grant A. Brown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887"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ind w:right="9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Robert A. Bruggeworth, President and Chief Executive Officer of Qorvo, Inc. (the “Company”), certify pursuant to Section 906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34" w:lineRule="exact"/>
        <w:rPr>
          <w:sz w:val="20"/>
          <w:szCs w:val="20"/>
          <w:color w:val="auto"/>
        </w:rPr>
      </w:pPr>
    </w:p>
    <w:p>
      <w:pPr>
        <w:ind w:left="660" w:hanging="652"/>
        <w:spacing w:after="0" w:line="283" w:lineRule="auto"/>
        <w:tabs>
          <w:tab w:leader="none" w:pos="44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December 28, 2024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right="140" w:hanging="652"/>
        <w:spacing w:after="0" w:line="283" w:lineRule="auto"/>
        <w:tabs>
          <w:tab w:leader="none" w:pos="44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22860</wp:posOffset>
            </wp:positionV>
            <wp:extent cx="27260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Robert A. Bruggeworth</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January 29, 2025</w:t>
      </w:r>
    </w:p>
    <w:p>
      <w:pPr>
        <w:sectPr>
          <w:pgSz w:w="11900" w:h="16838" w:orient="portrait"/>
          <w:cols w:equalWidth="0" w:num="1">
            <w:col w:w="11140"/>
          </w:cols>
          <w:pgMar w:left="320" w:top="8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99" w:lineRule="exact"/>
        <w:rPr>
          <w:sz w:val="20"/>
          <w:szCs w:val="20"/>
          <w:color w:val="auto"/>
        </w:rPr>
      </w:pPr>
    </w:p>
    <w:p>
      <w:pPr>
        <w:ind w:right="9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Grant A. Brown, Senior Vice President and Chief Financial Officer of Qorvo, Inc. (the “Company”), certify pursuant to Section 906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34" w:lineRule="exact"/>
        <w:rPr>
          <w:sz w:val="20"/>
          <w:szCs w:val="20"/>
          <w:color w:val="auto"/>
        </w:rPr>
      </w:pPr>
    </w:p>
    <w:p>
      <w:pPr>
        <w:ind w:left="660" w:hanging="652"/>
        <w:spacing w:after="0" w:line="283" w:lineRule="auto"/>
        <w:tabs>
          <w:tab w:leader="none" w:pos="44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December 28, 2024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right="140" w:hanging="652"/>
        <w:spacing w:after="0" w:line="283" w:lineRule="auto"/>
        <w:tabs>
          <w:tab w:leader="none" w:pos="44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22860</wp:posOffset>
            </wp:positionV>
            <wp:extent cx="4637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Grant A. Brown</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p>
      <w:pPr>
        <w:spacing w:after="0" w:line="1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January 29, 2025</w:t>
      </w:r>
    </w:p>
    <w:sectPr>
      <w:pgSz w:w="11900" w:h="16838" w:orient="portrait"/>
      <w:cols w:equalWidth="0" w:num="1">
        <w:col w:w="11140"/>
      </w:cols>
      <w:pgMar w:left="320" w:top="88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22"/>
    </w:lvl>
  </w:abstractNum>
  <w:abstractNum w:abstractNumId="9">
    <w:nsid w:val="628C895D"/>
    <w:multiLevelType w:val="hybridMultilevel"/>
    <w:lvl w:ilvl="0">
      <w:lvlJc w:val="left"/>
      <w:lvlText w:val="%1"/>
      <w:numFmt w:val="decimal"/>
      <w:start w:val="10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2"/>
    </w:lvl>
  </w:abstractNum>
  <w:abstractNum w:abstractNumId="12">
    <w:nsid w:val="2443A858"/>
    <w:multiLevelType w:val="hybridMultilevel"/>
    <w:lvl w:ilvl="0">
      <w:lvlJc w:val="left"/>
      <w:lvlText w:val="%1."/>
      <w:numFmt w:val="upperLetter"/>
      <w:start w:val="1"/>
    </w:lvl>
  </w:abstractNum>
  <w:abstractNum w:abstractNumId="13">
    <w:nsid w:val="2D1D5AE9"/>
    <w:multiLevelType w:val="hybridMultilevel"/>
    <w:lvl w:ilvl="0">
      <w:lvlJc w:val="left"/>
      <w:lvlText w:val="%1."/>
      <w:numFmt w:val="upperLetter"/>
      <w:start w:val="3"/>
    </w:lvl>
  </w:abstractNum>
  <w:abstractNum w:abstractNumId="14">
    <w:nsid w:val="6763845E"/>
    <w:multiLevelType w:val="hybridMultilevel"/>
    <w:lvl w:ilvl="0">
      <w:lvlJc w:val="left"/>
      <w:lvlText w:val="%1."/>
      <w:numFmt w:val="upperLetter"/>
      <w:start w:val="1"/>
    </w:lvl>
  </w:abstractNum>
  <w:abstractNum w:abstractNumId="15">
    <w:nsid w:val="75A2A8D4"/>
    <w:multiLevelType w:val="hybridMultilevel"/>
    <w:lvl w:ilvl="0">
      <w:lvlJc w:val="left"/>
      <w:lvlText w:val="%1."/>
      <w:numFmt w:val="upperLetter"/>
      <w:start w:val="1"/>
    </w:lvl>
  </w:abstractNum>
  <w:abstractNum w:abstractNumId="16">
    <w:nsid w:val="8EDBDAB"/>
    <w:multiLevelType w:val="hybridMultilevel"/>
    <w:lvl w:ilvl="0">
      <w:lvlJc w:val="left"/>
      <w:lvlText w:val="%1."/>
      <w:numFmt w:val="upperLetter"/>
      <w:start w:val="1"/>
    </w:lvl>
  </w:abstractNum>
  <w:abstractNum w:abstractNumId="17">
    <w:nsid w:val="79838CB2"/>
    <w:multiLevelType w:val="hybridMultilevel"/>
    <w:lvl w:ilvl="0">
      <w:lvlJc w:val="left"/>
      <w:lvlText w:val="%1"/>
      <w:numFmt w:val="decimal"/>
      <w:start w:val="1"/>
    </w:lvl>
    <w:lvl w:ilvl="1">
      <w:lvlJc w:val="left"/>
      <w:lvlText w:val="%2."/>
      <w:numFmt w:val="upperLetter"/>
      <w:start w:val="3"/>
    </w:lvl>
  </w:abstractNum>
  <w:abstractNum w:abstractNumId="18">
    <w:nsid w:val="4353D0CD"/>
    <w:multiLevelType w:val="hybridMultilevel"/>
    <w:lvl w:ilvl="0">
      <w:lvlJc w:val="left"/>
      <w:lvlText w:val="%1."/>
      <w:numFmt w:val="decimal"/>
      <w:start w:val="3"/>
    </w:lvl>
    <w:lvl w:ilvl="1">
      <w:lvlJc w:val="left"/>
      <w:lvlText w:val="%2."/>
      <w:numFmt w:val="upperLetter"/>
      <w:start w:val="1"/>
    </w:lvl>
  </w:abstractNum>
  <w:abstractNum w:abstractNumId="19">
    <w:nsid w:val="B03E0C6"/>
    <w:multiLevelType w:val="hybridMultilevel"/>
    <w:lvl w:ilvl="0">
      <w:lvlJc w:val="left"/>
      <w:lvlText w:val="(%1)"/>
      <w:numFmt w:val="upperLetter"/>
      <w:start w:val="24"/>
    </w:lvl>
  </w:abstractNum>
  <w:abstractNum w:abstractNumId="20">
    <w:nsid w:val="189A769B"/>
    <w:multiLevelType w:val="hybridMultilevel"/>
    <w:lvl w:ilvl="0">
      <w:lvlJc w:val="left"/>
      <w:lvlText w:val="%1."/>
      <w:numFmt w:val="decimal"/>
      <w:start w:val="4"/>
    </w:lvl>
  </w:abstractNum>
  <w:abstractNum w:abstractNumId="21">
    <w:nsid w:val="54E49EB4"/>
    <w:multiLevelType w:val="hybridMultilevel"/>
    <w:lvl w:ilvl="0">
      <w:lvlJc w:val="left"/>
      <w:lvlText w:val="%1."/>
      <w:numFmt w:val="upperLetter"/>
      <w:start w:val="1"/>
    </w:lvl>
  </w:abstractNum>
  <w:abstractNum w:abstractNumId="22">
    <w:nsid w:val="71F32454"/>
    <w:multiLevelType w:val="hybridMultilevel"/>
    <w:lvl w:ilvl="0">
      <w:lvlJc w:val="left"/>
      <w:lvlText w:val="%1."/>
      <w:numFmt w:val="decimal"/>
      <w:start w:val="5"/>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6"/>
    </w:lvl>
  </w:abstractNum>
  <w:abstractNum w:abstractNumId="26">
    <w:nsid w:val="3A95F874"/>
    <w:multiLevelType w:val="hybridMultilevel"/>
    <w:lvl w:ilvl="0">
      <w:lvlJc w:val="left"/>
      <w:lvlText w:val="%1."/>
      <w:numFmt w:val="decimal"/>
      <w:start w:val="7"/>
    </w:lvl>
  </w:abstractNum>
  <w:abstractNum w:abstractNumId="27">
    <w:nsid w:val="8138641"/>
    <w:multiLevelType w:val="hybridMultilevel"/>
    <w:lvl w:ilvl="0">
      <w:lvlJc w:val="left"/>
      <w:lvlText w:val="%1."/>
      <w:numFmt w:val="decimal"/>
      <w:start w:val="8"/>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2025-01-29T15:19:03Z</dcterms:created>
  <dcterms:modified xsi:type="dcterms:W3CDTF">2025-01-29T15:19:03Z</dcterms:modified>
</cp:coreProperties>
</file>