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535305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501015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640" w:right="4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40" w:right="44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3"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55880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754"/>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center"/>
              <w:ind w:left="755"/>
              <w:spacing w:after="0"/>
              <w:rPr>
                <w:sz w:val="20"/>
                <w:szCs w:val="20"/>
                <w:color w:val="auto"/>
              </w:rPr>
            </w:pPr>
            <w:r>
              <w:rPr>
                <w:rFonts w:ascii="Arial" w:cs="Arial" w:eastAsia="Arial" w:hAnsi="Arial"/>
                <w:sz w:val="18"/>
                <w:szCs w:val="18"/>
                <w:b w:val="1"/>
                <w:bCs w:val="1"/>
                <w:color w:val="auto"/>
                <w:w w:val="89"/>
              </w:rPr>
              <w:t>46-5288992</w:t>
            </w:r>
          </w:p>
        </w:tc>
      </w:tr>
      <w:tr>
        <w:trPr>
          <w:trHeight w:val="210"/>
        </w:trPr>
        <w:tc>
          <w:tcPr>
            <w:tcW w:w="4720" w:type="dxa"/>
            <w:vAlign w:val="bottom"/>
          </w:tcPr>
          <w:p>
            <w:pPr>
              <w:jc w:val="center"/>
              <w:ind w:right="754"/>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220" w:type="dxa"/>
            <w:vAlign w:val="bottom"/>
          </w:tcPr>
          <w:p>
            <w:pPr>
              <w:jc w:val="center"/>
              <w:ind w:left="775"/>
              <w:spacing w:after="0"/>
              <w:rPr>
                <w:sz w:val="20"/>
                <w:szCs w:val="20"/>
                <w:color w:val="auto"/>
              </w:rPr>
            </w:pPr>
            <w:r>
              <w:rPr>
                <w:rFonts w:ascii="Arial" w:cs="Arial" w:eastAsia="Arial" w:hAnsi="Arial"/>
                <w:sz w:val="16"/>
                <w:szCs w:val="16"/>
                <w:color w:val="auto"/>
                <w:w w:val="95"/>
              </w:rPr>
              <w:t>(I.R.S. Employer Identification No.)</w:t>
            </w:r>
          </w:p>
        </w:tc>
      </w:tr>
      <w:tr>
        <w:trPr>
          <w:trHeight w:val="312"/>
        </w:trPr>
        <w:tc>
          <w:tcPr>
            <w:tcW w:w="4720" w:type="dxa"/>
            <w:vAlign w:val="bottom"/>
          </w:tcPr>
          <w:p>
            <w:pPr>
              <w:jc w:val="center"/>
              <w:ind w:right="754"/>
              <w:spacing w:after="0"/>
              <w:rPr>
                <w:sz w:val="20"/>
                <w:szCs w:val="20"/>
                <w:color w:val="auto"/>
              </w:rPr>
            </w:pPr>
            <w:r>
              <w:rPr>
                <w:rFonts w:ascii="Arial" w:cs="Arial" w:eastAsia="Arial" w:hAnsi="Arial"/>
                <w:sz w:val="18"/>
                <w:szCs w:val="18"/>
                <w:b w:val="1"/>
                <w:bCs w:val="1"/>
                <w:color w:val="auto"/>
                <w:w w:val="92"/>
              </w:rPr>
              <w:t>7628 Thorndike Road</w:t>
            </w:r>
          </w:p>
        </w:tc>
        <w:tc>
          <w:tcPr>
            <w:tcW w:w="3220" w:type="dxa"/>
            <w:vAlign w:val="bottom"/>
          </w:tcPr>
          <w:p>
            <w:pPr>
              <w:spacing w:after="0"/>
              <w:rPr>
                <w:sz w:val="24"/>
                <w:szCs w:val="24"/>
                <w:color w:val="auto"/>
              </w:rPr>
            </w:pPr>
          </w:p>
        </w:tc>
      </w:tr>
      <w:tr>
        <w:trPr>
          <w:trHeight w:val="234"/>
        </w:trPr>
        <w:tc>
          <w:tcPr>
            <w:tcW w:w="4720" w:type="dxa"/>
            <w:vAlign w:val="bottom"/>
          </w:tcPr>
          <w:p>
            <w:pPr>
              <w:jc w:val="center"/>
              <w:ind w:right="534"/>
              <w:spacing w:after="0"/>
              <w:rPr>
                <w:sz w:val="20"/>
                <w:szCs w:val="20"/>
                <w:color w:val="auto"/>
              </w:rPr>
            </w:pPr>
            <w:r>
              <w:rPr>
                <w:rFonts w:ascii="Arial" w:cs="Arial" w:eastAsia="Arial" w:hAnsi="Arial"/>
                <w:sz w:val="18"/>
                <w:szCs w:val="18"/>
                <w:b w:val="1"/>
                <w:bCs w:val="1"/>
                <w:color w:val="auto"/>
                <w:w w:val="91"/>
              </w:rPr>
              <w:t>Greensboro, North Carolina</w:t>
            </w:r>
          </w:p>
        </w:tc>
        <w:tc>
          <w:tcPr>
            <w:tcW w:w="3220" w:type="dxa"/>
            <w:vAlign w:val="bottom"/>
          </w:tcPr>
          <w:p>
            <w:pPr>
              <w:jc w:val="center"/>
              <w:ind w:left="755"/>
              <w:spacing w:after="0"/>
              <w:rPr>
                <w:sz w:val="20"/>
                <w:szCs w:val="20"/>
                <w:color w:val="auto"/>
              </w:rPr>
            </w:pPr>
            <w:r>
              <w:rPr>
                <w:rFonts w:ascii="Arial" w:cs="Arial" w:eastAsia="Arial" w:hAnsi="Arial"/>
                <w:sz w:val="18"/>
                <w:szCs w:val="18"/>
                <w:b w:val="1"/>
                <w:bCs w:val="1"/>
                <w:color w:val="auto"/>
                <w:w w:val="89"/>
              </w:rPr>
              <w:t>27409-9421</w:t>
            </w:r>
          </w:p>
        </w:tc>
      </w:tr>
      <w:tr>
        <w:trPr>
          <w:trHeight w:val="210"/>
        </w:trPr>
        <w:tc>
          <w:tcPr>
            <w:tcW w:w="4720" w:type="dxa"/>
            <w:vAlign w:val="bottom"/>
          </w:tcPr>
          <w:p>
            <w:pPr>
              <w:jc w:val="center"/>
              <w:ind w:right="514"/>
              <w:spacing w:after="0"/>
              <w:rPr>
                <w:sz w:val="20"/>
                <w:szCs w:val="20"/>
                <w:color w:val="auto"/>
              </w:rPr>
            </w:pPr>
            <w:r>
              <w:rPr>
                <w:rFonts w:ascii="Arial" w:cs="Arial" w:eastAsia="Arial" w:hAnsi="Arial"/>
                <w:sz w:val="16"/>
                <w:szCs w:val="16"/>
                <w:color w:val="auto"/>
                <w:w w:val="93"/>
              </w:rPr>
              <w:t>(Address of principal executive offices)</w:t>
            </w:r>
          </w:p>
        </w:tc>
        <w:tc>
          <w:tcPr>
            <w:tcW w:w="3220" w:type="dxa"/>
            <w:vAlign w:val="bottom"/>
          </w:tcPr>
          <w:p>
            <w:pPr>
              <w:jc w:val="center"/>
              <w:ind w:left="775"/>
              <w:spacing w:after="0"/>
              <w:rPr>
                <w:sz w:val="20"/>
                <w:szCs w:val="20"/>
                <w:color w:val="auto"/>
              </w:rPr>
            </w:pPr>
            <w:r>
              <w:rPr>
                <w:rFonts w:ascii="Arial" w:cs="Arial" w:eastAsia="Arial" w:hAnsi="Arial"/>
                <w:sz w:val="16"/>
                <w:szCs w:val="16"/>
                <w:color w:val="auto"/>
                <w:w w:val="94"/>
              </w:rPr>
              <w:t>(Zip code)</w:t>
            </w:r>
          </w:p>
        </w:tc>
      </w:tr>
    </w:tbl>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(336) 664-1233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59"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580" w:type="dxa"/>
            <w:vAlign w:val="bottom"/>
          </w:tcPr>
          <w:p>
            <w:pPr>
              <w:spacing w:after="0"/>
              <w:rPr>
                <w:sz w:val="16"/>
                <w:szCs w:val="16"/>
                <w:color w:val="auto"/>
              </w:rPr>
            </w:pPr>
          </w:p>
        </w:tc>
        <w:tc>
          <w:tcPr>
            <w:tcW w:w="2000" w:type="dxa"/>
            <w:vAlign w:val="bottom"/>
            <w:gridSpan w:val="2"/>
          </w:tcPr>
          <w:p>
            <w:pPr>
              <w:jc w:val="center"/>
              <w:ind w:right="660"/>
              <w:spacing w:after="0" w:line="194" w:lineRule="exact"/>
              <w:rPr>
                <w:sz w:val="20"/>
                <w:szCs w:val="20"/>
                <w:color w:val="auto"/>
              </w:rPr>
            </w:pPr>
            <w:r>
              <w:rPr>
                <w:rFonts w:ascii="Arial" w:cs="Arial" w:eastAsia="Arial" w:hAnsi="Arial"/>
                <w:sz w:val="18"/>
                <w:szCs w:val="18"/>
                <w:b w:val="1"/>
                <w:bCs w:val="1"/>
                <w:color w:val="auto"/>
                <w:w w:val="86"/>
              </w:rPr>
              <w:t>Title of each class</w:t>
            </w:r>
          </w:p>
        </w:tc>
        <w:tc>
          <w:tcPr>
            <w:tcW w:w="1560" w:type="dxa"/>
            <w:vAlign w:val="bottom"/>
          </w:tcPr>
          <w:p>
            <w:pPr>
              <w:spacing w:after="0"/>
              <w:rPr>
                <w:sz w:val="16"/>
                <w:szCs w:val="16"/>
                <w:color w:val="auto"/>
              </w:rPr>
            </w:pPr>
          </w:p>
        </w:tc>
        <w:tc>
          <w:tcPr>
            <w:tcW w:w="2040" w:type="dxa"/>
            <w:vAlign w:val="bottom"/>
            <w:gridSpan w:val="2"/>
          </w:tcPr>
          <w:p>
            <w:pPr>
              <w:jc w:val="center"/>
              <w:ind w:right="600"/>
              <w:spacing w:after="0" w:line="194" w:lineRule="exact"/>
              <w:rPr>
                <w:sz w:val="20"/>
                <w:szCs w:val="20"/>
                <w:color w:val="auto"/>
              </w:rPr>
            </w:pPr>
            <w:r>
              <w:rPr>
                <w:rFonts w:ascii="Arial" w:cs="Arial" w:eastAsia="Arial" w:hAnsi="Arial"/>
                <w:sz w:val="18"/>
                <w:szCs w:val="18"/>
                <w:b w:val="1"/>
                <w:bCs w:val="1"/>
                <w:color w:val="auto"/>
                <w:w w:val="91"/>
              </w:rPr>
              <w:t>Trading Symbol(s)</w:t>
            </w:r>
          </w:p>
        </w:tc>
        <w:tc>
          <w:tcPr>
            <w:tcW w:w="3960" w:type="dxa"/>
            <w:vAlign w:val="bottom"/>
            <w:gridSpan w:val="2"/>
          </w:tcPr>
          <w:p>
            <w:pPr>
              <w:jc w:val="center"/>
              <w:ind w:left="530"/>
              <w:spacing w:after="0" w:line="19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47"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1" w:lineRule="exact"/>
        <w:rPr>
          <w:sz w:val="24"/>
          <w:szCs w:val="24"/>
          <w:color w:val="auto"/>
        </w:rPr>
      </w:pPr>
    </w:p>
    <w:p>
      <w:pPr>
        <w:jc w:val="both"/>
        <w:ind w:right="1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800" w:type="dxa"/>
            <w:vAlign w:val="bottom"/>
          </w:tcPr>
          <w:p>
            <w:pPr>
              <w:ind w:left="268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As of January 26, 2023, there were 99,889,210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QORVO, INC. AND SUBSIDIARIES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w w:val="98"/>
              </w:rPr>
              <w:t>TABLE OF CONTENTS</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260" w:type="dxa"/>
            <w:vAlign w:val="bottom"/>
            <w:gridSpan w:val="10"/>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4200" w:type="dxa"/>
            <w:vAlign w:val="bottom"/>
            <w:gridSpan w:val="8"/>
            <w:vMerge w:val="restart"/>
          </w:tcPr>
          <w:p>
            <w:pPr>
              <w:spacing w:after="0"/>
              <w:rPr>
                <w:sz w:val="24"/>
                <w:szCs w:val="24"/>
                <w:color w:val="auto"/>
              </w:rPr>
            </w:pPr>
          </w:p>
        </w:tc>
        <w:tc>
          <w:tcPr>
            <w:tcW w:w="3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0"/>
            <w:vMerge w:val="continue"/>
          </w:tcPr>
          <w:p>
            <w:pPr>
              <w:spacing w:after="0"/>
              <w:rPr>
                <w:sz w:val="16"/>
                <w:szCs w:val="16"/>
                <w:color w:val="auto"/>
              </w:rPr>
            </w:pPr>
          </w:p>
        </w:tc>
        <w:tc>
          <w:tcPr>
            <w:tcW w:w="4200" w:type="dxa"/>
            <w:vAlign w:val="bottom"/>
            <w:gridSpan w:val="8"/>
            <w:vMerge w:val="continue"/>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7460" w:type="dxa"/>
            <w:vAlign w:val="bottom"/>
            <w:gridSpan w:val="18"/>
          </w:tcPr>
          <w:p>
            <w:pPr>
              <w:spacing w:after="0"/>
              <w:rPr>
                <w:sz w:val="20"/>
                <w:szCs w:val="20"/>
                <w:color w:val="auto"/>
              </w:rPr>
            </w:pPr>
            <w:r>
              <w:rPr>
                <w:rFonts w:ascii="Arial" w:cs="Arial" w:eastAsia="Arial" w:hAnsi="Arial"/>
                <w:sz w:val="18"/>
                <w:szCs w:val="18"/>
                <w:b w:val="1"/>
                <w:bCs w:val="1"/>
                <w:color w:val="0000FF"/>
              </w:rPr>
              <w:t>Item 1. Financial Statements (Unaudited).</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0000FF"/>
            </w:tcBorders>
          </w:tcPr>
          <w:p>
            <w:pPr>
              <w:spacing w:after="0"/>
              <w:rPr>
                <w:sz w:val="18"/>
                <w:szCs w:val="18"/>
                <w:color w:val="auto"/>
              </w:rPr>
            </w:pPr>
          </w:p>
        </w:tc>
        <w:tc>
          <w:tcPr>
            <w:tcW w:w="31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2"/>
              </w:rPr>
              <w:t>Condensed Consolidated Balance Sheets</w:t>
            </w:r>
          </w:p>
        </w:tc>
        <w:tc>
          <w:tcPr>
            <w:tcW w:w="4240" w:type="dxa"/>
            <w:vAlign w:val="bottom"/>
            <w:gridSpan w:val="9"/>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w:t>
            </w: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3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200" w:type="dxa"/>
            <w:vAlign w:val="bottom"/>
          </w:tcPr>
          <w:p>
            <w:pPr>
              <w:spacing w:after="0"/>
              <w:rPr>
                <w:sz w:val="18"/>
                <w:szCs w:val="18"/>
                <w:color w:val="auto"/>
              </w:rPr>
            </w:pPr>
          </w:p>
        </w:tc>
        <w:tc>
          <w:tcPr>
            <w:tcW w:w="2760" w:type="dxa"/>
            <w:vAlign w:val="bottom"/>
            <w:gridSpan w:val="3"/>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Cash Flows</w:t>
            </w:r>
          </w:p>
        </w:tc>
        <w:tc>
          <w:tcPr>
            <w:tcW w:w="2960" w:type="dxa"/>
            <w:vAlign w:val="bottom"/>
            <w:gridSpan w:val="4"/>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340" w:type="dxa"/>
            <w:vAlign w:val="bottom"/>
            <w:gridSpan w:val="17"/>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4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w w:val="89"/>
              </w:rPr>
              <w:t>Item 2. Management's Discussion and Analysis of Financial Condition and Results of Operations.</w:t>
            </w: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19</w:t>
            </w:r>
          </w:p>
        </w:tc>
        <w:tc>
          <w:tcPr>
            <w:tcW w:w="0" w:type="dxa"/>
            <w:vAlign w:val="bottom"/>
          </w:tcPr>
          <w:p>
            <w:pPr>
              <w:spacing w:after="0"/>
              <w:rPr>
                <w:sz w:val="1"/>
                <w:szCs w:val="1"/>
                <w:color w:val="auto"/>
              </w:rPr>
            </w:pPr>
          </w:p>
        </w:tc>
      </w:tr>
      <w:tr>
        <w:trPr>
          <w:trHeight w:val="210"/>
        </w:trPr>
        <w:tc>
          <w:tcPr>
            <w:tcW w:w="7460" w:type="dxa"/>
            <w:vAlign w:val="bottom"/>
            <w:gridSpan w:val="18"/>
          </w:tcPr>
          <w:p>
            <w:pPr>
              <w:spacing w:after="0"/>
              <w:rPr>
                <w:sz w:val="20"/>
                <w:szCs w:val="20"/>
                <w:color w:val="auto"/>
              </w:rPr>
            </w:pPr>
            <w:r>
              <w:rPr>
                <w:rFonts w:ascii="Arial" w:cs="Arial" w:eastAsia="Arial" w:hAnsi="Arial"/>
                <w:sz w:val="18"/>
                <w:szCs w:val="18"/>
                <w:b w:val="1"/>
                <w:bCs w:val="1"/>
                <w:color w:val="0000FF"/>
              </w:rPr>
              <w:t>Item 3. Quantitative and Qualitative Disclosures About Market Risk.</w:t>
            </w: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10"/>
        </w:trPr>
        <w:tc>
          <w:tcPr>
            <w:tcW w:w="5300" w:type="dxa"/>
            <w:vAlign w:val="bottom"/>
            <w:tcBorders>
              <w:top w:val="single" w:sz="8" w:color="0000FF"/>
            </w:tcBorders>
            <w:gridSpan w:val="17"/>
          </w:tcPr>
          <w:p>
            <w:pPr>
              <w:spacing w:after="0"/>
              <w:rPr>
                <w:sz w:val="20"/>
                <w:szCs w:val="20"/>
                <w:color w:val="auto"/>
              </w:rPr>
            </w:pPr>
            <w:r>
              <w:rPr>
                <w:rFonts w:ascii="Arial" w:cs="Arial" w:eastAsia="Arial" w:hAnsi="Arial"/>
                <w:sz w:val="18"/>
                <w:szCs w:val="18"/>
                <w:b w:val="1"/>
                <w:bCs w:val="1"/>
                <w:color w:val="0000FF"/>
              </w:rPr>
              <w:t>Item 4. Controls and Procedures.</w:t>
            </w:r>
          </w:p>
        </w:tc>
        <w:tc>
          <w:tcPr>
            <w:tcW w:w="2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PART II — OTHER INFORMATION</w:t>
            </w:r>
          </w:p>
        </w:tc>
        <w:tc>
          <w:tcPr>
            <w:tcW w:w="4500" w:type="dxa"/>
            <w:vAlign w:val="bottom"/>
            <w:gridSpan w:val="11"/>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c>
          <w:tcPr>
            <w:tcW w:w="0" w:type="dxa"/>
            <w:vAlign w:val="bottom"/>
          </w:tcPr>
          <w:p>
            <w:pPr>
              <w:spacing w:after="0"/>
              <w:rPr>
                <w:sz w:val="1"/>
                <w:szCs w:val="1"/>
                <w:color w:val="auto"/>
              </w:rPr>
            </w:pPr>
          </w:p>
        </w:tc>
      </w:tr>
      <w:tr>
        <w:trPr>
          <w:trHeight w:val="479"/>
        </w:trPr>
        <w:tc>
          <w:tcPr>
            <w:tcW w:w="1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1"/>
              </w:rPr>
              <w:t>Item 1A. Risk Factors.</w:t>
            </w:r>
          </w:p>
        </w:tc>
        <w:tc>
          <w:tcPr>
            <w:tcW w:w="5720" w:type="dxa"/>
            <w:vAlign w:val="bottom"/>
            <w:gridSpan w:val="14"/>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c>
          <w:tcPr>
            <w:tcW w:w="0" w:type="dxa"/>
            <w:vAlign w:val="bottom"/>
          </w:tcPr>
          <w:p>
            <w:pPr>
              <w:spacing w:after="0"/>
              <w:rPr>
                <w:sz w:val="1"/>
                <w:szCs w:val="1"/>
                <w:color w:val="auto"/>
              </w:rPr>
            </w:pPr>
          </w:p>
        </w:tc>
      </w:tr>
      <w:tr>
        <w:trPr>
          <w:trHeight w:val="209"/>
        </w:trPr>
        <w:tc>
          <w:tcPr>
            <w:tcW w:w="7460" w:type="dxa"/>
            <w:vAlign w:val="bottom"/>
            <w:gridSpan w:val="18"/>
          </w:tcPr>
          <w:p>
            <w:pPr>
              <w:spacing w:after="0"/>
              <w:rPr>
                <w:sz w:val="20"/>
                <w:szCs w:val="20"/>
                <w:color w:val="auto"/>
              </w:rPr>
            </w:pPr>
            <w:r>
              <w:rPr>
                <w:rFonts w:ascii="Arial" w:cs="Arial" w:eastAsia="Arial" w:hAnsi="Arial"/>
                <w:sz w:val="18"/>
                <w:szCs w:val="18"/>
                <w:b w:val="1"/>
                <w:bCs w:val="1"/>
                <w:color w:val="0000FF"/>
              </w:rPr>
              <w:t>Item 2. Unregistered Sales of Equity Securities and Use of Proceeds.</w:t>
            </w: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10"/>
        </w:trPr>
        <w:tc>
          <w:tcPr>
            <w:tcW w:w="20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4"/>
              </w:rPr>
              <w:t>Item 5. Other Information.</w:t>
            </w:r>
          </w:p>
        </w:tc>
        <w:tc>
          <w:tcPr>
            <w:tcW w:w="3120" w:type="dxa"/>
            <w:vAlign w:val="bottom"/>
            <w:tcBorders>
              <w:top w:val="single" w:sz="8" w:color="0000FF"/>
            </w:tcBorders>
            <w:gridSpan w:val="11"/>
          </w:tcPr>
          <w:p>
            <w:pPr>
              <w:spacing w:after="0"/>
              <w:rPr>
                <w:sz w:val="18"/>
                <w:szCs w:val="18"/>
                <w:color w:val="auto"/>
              </w:rPr>
            </w:pPr>
          </w:p>
        </w:tc>
        <w:tc>
          <w:tcPr>
            <w:tcW w:w="226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31</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1"/>
              </w:rPr>
              <w:t>Item 6. Exhibits.</w:t>
            </w:r>
          </w:p>
        </w:tc>
        <w:tc>
          <w:tcPr>
            <w:tcW w:w="6180" w:type="dxa"/>
            <w:vAlign w:val="bottom"/>
            <w:gridSpan w:val="15"/>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c>
          <w:tcPr>
            <w:tcW w:w="0" w:type="dxa"/>
            <w:vAlign w:val="bottom"/>
          </w:tcPr>
          <w:p>
            <w:pPr>
              <w:spacing w:after="0"/>
              <w:rPr>
                <w:sz w:val="1"/>
                <w:szCs w:val="1"/>
                <w:color w:val="auto"/>
              </w:rPr>
            </w:pPr>
          </w:p>
        </w:tc>
      </w:tr>
      <w:tr>
        <w:trPr>
          <w:trHeight w:val="480"/>
        </w:trPr>
        <w:tc>
          <w:tcPr>
            <w:tcW w:w="7460" w:type="dxa"/>
            <w:vAlign w:val="bottom"/>
            <w:gridSpan w:val="18"/>
          </w:tcPr>
          <w:p>
            <w:pPr>
              <w:spacing w:after="0"/>
              <w:rPr>
                <w:sz w:val="20"/>
                <w:szCs w:val="20"/>
                <w:color w:val="auto"/>
              </w:rPr>
            </w:pPr>
            <w:r>
              <w:rPr>
                <w:rFonts w:ascii="Arial" w:cs="Arial" w:eastAsia="Arial" w:hAnsi="Arial"/>
                <w:sz w:val="18"/>
                <w:szCs w:val="18"/>
                <w:b w:val="1"/>
                <w:bCs w:val="1"/>
                <w:color w:val="0000FF"/>
              </w:rPr>
              <w:t>SIGNATURES</w:t>
            </w: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6"/>
                <w:szCs w:val="16"/>
                <w:color w:val="auto"/>
              </w:rPr>
            </w:pPr>
          </w:p>
        </w:tc>
        <w:tc>
          <w:tcPr>
            <w:tcW w:w="1360" w:type="dxa"/>
            <w:vAlign w:val="bottom"/>
          </w:tcPr>
          <w:p>
            <w:pPr>
              <w:jc w:val="right"/>
              <w:ind w:right="331"/>
              <w:spacing w:after="0"/>
              <w:rPr>
                <w:sz w:val="20"/>
                <w:szCs w:val="20"/>
                <w:color w:val="auto"/>
              </w:rPr>
            </w:pPr>
            <w:r>
              <w:rPr>
                <w:rFonts w:ascii="Arial" w:cs="Arial" w:eastAsia="Arial" w:hAnsi="Arial"/>
                <w:sz w:val="14"/>
                <w:szCs w:val="14"/>
                <w:b w:val="1"/>
                <w:bCs w:val="1"/>
                <w:color w:val="auto"/>
              </w:rPr>
              <w:t>April 2, 2022</w:t>
            </w:r>
          </w:p>
        </w:tc>
        <w:tc>
          <w:tcPr>
            <w:tcW w:w="0" w:type="dxa"/>
            <w:vAlign w:val="bottom"/>
          </w:tcPr>
          <w:p>
            <w:pPr>
              <w:spacing w:after="0"/>
              <w:rPr>
                <w:sz w:val="1"/>
                <w:szCs w:val="1"/>
                <w:color w:val="auto"/>
              </w:rPr>
            </w:pPr>
          </w:p>
        </w:tc>
      </w:tr>
      <w:tr>
        <w:trPr>
          <w:trHeight w:val="26"/>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972,592</w:t>
            </w:r>
          </w:p>
        </w:tc>
        <w:tc>
          <w:tcPr>
            <w:tcW w:w="0" w:type="dxa"/>
            <w:vAlign w:val="bottom"/>
          </w:tcPr>
          <w:p>
            <w:pPr>
              <w:spacing w:after="0"/>
              <w:rPr>
                <w:sz w:val="1"/>
                <w:szCs w:val="1"/>
                <w:color w:val="auto"/>
              </w:rPr>
            </w:pPr>
          </w:p>
        </w:tc>
      </w:tr>
      <w:tr>
        <w:trPr>
          <w:trHeight w:val="176"/>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3"/>
              </w:rPr>
              <w:t>Accounts receivable, net of allowance of $405 and $402 as of December 31, 2022 and April 2, 2022,</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367,636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568,850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755,748</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46,105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49,839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2,449,865</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line="176" w:lineRule="exact"/>
              <w:rPr>
                <w:sz w:val="20"/>
                <w:szCs w:val="20"/>
                <w:color w:val="auto"/>
              </w:rPr>
            </w:pPr>
            <w:r>
              <w:rPr>
                <w:rFonts w:ascii="Arial" w:cs="Arial" w:eastAsia="Arial" w:hAnsi="Arial"/>
                <w:sz w:val="18"/>
                <w:szCs w:val="18"/>
                <w:color w:val="auto"/>
                <w:w w:val="90"/>
              </w:rPr>
              <w:t>Property and equipment, net of accumulated depreciation of $1,846,373 and $1,734,608 as of December 31,</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2022 and April 2, 2022, respectively</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1,191,986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1,253,591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2,775,634</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567,375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674,786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324,110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7,509,072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225,111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327,915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107,026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675,127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2,047,743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2,047,098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233,629</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2,911,651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2,955,854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8)</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Preferred stock, $.0001 par value; 5,000 shares authorized; no shares issued and outstanding</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4"/>
              </w:rPr>
              <w:t>Common stock and additional paid-in capital, $.0001 par value; 405,000 shares authorized; 100,021</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520"/>
              <w:spacing w:after="0"/>
              <w:rPr>
                <w:sz w:val="20"/>
                <w:szCs w:val="20"/>
                <w:color w:val="auto"/>
              </w:rPr>
            </w:pPr>
            <w:r>
              <w:rPr>
                <w:rFonts w:ascii="Arial" w:cs="Arial" w:eastAsia="Arial" w:hAnsi="Arial"/>
                <w:sz w:val="18"/>
                <w:szCs w:val="18"/>
                <w:color w:val="auto"/>
                <w:w w:val="94"/>
              </w:rPr>
              <w:t>and 106,303 shares issued and outstanding at December 31, 2022 and April 2, 2022, respectively</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3,859,940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4,035,849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512,137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4,164,568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4,553,218</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7,076,219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7,509,072</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January 1, 2022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January 1, 2022</w:t>
            </w:r>
          </w:p>
        </w:tc>
        <w:tc>
          <w:tcPr>
            <w:tcW w:w="0" w:type="dxa"/>
            <w:vAlign w:val="bottom"/>
          </w:tcPr>
          <w:p>
            <w:pPr>
              <w:spacing w:after="0"/>
              <w:rPr>
                <w:sz w:val="1"/>
                <w:szCs w:val="1"/>
                <w:color w:val="auto"/>
              </w:rPr>
            </w:pPr>
          </w:p>
        </w:tc>
      </w:tr>
      <w:tr>
        <w:trPr>
          <w:trHeight w:val="22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2,936,696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3,479,556</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1,754,468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1,763,727</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1,715,829</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464,891</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76,269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275,836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265,791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29,675</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760,357</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955,472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(45,934)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24,077</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933,615</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(112,537)</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216,263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821,078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(loss) income per share:</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w w:val="95"/>
              </w:rPr>
              <w:t>Weighted average shares of common stock outstanding:</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110,966</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100,943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110,810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103,812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112,415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320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9"/>
        </w:trPr>
        <w:tc>
          <w:tcPr>
            <w:tcW w:w="4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January 1, 2022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January 1, 2022</w:t>
            </w:r>
          </w:p>
        </w:tc>
      </w:tr>
      <w:tr>
        <w:trPr>
          <w:trHeight w:val="230"/>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821,078</w:t>
            </w:r>
          </w:p>
        </w:tc>
      </w:tr>
      <w:tr>
        <w:trPr>
          <w:trHeight w:val="209"/>
        </w:trPr>
        <w:tc>
          <w:tcPr>
            <w:tcW w:w="43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76"/>
        </w:trPr>
        <w:tc>
          <w:tcPr>
            <w:tcW w:w="4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Foreign currency translation adjustment, including intra-</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43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entity foreign currency transactions that are of a long-</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term investment nature</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Reclassification adjustments, net of tax:</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76"/>
        </w:trPr>
        <w:tc>
          <w:tcPr>
            <w:tcW w:w="4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gain realized upon liquidation of</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subsidiary</w:t>
            </w: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4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of pension actuarial loss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(15,036)</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806,042</w:t>
            </w: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900" w:type="dxa"/>
            <w:vAlign w:val="bottom"/>
            <w:gridSpan w:val="5"/>
          </w:tcPr>
          <w:p>
            <w:pPr>
              <w:ind w:left="900"/>
              <w:spacing w:after="0"/>
              <w:rPr>
                <w:sz w:val="20"/>
                <w:szCs w:val="20"/>
                <w:color w:val="auto"/>
              </w:rPr>
            </w:pPr>
            <w:r>
              <w:rPr>
                <w:rFonts w:ascii="Arial" w:cs="Arial" w:eastAsia="Arial" w:hAnsi="Arial"/>
                <w:sz w:val="14"/>
                <w:szCs w:val="14"/>
                <w:b w:val="1"/>
                <w:bCs w:val="1"/>
                <w:color w:val="auto"/>
              </w:rPr>
              <w:t>Common Stock</w:t>
            </w: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Accumulated Other</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restart"/>
          </w:tcPr>
          <w:p>
            <w:pPr>
              <w:jc w:val="center"/>
              <w:ind w:right="30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Earnings</w:t>
            </w:r>
          </w:p>
        </w:tc>
        <w:tc>
          <w:tcPr>
            <w:tcW w:w="320" w:type="dxa"/>
            <w:vAlign w:val="bottom"/>
          </w:tcPr>
          <w:p>
            <w:pPr>
              <w:spacing w:after="0"/>
              <w:rPr>
                <w:sz w:val="3"/>
                <w:szCs w:val="3"/>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92"/>
        </w:trPr>
        <w:tc>
          <w:tcPr>
            <w:tcW w:w="378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(Loss) Income</w:t>
            </w:r>
          </w:p>
        </w:tc>
        <w:tc>
          <w:tcPr>
            <w:tcW w:w="14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October 1,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3,915,969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(41,776)</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447,947</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4,322,140</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(15,931)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(15,931)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30,411</w:t>
            </w:r>
          </w:p>
        </w:tc>
        <w:tc>
          <w:tcPr>
            <w:tcW w:w="0" w:type="dxa"/>
            <w:vAlign w:val="bottom"/>
          </w:tcPr>
          <w:p>
            <w:pPr>
              <w:spacing w:after="0"/>
              <w:rPr>
                <w:sz w:val="1"/>
                <w:szCs w:val="1"/>
                <w:color w:val="auto"/>
              </w:rPr>
            </w:pPr>
          </w:p>
        </w:tc>
      </w:tr>
      <w:tr>
        <w:trPr>
          <w:trHeight w:val="188"/>
        </w:trPr>
        <w:tc>
          <w:tcPr>
            <w:tcW w:w="3780" w:type="dxa"/>
            <w:vAlign w:val="bottom"/>
          </w:tcPr>
          <w:p>
            <w:pPr>
              <w:ind w:left="360"/>
              <w:spacing w:after="0" w:line="189" w:lineRule="exact"/>
              <w:rPr>
                <w:sz w:val="20"/>
                <w:szCs w:val="20"/>
                <w:color w:val="auto"/>
              </w:rPr>
            </w:pPr>
            <w:r>
              <w:rPr>
                <w:rFonts w:ascii="Arial" w:cs="Arial" w:eastAsia="Arial" w:hAnsi="Arial"/>
                <w:sz w:val="18"/>
                <w:szCs w:val="18"/>
                <w:color w:val="auto"/>
              </w:rPr>
              <w:t>Exercise of stock options and vesting of</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378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4"/>
              </w:rPr>
              <w:t>Issuance of common stock in connection with</w:t>
            </w: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0" w:type="dxa"/>
            <w:vAlign w:val="bottom"/>
          </w:tcPr>
          <w:p>
            <w:pPr>
              <w:spacing w:after="0"/>
              <w:rPr>
                <w:sz w:val="1"/>
                <w:szCs w:val="1"/>
                <w:color w:val="auto"/>
              </w:rPr>
            </w:pPr>
          </w:p>
        </w:tc>
      </w:tr>
      <w:tr>
        <w:trPr>
          <w:trHeight w:val="188"/>
        </w:trPr>
        <w:tc>
          <w:tcPr>
            <w:tcW w:w="3780" w:type="dxa"/>
            <w:vAlign w:val="bottom"/>
          </w:tcPr>
          <w:p>
            <w:pPr>
              <w:ind w:left="360"/>
              <w:spacing w:after="0" w:line="189" w:lineRule="exact"/>
              <w:rPr>
                <w:sz w:val="20"/>
                <w:szCs w:val="20"/>
                <w:color w:val="auto"/>
              </w:rPr>
            </w:pPr>
            <w:r>
              <w:rPr>
                <w:rFonts w:ascii="Arial" w:cs="Arial" w:eastAsia="Arial" w:hAnsi="Arial"/>
                <w:sz w:val="18"/>
                <w:szCs w:val="18"/>
                <w:color w:val="auto"/>
              </w:rPr>
              <w:t>Repurchase of common stock, including</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00" w:type="dxa"/>
            <w:vAlign w:val="bottom"/>
          </w:tcPr>
          <w:p>
            <w:pPr>
              <w:jc w:val="right"/>
              <w:spacing w:after="0"/>
              <w:rPr>
                <w:sz w:val="20"/>
                <w:szCs w:val="20"/>
                <w:color w:val="auto"/>
              </w:rPr>
            </w:pPr>
            <w:r>
              <w:rPr>
                <w:rFonts w:ascii="Arial" w:cs="Arial" w:eastAsia="Arial" w:hAnsi="Arial"/>
                <w:sz w:val="18"/>
                <w:szCs w:val="18"/>
                <w:color w:val="auto"/>
              </w:rPr>
              <w:t>(2,231)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(85,610)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(116,023)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(201,633)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100,021</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3,859,940</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(11,365)</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4,164,568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Balance, October 2, 2021</w:t>
            </w:r>
          </w:p>
        </w:tc>
        <w:tc>
          <w:tcPr>
            <w:tcW w:w="1300" w:type="dxa"/>
            <w:vAlign w:val="bottom"/>
          </w:tcPr>
          <w:p>
            <w:pPr>
              <w:jc w:val="right"/>
              <w:spacing w:after="0"/>
              <w:rPr>
                <w:sz w:val="20"/>
                <w:szCs w:val="20"/>
                <w:color w:val="auto"/>
              </w:rPr>
            </w:pPr>
            <w:r>
              <w:rPr>
                <w:rFonts w:ascii="Arial" w:cs="Arial" w:eastAsia="Arial" w:hAnsi="Arial"/>
                <w:sz w:val="18"/>
                <w:szCs w:val="18"/>
                <w:color w:val="auto"/>
              </w:rPr>
              <w:t>110,461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4,158,170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23,431</w:t>
            </w:r>
          </w:p>
        </w:tc>
        <w:tc>
          <w:tcPr>
            <w:tcW w:w="16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546,153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4,727,754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216,263</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(8,818)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(8,818)</w:t>
            </w: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Exercise of stock options and vesting of</w:t>
            </w: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 employee taxes</w:t>
            </w:r>
          </w:p>
        </w:tc>
        <w:tc>
          <w:tcPr>
            <w:tcW w:w="13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360"/>
              <w:spacing w:after="0" w:line="189" w:lineRule="exact"/>
              <w:rPr>
                <w:sz w:val="20"/>
                <w:szCs w:val="20"/>
                <w:color w:val="auto"/>
              </w:rPr>
            </w:pPr>
            <w:r>
              <w:rPr>
                <w:rFonts w:ascii="Arial" w:cs="Arial" w:eastAsia="Arial" w:hAnsi="Arial"/>
                <w:sz w:val="18"/>
                <w:szCs w:val="18"/>
                <w:color w:val="auto"/>
                <w:w w:val="94"/>
              </w:rPr>
              <w:t>Issuance of common stock in connection with</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15,503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15,503</w:t>
            </w: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Repurchase of common stock, including</w:t>
            </w: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(228,928)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(302,020)</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19,044</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2022</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4,119,098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533,488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4,667,199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Accumulated Other</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restart"/>
          </w:tcPr>
          <w:p>
            <w:pPr>
              <w:jc w:val="center"/>
              <w:ind w:right="30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2"/>
                <w:szCs w:val="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Earnings</w:t>
            </w:r>
          </w:p>
        </w:tc>
        <w:tc>
          <w:tcPr>
            <w:tcW w:w="320" w:type="dxa"/>
            <w:vAlign w:val="bottom"/>
          </w:tcPr>
          <w:p>
            <w:pPr>
              <w:spacing w:after="0"/>
              <w:rPr>
                <w:sz w:val="2"/>
                <w:szCs w:val="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6"/>
        </w:trPr>
        <w:tc>
          <w:tcPr>
            <w:tcW w:w="376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(Loss) Income</w:t>
            </w:r>
          </w:p>
        </w:tc>
        <w:tc>
          <w:tcPr>
            <w:tcW w:w="14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April 2,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4,035,849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512,137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4,553,218</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241,568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241,568</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(16,597)</w:t>
            </w: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(21,502)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(21,502)</w:t>
            </w: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30,169</w:t>
            </w:r>
          </w:p>
        </w:tc>
        <w:tc>
          <w:tcPr>
            <w:tcW w:w="0" w:type="dxa"/>
            <w:vAlign w:val="bottom"/>
          </w:tcPr>
          <w:p>
            <w:pPr>
              <w:spacing w:after="0"/>
              <w:rPr>
                <w:sz w:val="1"/>
                <w:szCs w:val="1"/>
                <w:color w:val="auto"/>
              </w:rPr>
            </w:pPr>
          </w:p>
        </w:tc>
      </w:tr>
      <w:tr>
        <w:trPr>
          <w:trHeight w:val="175"/>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(7,177)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(274,020)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(437,712)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(711,732)</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89,444</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100,021</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3,859,940</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(11,365)</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4,164,568</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Balance, April 3, 2021</w:t>
            </w:r>
          </w:p>
        </w:tc>
        <w:tc>
          <w:tcPr>
            <w:tcW w:w="1320" w:type="dxa"/>
            <w:vAlign w:val="bottom"/>
          </w:tcPr>
          <w:p>
            <w:pPr>
              <w:jc w:val="right"/>
              <w:spacing w:after="0"/>
              <w:rPr>
                <w:sz w:val="20"/>
                <w:szCs w:val="20"/>
                <w:color w:val="auto"/>
              </w:rPr>
            </w:pPr>
            <w:r>
              <w:rPr>
                <w:rFonts w:ascii="Arial" w:cs="Arial" w:eastAsia="Arial" w:hAnsi="Arial"/>
                <w:sz w:val="18"/>
                <w:szCs w:val="18"/>
                <w:color w:val="auto"/>
              </w:rPr>
              <w:t>112,557</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4,244,740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29,649</w:t>
            </w:r>
          </w:p>
        </w:tc>
        <w:tc>
          <w:tcPr>
            <w:tcW w:w="16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355,036</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4,629,425</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821,078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821,078</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(15,036)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(15,036)</w:t>
            </w: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(49,979)</w:t>
            </w:r>
          </w:p>
        </w:tc>
        <w:tc>
          <w:tcPr>
            <w:tcW w:w="0" w:type="dxa"/>
            <w:vAlign w:val="bottom"/>
          </w:tcPr>
          <w:p>
            <w:pPr>
              <w:spacing w:after="0"/>
              <w:rPr>
                <w:sz w:val="1"/>
                <w:szCs w:val="1"/>
                <w:color w:val="auto"/>
              </w:rPr>
            </w:pPr>
          </w:p>
        </w:tc>
      </w:tr>
      <w:tr>
        <w:trPr>
          <w:trHeight w:val="175"/>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33,297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33,297</w:t>
            </w: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(642,626)</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(825,393)</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73,807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73,807</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2022</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4,119,098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533,488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4,667,199</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4"/>
          </w:tcPr>
          <w:p>
            <w:pPr>
              <w:jc w:val="right"/>
              <w:ind w:right="991"/>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7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Arial" w:cs="Arial" w:eastAsia="Arial" w:hAnsi="Arial"/>
                <w:sz w:val="14"/>
                <w:szCs w:val="14"/>
                <w:b w:val="1"/>
                <w:bCs w:val="1"/>
                <w:color w:val="auto"/>
              </w:rPr>
              <w:t>January 1, 2022</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241,568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821,078</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155,132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159,038</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amortization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112,523</w:t>
            </w: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37,566</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73,236</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95,459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6,703</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201,823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(170,511)</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(190,247)</w:t>
            </w: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42,979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(145,643)</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42,797</w:t>
            </w: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Income taxes payable and receivable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(17,281)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(16,303)</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703,363</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(124,853)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(162,993)</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businesses, net of cash acquired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(389,192)</w:t>
            </w:r>
          </w:p>
        </w:tc>
      </w:tr>
      <w:tr>
        <w:trPr>
          <w:trHeight w:val="230"/>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(552,176)</w:t>
            </w: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debt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Proceeds from debt issuances</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499,070</w:t>
            </w: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of common stock, including transaction costs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(825,393)</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26,653</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(52,265)</w:t>
            </w:r>
          </w:p>
        </w:tc>
      </w:tr>
      <w:tr>
        <w:trPr>
          <w:trHeight w:val="230"/>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(558,513)</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(409,389)</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972,805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1,398,309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918,942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988,920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918,758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988,527</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included in "Other current assets" and "Other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918,942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988,920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 included in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42,055</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540"/>
        <w:spacing w:after="0" w:line="260"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5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U.S.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2, 2022.</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During the second quarter of fiscal 2023, the Company updated its organizational structure to more closely align similar technologies and applications with customers and end markets. The Company manages its business and reports its financial results in three reportable segments: High Performance Analog ("HPA"), Connectivity and Sensors Group ("CSG") and Advanced Cellular Group ("ACG").</w:t>
      </w:r>
    </w:p>
    <w:p>
      <w:pPr>
        <w:spacing w:after="0" w:line="215" w:lineRule="exact"/>
        <w:rPr>
          <w:sz w:val="20"/>
          <w:szCs w:val="20"/>
          <w:color w:val="auto"/>
        </w:rPr>
      </w:pPr>
    </w:p>
    <w:p>
      <w:pPr>
        <w:ind w:right="1500"/>
        <w:spacing w:after="0" w:line="277" w:lineRule="auto"/>
        <w:rPr>
          <w:sz w:val="20"/>
          <w:szCs w:val="20"/>
          <w:color w:val="auto"/>
        </w:rPr>
      </w:pPr>
      <w:r>
        <w:rPr>
          <w:rFonts w:ascii="Arial" w:cs="Arial" w:eastAsia="Arial" w:hAnsi="Arial"/>
          <w:sz w:val="18"/>
          <w:szCs w:val="18"/>
          <w:color w:val="auto"/>
        </w:rPr>
        <w:t>Certain items in the fiscal 2022 financial statements (including prior period segment results) have been reclassified to conform with the fiscal 2023 presentation.</w:t>
      </w:r>
    </w:p>
    <w:p>
      <w:pPr>
        <w:spacing w:after="0" w:line="19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years 2023 and 2022 are 52-week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2, 2022</w:t>
            </w:r>
          </w:p>
        </w:tc>
      </w:tr>
      <w:tr>
        <w:trPr>
          <w:trHeight w:val="25"/>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236,095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350,122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357,332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162,321</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857,277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755,748</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Silicon Carbide, Inc.</w:t>
      </w:r>
    </w:p>
    <w:p>
      <w:pPr>
        <w:spacing w:after="0" w:line="252"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On October 19, 2021, the Company acquired all the outstanding equity interests of United Silicon Carbide, Inc. ("United SiC"), a leading manufacturer of silicon carbide ("SiC") power semiconductors, for a total purchase price of $236.7 million. The acquisition expanded the Company's offerings to include SiC power products for a range of applications, such as electric vehicles, battery charging, IT infrastructure, renewables and circuit protection.</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purchase price comprised cash consideration of $227.2 million and contingent consideration of up to $31.3 million which is expected to be paid to the sellers (in the first quarter of fiscal 2024) upon achieving certain revenue and gross margin targets over the period beginning on the acquisition date through December 31, 2022. The estimated fair value of the contingent consideration liability was $9.5 million as of the acquisition date. At April 2, 2022, the contingent consideration liability was remeasured to a fair value of $17.6 million and is included in "Other long-term liabilities" in the Condensed Consolidated Balance Sheet. At December 31, 2022, the maximum contingent consideration of $31.3 million was earned and is included in "Other current liabilities" in the Condensed Consolidated Balance Sheet, with the increase in fair value recognized in "Other operating expense" in the Condensed Consolidated Statement of Operations. Refer to Note 5 for further information related to the fair value measurement.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NextInput, Inc.</w:t>
      </w:r>
    </w:p>
    <w:p>
      <w:pPr>
        <w:spacing w:after="0" w:line="25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On April 5, 2021, the Company acquired all the outstanding equity interests of NextInput, Inc. ("NextInput"), a leader in microelectromechanical system ("MEMS")-based sensing solutions, for a total cash purchase price of $173.3 million. The acquisition expanded the Company's offerings of MEMS-based products for mobile applications, providing sensing solutions for a broad range of applications in other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fiscal 2023, the Company updated its organizational structure (see Note 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HPA</w:t>
            </w: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CSG</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ACG</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6"/>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Balance as of April 2, 2022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2,775,634</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NextInput measurement period adjustments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SiC measurement period adjustments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Effect of changes in foreign currency exchange rates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(5,763)</w:t>
            </w:r>
          </w:p>
        </w:tc>
      </w:tr>
      <w:tr>
        <w:trPr>
          <w:trHeight w:val="248"/>
        </w:trPr>
        <w:tc>
          <w:tcPr>
            <w:tcW w:w="50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Balance as of December 31, 2022 </w:t>
            </w:r>
            <w:r>
              <w:rPr>
                <w:rFonts w:ascii="Arial" w:cs="Arial" w:eastAsia="Arial" w:hAnsi="Arial"/>
                <w:sz w:val="23"/>
                <w:szCs w:val="23"/>
                <w:color w:val="auto"/>
                <w:vertAlign w:val="superscript"/>
              </w:rPr>
              <w:t>(1)</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2,770,146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00" w:firstLine="8"/>
        <w:spacing w:after="0" w:line="293" w:lineRule="auto"/>
        <w:tabs>
          <w:tab w:leader="none" w:pos="22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goodwill balance is presented net of accumulated impairment losses and write-offs totaling $669.6 million, which were recognized in fiscal years 2009, 2013, 2014 and 2022.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5"/>
          </w:tcPr>
          <w:p>
            <w:pPr>
              <w:ind w:left="74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2, 2022</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142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1"/>
                <w:szCs w:val="11"/>
                <w:color w:val="auto"/>
              </w:rPr>
            </w:pPr>
          </w:p>
        </w:tc>
        <w:tc>
          <w:tcPr>
            <w:tcW w:w="12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7"/>
                <w:szCs w:val="17"/>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7"/>
                <w:szCs w:val="17"/>
                <w:color w:val="auto"/>
              </w:rPr>
            </w:pPr>
          </w:p>
        </w:tc>
        <w:tc>
          <w:tcPr>
            <w:tcW w:w="120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866,916</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352,141</w:t>
            </w:r>
          </w:p>
        </w:tc>
        <w:tc>
          <w:tcPr>
            <w:tcW w:w="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1,026,690</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420,255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104,429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62,703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104,778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47,208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licenses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0"/>
                <w:szCs w:val="10"/>
                <w:color w:val="auto"/>
              </w:rPr>
              <w:t>(1)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983,288</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415,913</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1,145,776</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470,990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(1) Amounts include the impact of foreign currency translation.</w:t>
      </w: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AND FAIR VALUE OF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invests in limited partnerships and accounts for these investments using the equity method. The carrying amounts of these investments, as of December 31, 2022 and April 2, 2022, were $20.2 million and $27.1 million, respectively, and are classified as "Long-term investments" in the Condensed Consolidated Balance Sheets. During the three and nine months ended December 31, 2022, the Company recorded a loss of $5.0 million and $4.7 million, respectively, based on its share of the limited partnerships' earnings. During the three and nine months ended January 1, 2022, the Company recorded a loss of $2.4 million and income of $13.6 million, respectively, based on its share of the limited partnerships' earnings. These amounts are included in "Other income, net" in the Condensed Consolidated Statements of Operations. During the three and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nine months ended December 31, 2022, the Company received cash distributions of $0.2 million and $2.2 million, respectively, from these limited partnerships. No cash distributions were received during the three months ended January 1, 2022 and $13.5 million of cash distributions were received during the nine months ended January 1, 2022. The cash distributions were recognized as reductions to the carrying value of the investments and included in the cash flows from investing activities in the Condensed Consolidated Statements of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financial assets and liabilities measured on a recurring basis was determined using the following levels of inputs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4"/>
                <w:szCs w:val="14"/>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9"/>
        </w:trPr>
        <w:tc>
          <w:tcPr>
            <w:tcW w:w="44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380" w:type="dxa"/>
            <w:vAlign w:val="bottom"/>
          </w:tcPr>
          <w:p>
            <w:pPr>
              <w:jc w:val="center"/>
              <w:ind w:right="177"/>
              <w:spacing w:after="0" w:line="13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6"/>
        </w:trPr>
        <w:tc>
          <w:tcPr>
            <w:tcW w:w="4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Marketable equity securities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23"/>
                <w:szCs w:val="23"/>
                <w:color w:val="auto"/>
                <w:vertAlign w:val="superscript"/>
              </w:rPr>
              <w:t>(2)</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(31,250)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92"/>
              </w:rPr>
              <w:t>(31,250)</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April 2, 2022</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equity securities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39,356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23"/>
                <w:szCs w:val="23"/>
                <w:color w:val="auto"/>
                <w:vertAlign w:val="superscript"/>
              </w:rPr>
              <w:t>(2)</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2"/>
              </w:rPr>
              <w:t>(17,600)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80" w:firstLine="8"/>
        <w:spacing w:after="0" w:line="257" w:lineRule="auto"/>
        <w:tabs>
          <w:tab w:leader="none" w:pos="22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w:t>
      </w:r>
    </w:p>
    <w:p>
      <w:pPr>
        <w:spacing w:after="0" w:line="1" w:lineRule="exact"/>
        <w:rPr>
          <w:rFonts w:ascii="Arial" w:cs="Arial" w:eastAsia="Arial" w:hAnsi="Arial"/>
          <w:sz w:val="16"/>
          <w:szCs w:val="16"/>
          <w:color w:val="auto"/>
        </w:rPr>
      </w:pPr>
    </w:p>
    <w:p>
      <w:pPr>
        <w:ind w:right="80" w:firstLine="8"/>
        <w:spacing w:after="0" w:line="270" w:lineRule="auto"/>
        <w:tabs>
          <w:tab w:leader="none" w:pos="229"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December 31, 2022, the maximum contingent consideration was recorded related to the acquisition of United SiC (refer to Note 3). At April 2, 2022, the fair value of this liability was estimated using an option pricing model.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1380" w:type="dxa"/>
            <w:vAlign w:val="bottom"/>
          </w:tcPr>
          <w:p>
            <w:pPr>
              <w:jc w:val="right"/>
              <w:ind w:right="332"/>
              <w:spacing w:after="0"/>
              <w:rPr>
                <w:sz w:val="20"/>
                <w:szCs w:val="20"/>
                <w:color w:val="auto"/>
              </w:rPr>
            </w:pPr>
            <w:r>
              <w:rPr>
                <w:rFonts w:ascii="Arial" w:cs="Arial" w:eastAsia="Arial" w:hAnsi="Arial"/>
                <w:sz w:val="14"/>
                <w:szCs w:val="14"/>
                <w:b w:val="1"/>
                <w:bCs w:val="1"/>
                <w:color w:val="auto"/>
              </w:rPr>
              <w:t>April 2, 2022</w:t>
            </w:r>
          </w:p>
        </w:tc>
      </w:tr>
      <w:tr>
        <w:trPr>
          <w:trHeight w:val="25"/>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1.750% senior notes due 2024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4.375% senior notes due 2029</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2031</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leases and other</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premium, discount and issuance costs,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2,047,743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2,047,098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September 29, 2020, the Company and certain of its U.S. subsidiaries (the "Guarantors") entered into a five-year unsecured senior credit facility pursuant to a credit agreement (as amended, restated, modified or otherwise supplemented from time to time, the "Credit Agreement") with Bank of America, N.A., acting as administrative agent, and a syndicate of lenders. The Credit Agreement amended and restated the previous credit agreement dated as of December 5, 2017. The Credit Agreement includes a senior revolving line of credit (the "Revolving Facility") of up to $300.0 million, and included a senior term loan of $200.0 million (collectively, the "Credit Facility"), that was fully repaid in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April 6, 2022, the Company and the administrative agent entered into an amendment to the Credit Agreement (the "LIBOR Transition Amendment") to replace the London Interbank Offered Rate as a reference rate available for use in the computation of interest under the Credit Agreement. As a result of the LIBOR Transition Amendment, at the Company’s option, loans under the Credit Agreement will bear interest at (i) the Applicable Rate (as defined in the Credit Agreement) plus the Term SOFR (as defined in the Credit Agreement) or (ii) the Applicable Rate plus a rate equal to the highest of (a) the federal funds rate plus 0.50%, (b) the prime rate as set by the administrative agent, and (c) the Term SOFR plus 1.0% (the "Base Rate"). All swing line loans will bear interest at a rate equal to the Applicable Rate plus the Base Rate. The Term SOFR is the rate per annum equal to the forward-looking Secured Overnight Financing Rate term rate for interest periods of one, three or six months (as selected by the Company) plus an adjustment (as defined in the Credit Agreement). The Applicable Rate for Term SOFR loans ranges from 1.000% per annum to 1.250% per annum, and the Applicable Rate for Base Rate loans ranges from 0.000% per annum to 0.250% per annum. Undrawn amounts under the Credit Facility are subject to a commitment fee ranging from 0.150% to 0.200%.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December 31, 2022, there were no borrowings under the Revolving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2024</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December 14, 2021, the Company issued $500.0 million aggregate principal amount of its 1.750% senior notes due 2024 (the "2024 Notes"). The 2024 Notes will mature on December 15, 2024, unless earlier redeemed in accordance with their terms. The 2024 Notes are senior unsecured obligations of the Company and are guaranteed, jointly and severally, by the Guarantors.</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2024 Notes were issued pursuant to an indenture, dated as of December 14, 2021 (the "2021 Indenture"), by and among the Company, the Guarantors and Computershare Trust Company, N.A., as trustee. The 2021 Indenture contains customary events of default, including payment default, exchange default, failure to provide certain notices thereunder and certain provisions related to bankruptcy events. The 2021 Indenture also contains customary negative covenants.</w:t>
      </w:r>
    </w:p>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is payable on the 2024 Notes on June 15 and December 15 of each year. The Company paid interest of $4.4 million and $8.8 million on the 2024 Notes during the three and nine months ended December 31,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together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substantially the same customary events of default and negative covenants as the 2021 Indenture.</w:t>
      </w:r>
    </w:p>
    <w:p>
      <w:pPr>
        <w:spacing w:after="0" w:line="21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Interest is payable on the 2029 Notes on April 15 and October 15 of each year. The Company paid interest of $18.6 million on the 2029 Notes during the three months ended December 31, 2022 and January 1, 2022, and paid interest of $37.2 million during the nine months ended December 31, 2022 and January 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2031</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2021 Indenture.</w:t>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Interest is payable on the 2031 Notes on April 1 and October 1 of each year. The Company paid no interest on the 2031 Notes during the three months ended December 31, 2022 and January 1, 2022, and paid interest of $11.8 million during the nine months ended December 31, 2022 and January 1,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debt is carried at amortized cost and is measured quarterly at fair value for disclosure purposes. The estimated fair value of the 2024 Notes, the 2029 Notes and the 2031 Notes as of December 31, 2022 was $459.8 million, $777.8 million and $572.3 million, respectively (compared to the outstanding principal amount of $500.0 million, $850.0 million and $700.0 million, respectively). The estimated fair value of the 2024 Notes, the 2029 Notes and the 2031 Notes as of April 2, 2022 was $476.9 million, $852.6 million and $638.6 million, respectively (compared to the outstanding principal amount of $500.0 million, $850.0 million and $700.0 million, respectively). The Company considers its debt to be Level 2 in the fair value hierarchy. Fair values are estimated based on quoted market prices for identical or similar instruments. The 2024 Notes, the 2029 Notes and the 2031 Notes currently trade over-the-counter, and the fair values were estimated based upon the value of the last trade at the end of the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December 31, 2022, the Company recognized total interest expense of $18.1 million and $54.2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respectively, primarily related to the 2024 Notes, the 2029 Notes and the 2031 Notes, partially offset by interest capitalized to property and equipment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and $3.0 million, respectively. During the three and nine months ended January 1, 2022, the Company recognized total interest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$16.3 million and $48.7 million, respectively, primarily related to the 2029 Notes and the 2031 Notes, partially offset by interest capitalized to property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equipment of $0.9 million and $2.8 million,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REPURCHASES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November 2, 2022, the Company announced that its Board of Directors authorized a new share repurchase program to repurchase up to $2.0 billion of the Company's outstanding common stock, which included the remaining authorized dollar amount under a prior program terminated concurrent with the new authorization. Under the current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22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During the three and nine months ended December 31, 2022, the Company repurchased approximately 2.2 million and 7.2 million shares of its common stock for approximately $201.6 million and $711.7 million, respectively (including transaction costs) under the prior and current share repurchase programs. As of December 31, 2022, approximately $1,855.0 million remains available for repurchases under the current share repurchase program.</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and nine months ended January 1, 2022, the Company repurchased approximately 1.9 million and 4.8 million shares, respectively, of its common stock for approximately $302.0 million and $825.4 million, respectively (including transaction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Amidst ongoing industry-wide supply constraints, the Company entered into a long-term capacity reservation agreement with a foundry supplier during the second quarter of fiscal 2022. Under this agreement, the Company was required to purchase,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foundry supplier was required to supply, a certain number of wafers (at predetermined sales prices) for calendar years 2022 through 2025. In connection with this agreement, the Company paid a refundable deposit (which was recorded in "Other non-current assets" in the Condensed Consolidated Balance Sheets), and if the purchase commitments per the agreement were not met, under certain circumstances the supplier could deduct the amount of the purchase shortfall from the prepaid refundable deposit at the end of each calendar year.</w:t>
      </w:r>
    </w:p>
    <w:p>
      <w:pPr>
        <w:spacing w:after="0" w:line="21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fiscal 2023, the Company has experienced unexpectedly weakened demand for 5G handsets in China and EMEA primarily due to unprecedented disruption resulting from measures taken in China to control the COVID-19 pandemic and the conflict in Ukraine. As a result, the Company did not meet the minimum purchase commitments under this long-term capacity reservation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the first quarter of fiscal 2023, the purchase shortfall resulted in an impairment to the prepaid refundable deposit of approximately $13.0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additional reserves of approximately $11.0 million for inventory in excess of demand forecasts were recorded. Additionally, the Company assessed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purchase commitments over the remaining term of the agreement and recorded an estimated shortfall of $86.0 million, of which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$8.0 million was recorded in "Other current liabilities" and $78.0 million was recorded in "Other long-term liabilities" in accordance with Accounting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Standards Codification ("ASC") 330, "</w:t>
      </w:r>
      <w:r>
        <w:rPr>
          <w:rFonts w:ascii="Arial" w:cs="Arial" w:eastAsia="Arial" w:hAnsi="Arial"/>
          <w:sz w:val="16"/>
          <w:szCs w:val="16"/>
          <w:i w:val="1"/>
          <w:iCs w:val="1"/>
          <w:color w:val="auto"/>
        </w:rPr>
        <w:t>Inventory.</w:t>
      </w:r>
      <w:r>
        <w:rPr>
          <w:rFonts w:ascii="Arial" w:cs="Arial" w:eastAsia="Arial" w:hAnsi="Arial"/>
          <w:sz w:val="16"/>
          <w:szCs w:val="16"/>
          <w:color w:val="auto"/>
        </w:rPr>
        <w:t>" These transactions resulted in a total increase to cost of goods sold of $110.0 million in the first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fiscal 2023.</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October 2022, the Company renegotiated the terms of the agreement with the foundry supplier, which included extending the duration of the agreement through calendar year 2026. The Company believes that the amended agreement more closely aligns the contractual purchase commitments with forecasted demand. As a result of the amended agreement, in the second quarter of fiscal 2023, the Company recorded an impairment to the prepaid refundable deposit of approximately $38.0 million and additional reserves of approximately $5.0 million for inventory in excess of demand forecasts, which reduced the estimated shortfall liability that was previously recorded by $43.0 million. In the third quarter of fiscal 2023, the Company recorded an impairment to the prepaid refundable deposit of approximately $8.0 million and additional reserves of approximately $4.0 million for inventory in excess of demand forecasts, which reduced the estimated shortfall liability that was previously recorded by $12.0 million. There was no impact to the statements of operations in the second or third quarters of fiscal 2023. There were no material changes to the Company's estimated future purchase obligations under the current terms of the capacity reservation agreement during the current quarter.</w:t>
      </w:r>
    </w:p>
    <w:p>
      <w:pPr>
        <w:spacing w:after="0" w:line="20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performing these assessments, the Company considered Company-specific forecasts, legal obligations, macroeconomic and geopolitical factors as well as market and industry trends. These factors include significant management judgment and estimates and, to the extent that these assumptions are incorrect or there are further declines in management's demand forecasts, additional charges may be recorded in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geography, based on the location of the customers' headquarters (in thousands):</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320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9"/>
        </w:trPr>
        <w:tc>
          <w:tcPr>
            <w:tcW w:w="4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January 1, 2022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January 1, 2022</w:t>
            </w:r>
          </w:p>
        </w:tc>
      </w:tr>
      <w:tr>
        <w:trPr>
          <w:trHeight w:val="22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1,470,231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1,449,667</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China</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124,799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273,582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630,012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1,227,782</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Asia</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364,855</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Taiwan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53,072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76,432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274,707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253,713</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183,539</w:t>
            </w:r>
          </w:p>
        </w:tc>
      </w:tr>
      <w:tr>
        <w:trPr>
          <w:trHeight w:val="223"/>
        </w:trPr>
        <w:tc>
          <w:tcPr>
            <w:tcW w:w="400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1,113,957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2,936,696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3,479,556</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(refer to Note 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fiscal 2023, the Company has taken actions to improve efficiencies in its operations and further align the organization with its strategic objectives. The Company will continue to evaluate its operating footprint, cost structure and strategic opportunities.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charges resulting from the restructuring actions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Three Months Ended December 31, 2022</w:t>
            </w:r>
          </w:p>
        </w:tc>
        <w:tc>
          <w:tcPr>
            <w:tcW w:w="140" w:type="dxa"/>
            <w:vAlign w:val="bottom"/>
          </w:tcPr>
          <w:p>
            <w:pPr>
              <w:spacing w:after="0"/>
              <w:rPr>
                <w:sz w:val="16"/>
                <w:szCs w:val="16"/>
                <w:color w:val="auto"/>
              </w:rPr>
            </w:pPr>
          </w:p>
        </w:tc>
        <w:tc>
          <w:tcPr>
            <w:tcW w:w="3720" w:type="dxa"/>
            <w:vAlign w:val="bottom"/>
            <w:gridSpan w:val="7"/>
          </w:tcPr>
          <w:p>
            <w:pPr>
              <w:jc w:val="center"/>
              <w:ind w:right="34"/>
              <w:spacing w:after="0"/>
              <w:rPr>
                <w:sz w:val="20"/>
                <w:szCs w:val="20"/>
                <w:color w:val="auto"/>
              </w:rPr>
            </w:pPr>
            <w:r>
              <w:rPr>
                <w:rFonts w:ascii="Arial" w:cs="Arial" w:eastAsia="Arial" w:hAnsi="Arial"/>
                <w:sz w:val="14"/>
                <w:szCs w:val="14"/>
                <w:b w:val="1"/>
                <w:bCs w:val="1"/>
                <w:color w:val="auto"/>
                <w:w w:val="93"/>
              </w:rPr>
              <w:t>Nine Months Ended December 31, 2022</w:t>
            </w:r>
          </w:p>
        </w:tc>
        <w:tc>
          <w:tcPr>
            <w:tcW w:w="0" w:type="dxa"/>
            <w:vAlign w:val="bottom"/>
          </w:tcPr>
          <w:p>
            <w:pPr>
              <w:spacing w:after="0"/>
              <w:rPr>
                <w:sz w:val="1"/>
                <w:szCs w:val="1"/>
                <w:color w:val="auto"/>
              </w:rPr>
            </w:pPr>
          </w:p>
        </w:tc>
      </w:tr>
      <w:tr>
        <w:trPr>
          <w:trHeight w:val="25"/>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9"/>
              </w:rPr>
              <w:t>Cost of Goods</w:t>
            </w:r>
          </w:p>
        </w:tc>
        <w:tc>
          <w:tcPr>
            <w:tcW w:w="132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rPr>
              <w:t>Other Operating</w:t>
            </w:r>
          </w:p>
        </w:tc>
        <w:tc>
          <w:tcPr>
            <w:tcW w:w="280" w:type="dxa"/>
            <w:vAlign w:val="bottom"/>
          </w:tcPr>
          <w:p>
            <w:pPr>
              <w:spacing w:after="0"/>
              <w:rPr>
                <w:sz w:val="11"/>
                <w:szCs w:val="11"/>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Cost of Goods</w:t>
            </w:r>
          </w:p>
        </w:tc>
        <w:tc>
          <w:tcPr>
            <w:tcW w:w="134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Other Operating</w:t>
            </w:r>
          </w:p>
        </w:tc>
        <w:tc>
          <w:tcPr>
            <w:tcW w:w="280" w:type="dxa"/>
            <w:vAlign w:val="bottom"/>
          </w:tcPr>
          <w:p>
            <w:pPr>
              <w:spacing w:after="0"/>
              <w:rPr>
                <w:sz w:val="11"/>
                <w:szCs w:val="11"/>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Sold</w:t>
            </w:r>
          </w:p>
        </w:tc>
        <w:tc>
          <w:tcPr>
            <w:tcW w:w="2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Expense</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Sold</w:t>
            </w:r>
          </w:p>
        </w:tc>
        <w:tc>
          <w:tcPr>
            <w:tcW w:w="2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Expense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termination and other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15,109</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13,433</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17,033</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12,899</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6"/>
              </w:rPr>
              <w:t xml:space="preserve">One-time employee termination benefits </w:t>
            </w:r>
            <w:r>
              <w:rPr>
                <w:rFonts w:ascii="Arial" w:cs="Arial" w:eastAsia="Arial" w:hAnsi="Arial"/>
                <w:sz w:val="23"/>
                <w:szCs w:val="23"/>
                <w:color w:val="auto"/>
                <w:w w:val="96"/>
                <w:vertAlign w:val="superscript"/>
              </w:rPr>
              <w:t>(2)</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23"/>
        </w:trPr>
        <w:tc>
          <w:tcPr>
            <w:tcW w:w="334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23,785</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27,385</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28,879</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32,479</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the adjustment of certain property and equipment to reflect its fair value.</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reversal due to adjustment of previously accrued restructuring charges.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restructuring liabilities for the nine months ended December 31, 2022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One-Time Employee</w:t>
            </w:r>
          </w:p>
        </w:tc>
        <w:tc>
          <w:tcPr>
            <w:tcW w:w="1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Contract Termination</w:t>
            </w:r>
          </w:p>
        </w:tc>
        <w:tc>
          <w:tcPr>
            <w:tcW w:w="340" w:type="dxa"/>
            <w:vAlign w:val="bottom"/>
          </w:tcPr>
          <w:p>
            <w:pPr>
              <w:spacing w:after="0"/>
              <w:rPr>
                <w:sz w:val="14"/>
                <w:szCs w:val="14"/>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Termination Benefits</w:t>
            </w:r>
          </w:p>
        </w:tc>
        <w:tc>
          <w:tcPr>
            <w:tcW w:w="18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and Other Costs</w:t>
            </w: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April 2,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17,033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19,580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Accrued restructuring balance as of December 31,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16,066</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 INFORMATION</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the second quarter of fiscal 2023, the Company updated its organizational structure from two operating segments (Mobile Products and Infrastructure and Defense Products) to three operating segments (High Performance Analog ("HPA"), Connectivity and Sensors Group ("CSG") and Advanced Cellular Group ("ACG")). This change was made to more closely align similar technologies and applications with customers and end markets, which represents how the Company currently manages its three operating segments (which are also its reportable segments). The Company's Chief Executive Officer, who is also the Company's chief operating decision maker ("CODM"), allocates resources and evaluates the performance of each of the three operating segments primarily based on operating income. All prior-period segment data has been retrospectively adjusted to reflect these three operating segments.</w:t>
      </w:r>
    </w:p>
    <w:p>
      <w:pPr>
        <w:spacing w:after="0" w:line="20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HPA is a leading global supplier of RF and power management solutions for infrastructure, defense and aerospace, automotive power and other markets. HPA leverages a diverse portfolio of differentiated technologies and products to support multiyear growth trends, including electrification, renewable energy, the increasing semiconductor spend in defense and 5G deployments outside of China.</w:t>
      </w:r>
    </w:p>
    <w:p>
      <w:pPr>
        <w:spacing w:after="0" w:line="205"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CSG is a leading global supplier of connectivity and sensor components and systems featuring multiple technologies such as UWB, Matter</w:t>
      </w:r>
      <w:r>
        <w:rPr>
          <w:rFonts w:ascii="Arial" w:cs="Arial" w:eastAsia="Arial" w:hAnsi="Arial"/>
          <w:sz w:val="22"/>
          <w:szCs w:val="22"/>
          <w:color w:val="auto"/>
          <w:vertAlign w:val="superscript"/>
        </w:rPr>
        <w:t>®</w:t>
      </w:r>
      <w:r>
        <w:rPr>
          <w:rFonts w:ascii="Arial" w:cs="Arial" w:eastAsia="Arial" w:hAnsi="Arial"/>
          <w:sz w:val="17"/>
          <w:szCs w:val="17"/>
          <w:color w:val="auto"/>
        </w:rPr>
        <w:t>, Bluetooth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Low Energy, Zigbee</w:t>
      </w:r>
      <w:r>
        <w:rPr>
          <w:rFonts w:ascii="Arial" w:cs="Arial" w:eastAsia="Arial" w:hAnsi="Arial"/>
          <w:sz w:val="22"/>
          <w:szCs w:val="22"/>
          <w:color w:val="auto"/>
          <w:vertAlign w:val="superscript"/>
        </w:rPr>
        <w:t>®</w:t>
      </w:r>
      <w:r>
        <w:rPr>
          <w:rFonts w:ascii="Arial" w:cs="Arial" w:eastAsia="Arial" w:hAnsi="Arial"/>
          <w:sz w:val="17"/>
          <w:szCs w:val="17"/>
          <w:color w:val="auto"/>
        </w:rPr>
        <w:t>, Thread</w:t>
      </w:r>
      <w:r>
        <w:rPr>
          <w:rFonts w:ascii="Arial" w:cs="Arial" w:eastAsia="Arial" w:hAnsi="Arial"/>
          <w:sz w:val="22"/>
          <w:szCs w:val="22"/>
          <w:color w:val="auto"/>
          <w:vertAlign w:val="superscript"/>
        </w:rPr>
        <w:t>®</w:t>
      </w:r>
      <w:r>
        <w:rPr>
          <w:rFonts w:ascii="Arial" w:cs="Arial" w:eastAsia="Arial" w:hAnsi="Arial"/>
          <w:sz w:val="17"/>
          <w:szCs w:val="17"/>
          <w:color w:val="auto"/>
        </w:rPr>
        <w:t>, Wi-Fi</w:t>
      </w:r>
      <w:r>
        <w:rPr>
          <w:rFonts w:ascii="Arial" w:cs="Arial" w:eastAsia="Arial" w:hAnsi="Arial"/>
          <w:sz w:val="22"/>
          <w:szCs w:val="22"/>
          <w:color w:val="auto"/>
          <w:vertAlign w:val="superscript"/>
        </w:rPr>
        <w:t>®</w:t>
      </w:r>
      <w:r>
        <w:rPr>
          <w:rFonts w:ascii="Arial" w:cs="Arial" w:eastAsia="Arial" w:hAnsi="Arial"/>
          <w:sz w:val="17"/>
          <w:szCs w:val="17"/>
          <w:color w:val="auto"/>
        </w:rPr>
        <w:t>, cellular IoT and MEMS-/BAW-based sensors. CSG combines the connectivity and sensors businesses formerly split between Mobile Products and Infrastructure and Defense Products. CSG’s markets include smart home, automotive connectivity, industrial automation, smartphones, wearables, gaming and other high-growth IoT connectivity and healthcare markets.</w:t>
      </w:r>
    </w:p>
    <w:p>
      <w:pPr>
        <w:spacing w:after="0" w:line="23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ACG is a leading global supplier of cellular RF solutions for smartphones, wearables, laptops, tablets and various other devices. ACG leverages world-class technology and systems-level expertise to deliver a broad portfolio of high performance cellular products to the world's leading smartphone and consumer electronics companies. ACG is a highly diversified supplier of custom and open market cellular solutions, serving iOS and Android original equipment manufacturers.</w:t>
      </w: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"All other" category includes operating expenses such as stock-based compensation expense, amortization of intangible assets, restructuring related charges, acquisition and integration related costs, charges associated with a long-term capacity reservation agreement, fixed asset impairments, gain (loss) on sale of fixed assets, start-up costs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investments, interest expense, other (expense) income,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details of the Company’s operating and reportable segments and a reconciliation of the "All other" category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7"/>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January 1, 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January 1, 2022</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HPA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155,011</w:t>
            </w: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181,876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594,094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496,842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CSG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525,190</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ACG</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491,460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774,503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1,950,148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2,457,524</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3,479,556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HPA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29,836</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140,953</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CSG</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(31,145)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(29,926)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77,287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956,215</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(218,983)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955,472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(45,934)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24,077</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933,615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7"/>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4"/>
          </w:tcPr>
          <w:p>
            <w:pPr>
              <w:jc w:val="right"/>
              <w:ind w:right="9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January 1, 2022</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Reconciliation of "All other" category:</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(19,708)</w:t>
            </w: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(19,307)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(86,911)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(73,236)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(112,243)</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Restructuring related charges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(27,385)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and integration related costs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w:t>
            </w:r>
          </w:p>
        </w:tc>
        <w:tc>
          <w:tcPr>
            <w:tcW w:w="0" w:type="dxa"/>
            <w:vAlign w:val="bottom"/>
          </w:tcPr>
          <w:p>
            <w:pPr>
              <w:spacing w:after="0"/>
              <w:rPr>
                <w:sz w:val="1"/>
                <w:szCs w:val="1"/>
                <w:color w:val="auto"/>
              </w:rPr>
            </w:pPr>
          </w:p>
        </w:tc>
      </w:tr>
      <w:tr>
        <w:trPr>
          <w:trHeight w:val="183"/>
        </w:trPr>
        <w:tc>
          <w:tcPr>
            <w:tcW w:w="4400" w:type="dxa"/>
            <w:vAlign w:val="bottom"/>
          </w:tcPr>
          <w:p>
            <w:pPr>
              <w:ind w:left="140"/>
              <w:spacing w:after="0" w:line="182" w:lineRule="exact"/>
              <w:rPr>
                <w:sz w:val="20"/>
                <w:szCs w:val="20"/>
                <w:color w:val="auto"/>
              </w:rPr>
            </w:pPr>
            <w:r>
              <w:rPr>
                <w:rFonts w:ascii="Arial" w:cs="Arial" w:eastAsia="Arial" w:hAnsi="Arial"/>
                <w:sz w:val="18"/>
                <w:szCs w:val="18"/>
                <w:color w:val="auto"/>
                <w:w w:val="92"/>
              </w:rPr>
              <w:t>Charges associated with a long-term capacity reservation</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300"/>
              <w:spacing w:after="0" w:line="235" w:lineRule="exact"/>
              <w:rPr>
                <w:sz w:val="20"/>
                <w:szCs w:val="20"/>
                <w:color w:val="auto"/>
              </w:rPr>
            </w:pPr>
            <w:r>
              <w:rPr>
                <w:rFonts w:ascii="Arial" w:cs="Arial" w:eastAsia="Arial" w:hAnsi="Arial"/>
                <w:sz w:val="18"/>
                <w:szCs w:val="18"/>
                <w:color w:val="auto"/>
              </w:rPr>
              <w:t xml:space="preserve">agreement </w:t>
            </w:r>
            <w:r>
              <w:rPr>
                <w:rFonts w:ascii="Arial" w:cs="Arial" w:eastAsia="Arial" w:hAnsi="Arial"/>
                <w:sz w:val="23"/>
                <w:szCs w:val="23"/>
                <w:color w:val="auto"/>
                <w:vertAlign w:val="superscript"/>
              </w:rPr>
              <w:t>(2)</w:t>
            </w:r>
          </w:p>
        </w:tc>
        <w:tc>
          <w:tcPr>
            <w:tcW w:w="160" w:type="dxa"/>
            <w:vAlign w:val="bottom"/>
          </w:tcPr>
          <w:p>
            <w:pPr>
              <w:spacing w:after="0"/>
              <w:rPr>
                <w:sz w:val="20"/>
                <w:szCs w:val="20"/>
                <w:color w:val="auto"/>
              </w:rPr>
            </w:pP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Loss from operations for "All other"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(218,983)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Refer to Note 10 for additional information.</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Refer to Note 8 for additional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income tax expense was $13.2 million and $82.1 million for the three and nine months ended December 31, 2022, respectively, and $67.0 million and $112.5 million, for the three and nine months ended January 1, 2022, respectively. The Company’s effective tax rate was (474.1)% and 25.4% for the three and nine months ended December 31, 2022, respectively, and 23.6% and 12.1% for the three and nine months ended January 1, 2022, respectively.</w:t>
      </w:r>
    </w:p>
    <w:p>
      <w:pPr>
        <w:spacing w:after="0" w:line="21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Company's effective tax rate for the three and nine months ended December 31, 2022 differed from the statutory rate primarily due to tax rate differences in foreign jurisdictions, global intangible low tax income ("GILTI"), domestic tax credits generated and discrete tax items recorded during the period. A discrete tax expense of $2.2 million and a discrete tax benefit of $10.4 million was recorded for the three and nine months ended December 31, 2022. The discrete tax expense for the three months ended December 31, 2022 primarily resulted from foreign currency gains recognized for tax purposes. The discrete tax benefit for the nine months ended December 31, 2022 primarily resulted from certain charges associated with a long-term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capacity reservation agreement (refer to Note 8 for further information), partially offset by foreign currency gains recognized for tax purposes.</w:t>
      </w:r>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effective tax rate for the three and nine months ended January 1, 2022 differed from the statutory rate primarily due to tax rate differences in foreign jurisdictions, GILTI, domestic tax credits and discrete tax items recorded during the period. A discrete tax expense of $42.5 million and $12.0 million was recorded during the three and nine months ended January 1, 2022, respectively. The discrete tax expense for the three and nine months ended January 1, 2022 primarily related to the revaluation of deferred tax assets due to the extension of the Company’s tax holiday in Singapore. The discrete tax expense for the nine months ended January 1, 2022 was partially offset by the recognition of previously unrecognized tax benefits due to the expiration of the statute of limitations, stock-based compensation deductions and net tax benefits associated with other non-recurring restructuring activities, including a discrete charge associated with the intercompany restructuring of the NextInput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income per share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3180" w:type="dxa"/>
            <w:vAlign w:val="bottom"/>
            <w:gridSpan w:val="4"/>
          </w:tcPr>
          <w:p>
            <w:pPr>
              <w:jc w:val="right"/>
              <w:ind w:right="9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January 1, 2022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January 1, 2022</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360"/>
              <w:spacing w:after="0" w:line="176" w:lineRule="exact"/>
              <w:rPr>
                <w:sz w:val="20"/>
                <w:szCs w:val="20"/>
                <w:color w:val="auto"/>
              </w:rPr>
            </w:pPr>
            <w:r>
              <w:rPr>
                <w:rFonts w:ascii="Arial" w:cs="Arial" w:eastAsia="Arial" w:hAnsi="Arial"/>
                <w:sz w:val="18"/>
                <w:szCs w:val="18"/>
                <w:color w:val="auto"/>
                <w:w w:val="94"/>
              </w:rPr>
              <w:t>Numerator for basic and diluted net (loss) income per</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520"/>
              <w:spacing w:after="0" w:line="176" w:lineRule="exact"/>
              <w:rPr>
                <w:sz w:val="20"/>
                <w:szCs w:val="20"/>
                <w:color w:val="auto"/>
              </w:rPr>
            </w:pPr>
            <w:r>
              <w:rPr>
                <w:rFonts w:ascii="Arial" w:cs="Arial" w:eastAsia="Arial" w:hAnsi="Arial"/>
                <w:sz w:val="18"/>
                <w:szCs w:val="18"/>
                <w:color w:val="auto"/>
              </w:rPr>
              <w:t>share — net (loss) income available to common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216,263</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241,568</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821,078</w:t>
            </w:r>
          </w:p>
        </w:tc>
        <w:tc>
          <w:tcPr>
            <w:tcW w:w="0" w:type="dxa"/>
            <w:vAlign w:val="bottom"/>
          </w:tcPr>
          <w:p>
            <w:pPr>
              <w:spacing w:after="0"/>
              <w:rPr>
                <w:sz w:val="1"/>
                <w:szCs w:val="1"/>
                <w:color w:val="auto"/>
              </w:rPr>
            </w:pPr>
          </w:p>
        </w:tc>
      </w:tr>
      <w:tr>
        <w:trPr>
          <w:trHeight w:val="221"/>
        </w:trPr>
        <w:tc>
          <w:tcPr>
            <w:tcW w:w="4400" w:type="dxa"/>
            <w:vAlign w:val="bottom"/>
          </w:tcPr>
          <w:p>
            <w:pPr>
              <w:ind w:left="520"/>
              <w:spacing w:after="0"/>
              <w:rPr>
                <w:sz w:val="20"/>
                <w:szCs w:val="20"/>
                <w:color w:val="auto"/>
              </w:rPr>
            </w:pPr>
            <w:r>
              <w:rPr>
                <w:rFonts w:ascii="Arial" w:cs="Arial" w:eastAsia="Arial" w:hAnsi="Arial"/>
                <w:sz w:val="18"/>
                <w:szCs w:val="18"/>
                <w:color w:val="auto"/>
              </w:rPr>
              <w:t>stockholders</w:t>
            </w: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360"/>
              <w:spacing w:after="0" w:line="176" w:lineRule="exact"/>
              <w:rPr>
                <w:sz w:val="20"/>
                <w:szCs w:val="20"/>
                <w:color w:val="auto"/>
              </w:rPr>
            </w:pPr>
            <w:r>
              <w:rPr>
                <w:rFonts w:ascii="Arial" w:cs="Arial" w:eastAsia="Arial" w:hAnsi="Arial"/>
                <w:sz w:val="18"/>
                <w:szCs w:val="18"/>
                <w:color w:val="auto"/>
                <w:w w:val="95"/>
              </w:rPr>
              <w:t>Denominator for basic net (loss) income per share —</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520"/>
              <w:spacing w:after="0"/>
              <w:rPr>
                <w:sz w:val="20"/>
                <w:szCs w:val="20"/>
                <w:color w:val="auto"/>
              </w:rPr>
            </w:pPr>
            <w:r>
              <w:rPr>
                <w:rFonts w:ascii="Arial" w:cs="Arial" w:eastAsia="Arial" w:hAnsi="Arial"/>
                <w:sz w:val="18"/>
                <w:szCs w:val="18"/>
                <w:color w:val="auto"/>
              </w:rPr>
              <w:t>weighted average shares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100,943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110,966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Stock-based awards</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155"/>
        </w:trPr>
        <w:tc>
          <w:tcPr>
            <w:tcW w:w="44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Denominator for diluted net (loss) income per share —</w:t>
            </w:r>
          </w:p>
        </w:tc>
        <w:tc>
          <w:tcPr>
            <w:tcW w:w="16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adjusted weighted average shares and assumed</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100,943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110,810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103,812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112,415</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conversions</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(loss) income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income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the computation of net loss per share for the three months ended December 31, 2022, approximately 2.0 million shares of outstanding stock-based awards were excluded because the effect of their inclusion would have been anti-dilutive. In the computation of diluted net income per share for the nine months ended December 31, 2022, approximately 0.9 million shares of outstanding stock-based awards were excluded because the effect of their inclusion would have been anti-dilutive. An immaterial number of shares of outstanding stock-based awards were excluded from the computation of diluted net income per share for the three and nine months ended January 1, 2022 because the effect of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several large customers for a substantial portion of our revenue; continued volatility and uncertainty in customer demand, worldwide economies and financial markets resulting from the impact of the COVID-19 pandemic, conflict in Ukraine or other macroeconomic factors;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including under long-term supply agreements, due to timing of customers' forecasts; our inability to effectively manage or maintain evolving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and other strategic investments failing to achieve financial or strategic objectives; our ability to attract, retain and motivate key employees; warranty claims, product recalls and product liability; changes in our effective tax rate; changes in the favorable tax status of certain of our subsidiaries; enactment of international or domestic tax legislation, or changes in regulatory guidance; risks associated with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under "Risk Factors" in Part I, Item 1A of our Annual Report on Form 10-K for the fiscal year ended April 2, 2022 and Qorvo's subsequent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700"/>
        <w:spacing w:after="0" w:line="31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Qorvo is a global leader in the development and commercialization of technologies and products for wireless, wired and power markets.</w:t>
      </w:r>
    </w:p>
    <w:p>
      <w:pPr>
        <w:spacing w:after="0" w:line="239"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During the second quarter of fiscal 2023, we updated our organizational structure to more closely align similar technologies and applications with customers and end markets. We manage our business and report our financial results in three reportable segments: High Performance Analog ("HPA"), Connectivity and Sensors Group ("CSG") and Advanced Cellular Group ("ACG"). Refer to Note 11 of the Notes to Condensed Consolidated Financial Statements for additional information regarding our reportable operating segments as of December 31, 2022.</w:t>
      </w:r>
    </w:p>
    <w:p>
      <w:pPr>
        <w:spacing w:after="0" w:line="19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HPA is a leading global supplier of RF and power management solutions for infrastructure, defense and aerospace, automotive power and other markets. HPA leverages a diverse portfolio of differentiated technologies and products to support multiyear growth trends, including electrification, renewable energy, the increasing semiconductor spend in defense and 5G deployments outside of China.</w:t>
      </w:r>
    </w:p>
    <w:p>
      <w:pPr>
        <w:spacing w:after="0" w:line="209"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CSG is a leading global supplier of connectivity and sensor components and systems featuring multiple technologies such as UWB, Matter</w:t>
      </w:r>
      <w:r>
        <w:rPr>
          <w:rFonts w:ascii="Arial" w:cs="Arial" w:eastAsia="Arial" w:hAnsi="Arial"/>
          <w:sz w:val="22"/>
          <w:szCs w:val="22"/>
          <w:color w:val="auto"/>
          <w:vertAlign w:val="superscript"/>
        </w:rPr>
        <w:t>®</w:t>
      </w:r>
      <w:r>
        <w:rPr>
          <w:rFonts w:ascii="Arial" w:cs="Arial" w:eastAsia="Arial" w:hAnsi="Arial"/>
          <w:sz w:val="17"/>
          <w:szCs w:val="17"/>
          <w:color w:val="auto"/>
        </w:rPr>
        <w:t>, Bluetooth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Low Energy, Zigbee</w:t>
      </w:r>
      <w:r>
        <w:rPr>
          <w:rFonts w:ascii="Arial" w:cs="Arial" w:eastAsia="Arial" w:hAnsi="Arial"/>
          <w:sz w:val="22"/>
          <w:szCs w:val="22"/>
          <w:color w:val="auto"/>
          <w:vertAlign w:val="superscript"/>
        </w:rPr>
        <w:t>®</w:t>
      </w:r>
      <w:r>
        <w:rPr>
          <w:rFonts w:ascii="Arial" w:cs="Arial" w:eastAsia="Arial" w:hAnsi="Arial"/>
          <w:sz w:val="17"/>
          <w:szCs w:val="17"/>
          <w:color w:val="auto"/>
        </w:rPr>
        <w:t>, Thread</w:t>
      </w:r>
      <w:r>
        <w:rPr>
          <w:rFonts w:ascii="Arial" w:cs="Arial" w:eastAsia="Arial" w:hAnsi="Arial"/>
          <w:sz w:val="22"/>
          <w:szCs w:val="22"/>
          <w:color w:val="auto"/>
          <w:vertAlign w:val="superscript"/>
        </w:rPr>
        <w:t>®</w:t>
      </w:r>
      <w:r>
        <w:rPr>
          <w:rFonts w:ascii="Arial" w:cs="Arial" w:eastAsia="Arial" w:hAnsi="Arial"/>
          <w:sz w:val="17"/>
          <w:szCs w:val="17"/>
          <w:color w:val="auto"/>
        </w:rPr>
        <w:t>, Wi-Fi</w:t>
      </w:r>
      <w:r>
        <w:rPr>
          <w:rFonts w:ascii="Arial" w:cs="Arial" w:eastAsia="Arial" w:hAnsi="Arial"/>
          <w:sz w:val="22"/>
          <w:szCs w:val="22"/>
          <w:color w:val="auto"/>
          <w:vertAlign w:val="superscript"/>
        </w:rPr>
        <w:t>®</w:t>
      </w:r>
      <w:r>
        <w:rPr>
          <w:rFonts w:ascii="Arial" w:cs="Arial" w:eastAsia="Arial" w:hAnsi="Arial"/>
          <w:sz w:val="17"/>
          <w:szCs w:val="17"/>
          <w:color w:val="auto"/>
        </w:rPr>
        <w:t>, cellular IoT and MEMS-/BAW-based sensors. CSG combines the connectivity and sensors businesses formerly split between Mobile Products and Infrastructure and Defense Products. CSG’s markets include smart home, automotive connectivity, industrial automation, smartphones, wearables, gaming and other high-growth IoT connectivity and healthcare markets.</w:t>
      </w:r>
    </w:p>
    <w:p>
      <w:pPr>
        <w:spacing w:after="0" w:line="215"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ACG is a leading global supplier of cellular RF solutions for smartphones, wearables, laptops, tablets and various other devices. ACG leverages world-class technology and systems-level expertise to deliver a broad portfolio of high performance cellular products to the world's leading smartphone and consumer electronics companies. ACG is a highly diversified supplier of custom and open market cellular solutions serving iOS and Android original equipment manufacturers.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disclosed in our Annual Report on Form 10-K, filed on May 20, 2022, the COVID-19 pandemic has impacted the semiconductor industry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supply chain, causing uncertainty in customer demand, worldwide economies and financial markets. During fiscal 2023, we have experienced unexpectedly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weakened demand for 5G handsets in China and EMEA due to unprecedented disruption resulting from measures taken in China to control the COVID-19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pandemic and the conflict in Ukraine. As a result, we did not meet the minimum purchase commitments under a long-term capacity reservation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 foundry supplier. In the first quarter of fiscal 2023, the purchase shortfall resulted in an impairment to the prepaid refundable deposit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$13.0 million and additional reserves of approximately $11.0 million for inventory in excess of demand forecasts were recorded.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assessed the future minimum purchase commitments over the remaining term of the agreement and recorded an estimated shortfall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$86.0 million in accordance with Accounting Standards Codification 330, "</w:t>
      </w:r>
      <w:r>
        <w:rPr>
          <w:rFonts w:ascii="Arial" w:cs="Arial" w:eastAsia="Arial" w:hAnsi="Arial"/>
          <w:sz w:val="16"/>
          <w:szCs w:val="16"/>
          <w:i w:val="1"/>
          <w:iCs w:val="1"/>
          <w:color w:val="auto"/>
        </w:rPr>
        <w:t>Inventory."</w:t>
      </w:r>
      <w:r>
        <w:rPr>
          <w:rFonts w:ascii="Arial" w:cs="Arial" w:eastAsia="Arial" w:hAnsi="Arial"/>
          <w:sz w:val="16"/>
          <w:szCs w:val="16"/>
          <w:color w:val="auto"/>
        </w:rPr>
        <w:t xml:space="preserve"> These transactions resulted in a total increase to cost of goods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$110.0 million in the first quarter of fiscal 2023. In October 2022, we renegotiated the terms of the agreement with the foundry supplier, which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extending the duration of the agreement through calendar year 2026. We believe that the amended agreement more closely aligns the contractual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commitments with our forecasted demand. As a result of the amended agreement, in the second quarter of fiscal 2023, we recorded an impairment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prepaid refundable deposit of approximately $38.0 million and additional reserves of approximately $5.0 million for inventory in excess of demand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forecasts, which reduced the estimated shortfall liability that was previously recorded by $43.0 million. In the third quarter of fiscal 2023, we recorded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to the prepaid refundable deposit of approximately $8.0 million and additional reserves of approximately $4.0 million for inventory in excess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demand forecasts, which reduced the estimated shortfall liability that was previously recorded by $12.0 million. There was no impact to the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operations in the second or third quarters of fiscal 2023. In performing these assessments, we considered Company-specific forecasts, legal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macroeconomic and geopolitical factors as well as market and industry trends. These factors include significant management judgment and estimates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that these assumptions are incorrect or there are further declines in management's demand forecasts, additional charges may be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periods.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ind w:left="33"/>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auto"/>
        </w:rPr>
        <w:t>THIRD QUARTER FISCAL 2023 FINANCIAL HIGHLIGHTS</w:t>
      </w:r>
    </w:p>
    <w:p>
      <w:pPr>
        <w:spacing w:after="0" w:line="243" w:lineRule="exact"/>
        <w:rPr>
          <w:sz w:val="20"/>
          <w:szCs w:val="20"/>
          <w:color w:val="auto"/>
        </w:rPr>
      </w:pPr>
    </w:p>
    <w:p>
      <w:pPr>
        <w:ind w:left="333" w:right="300" w:hanging="333"/>
        <w:spacing w:after="0" w:line="248" w:lineRule="auto"/>
        <w:tabs>
          <w:tab w:leader="none" w:pos="301"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for the third quarter of fiscal 2023 decreased 33.3% as compared to the third quarter of fiscal 2022, primarily due to ongoing global macroeconomic challenges which resulted in lower demand for 5G handsets and other consumer facing products, such as Wi-Fi. Demand was also negatively impacted by ongoing efforts to consume channel inventories.</w:t>
      </w:r>
    </w:p>
    <w:p>
      <w:pPr>
        <w:spacing w:after="0" w:line="222" w:lineRule="exact"/>
        <w:rPr>
          <w:rFonts w:ascii="Arial" w:cs="Arial" w:eastAsia="Arial" w:hAnsi="Arial"/>
          <w:sz w:val="18"/>
          <w:szCs w:val="18"/>
          <w:color w:val="auto"/>
        </w:rPr>
      </w:pPr>
    </w:p>
    <w:p>
      <w:pPr>
        <w:ind w:left="333" w:hanging="333"/>
        <w:spacing w:after="0" w:line="286"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Gross margin for the third quarter of fiscal 2023 decreased to 36.1% as compared to 49.2% for the third quarter of fiscal 2022, primarily due to factory underutilization costs resulting from lower production levels, as well as inventory charges related to demand fluctuations and a quality issue from a third-party supplier. These decreases to gross margin were partially offset by favorable changes in product mix.</w:t>
      </w:r>
    </w:p>
    <w:p>
      <w:pPr>
        <w:spacing w:after="0" w:line="192" w:lineRule="exact"/>
        <w:rPr>
          <w:rFonts w:ascii="Arial" w:cs="Arial" w:eastAsia="Arial" w:hAnsi="Arial"/>
          <w:sz w:val="17"/>
          <w:szCs w:val="17"/>
          <w:color w:val="auto"/>
        </w:rPr>
      </w:pPr>
    </w:p>
    <w:p>
      <w:pPr>
        <w:ind w:left="333" w:right="20" w:hanging="333"/>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was $8.7 million for the third quarter of fiscal 2023 as compared to $296.0 million for the third quarter of fiscal 2022. This decrease was primarily due to lower revenue and lower gross margin.</w:t>
      </w:r>
    </w:p>
    <w:p>
      <w:pPr>
        <w:spacing w:after="0" w:line="197" w:lineRule="exact"/>
        <w:rPr>
          <w:rFonts w:ascii="Arial" w:cs="Arial" w:eastAsia="Arial" w:hAnsi="Arial"/>
          <w:sz w:val="18"/>
          <w:szCs w:val="18"/>
          <w:color w:val="auto"/>
        </w:rPr>
      </w:pPr>
    </w:p>
    <w:p>
      <w:pPr>
        <w:ind w:left="333" w:right="360" w:hanging="333"/>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per share was $0.16 for the third quarter of fiscal 2023 as compared to net income per diluted share of $1.95 for the third quarter of fiscal 2022.</w:t>
      </w:r>
    </w:p>
    <w:p>
      <w:pPr>
        <w:spacing w:after="0" w:line="197" w:lineRule="exact"/>
        <w:rPr>
          <w:rFonts w:ascii="Arial" w:cs="Arial" w:eastAsia="Arial" w:hAnsi="Arial"/>
          <w:sz w:val="18"/>
          <w:szCs w:val="18"/>
          <w:color w:val="auto"/>
        </w:rPr>
      </w:pPr>
    </w:p>
    <w:p>
      <w:pPr>
        <w:ind w:left="313" w:hanging="313"/>
        <w:spacing w:after="0"/>
        <w:tabs>
          <w:tab w:leader="none" w:pos="313"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 expenditures were $34.4 million for the third quarter of fiscal 2023 as compared to $50.5 million for the third quarter of fiscal 2022.</w:t>
      </w:r>
    </w:p>
    <w:p>
      <w:pPr>
        <w:spacing w:after="0" w:line="263" w:lineRule="exact"/>
        <w:rPr>
          <w:rFonts w:ascii="Arial" w:cs="Arial" w:eastAsia="Arial" w:hAnsi="Arial"/>
          <w:sz w:val="17"/>
          <w:szCs w:val="17"/>
          <w:color w:val="auto"/>
        </w:rPr>
      </w:pPr>
    </w:p>
    <w:p>
      <w:pPr>
        <w:ind w:left="313" w:hanging="313"/>
        <w:spacing w:after="0"/>
        <w:tabs>
          <w:tab w:leader="none" w:pos="313"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third quarter of fiscal 2023, we repurchased approximately 2.2 million shares of our common stock for approximately $201.6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2"/>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3"/>
          </w:cols>
          <w:pgMar w:left="287" w:top="121" w:right="4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summary of our results of operations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2022</w:t>
            </w:r>
          </w:p>
        </w:tc>
        <w:tc>
          <w:tcPr>
            <w:tcW w:w="12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2022</w:t>
            </w:r>
          </w:p>
        </w:tc>
        <w:tc>
          <w:tcPr>
            <w:tcW w:w="12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000" w:type="dxa"/>
            <w:vAlign w:val="bottom"/>
          </w:tcPr>
          <w:p>
            <w:pPr>
              <w:jc w:val="center"/>
              <w:ind w:right="114"/>
              <w:spacing w:after="0" w:line="129"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7"/>
                <w:szCs w:val="17"/>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743,281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1,113,957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(370,676)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475,230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565,864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(90,634)</w:t>
            </w:r>
          </w:p>
        </w:tc>
        <w:tc>
          <w:tcPr>
            <w:tcW w:w="1440" w:type="dxa"/>
            <w:vAlign w:val="bottom"/>
            <w:tcBorders>
              <w:bottom w:val="single" w:sz="8" w:color="CCEEFF"/>
            </w:tcBorders>
            <w:gridSpan w:val="2"/>
          </w:tcPr>
          <w:p>
            <w:pPr>
              <w:jc w:val="right"/>
              <w:ind w:right="10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268,051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548,093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(280,042)</w:t>
            </w:r>
          </w:p>
        </w:tc>
        <w:tc>
          <w:tcPr>
            <w:tcW w:w="1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149,472</w:t>
            </w:r>
          </w:p>
        </w:tc>
        <w:tc>
          <w:tcPr>
            <w:tcW w:w="1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154,435</w:t>
            </w:r>
          </w:p>
        </w:tc>
        <w:tc>
          <w:tcPr>
            <w:tcW w:w="10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(4,963)</w:t>
            </w:r>
          </w:p>
        </w:tc>
        <w:tc>
          <w:tcPr>
            <w:tcW w:w="1440" w:type="dxa"/>
            <w:vAlign w:val="bottom"/>
            <w:gridSpan w:val="2"/>
          </w:tcPr>
          <w:p>
            <w:pPr>
              <w:jc w:val="right"/>
              <w:ind w:right="10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1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17,936</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296,010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(287,281)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2022</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of Revenue</w:t>
            </w: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2022</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of Revenue</w:t>
            </w:r>
          </w:p>
        </w:tc>
        <w:tc>
          <w:tcPr>
            <w:tcW w:w="200" w:type="dxa"/>
            <w:vAlign w:val="bottom"/>
          </w:tcPr>
          <w:p>
            <w:pPr>
              <w:spacing w:after="0"/>
              <w:rPr>
                <w:sz w:val="11"/>
                <w:szCs w:val="11"/>
                <w:color w:val="auto"/>
              </w:rPr>
            </w:pPr>
          </w:p>
        </w:tc>
        <w:tc>
          <w:tcPr>
            <w:tcW w:w="1000" w:type="dxa"/>
            <w:vAlign w:val="bottom"/>
          </w:tcPr>
          <w:p>
            <w:pPr>
              <w:jc w:val="center"/>
              <w:ind w:right="114"/>
              <w:spacing w:after="0" w:line="129"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2,936,696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3,479,556</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(542,860)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1,754,468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1,763,727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(9,259)</w:t>
            </w:r>
          </w:p>
        </w:tc>
        <w:tc>
          <w:tcPr>
            <w:tcW w:w="1440" w:type="dxa"/>
            <w:vAlign w:val="bottom"/>
            <w:tcBorders>
              <w:bottom w:val="single" w:sz="8" w:color="CCEEFF"/>
            </w:tcBorders>
            <w:gridSpan w:val="2"/>
          </w:tcPr>
          <w:p>
            <w:pPr>
              <w:jc w:val="right"/>
              <w:ind w:right="10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1,715,829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(533,601)</w:t>
            </w:r>
          </w:p>
        </w:tc>
        <w:tc>
          <w:tcPr>
            <w:tcW w:w="1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486,204</w:t>
            </w:r>
          </w:p>
        </w:tc>
        <w:tc>
          <w:tcPr>
            <w:tcW w:w="1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464,891</w:t>
            </w:r>
          </w:p>
        </w:tc>
        <w:tc>
          <w:tcPr>
            <w:tcW w:w="10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21,313</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275,836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265,791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18,363</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372,150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955,472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(583,322)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Revenue decreased for the three and nine months ended December 31, 2022, compared to the three and nine months ended January 1, 2022, primarily due to ongoing global macroeconomic challenges (including the measures taken in China to control the COVID-19 pandemic, the conflict in Ukraine and the negative impact of higher inflation on consumer spending) which resulted in lower demand for 5G handsets and other consumer facing products, such as Wi-Fi. Demand was also negatively impacted by ongoing efforts to consume channel inventories. The decreased revenue for the nine months ended December 31, 2022, compared to the nine months ended January 1, 2022, was partially offset by content gains in mass-tier handsets and higher demand for our defense and silicon carbide ("SiC")-based power management products.</w:t>
      </w:r>
    </w:p>
    <w:p>
      <w:pPr>
        <w:spacing w:after="0" w:line="20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Gross margin decreased for the three months ended December 31, 2022, compared to the three months ended January 1, 2022, primarily due to factory underutilization costs resulting from lower production levels, as well as inventory charges related to demand fluctuations and a quality issue from a third-party supplier. These decreases to gross margin were partially offset by favorable changes in product mix.</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margin decreased for the nine months ended December 31, 2022, compared to the nine months ended January 1, 2022, primarily due to charges recorded in the first quarter of fiscal 2023 associated with a long-term capacity reservation agreement, factory underutilization costs resulting from lower production levels, as well as inventory charges related to demand fluctuations and quality issues from third-party suppliers. These decreases to gross margin were partially offset by favorable changes in product mix.</w:t>
      </w:r>
    </w:p>
    <w:p>
      <w:pPr>
        <w:spacing w:after="0" w:line="21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Operating expenses increased for the three months ended December 31, 2022, compared to the three months ended January 1, 2022, primarily due to restructuring charges (see Note 10 of the Notes to Condensed Consolidated Financial Statements for additional information), partially offset by lower employee-related costs.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Operating expenses increased for the nine months ended December 31, 2022, compared to the nine months ended January 1, 2022, primarily due to employee-related costs and restructuring charges. Travel expenses also increased during the nine months ended December 31, 2022, as travel restrictions and our policies originally implemented in response to the COVID-19 pandemic have eased.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Analog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00" w:type="dxa"/>
            <w:vAlign w:val="bottom"/>
          </w:tcPr>
          <w:p>
            <w:pPr>
              <w:spacing w:after="0"/>
              <w:rPr>
                <w:sz w:val="11"/>
                <w:szCs w:val="11"/>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1"/>
                <w:szCs w:val="11"/>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January 1, 2022</w:t>
            </w:r>
          </w:p>
        </w:tc>
        <w:tc>
          <w:tcPr>
            <w:tcW w:w="50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Decrease</w:t>
            </w: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9"/>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155,011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181,876</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center"/>
              <w:ind w:left="316"/>
              <w:spacing w:after="0"/>
              <w:rPr>
                <w:sz w:val="20"/>
                <w:szCs w:val="20"/>
                <w:color w:val="auto"/>
              </w:rPr>
            </w:pPr>
            <w:r>
              <w:rPr>
                <w:rFonts w:ascii="Arial" w:cs="Arial" w:eastAsia="Arial" w:hAnsi="Arial"/>
                <w:sz w:val="18"/>
                <w:szCs w:val="18"/>
                <w:color w:val="auto"/>
                <w:w w:val="89"/>
              </w:rPr>
              <w:t>(26,865)</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5"/>
              </w:rPr>
              <w:t>(14.8)%</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29,836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37"/>
              <w:spacing w:after="0"/>
              <w:rPr>
                <w:sz w:val="20"/>
                <w:szCs w:val="20"/>
                <w:color w:val="auto"/>
              </w:rPr>
            </w:pPr>
            <w:r>
              <w:rPr>
                <w:rFonts w:ascii="Arial" w:cs="Arial" w:eastAsia="Arial" w:hAnsi="Arial"/>
                <w:sz w:val="18"/>
                <w:szCs w:val="18"/>
                <w:color w:val="auto"/>
              </w:rPr>
              <w:t>56,951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center"/>
              <w:ind w:left="316"/>
              <w:spacing w:after="0"/>
              <w:rPr>
                <w:sz w:val="20"/>
                <w:szCs w:val="20"/>
                <w:color w:val="auto"/>
              </w:rPr>
            </w:pPr>
            <w:r>
              <w:rPr>
                <w:rFonts w:ascii="Arial" w:cs="Arial" w:eastAsia="Arial" w:hAnsi="Arial"/>
                <w:sz w:val="18"/>
                <w:szCs w:val="18"/>
                <w:color w:val="auto"/>
                <w:w w:val="89"/>
              </w:rPr>
              <w:t>(27,115)</w:t>
            </w:r>
          </w:p>
        </w:tc>
        <w:tc>
          <w:tcPr>
            <w:tcW w:w="100" w:type="dxa"/>
            <w:vAlign w:val="bottom"/>
          </w:tcPr>
          <w:p>
            <w:pPr>
              <w:spacing w:after="0"/>
              <w:rPr>
                <w:sz w:val="19"/>
                <w:szCs w:val="19"/>
                <w:color w:val="auto"/>
              </w:rPr>
            </w:pPr>
          </w:p>
        </w:tc>
        <w:tc>
          <w:tcPr>
            <w:tcW w:w="1740" w:type="dxa"/>
            <w:vAlign w:val="bottom"/>
          </w:tcPr>
          <w:p>
            <w:pPr>
              <w:ind w:left="11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center"/>
              <w:ind w:left="757"/>
              <w:spacing w:after="0"/>
              <w:rPr>
                <w:sz w:val="20"/>
                <w:szCs w:val="20"/>
                <w:color w:val="auto"/>
              </w:rPr>
            </w:pPr>
            <w:r>
              <w:rPr>
                <w:rFonts w:ascii="Arial" w:cs="Arial" w:eastAsia="Arial" w:hAnsi="Arial"/>
                <w:sz w:val="14"/>
                <w:szCs w:val="14"/>
                <w:b w:val="1"/>
                <w:bCs w:val="1"/>
                <w:color w:val="auto"/>
                <w:w w:val="93"/>
              </w:rPr>
              <w:t>Nine Months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00" w:type="dxa"/>
            <w:vAlign w:val="bottom"/>
          </w:tcPr>
          <w:p>
            <w:pPr>
              <w:spacing w:after="0"/>
              <w:rPr>
                <w:sz w:val="11"/>
                <w:szCs w:val="11"/>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1"/>
                <w:szCs w:val="11"/>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January 1, 2022</w:t>
            </w:r>
          </w:p>
        </w:tc>
        <w:tc>
          <w:tcPr>
            <w:tcW w:w="50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w:t>
            </w: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9"/>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594,094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496,842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0"/>
              </w:rPr>
              <w:t>97,252</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2"/>
              </w:rPr>
              <w:t>19.6 %</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181,102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37"/>
              <w:spacing w:after="0"/>
              <w:rPr>
                <w:sz w:val="20"/>
                <w:szCs w:val="20"/>
                <w:color w:val="auto"/>
              </w:rPr>
            </w:pPr>
            <w:r>
              <w:rPr>
                <w:rFonts w:ascii="Arial" w:cs="Arial" w:eastAsia="Arial" w:hAnsi="Arial"/>
                <w:sz w:val="18"/>
                <w:szCs w:val="18"/>
                <w:color w:val="auto"/>
              </w:rPr>
              <w:t>140,953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center"/>
              <w:ind w:left="336"/>
              <w:spacing w:after="0"/>
              <w:rPr>
                <w:sz w:val="20"/>
                <w:szCs w:val="20"/>
                <w:color w:val="auto"/>
              </w:rPr>
            </w:pPr>
            <w:r>
              <w:rPr>
                <w:rFonts w:ascii="Arial" w:cs="Arial" w:eastAsia="Arial" w:hAnsi="Arial"/>
                <w:sz w:val="18"/>
                <w:szCs w:val="18"/>
                <w:color w:val="auto"/>
                <w:w w:val="90"/>
              </w:rPr>
              <w:t>40,149</w:t>
            </w:r>
          </w:p>
        </w:tc>
        <w:tc>
          <w:tcPr>
            <w:tcW w:w="100" w:type="dxa"/>
            <w:vAlign w:val="bottom"/>
          </w:tcPr>
          <w:p>
            <w:pPr>
              <w:spacing w:after="0"/>
              <w:rPr>
                <w:sz w:val="19"/>
                <w:szCs w:val="19"/>
                <w:color w:val="auto"/>
              </w:rPr>
            </w:pPr>
          </w:p>
        </w:tc>
        <w:tc>
          <w:tcPr>
            <w:tcW w:w="1740" w:type="dxa"/>
            <w:vAlign w:val="bottom"/>
          </w:tcPr>
          <w:p>
            <w:pPr>
              <w:ind w:left="12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HPA revenue decreased for the three months ended December 31, 2022, compared to the three months ended January 1, 2022, primarily due to a decrease in demand for base station products and power products supporting solid-state drives and power tools, driven by ongoing efforts to consume channel inventories. These decreases were partially offset by higher demand for our SiC-based power management products.</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HPA revenue increased for the nine months ended December 31, 2022, compared to the nine months ended January 1, 2022, primarily due to higher demand for our defense, SiC-based power management and base station products. These increases were partially offset by a decrease in demand for power products supporting solid-state drives and power tools, driven by ongoing efforts to consume channel inventories.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HPA operating income decreased for the three months ended December 31, 2022, compared to the three months ended January 1, 2022, primarily due to the effects of decreased revenue, including factory underutilization.</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HPA operating income increased for the nine months ended December 31, 2022, compared to the nine months ended January 1, 2022, primarily due to increased revenue and lower inventory charges, partially offset by factory underutilization.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and Sensors Group</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80" w:type="dxa"/>
            <w:vAlign w:val="bottom"/>
            <w:gridSpan w:val="2"/>
          </w:tcPr>
          <w:p>
            <w:pPr>
              <w:ind w:left="106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40" w:type="dxa"/>
            <w:vAlign w:val="bottom"/>
            <w:vMerge w:val="restart"/>
          </w:tcPr>
          <w:p>
            <w:pPr>
              <w:spacing w:after="0"/>
              <w:rPr>
                <w:sz w:val="20"/>
                <w:szCs w:val="20"/>
                <w:color w:val="auto"/>
              </w:rPr>
            </w:pPr>
            <w:r>
              <w:rPr>
                <w:rFonts w:ascii="Arial" w:cs="Arial" w:eastAsia="Arial" w:hAnsi="Arial"/>
                <w:sz w:val="14"/>
                <w:szCs w:val="14"/>
                <w:color w:val="auto"/>
              </w:rPr>
              <w:t>(In thousands, except percentages)</w:t>
            </w:r>
          </w:p>
        </w:tc>
        <w:tc>
          <w:tcPr>
            <w:tcW w:w="18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December 31, 2022</w:t>
            </w:r>
          </w:p>
        </w:tc>
        <w:tc>
          <w:tcPr>
            <w:tcW w:w="18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January 1, 2022</w:t>
            </w:r>
          </w:p>
        </w:tc>
        <w:tc>
          <w:tcPr>
            <w:tcW w:w="16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Decrease</w:t>
            </w:r>
          </w:p>
        </w:tc>
        <w:tc>
          <w:tcPr>
            <w:tcW w:w="1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96,810</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157,578</w:t>
            </w: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(60,768)</w:t>
            </w:r>
          </w:p>
        </w:tc>
        <w:tc>
          <w:tcPr>
            <w:tcW w:w="12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200" w:type="dxa"/>
            <w:vAlign w:val="bottom"/>
          </w:tcPr>
          <w:p>
            <w:pPr>
              <w:spacing w:after="0"/>
              <w:rPr>
                <w:sz w:val="19"/>
                <w:szCs w:val="19"/>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(31,145)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21,109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(52,254)</w:t>
            </w:r>
          </w:p>
        </w:tc>
        <w:tc>
          <w:tcPr>
            <w:tcW w:w="120" w:type="dxa"/>
            <w:vAlign w:val="bottom"/>
          </w:tcPr>
          <w:p>
            <w:pPr>
              <w:spacing w:after="0"/>
              <w:rPr>
                <w:sz w:val="19"/>
                <w:szCs w:val="19"/>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income as a % of revenue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00" w:type="dxa"/>
            <w:vAlign w:val="bottom"/>
          </w:tcPr>
          <w:p>
            <w:pPr>
              <w:spacing w:after="0"/>
              <w:rPr>
                <w:sz w:val="11"/>
                <w:szCs w:val="11"/>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1"/>
                <w:szCs w:val="11"/>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January 1, 2022</w:t>
            </w:r>
          </w:p>
        </w:tc>
        <w:tc>
          <w:tcPr>
            <w:tcW w:w="5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Decrease</w:t>
            </w:r>
          </w:p>
        </w:tc>
        <w:tc>
          <w:tcPr>
            <w:tcW w:w="1720" w:type="dxa"/>
            <w:vAlign w:val="bottom"/>
          </w:tcPr>
          <w:p>
            <w:pPr>
              <w:jc w:val="right"/>
              <w:ind w:right="436"/>
              <w:spacing w:after="0" w:line="12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3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720" w:type="dxa"/>
            <w:vAlign w:val="bottom"/>
          </w:tcPr>
          <w:p>
            <w:pPr>
              <w:jc w:val="right"/>
              <w:ind w:right="5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392,454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525,190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(132,736)</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200" w:type="dxa"/>
            <w:vAlign w:val="bottom"/>
          </w:tcPr>
          <w:p>
            <w:pPr>
              <w:spacing w:after="0"/>
              <w:rPr>
                <w:sz w:val="19"/>
                <w:szCs w:val="19"/>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(29,926)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77,287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(107,213)</w:t>
            </w:r>
          </w:p>
        </w:tc>
        <w:tc>
          <w:tcPr>
            <w:tcW w:w="120" w:type="dxa"/>
            <w:vAlign w:val="bottom"/>
          </w:tcPr>
          <w:p>
            <w:pPr>
              <w:spacing w:after="0"/>
              <w:rPr>
                <w:sz w:val="19"/>
                <w:szCs w:val="19"/>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income as a % of revenue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CSG revenue decreased for the three and nine months ended December 31, 2022, compared to the three and nine months ended January 1, 2022, primarily due to a decrease in end market demand for Wi-Fi components in addition to ongoing efforts to consume channel inventories.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CSG operating income decreased for the three and nine months ended December 31, 2022, compared to the three and nine months ended January 1, 2022, primarily due to decreased revenue, factory underutilization and higher inventory charges.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Cellular Group</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500" w:type="dxa"/>
            <w:vAlign w:val="bottom"/>
            <w:gridSpan w:val="2"/>
          </w:tcPr>
          <w:p>
            <w:pPr>
              <w:ind w:left="106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20" w:type="dxa"/>
            <w:vAlign w:val="bottom"/>
            <w:vMerge w:val="restart"/>
          </w:tcPr>
          <w:p>
            <w:pPr>
              <w:spacing w:after="0"/>
              <w:rPr>
                <w:sz w:val="20"/>
                <w:szCs w:val="20"/>
                <w:color w:val="auto"/>
              </w:rPr>
            </w:pPr>
            <w:r>
              <w:rPr>
                <w:rFonts w:ascii="Arial" w:cs="Arial" w:eastAsia="Arial" w:hAnsi="Arial"/>
                <w:sz w:val="14"/>
                <w:szCs w:val="14"/>
                <w:color w:val="auto"/>
              </w:rPr>
              <w:t>(In thousands, except percentages)</w:t>
            </w:r>
          </w:p>
        </w:tc>
        <w:tc>
          <w:tcPr>
            <w:tcW w:w="18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December 31, 2022</w:t>
            </w:r>
          </w:p>
        </w:tc>
        <w:tc>
          <w:tcPr>
            <w:tcW w:w="18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January 1, 2022</w:t>
            </w:r>
          </w:p>
        </w:tc>
        <w:tc>
          <w:tcPr>
            <w:tcW w:w="16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Decrease</w:t>
            </w:r>
          </w:p>
        </w:tc>
        <w:tc>
          <w:tcPr>
            <w:tcW w:w="1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392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491,460</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774,503</w:t>
            </w: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(283,043)</w:t>
            </w:r>
          </w:p>
        </w:tc>
        <w:tc>
          <w:tcPr>
            <w:tcW w:w="100" w:type="dxa"/>
            <w:vAlign w:val="bottom"/>
            <w:tcBorders>
              <w:top w:val="single" w:sz="8" w:color="CCEEFF"/>
            </w:tcBorders>
            <w:shd w:val="clear" w:color="auto" w:fill="CCEEFF"/>
          </w:tcPr>
          <w:p>
            <w:pPr>
              <w:spacing w:after="0"/>
              <w:rPr>
                <w:sz w:val="20"/>
                <w:szCs w:val="20"/>
                <w:color w:val="auto"/>
              </w:rPr>
            </w:pPr>
          </w:p>
        </w:tc>
        <w:tc>
          <w:tcPr>
            <w:tcW w:w="174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5"/>
              </w:rPr>
              <w:t>(36.5)%</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99,862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293,948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(194,086)</w:t>
            </w:r>
          </w:p>
        </w:tc>
        <w:tc>
          <w:tcPr>
            <w:tcW w:w="100" w:type="dxa"/>
            <w:vAlign w:val="bottom"/>
          </w:tcPr>
          <w:p>
            <w:pPr>
              <w:spacing w:after="0"/>
              <w:rPr>
                <w:sz w:val="19"/>
                <w:szCs w:val="19"/>
                <w:color w:val="auto"/>
              </w:rPr>
            </w:pPr>
          </w:p>
        </w:tc>
        <w:tc>
          <w:tcPr>
            <w:tcW w:w="1740" w:type="dxa"/>
            <w:vAlign w:val="bottom"/>
          </w:tcPr>
          <w:p>
            <w:pPr>
              <w:ind w:left="112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00" w:type="dxa"/>
            <w:vAlign w:val="bottom"/>
          </w:tcPr>
          <w:p>
            <w:pPr>
              <w:spacing w:after="0"/>
              <w:rPr>
                <w:sz w:val="11"/>
                <w:szCs w:val="11"/>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1"/>
                <w:szCs w:val="11"/>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January 1, 2022</w:t>
            </w:r>
          </w:p>
        </w:tc>
        <w:tc>
          <w:tcPr>
            <w:tcW w:w="50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Decrease</w:t>
            </w:r>
          </w:p>
        </w:tc>
        <w:tc>
          <w:tcPr>
            <w:tcW w:w="1740" w:type="dxa"/>
            <w:vAlign w:val="bottom"/>
          </w:tcPr>
          <w:p>
            <w:pPr>
              <w:ind w:left="520"/>
              <w:spacing w:after="0" w:line="12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39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1,950,148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2,457,524</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(507,376)</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5"/>
              </w:rPr>
              <w:t>(20.6)%</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569,439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956,215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(386,776)</w:t>
            </w:r>
          </w:p>
        </w:tc>
        <w:tc>
          <w:tcPr>
            <w:tcW w:w="100" w:type="dxa"/>
            <w:vAlign w:val="bottom"/>
          </w:tcPr>
          <w:p>
            <w:pPr>
              <w:spacing w:after="0"/>
              <w:rPr>
                <w:sz w:val="19"/>
                <w:szCs w:val="19"/>
                <w:color w:val="auto"/>
              </w:rPr>
            </w:pPr>
          </w:p>
        </w:tc>
        <w:tc>
          <w:tcPr>
            <w:tcW w:w="1740" w:type="dxa"/>
            <w:vAlign w:val="bottom"/>
          </w:tcPr>
          <w:p>
            <w:pPr>
              <w:ind w:left="11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ACG revenue decreased for the three and nine months ended December 31, 2022, compared to the three and nine months ended January 1, 2022, primarily due to ongoing global macroeconomic challenges (including the measures taken in China to control the COVID-19 pandemic, the conflict in Ukraine and the negative impact of higher inflation on consumer spending) which resulted in lower demand for 5G handsets. Demand for ACG products was also negatively impacted by ongoing efforts to consume channel inventories. The decreased revenue for the nine months ended December 31, 2022, compared to the nine months ended January 1, 2022, was partially offset by content gains in mass-tier handsets.</w:t>
      </w:r>
    </w:p>
    <w:p>
      <w:pPr>
        <w:spacing w:after="0" w:line="2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ACG operating income decreased for the three and nine months ended December 31, 2022, compared to the three and nine months ended January 1, 2022, primarily due to factory underutilization costs resulting from lower production levels, as well as inventory charges related to demand fluctuations and quality issues from third-party suppliers. These decreases to operating income were partially offset by favorable changes in customer mix. Operating expenses increased for the nine months ended December 31, 2022, compared to the nine months ended January 1, 2022, primarily due to employee-related costs.</w:t>
      </w:r>
    </w:p>
    <w:p>
      <w:pPr>
        <w:spacing w:after="0" w:line="21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Refer to Note 11 of the Notes to Condensed Consolidated Financial Statements for a reconciliation of reportable segment operating income to the consolidated operating income for the three and nine months ended December 31, 2022 and January 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OTHER INCOME (EXPENSE) AND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180" w:type="dxa"/>
            <w:vAlign w:val="bottom"/>
            <w:gridSpan w:val="4"/>
          </w:tcPr>
          <w:p>
            <w:pPr>
              <w:jc w:val="right"/>
              <w:ind w:right="9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January 1, 2022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January 1, 2022</w:t>
            </w:r>
          </w:p>
        </w:tc>
        <w:tc>
          <w:tcPr>
            <w:tcW w:w="0" w:type="dxa"/>
            <w:vAlign w:val="bottom"/>
          </w:tcPr>
          <w:p>
            <w:pPr>
              <w:spacing w:after="0"/>
              <w:rPr>
                <w:sz w:val="1"/>
                <w:szCs w:val="1"/>
                <w:color w:val="auto"/>
              </w:rPr>
            </w:pPr>
          </w:p>
        </w:tc>
      </w:tr>
      <w:tr>
        <w:trPr>
          <w:trHeight w:val="230"/>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24,077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(112,537)</w:t>
            </w:r>
          </w:p>
        </w:tc>
        <w:tc>
          <w:tcPr>
            <w:tcW w:w="0" w:type="dxa"/>
            <w:vAlign w:val="bottom"/>
          </w:tcPr>
          <w:p>
            <w:pPr>
              <w:spacing w:after="0"/>
              <w:rPr>
                <w:sz w:val="1"/>
                <w:szCs w:val="1"/>
                <w:color w:val="auto"/>
              </w:rPr>
            </w:pPr>
          </w:p>
        </w:tc>
      </w:tr>
      <w:tr>
        <w:trPr>
          <w:trHeight w:val="1344"/>
        </w:trPr>
        <w:tc>
          <w:tcPr>
            <w:tcW w:w="4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the three and nine months ended December 31, 2022, we recorded interest expense primarily related to our 1.750% senior notes due 2024 (the "2024 Notes"), our 4.375% senior notes due 2029 (the "2029 Notes") and our 3.375% senior notes due 2031 (the "2031 Notes"). During the three and nine months ended January 1, 2022, we recorded interest expense primarily related to our 2029 Notes and our 2031 Notes. Refer to Note 6 of the Notes to Condensed Consolidated Financial Statements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Other income is primarily attributed to interest income as well as gains (losses) from our share of investments in limited partnerships and gains (losses) from other investments. Refer to Note 5 of the Notes to Condensed Consolidated Financial Statements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three and nine months ended December 31, 2022, we recorded income tax expense of $13.2 million and $82.1 million, respectively, comprised primarily of tax expense related to international operations generating pre-tax book income and the impact of global intangible low tax income, partially offset by tax benefits related to domestic and international operations generating pre-tax book losses and domestic tax credits and discrete tax items recorded during the period. The discrete tax expense for the three months ended December 31, 2022 primarily resulted from foreign currency gains recognized for tax purposes. The discrete tax benefit for the nine months ended December 31, 2022 primarily resulted from certain charges associated with a long-term capacity reservation agreement (refer to Note 8 of the Notes to Condensed Consolidated Financial Statements for further information), partially offset by foreign currency gains recognized for tax purposes.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three and nine months ended January 1, 2022, we recorded income tax expense of $67.0 million and $112.5 million, respectively, comprised primarily of tax expense related to domestic and international operations generating pre-tax book income and discrete charges recorded during the period, partially offset by tax benefits related to international operations generating pre-tax book losses and domestic tax credits. The discrete tax expense for the three and nine months ended January 1, 2022 primarily related to the revaluation of deferred tax assets due to the extension of the Company’s tax holiday in Singapore through December 31, 2031. The discrete tax expense for the nine months ended January 1, 2022 was partially offset by the recognition of previously unrecognized tax benefits due to the expiration of the statute of limitations, stock-based compensation deductions and net tax benefits associated with other non-recurring restructuring activities, including a discrete charge associated with the intercompany restructuring of the NextInput, Inc. ("NextInput") intellectual property.</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Cash generated by operations is our primary source of liquidity. As of December 31, 2022, we had working capital of approximately $1,644.1 million, including $918.8 million in cash and cash equivalents, compared to working capital of approximately $1,774.7 million, including $972.6 million in cash and cash equivalents as of April 2, 2022.</w:t>
      </w:r>
    </w:p>
    <w:p>
      <w:pPr>
        <w:spacing w:after="0" w:line="21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$918.8 million of total cash and cash equivalents as of December 31, 2022, includes approximately $755.1 million held by our foreign subsidiaries, of which $585.0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During the nine months ended December 31, 2022, we repurchased approximately 7.2 million shares of our common stock for approximately $711.7 million (including transaction costs) under the prior and current share repurchase programs. As of December 31, 2022, approximately $1,855.0 million remains available for repurchases under the current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Net cash provided by operating activities was $777.8 million and $703.4 million for the nine months ended December 31, 2022 and January 1, 2022, respectively. This increase in cash provided by operating activities was primarily due to changes in working capital, partially offset by decreased profitability. In the nine months ended January 1, 2022, cash provided by operating activities was impacted by the increase in prepaid expenses and other assets primarily due to prepayments of certain fees and deposits associated with a long-term capacity reservation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Net cash used in investing activities was $117.4 million and $552.2 million for the nine months ended December 31, 2022 and January 1, 2022, respectively. There were no acquisitions during the nine months ended December 31, 2022, and we acquired NextInput and United Silicon Carbide, Inc. during the nine months ended January 1, 2022. Refer to Note 3 of the Notes to Condensed Consolidated Financial Statements for additional information regarding our business acquisitions.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Net cash used in financing activities was $714.0 million and $558.5 million for the nine months ended December 31, 2022 and January 1, 2022, respectively, primarily due to our stock repurchases and debt obligation activity. Refer to Notes 6 and 7 of the Notes to Condensed Consolidated Financial Statements for additional information regarding our long-term debt and stock repurchases,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u w:val="single" w:color="auto"/>
          <w:color w:val="auto"/>
        </w:rPr>
        <w:t>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29, 2020, we and certain of our U.S. subsidiaries (the "Guarantors") entered into a five-year unsecured senior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pursuant to a credit agreement (as amended, restated, modified or otherwise supplemented from time to time, the "Credit Agreement") with Bank of America, N.A., acting as administrative agent, and a syndicate of lenders. The Credit Agreement amended and restated our previous credit agreement dated as of December 5, 2017. The Credit Agreement includes a senior revolving line of credit (the "Revolving Facility") of up to $300.0 million and included a senior term loan of $200.0 million (collectively, the "Credit Facility") which was fully repaid in fiscal 2022. The Revolving Facility includes a $25.0 million sublimit for the issuance of standby letters of credit and a $10.0 million sublimit for swing line loans. The Credit Facility is available to finance working capital, capital expenditures and other general corporate purposes.</w:t>
      </w:r>
    </w:p>
    <w:p>
      <w:pPr>
        <w:spacing w:after="0" w:line="20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Pursuant to the Credit Agreement, we may request one or more additional tranches of term loans or increases to the Revolving Facility, up to an aggregate of $500.0 million and subject to, among other things, securing additional funding commitments from the existing or new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December 31, 2022, there were no borrowings under the Revolving Facility.</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we must be in compliance in order to borrow funds and to avoid an event of default. As of December 31, 2022, we were in compliance with these covenants.</w:t>
      </w:r>
    </w:p>
    <w:p>
      <w:pPr>
        <w:spacing w:after="0" w:line="19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i w:val="1"/>
          <w:iCs w:val="1"/>
          <w:u w:val="single" w:color="auto"/>
          <w:color w:val="auto"/>
        </w:rPr>
        <w:t>2024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December 14, 2021, we issued $500.0 million aggregate principal amount of our 2024 Notes. Interest on the 2024 Notes is payable on June</w:t>
      </w:r>
      <w:r>
        <w:rPr>
          <w:rFonts w:ascii="Arial" w:cs="Arial" w:eastAsia="Arial" w:hAnsi="Arial"/>
          <w:sz w:val="16"/>
          <w:szCs w:val="16"/>
          <w:i w:val="1"/>
          <w:iCs w:val="1"/>
          <w:color w:val="auto"/>
        </w:rPr>
        <w:t xml:space="preserve"> </w:t>
      </w:r>
      <w:r>
        <w:rPr>
          <w:rFonts w:ascii="Arial" w:cs="Arial" w:eastAsia="Arial" w:hAnsi="Arial"/>
          <w:sz w:val="16"/>
          <w:szCs w:val="16"/>
          <w:color w:val="auto"/>
        </w:rPr>
        <w:t>15 and December 15 of each year at a rate of 1.750% per annum. The 2024 Notes will mature on December 15, 2024, unless earlier redeemed in accordance with their terms. The 2024 Notes are senior unsecured obligations of the Company and are guaranteed, jointly and severally, by the Guarantors.</w:t>
      </w:r>
    </w:p>
    <w:p>
      <w:pPr>
        <w:spacing w:after="0" w:line="1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u w:val="single" w:color="auto"/>
          <w:color w:val="auto"/>
        </w:rPr>
        <w:t>2029 Notes</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30, 2019, we issued $350.0 million aggregate principal amount of our senior notes due 2029 (the "Initial 2029 Notes"). On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 2019, and June 11, 2020, we issued an additional $200.0 million and $300.0 million, respectively, aggregate principal amount of such notes (together with the Initial 2029 Notes, the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the Guarantors.</w:t>
      </w:r>
    </w:p>
    <w:p>
      <w:pPr>
        <w:spacing w:after="0" w:line="203"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i w:val="1"/>
          <w:iCs w:val="1"/>
          <w:u w:val="single" w:color="auto"/>
          <w:color w:val="auto"/>
        </w:rPr>
        <w:t>2031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September 29, 2020, we issued $700.0 million aggregate principal amount of our 2031 Notes. Interest on the 2031 Notes is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long-term debt, refer to Note 6 of the Notes to Condensed Consolidated Financial Statements.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2022, we had capital commitments of approximately $84.9 million primarily for expanding capability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products, equipment and facility upgrades and cost savings initiatives.</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u w:val="single" w:color="auto"/>
          <w:color w:val="auto"/>
        </w:rPr>
        <w:t>Purchase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Refer to Note 8 of the Notes to Condensed Consolidated Financial Statements for additional information regarding our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projected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acceptance of and demand for our products, acquisition opportunities, technological advances and our relationships with suppliers and customers. Based on current and projected levels of cash flows from operations, coupled with our existing cash, cash equivalents and our Credit Facility, we believe we have sufficient liquidity to meet both our short-term and long-term cash requirements. However, if there is a significant decrease in demand for our products, or if our demand grows faster than we anticipate,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any additional debt or equity financing, if required, will be available on favorable terms, if at all.</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We</w:t>
      </w:r>
      <w:r>
        <w:rPr>
          <w:rFonts w:ascii="Arial" w:cs="Arial" w:eastAsia="Arial" w:hAnsi="Arial"/>
          <w:sz w:val="18"/>
          <w:szCs w:val="18"/>
          <w:i w:val="1"/>
          <w:iCs w:val="1"/>
          <w:color w:val="auto"/>
        </w:rPr>
        <w:t xml:space="preserve"> </w:t>
      </w:r>
      <w:r>
        <w:rPr>
          <w:rFonts w:ascii="Arial" w:cs="Arial" w:eastAsia="Arial" w:hAnsi="Arial"/>
          <w:sz w:val="18"/>
          <w:szCs w:val="18"/>
          <w:color w:val="auto"/>
        </w:rPr>
        <w:t>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We believe the aggregate range of reasonably possible losses in excess of accrued liabilities, if any, associated with these unresolved legal matters is not material.</w:t>
      </w:r>
    </w:p>
    <w:p>
      <w:pPr>
        <w:spacing w:after="0" w:line="22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PARENT AND GUARANTOR FINANCIAL INFORMATION</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accordance with the indentures governing the 2024 Notes, the 2029 Notes and the 2031 Notes (together, the "Notes"), our obligations under the Notes are fully and unconditionally guaranteed on a joint and several unsecured basis by the Guarantors, 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presents summarized financial information for the Parent and the Guarantors on a combined basis as of and for the periods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Balance Sheets</w:t>
      </w:r>
    </w:p>
    <w:tbl>
      <w:tblPr>
        <w:tblLayout w:type="fixed"/>
        <w:tblInd w:w="0" w:type="dxa"/>
        <w:tblCellMar>
          <w:top w:w="0" w:type="dxa"/>
          <w:left w:w="0" w:type="dxa"/>
          <w:bottom w:w="0" w:type="dxa"/>
          <w:right w:w="0" w:type="dxa"/>
        </w:tblCellMar>
      </w:tblPr>
      <w:tr>
        <w:trPr>
          <w:trHeight w:val="191"/>
        </w:trPr>
        <w:tc>
          <w:tcPr>
            <w:tcW w:w="7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2, 2022</w:t>
            </w:r>
          </w:p>
        </w:tc>
      </w:tr>
      <w:tr>
        <w:trPr>
          <w:trHeight w:val="21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910,455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771,528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2,495,346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2,624,454</w:t>
            </w:r>
          </w:p>
        </w:tc>
      </w:tr>
      <w:tr>
        <w:trPr>
          <w:trHeight w:val="270"/>
        </w:trPr>
        <w:tc>
          <w:tcPr>
            <w:tcW w:w="7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216,933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241,674</w:t>
            </w:r>
          </w:p>
        </w:tc>
      </w:tr>
      <w:tr>
        <w:trPr>
          <w:trHeight w:val="229"/>
        </w:trPr>
        <w:tc>
          <w:tcPr>
            <w:tcW w:w="7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liabilities </w:t>
            </w:r>
            <w:r>
              <w:rPr>
                <w:rFonts w:ascii="Arial" w:cs="Arial" w:eastAsia="Arial" w:hAnsi="Arial"/>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2,634,501</w:t>
            </w:r>
          </w:p>
        </w:tc>
      </w:tr>
    </w:tbl>
    <w:p>
      <w:pPr>
        <w:spacing w:after="0" w:line="166"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net amounts due from Non-Guarantor subsidiaries of $391.4 million and $286.8 million as of December 31, 2022 and April 2, 2022, respectively.</w:t>
      </w:r>
    </w:p>
    <w:p>
      <w:pPr>
        <w:spacing w:after="0" w:line="22"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net amounts due to Non-Guarantor subsidiaries of $490.0 million and $433.5 million as of December 31, 2022 and April 2, 2022, respectively.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Summarized Statement of Operations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Nine Months Ended</w:t>
            </w:r>
          </w:p>
        </w:tc>
      </w:tr>
      <w:tr>
        <w:trPr>
          <w:trHeight w:val="19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December 31, 2022</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705,253</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11,800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(211,944)</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There have been no material changes to our market risk exposures during the third quarter of fiscal 2023. For a discussion of our exposure to market risk, refer to Item 7A, "Quantitative and Qualitative Disclosures About Market Risk," contained in Qorvo's Annual Report on Form 10-K for the fiscal year ended April 2,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than the risk factor set forth below, there have been no material changes to the risk factors identified in Part I, Item 1A., "Risk Factors" in Qorvo's Annual Report on Form 10-K for the fiscal year ended April 2, 2022.</w:t>
      </w:r>
    </w:p>
    <w:p>
      <w:pPr>
        <w:spacing w:after="0" w:line="1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subject to inventory risks and costs because we purchase materials and build our products based on forecasts provided by customers before receiving purchase orders for the products.</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order to ensure availability of our products for some of our largest end customers, we purchase materials and start manufacturing certain products in advance of receiving purchase orders based on forecasts provided by these customers. However, these forecasts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or may be lower than expected, purchasing materials and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example, amidst ongoing industry-wide supply constraints, we entered into a long-term capacity reservation agreement with a foundry supplier during the second quarter ended October 2, 2021. Under the agreement we were required to purchase, and the supplier was required to supply, a certain number of wafers for calendar years 2022 through 2025. In connection with this agreement, we paid a refundable deposit and if the purchase commitments per the agreement were not met, under certain circumstances the supplier could deduct the amount of the purchase shortfall from the prepaid refundable deposit at the end of each calendar year.</w:t>
      </w:r>
    </w:p>
    <w:p>
      <w:pPr>
        <w:spacing w:after="0" w:line="2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fiscal 2023, we have experienced unexpectedly weakened demand for 5G handsets in China and EMEA due to unprecedented disruption resulting from measures taken in China to control the COVID-19 pandemic and the conflict in Ukraine. As a result, we did not meet the minimum purchase commitments under this agreement, which resulted in the recognition of purchase shortfalls and an increase to our cost of goods sold in the first quarter of fiscal 2023.</w:t>
      </w:r>
    </w:p>
    <w:p>
      <w:pPr>
        <w:spacing w:after="0" w:line="21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October 2022, we renegotiated the terms of the agreement with the foundry supplier, which included extending the duration of the agreement through calendar year 2026. We believe that the amended agreement more closely aligns the contractual purchase commitments with our forecasted demand. To the extent that management’s assumptions pertaining to anticipated future demand are incorrect or there are further declines in management's demand forecasts, additional charges may be recorded in future periods, which would have a negative impact on our gross margin and other operating results.</w:t>
      </w:r>
    </w:p>
    <w:p>
      <w:pPr>
        <w:sectPr>
          <w:pgSz w:w="11900" w:h="16838" w:orient="portrait"/>
          <w:cols w:equalWidth="0" w:num="1">
            <w:col w:w="11200"/>
          </w:cols>
          <w:pgMar w:left="320" w:top="121" w:right="37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13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40" w:type="dxa"/>
            <w:vAlign w:val="bottom"/>
          </w:tcPr>
          <w:p>
            <w:pPr>
              <w:jc w:val="center"/>
              <w:ind w:left="63"/>
              <w:spacing w:after="0"/>
              <w:rPr>
                <w:sz w:val="20"/>
                <w:szCs w:val="20"/>
                <w:color w:val="auto"/>
              </w:rPr>
            </w:pPr>
            <w:r>
              <w:rPr>
                <w:rFonts w:ascii="Arial" w:cs="Arial" w:eastAsia="Arial" w:hAnsi="Arial"/>
                <w:sz w:val="16"/>
                <w:szCs w:val="16"/>
                <w:b w:val="1"/>
                <w:bCs w:val="1"/>
                <w:color w:val="auto"/>
                <w:w w:val="90"/>
              </w:rPr>
              <w:t>Total number of shares</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2420" w:type="dxa"/>
            <w:vAlign w:val="bottom"/>
            <w:vMerge w:val="restart"/>
          </w:tcPr>
          <w:p>
            <w:pPr>
              <w:jc w:val="center"/>
              <w:ind w:left="705"/>
              <w:spacing w:after="0"/>
              <w:rPr>
                <w:sz w:val="20"/>
                <w:szCs w:val="20"/>
                <w:color w:val="auto"/>
              </w:rPr>
            </w:pPr>
            <w:r>
              <w:rPr>
                <w:rFonts w:ascii="Arial" w:cs="Arial" w:eastAsia="Arial" w:hAnsi="Arial"/>
                <w:sz w:val="16"/>
                <w:szCs w:val="16"/>
                <w:b w:val="1"/>
                <w:bCs w:val="1"/>
                <w:color w:val="auto"/>
                <w:w w:val="92"/>
              </w:rPr>
              <w:t>Total number of</w:t>
            </w:r>
          </w:p>
        </w:tc>
        <w:tc>
          <w:tcPr>
            <w:tcW w:w="1560" w:type="dxa"/>
            <w:vAlign w:val="bottom"/>
          </w:tcPr>
          <w:p>
            <w:pPr>
              <w:spacing w:after="0"/>
              <w:rPr>
                <w:sz w:val="14"/>
                <w:szCs w:val="14"/>
                <w:color w:val="auto"/>
              </w:rPr>
            </w:pPr>
          </w:p>
        </w:tc>
        <w:tc>
          <w:tcPr>
            <w:tcW w:w="1740" w:type="dxa"/>
            <w:vAlign w:val="bottom"/>
          </w:tcPr>
          <w:p>
            <w:pPr>
              <w:jc w:val="center"/>
              <w:ind w:left="63"/>
              <w:spacing w:after="0" w:line="162" w:lineRule="exact"/>
              <w:rPr>
                <w:sz w:val="20"/>
                <w:szCs w:val="20"/>
                <w:color w:val="auto"/>
              </w:rPr>
            </w:pPr>
            <w:r>
              <w:rPr>
                <w:rFonts w:ascii="Arial" w:cs="Arial" w:eastAsia="Arial" w:hAnsi="Arial"/>
                <w:sz w:val="16"/>
                <w:szCs w:val="16"/>
                <w:b w:val="1"/>
                <w:bCs w:val="1"/>
                <w:color w:val="auto"/>
                <w:w w:val="88"/>
              </w:rPr>
              <w:t>purchased as part of</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Average price paid</w:t>
            </w:r>
          </w:p>
        </w:tc>
        <w:tc>
          <w:tcPr>
            <w:tcW w:w="1740" w:type="dxa"/>
            <w:vAlign w:val="bottom"/>
          </w:tcPr>
          <w:p>
            <w:pPr>
              <w:jc w:val="center"/>
              <w:ind w:left="63"/>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0" w:type="dxa"/>
            <w:vAlign w:val="bottom"/>
          </w:tcPr>
          <w:p>
            <w:pPr>
              <w:spacing w:after="0"/>
              <w:rPr>
                <w:sz w:val="1"/>
                <w:szCs w:val="1"/>
                <w:color w:val="auto"/>
              </w:rPr>
            </w:pPr>
          </w:p>
        </w:tc>
      </w:tr>
      <w:tr>
        <w:trPr>
          <w:trHeight w:val="162"/>
        </w:trPr>
        <w:tc>
          <w:tcPr>
            <w:tcW w:w="1380" w:type="dxa"/>
            <w:vAlign w:val="bottom"/>
            <w:vMerge w:val="restart"/>
          </w:tcPr>
          <w:p>
            <w:pPr>
              <w:spacing w:after="0"/>
              <w:rPr>
                <w:sz w:val="20"/>
                <w:szCs w:val="20"/>
                <w:color w:val="auto"/>
              </w:rPr>
            </w:pPr>
            <w:r>
              <w:rPr>
                <w:rFonts w:ascii="Arial" w:cs="Arial" w:eastAsia="Arial" w:hAnsi="Arial"/>
                <w:sz w:val="16"/>
                <w:szCs w:val="16"/>
                <w:b w:val="1"/>
                <w:bCs w:val="1"/>
                <w:color w:val="auto"/>
              </w:rPr>
              <w:t>Period</w:t>
            </w:r>
          </w:p>
        </w:tc>
        <w:tc>
          <w:tcPr>
            <w:tcW w:w="2420" w:type="dxa"/>
            <w:vAlign w:val="bottom"/>
          </w:tcPr>
          <w:p>
            <w:pPr>
              <w:jc w:val="center"/>
              <w:ind w:left="725"/>
              <w:spacing w:after="0" w:line="162" w:lineRule="exact"/>
              <w:rPr>
                <w:sz w:val="20"/>
                <w:szCs w:val="20"/>
                <w:color w:val="auto"/>
              </w:rPr>
            </w:pPr>
            <w:r>
              <w:rPr>
                <w:rFonts w:ascii="Arial" w:cs="Arial" w:eastAsia="Arial" w:hAnsi="Arial"/>
                <w:sz w:val="16"/>
                <w:szCs w:val="16"/>
                <w:b w:val="1"/>
                <w:bCs w:val="1"/>
                <w:color w:val="auto"/>
                <w:w w:val="88"/>
              </w:rPr>
              <w:t xml:space="preserve">shares purchased </w:t>
            </w:r>
            <w:r>
              <w:rPr>
                <w:rFonts w:ascii="Arial" w:cs="Arial" w:eastAsia="Arial" w:hAnsi="Arial"/>
                <w:sz w:val="12"/>
                <w:szCs w:val="12"/>
                <w:b w:val="1"/>
                <w:bCs w:val="1"/>
                <w:color w:val="auto"/>
                <w:w w:val="88"/>
              </w:rPr>
              <w:t>(in</w:t>
            </w:r>
          </w:p>
        </w:tc>
        <w:tc>
          <w:tcPr>
            <w:tcW w:w="1560" w:type="dxa"/>
            <w:vAlign w:val="bottom"/>
            <w:vMerge w:val="continue"/>
          </w:tcPr>
          <w:p>
            <w:pPr>
              <w:spacing w:after="0"/>
              <w:rPr>
                <w:sz w:val="14"/>
                <w:szCs w:val="14"/>
                <w:color w:val="auto"/>
              </w:rPr>
            </w:pPr>
          </w:p>
        </w:tc>
        <w:tc>
          <w:tcPr>
            <w:tcW w:w="1740" w:type="dxa"/>
            <w:vAlign w:val="bottom"/>
          </w:tcPr>
          <w:p>
            <w:pPr>
              <w:jc w:val="center"/>
              <w:ind w:left="63"/>
              <w:spacing w:after="0" w:line="162" w:lineRule="exact"/>
              <w:rPr>
                <w:sz w:val="20"/>
                <w:szCs w:val="20"/>
                <w:color w:val="auto"/>
              </w:rPr>
            </w:pPr>
            <w:r>
              <w:rPr>
                <w:rFonts w:ascii="Arial" w:cs="Arial" w:eastAsia="Arial" w:hAnsi="Arial"/>
                <w:sz w:val="16"/>
                <w:szCs w:val="16"/>
                <w:b w:val="1"/>
                <w:bCs w:val="1"/>
                <w:color w:val="auto"/>
                <w:w w:val="92"/>
              </w:rPr>
              <w:t xml:space="preserve">plans or programs </w:t>
            </w:r>
            <w:r>
              <w:rPr>
                <w:rFonts w:ascii="Arial" w:cs="Arial" w:eastAsia="Arial" w:hAnsi="Arial"/>
                <w:sz w:val="12"/>
                <w:szCs w:val="12"/>
                <w:b w:val="1"/>
                <w:bCs w:val="1"/>
                <w:color w:val="auto"/>
                <w:w w:val="92"/>
              </w:rPr>
              <w:t>(in</w:t>
            </w:r>
          </w:p>
        </w:tc>
        <w:tc>
          <w:tcPr>
            <w:tcW w:w="0" w:type="dxa"/>
            <w:vAlign w:val="bottom"/>
          </w:tcPr>
          <w:p>
            <w:pPr>
              <w:spacing w:after="0"/>
              <w:rPr>
                <w:sz w:val="1"/>
                <w:szCs w:val="1"/>
                <w:color w:val="auto"/>
              </w:rPr>
            </w:pPr>
          </w:p>
        </w:tc>
      </w:tr>
      <w:tr>
        <w:trPr>
          <w:trHeight w:val="189"/>
        </w:trPr>
        <w:tc>
          <w:tcPr>
            <w:tcW w:w="1380" w:type="dxa"/>
            <w:vAlign w:val="bottom"/>
            <w:vMerge w:val="continue"/>
          </w:tcPr>
          <w:p>
            <w:pPr>
              <w:spacing w:after="0"/>
              <w:rPr>
                <w:sz w:val="16"/>
                <w:szCs w:val="16"/>
                <w:color w:val="auto"/>
              </w:rPr>
            </w:pPr>
          </w:p>
        </w:tc>
        <w:tc>
          <w:tcPr>
            <w:tcW w:w="2420" w:type="dxa"/>
            <w:vAlign w:val="bottom"/>
          </w:tcPr>
          <w:p>
            <w:pPr>
              <w:jc w:val="center"/>
              <w:ind w:left="725"/>
              <w:spacing w:after="0"/>
              <w:rPr>
                <w:sz w:val="20"/>
                <w:szCs w:val="20"/>
                <w:color w:val="auto"/>
              </w:rPr>
            </w:pPr>
            <w:r>
              <w:rPr>
                <w:rFonts w:ascii="Arial" w:cs="Arial" w:eastAsia="Arial" w:hAnsi="Arial"/>
                <w:sz w:val="13"/>
                <w:szCs w:val="13"/>
                <w:b w:val="1"/>
                <w:bCs w:val="1"/>
                <w:color w:val="auto"/>
                <w:w w:val="82"/>
              </w:rPr>
              <w:t>thousands)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per share</w:t>
            </w:r>
          </w:p>
        </w:tc>
        <w:tc>
          <w:tcPr>
            <w:tcW w:w="1740" w:type="dxa"/>
            <w:vAlign w:val="bottom"/>
          </w:tcPr>
          <w:p>
            <w:pPr>
              <w:jc w:val="center"/>
              <w:ind w:left="63"/>
              <w:spacing w:after="0"/>
              <w:rPr>
                <w:sz w:val="20"/>
                <w:szCs w:val="20"/>
                <w:color w:val="auto"/>
              </w:rPr>
            </w:pPr>
            <w:r>
              <w:rPr>
                <w:rFonts w:ascii="Arial" w:cs="Arial" w:eastAsia="Arial" w:hAnsi="Arial"/>
                <w:sz w:val="13"/>
                <w:szCs w:val="13"/>
                <w:b w:val="1"/>
                <w:bCs w:val="1"/>
                <w:color w:val="auto"/>
                <w:w w:val="85"/>
              </w:rPr>
              <w:t>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80" w:firstLine="33"/>
        <w:spacing w:after="0" w:line="259" w:lineRule="auto"/>
        <w:rPr>
          <w:sz w:val="20"/>
          <w:szCs w:val="20"/>
          <w:color w:val="auto"/>
        </w:rPr>
      </w:pPr>
      <w:r>
        <w:rPr>
          <w:rFonts w:ascii="Arial" w:cs="Arial" w:eastAsia="Arial" w:hAnsi="Arial"/>
          <w:sz w:val="15"/>
          <w:szCs w:val="15"/>
          <w:b w:val="1"/>
          <w:bCs w:val="1"/>
          <w:color w:val="auto"/>
        </w:rPr>
        <w:t>Approximate dollar value of shares that may yet be purchased under the plans</w:t>
      </w:r>
    </w:p>
    <w:p>
      <w:pPr>
        <w:jc w:val="center"/>
        <w:ind w:right="80"/>
        <w:spacing w:after="0" w:line="198" w:lineRule="auto"/>
        <w:rPr>
          <w:sz w:val="20"/>
          <w:szCs w:val="20"/>
          <w:color w:val="auto"/>
        </w:rPr>
      </w:pPr>
      <w:r>
        <w:rPr>
          <w:rFonts w:ascii="Arial" w:cs="Arial" w:eastAsia="Arial" w:hAnsi="Arial"/>
          <w:sz w:val="18"/>
          <w:szCs w:val="18"/>
          <w:b w:val="1"/>
          <w:bCs w:val="1"/>
          <w:color w:val="auto"/>
        </w:rPr>
        <w:t>or programs</w:t>
      </w:r>
    </w:p>
    <w:p>
      <w:pPr>
        <w:ind w:left="700"/>
        <w:spacing w:after="0"/>
        <w:rPr>
          <w:sz w:val="20"/>
          <w:szCs w:val="20"/>
          <w:color w:val="auto"/>
        </w:rPr>
      </w:pPr>
      <w:r>
        <w:rPr>
          <w:rFonts w:ascii="Arial" w:cs="Arial" w:eastAsia="Arial" w:hAnsi="Arial"/>
          <w:sz w:val="13"/>
          <w:szCs w:val="13"/>
          <w:b w:val="1"/>
          <w:bCs w:val="1"/>
          <w:color w:val="auto"/>
        </w:rPr>
        <w:t>(in millions)</w:t>
      </w:r>
    </w:p>
    <w:p>
      <w:pPr>
        <w:spacing w:after="0" w:line="31" w:lineRule="exact"/>
        <w:rPr>
          <w:sz w:val="20"/>
          <w:szCs w:val="20"/>
          <w:color w:val="auto"/>
        </w:rPr>
      </w:pPr>
    </w:p>
    <w:p>
      <w:pPr>
        <w:sectPr>
          <w:pgSz w:w="11900" w:h="16838" w:orient="portrait"/>
          <w:cols w:equalWidth="0" w:num="2">
            <w:col w:w="8840" w:space="240"/>
            <w:col w:w="2120"/>
          </w:cols>
          <w:pgMar w:left="320" w:top="121" w:right="379" w:bottom="1440" w:gutter="0" w:footer="0" w:header="0"/>
          <w:type w:val="continuous"/>
        </w:sectPr>
      </w:pPr>
    </w:p>
    <w:tbl>
      <w:tblPr>
        <w:tblLayout w:type="fixed"/>
        <w:tblInd w:w="60" w:type="dxa"/>
        <w:tblCellMar>
          <w:top w:w="0" w:type="dxa"/>
          <w:left w:w="0" w:type="dxa"/>
          <w:bottom w:w="0" w:type="dxa"/>
          <w:right w:w="0" w:type="dxa"/>
        </w:tblCellMar>
      </w:tblPr>
      <w:tr>
        <w:trPr>
          <w:trHeight w:val="223"/>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2, 2022 to October 29, 2022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October 30, 2022 to November 26, 2022</w:t>
            </w:r>
          </w:p>
        </w:tc>
        <w:tc>
          <w:tcPr>
            <w:tcW w:w="142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92.90</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1,928.3</w:t>
            </w: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27, 2022 to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1,855.0</w:t>
            </w:r>
          </w:p>
        </w:tc>
      </w:tr>
      <w:tr>
        <w:trPr>
          <w:trHeight w:val="223"/>
        </w:trPr>
        <w:tc>
          <w:tcPr>
            <w:tcW w:w="3960" w:type="dxa"/>
            <w:vAlign w:val="bottom"/>
            <w:gridSpan w:val="2"/>
          </w:tcPr>
          <w:p>
            <w:pPr>
              <w:ind w:left="17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1,855.0</w:t>
            </w:r>
          </w:p>
        </w:tc>
      </w:tr>
      <w:tr>
        <w:trPr>
          <w:trHeight w:val="21"/>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November 2, 2022, we announced that our Board of Directors (the "Board") authorized a new share repurchase program to repurchase up to $2.0 billion of our outstanding common stock, which included the remaining authorized dollar amount under the prior program terminated concurrent with the new authorization. Under the current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November 9, 2022, the Board amended the bylaws of the Company (the “Restated Bylaws”) to address matters regarding nominations of directors. The Restated Bylaws, without limitation, (a) require additional information and representations in the notice(s) a stockholder is required to provide to the Company for director nominations, (b) modify the time period for which notices to the Company must be provided to be timely for the Company’s annual meeting of stockholders to not earlier than the close of business on the 150th day and not later than the close of business on the 120th day prior to the first anniversary of the preceding year's annual meeting, and (c) address matters relating to Rule 14a-19 under the Exchange Act.</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foregoing description of the Restated Bylaws is a summary and is qualified in its entirety by reference to the text of the Restated Bylaws, which is included as Exhibit 3.1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600" w:right="160" w:hanging="314"/>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3.1 </w:t>
      </w:r>
      <w:hyperlink r:id="rId45">
        <w:r>
          <w:rPr>
            <w:rFonts w:ascii="Arial" w:cs="Arial" w:eastAsia="Arial" w:hAnsi="Arial"/>
            <w:sz w:val="18"/>
            <w:szCs w:val="18"/>
            <w:u w:val="single" w:color="auto"/>
            <w:color w:val="0000FF"/>
          </w:rPr>
          <w:t>Second Amended and Restated Bylaws of Qorvo, Inc., adopted on November 9, 2022 (incorporated by reference to Exhibit 3.1 to the Company's</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FF"/>
          </w:rPr>
          <w:t>Current Report on Form 8-K filed with the SEC on November 10, 2022</w:t>
        </w:r>
        <w:r>
          <w:rPr>
            <w:rFonts w:ascii="Arial" w:cs="Arial" w:eastAsia="Arial" w:hAnsi="Arial"/>
            <w:sz w:val="18"/>
            <w:szCs w:val="18"/>
            <w:color w:val="000000"/>
          </w:rPr>
          <w:t>)</w:t>
        </w:r>
      </w:hyperlink>
    </w:p>
    <w:p>
      <w:pPr>
        <w:spacing w:after="0" w:line="270" w:lineRule="exact"/>
        <w:rPr>
          <w:sz w:val="20"/>
          <w:szCs w:val="20"/>
          <w:color w:val="auto"/>
        </w:rPr>
      </w:pPr>
    </w:p>
    <w:p>
      <w:pPr>
        <w:ind w:left="600" w:hanging="277"/>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FF"/>
        </w:rPr>
        <w:t>List of Subsidiary Guarantors</w:t>
      </w:r>
    </w:p>
    <w:p>
      <w:pPr>
        <w:spacing w:after="0" w:line="279" w:lineRule="exact"/>
        <w:rPr>
          <w:sz w:val="20"/>
          <w:szCs w:val="20"/>
          <w:color w:val="auto"/>
        </w:rPr>
      </w:pPr>
    </w:p>
    <w:p>
      <w:pPr>
        <w:ind w:left="600" w:right="160" w:hanging="404"/>
        <w:spacing w:after="0" w:line="23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Periodic Report by Robert A. Bruggeworth, as Chief Executive Officer, pursuant to Rule 13a-14(a) or 15d-14(a) of the Exchange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Act, as adopted pursuant to Section 302 of the Sarbanes-Oxley Act of 2002</w:t>
      </w:r>
    </w:p>
    <w:p>
      <w:pPr>
        <w:spacing w:after="0" w:line="229" w:lineRule="exact"/>
        <w:rPr>
          <w:sz w:val="20"/>
          <w:szCs w:val="20"/>
          <w:color w:val="auto"/>
        </w:rPr>
      </w:pPr>
    </w:p>
    <w:p>
      <w:pPr>
        <w:ind w:left="600" w:right="200" w:hanging="404"/>
        <w:spacing w:after="0" w:line="23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Periodic Report by Grant A. Brown, as Chief Financial Officer, pursuant to Rule 13a-14(a) or 15d-14(a) of the Exchange Act, as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adopted pursuant to Section 302 of the Sarbanes-Oxley Act of 2002</w:t>
      </w:r>
    </w:p>
    <w:p>
      <w:pPr>
        <w:spacing w:after="0" w:line="229" w:lineRule="exact"/>
        <w:rPr>
          <w:sz w:val="20"/>
          <w:szCs w:val="20"/>
          <w:color w:val="auto"/>
        </w:rPr>
      </w:pPr>
    </w:p>
    <w:p>
      <w:pPr>
        <w:ind w:left="600" w:right="180" w:hanging="404"/>
        <w:spacing w:after="0" w:line="235"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Certification of Periodic Report by Robert A. Bruggeworth, as Chief Executive Officer, pursuant to 18 U.S.C. Section 1350, as adopted pursuant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to Section 906 of the Sarbanes-Oxley Act of 2002</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0000FF"/>
        </w:rPr>
        <w:t>Certification of Periodic Report by Grant A. Brown, as Chief Financial Officer, pursuant to 18 U.S.C. Section 1350, as adopted pursuant to Section</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906 of the Sarbanes-Oxley Act of 2002</w:t>
      </w:r>
    </w:p>
    <w:p>
      <w:pPr>
        <w:spacing w:after="0" w:line="236" w:lineRule="exact"/>
        <w:rPr>
          <w:sz w:val="20"/>
          <w:szCs w:val="20"/>
          <w:color w:val="auto"/>
        </w:rPr>
      </w:pPr>
    </w:p>
    <w:p>
      <w:pPr>
        <w:ind w:left="600" w:right="60" w:hanging="367"/>
        <w:spacing w:after="0" w:line="254"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December 31, 2022, formatted in iXBRL (Inline eXtensible Business Reporting Language): (i) the Condensed Consolidated Balance Sheets; (ii) the Condensed Consolidated Statements of Operations; (iii) the Condensed Consolidated Statements of Comprehensive Income; (iv) the Condensed Consolidated Statements of Stockholders' Equity; (v) the Condensed Consolidated Statements of Cash Flows; and (vi) the Notes to Condensed Consolidated Financial Statements</w:t>
      </w:r>
    </w:p>
    <w:p>
      <w:pPr>
        <w:spacing w:after="0" w:line="207" w:lineRule="exact"/>
        <w:rPr>
          <w:sz w:val="20"/>
          <w:szCs w:val="20"/>
          <w:color w:val="auto"/>
        </w:rPr>
      </w:pPr>
    </w:p>
    <w:p>
      <w:pPr>
        <w:ind w:right="1660" w:firstLine="233"/>
        <w:spacing w:after="0" w:line="782" w:lineRule="auto"/>
        <w:tabs>
          <w:tab w:leader="none" w:pos="5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cover page from our Quarterly Report on Form 10-Q for the quarter ended December 31, 2022, formatted in iXBRL Our SEC file number for documents filed with the SEC pursuant to the Securities Exchange Act of 1934, as amended, is 001-36801.</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Qorvo, Inc.</w:t>
            </w:r>
          </w:p>
        </w:tc>
      </w:tr>
      <w:tr>
        <w:trPr>
          <w:trHeight w:val="432"/>
        </w:trPr>
        <w:tc>
          <w:tcPr>
            <w:tcW w:w="5480" w:type="dxa"/>
            <w:vAlign w:val="bottom"/>
          </w:tcPr>
          <w:p>
            <w:pPr>
              <w:spacing w:after="0"/>
              <w:rPr>
                <w:sz w:val="20"/>
                <w:szCs w:val="20"/>
                <w:color w:val="auto"/>
              </w:rPr>
            </w:pPr>
            <w:r>
              <w:rPr>
                <w:rFonts w:ascii="Arial" w:cs="Arial" w:eastAsia="Arial" w:hAnsi="Arial"/>
                <w:sz w:val="18"/>
                <w:szCs w:val="18"/>
                <w:color w:val="auto"/>
              </w:rPr>
              <w:t>Date:  February 2, 2023</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Grant A. Brown</w:t>
            </w:r>
          </w:p>
        </w:tc>
      </w:tr>
      <w:tr>
        <w:trPr>
          <w:trHeight w:val="222"/>
        </w:trPr>
        <w:tc>
          <w:tcPr>
            <w:tcW w:w="54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Grant A. Brown</w:t>
            </w:r>
          </w:p>
        </w:tc>
      </w:tr>
      <w:tr>
        <w:trPr>
          <w:trHeight w:val="230"/>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20"/>
          </w:cols>
          <w:pgMar w:left="320" w:top="121" w:right="8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22</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List of Subsidiary Guarantors</w:t>
      </w: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1.750% Senior Notes due 2024, the 4.375% Senior Notes due 2029 and the 3.375% Senior Notes due 2031 are guaranteed, jointly and severally, on an unsecured basis, by the following 100% owned subsidiaries of Qorvo, Inc., a Delaware corporation, as of December 31, 2022:</w:t>
      </w:r>
    </w:p>
    <w:p>
      <w:pPr>
        <w:spacing w:after="0" w:line="195" w:lineRule="exact"/>
        <w:rPr>
          <w:sz w:val="20"/>
          <w:szCs w:val="20"/>
          <w:color w:val="auto"/>
        </w:rPr>
      </w:pPr>
    </w:p>
    <w:tbl>
      <w:tblPr>
        <w:tblLayout w:type="fixed"/>
        <w:tblInd w:w="1550" w:type="dxa"/>
        <w:tblCellMar>
          <w:top w:w="0" w:type="dxa"/>
          <w:left w:w="0" w:type="dxa"/>
          <w:bottom w:w="0" w:type="dxa"/>
          <w:right w:w="0" w:type="dxa"/>
        </w:tblCellMar>
      </w:tblPr>
      <w:tr>
        <w:trPr>
          <w:trHeight w:val="238"/>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Arial" w:cs="Arial" w:eastAsia="Arial" w:hAnsi="Arial"/>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66"/>
        </w:trPr>
        <w:tc>
          <w:tcPr>
            <w:tcW w:w="42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North Carolina</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California</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Oregon</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160"/>
          </w:cols>
          <w:pgMar w:left="320" w:top="1417"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60" w:firstLine="8"/>
        <w:spacing w:after="0" w:line="342" w:lineRule="auto"/>
        <w:tabs>
          <w:tab w:leader="none" w:pos="6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0" w:firstLine="8"/>
        <w:spacing w:after="0" w:line="27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3"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20" w:hanging="4"/>
        <w:spacing w:after="0" w:line="263" w:lineRule="auto"/>
        <w:tabs>
          <w:tab w:leader="none" w:pos="12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hanging="4"/>
        <w:spacing w:after="0" w:line="263"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180" w:hanging="4"/>
        <w:spacing w:after="0" w:line="342" w:lineRule="auto"/>
        <w:tabs>
          <w:tab w:leader="none" w:pos="129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60" w:hanging="4"/>
        <w:spacing w:after="0" w:line="263"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20" w:firstLine="8"/>
        <w:spacing w:after="0" w:line="308" w:lineRule="auto"/>
        <w:tabs>
          <w:tab w:leader="none" w:pos="64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00" w:hanging="4"/>
        <w:spacing w:after="0" w:line="308" w:lineRule="auto"/>
        <w:tabs>
          <w:tab w:leader="none" w:pos="129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100" w:hanging="4"/>
        <w:spacing w:after="0" w:line="277"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February 2, 2023</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056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Robert A. Bruggeworth</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891"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Grant A. Brown, certify that:</w:t>
      </w:r>
    </w:p>
    <w:p>
      <w:pPr>
        <w:spacing w:after="0" w:line="25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380" w:firstLine="8"/>
        <w:spacing w:after="0" w:line="277"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63" w:lineRule="auto"/>
        <w:tabs>
          <w:tab w:leader="none" w:pos="3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520" w:hanging="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hanging="4"/>
        <w:spacing w:after="0" w:line="263" w:lineRule="auto"/>
        <w:tabs>
          <w:tab w:leader="none" w:pos="9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120" w:firstLine="8"/>
        <w:spacing w:after="0" w:line="308" w:lineRule="auto"/>
        <w:tabs>
          <w:tab w:leader="none" w:pos="31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760" w:hanging="4"/>
        <w:spacing w:after="0" w:line="308" w:lineRule="auto"/>
        <w:tabs>
          <w:tab w:leader="none" w:pos="97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440" w:hanging="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February 2, 2023</w:t>
      </w:r>
    </w:p>
    <w:p>
      <w:pPr>
        <w:spacing w:after="0" w:line="200" w:lineRule="exact"/>
        <w:rPr>
          <w:sz w:val="20"/>
          <w:szCs w:val="20"/>
          <w:color w:val="auto"/>
        </w:rPr>
      </w:pP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28803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Grant A. Brown</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00"/>
          </w:cols>
          <w:pgMar w:left="320" w:top="891" w:right="37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ind w:right="94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President and Chief Executive Officer of Qorvo, Inc. (the “Company”), certify pursuant to Section 906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40" w:lineRule="exact"/>
        <w:rPr>
          <w:sz w:val="20"/>
          <w:szCs w:val="20"/>
          <w:color w:val="auto"/>
        </w:rPr>
      </w:pPr>
    </w:p>
    <w:p>
      <w:pPr>
        <w:ind w:left="660" w:hanging="652"/>
        <w:spacing w:after="0" w:line="274" w:lineRule="auto"/>
        <w:tabs>
          <w:tab w:leader="none" w:pos="4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31, 2022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74" w:lineRule="auto"/>
        <w:tabs>
          <w:tab w:leader="none" w:pos="4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2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19050</wp:posOffset>
            </wp:positionV>
            <wp:extent cx="27260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Robert A. Bruggeworth</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President and Chief Executive Officer</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February 2, 2023</w:t>
      </w:r>
    </w:p>
    <w:p>
      <w:pPr>
        <w:sectPr>
          <w:pgSz w:w="11900" w:h="16838" w:orient="portrait"/>
          <w:cols w:equalWidth="0" w:num="1">
            <w:col w:w="11140"/>
          </w:cols>
          <w:pgMar w:left="320" w:top="886" w:right="4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99" w:lineRule="exact"/>
        <w:rPr>
          <w:sz w:val="20"/>
          <w:szCs w:val="20"/>
          <w:color w:val="auto"/>
        </w:rPr>
      </w:pPr>
    </w:p>
    <w:p>
      <w:pPr>
        <w:ind w:right="94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Grant A. Brown, Senior Vice President and Chief Financial Officer of Qorvo, Inc. (the “Company”), certify pursuant to Section 906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40" w:lineRule="exact"/>
        <w:rPr>
          <w:sz w:val="20"/>
          <w:szCs w:val="20"/>
          <w:color w:val="auto"/>
        </w:rPr>
      </w:pPr>
    </w:p>
    <w:p>
      <w:pPr>
        <w:ind w:left="660" w:hanging="652"/>
        <w:spacing w:after="0" w:line="274" w:lineRule="auto"/>
        <w:tabs>
          <w:tab w:leader="none" w:pos="441"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31, 2022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74" w:lineRule="auto"/>
        <w:tabs>
          <w:tab w:leader="none" w:pos="441"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2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19050</wp:posOffset>
            </wp:positionV>
            <wp:extent cx="46374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Grant A. Brown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Senior Vice President and Chief Financial Officer</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February 2, 2023</w:t>
      </w:r>
    </w:p>
    <w:sectPr>
      <w:pgSz w:w="11900" w:h="16838" w:orient="portrait"/>
      <w:cols w:equalWidth="0" w:num="1">
        <w:col w:w="11140"/>
      </w:cols>
      <w:pgMar w:left="320" w:top="8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2"/>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5" Type="http://schemas.openxmlformats.org/officeDocument/2006/relationships/hyperlink" Target="https://www.sec.gov/Archives/edgar/data/1604778/000119312522282755/d60126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2023-02-02T15:21:11Z</dcterms:created>
  <dcterms:modified xsi:type="dcterms:W3CDTF">2023-02-02T15:21:11Z</dcterms:modified>
</cp:coreProperties>
</file>