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131445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3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fiscal year ended March 31, 2018</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3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8"/>
          <w:szCs w:val="18"/>
          <w:b w:val="1"/>
          <w:bCs w:val="1"/>
          <w:u w:val="single" w:color="auto"/>
          <w:color w:val="auto"/>
        </w:rPr>
        <w:t>_______</w:t>
      </w:r>
      <w:r>
        <w:rPr>
          <w:rFonts w:ascii="Arial" w:cs="Arial" w:eastAsia="Arial" w:hAnsi="Arial"/>
          <w:sz w:val="18"/>
          <w:szCs w:val="18"/>
          <w:b w:val="1"/>
          <w:bCs w:val="1"/>
          <w:color w:val="auto"/>
        </w:rPr>
        <w:t xml:space="preserve"> to</w:t>
      </w:r>
      <w:r>
        <w:rPr>
          <w:rFonts w:ascii="Arial" w:cs="Arial" w:eastAsia="Arial" w:hAnsi="Arial"/>
          <w:sz w:val="18"/>
          <w:szCs w:val="18"/>
          <w:b w:val="1"/>
          <w:bCs w:val="1"/>
          <w:u w:val="single" w:color="auto"/>
          <w:color w:val="auto"/>
        </w:rPr>
        <w:t>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51435</wp:posOffset>
            </wp:positionV>
            <wp:extent cx="221234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980" w:type="dxa"/>
        <w:tblCellMar>
          <w:top w:w="0" w:type="dxa"/>
          <w:left w:w="0" w:type="dxa"/>
          <w:bottom w:w="0" w:type="dxa"/>
          <w:right w:w="0" w:type="dxa"/>
        </w:tblCellMar>
      </w:tblPr>
      <w:tr>
        <w:trPr>
          <w:trHeight w:val="369"/>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ind w:left="1460"/>
              <w:spacing w:after="0"/>
              <w:rPr>
                <w:sz w:val="20"/>
                <w:szCs w:val="20"/>
                <w:color w:val="auto"/>
              </w:rPr>
            </w:pPr>
            <w:r>
              <w:rPr>
                <w:rFonts w:ascii="Arial" w:cs="Arial" w:eastAsia="Arial" w:hAnsi="Arial"/>
                <w:sz w:val="29"/>
                <w:szCs w:val="29"/>
                <w:b w:val="1"/>
                <w:bCs w:val="1"/>
                <w:color w:val="auto"/>
              </w:rPr>
              <w:t>Qorvo, Inc.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40"/>
        </w:trPr>
        <w:tc>
          <w:tcPr>
            <w:tcW w:w="580" w:type="dxa"/>
            <w:vAlign w:val="bottom"/>
          </w:tcPr>
          <w:p>
            <w:pPr>
              <w:spacing w:after="0"/>
              <w:rPr>
                <w:sz w:val="24"/>
                <w:szCs w:val="24"/>
                <w:color w:val="auto"/>
              </w:rPr>
            </w:pPr>
          </w:p>
        </w:tc>
        <w:tc>
          <w:tcPr>
            <w:tcW w:w="19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7360" w:type="dxa"/>
            <w:vAlign w:val="bottom"/>
            <w:gridSpan w:val="2"/>
          </w:tcPr>
          <w:p>
            <w:pPr>
              <w:jc w:val="center"/>
              <w:ind w:left="3943"/>
              <w:spacing w:after="0"/>
              <w:rPr>
                <w:sz w:val="20"/>
                <w:szCs w:val="20"/>
                <w:color w:val="auto"/>
              </w:rPr>
            </w:pPr>
            <w:r>
              <w:rPr>
                <w:rFonts w:ascii="Arial" w:cs="Arial" w:eastAsia="Arial" w:hAnsi="Arial"/>
                <w:sz w:val="18"/>
                <w:szCs w:val="18"/>
                <w:b w:val="1"/>
                <w:bCs w:val="1"/>
                <w:color w:val="auto"/>
                <w:w w:val="91"/>
              </w:rPr>
              <w:t>46-5288992</w:t>
            </w:r>
          </w:p>
        </w:tc>
      </w:tr>
      <w:tr>
        <w:trPr>
          <w:trHeight w:val="256"/>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0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45"/>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1"/>
              </w:rPr>
              <w:t>7628 Thorndike Road, Greensboro, North Carolina 27409-9421</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4"/>
              </w:rPr>
              <w:t>(Zip Code)</w:t>
            </w:r>
          </w:p>
        </w:tc>
      </w:tr>
      <w:tr>
        <w:trPr>
          <w:trHeight w:val="50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jc w:val="center"/>
              <w:ind w:left="323"/>
              <w:spacing w:after="0"/>
              <w:rPr>
                <w:sz w:val="20"/>
                <w:szCs w:val="20"/>
                <w:color w:val="auto"/>
              </w:rPr>
            </w:pPr>
            <w:r>
              <w:rPr>
                <w:rFonts w:ascii="Arial" w:cs="Arial" w:eastAsia="Arial" w:hAnsi="Arial"/>
                <w:sz w:val="18"/>
                <w:szCs w:val="18"/>
                <w:b w:val="1"/>
                <w:bCs w:val="1"/>
                <w:color w:val="auto"/>
                <w:w w:val="90"/>
              </w:rPr>
              <w:t>(336) 664-1233</w:t>
            </w:r>
          </w:p>
        </w:tc>
        <w:tc>
          <w:tcPr>
            <w:tcW w:w="334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4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402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20"/>
          </w:cols>
          <w:pgMar w:left="24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86" w:lineRule="exact"/>
        <w:rPr>
          <w:sz w:val="20"/>
          <w:szCs w:val="20"/>
          <w:color w:val="auto"/>
        </w:rPr>
      </w:pPr>
    </w:p>
    <w:p>
      <w:pPr>
        <w:ind w:right="100"/>
        <w:spacing w:after="0" w:line="195" w:lineRule="exact"/>
        <w:rPr>
          <w:sz w:val="20"/>
          <w:szCs w:val="20"/>
          <w:color w:val="auto"/>
        </w:rPr>
      </w:pPr>
      <w:r>
        <w:rPr>
          <w:rFonts w:ascii="Arial" w:cs="Arial" w:eastAsia="Arial" w:hAnsi="Arial"/>
          <w:sz w:val="16"/>
          <w:szCs w:val="16"/>
          <w:color w:val="auto"/>
        </w:rPr>
        <w:t>Indicate by check mark if disclosure of delinquent filers pursuant to Item 405 of Regulation S</w:t>
      </w:r>
      <w:r>
        <w:rPr>
          <w:rFonts w:ascii="MS PGothic" w:cs="MS PGothic" w:eastAsia="MS PGothic" w:hAnsi="MS PGothic"/>
          <w:sz w:val="16"/>
          <w:szCs w:val="16"/>
          <w:color w:val="auto"/>
        </w:rPr>
        <w:t>‑</w:t>
      </w:r>
      <w:r>
        <w:rPr>
          <w:rFonts w:ascii="Arial" w:cs="Arial" w:eastAsia="Arial" w:hAnsi="Arial"/>
          <w:sz w:val="16"/>
          <w:szCs w:val="16"/>
          <w:color w:val="auto"/>
        </w:rPr>
        <w:t>K (§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Arial" w:cs="Arial" w:eastAsia="Arial" w:hAnsi="Arial"/>
          <w:sz w:val="16"/>
          <w:szCs w:val="16"/>
          <w:color w:val="auto"/>
        </w:rPr>
        <w:t>K or any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K. x</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30" w:right="279" w:bottom="1440" w:gutter="0" w:footer="0" w:header="0"/>
        </w:sectPr>
      </w:pPr>
    </w:p>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18" w:lineRule="exact"/>
        <w:rPr>
          <w:sz w:val="20"/>
          <w:szCs w:val="20"/>
          <w:color w:val="auto"/>
        </w:rPr>
      </w:pPr>
    </w:p>
    <w:p>
      <w:pPr>
        <w:sectPr>
          <w:pgSz w:w="11900" w:h="16838" w:orient="portrait"/>
          <w:cols w:equalWidth="0" w:num="2">
            <w:col w:w="6160" w:space="720"/>
            <w:col w:w="4500"/>
          </w:cols>
          <w:pgMar w:left="240" w:top="130" w:right="279" w:bottom="1440" w:gutter="0" w:footer="0" w:header="0"/>
          <w:type w:val="continuous"/>
        </w:sectPr>
      </w:pPr>
    </w:p>
    <w:p>
      <w:pPr>
        <w:spacing w:after="0" w:line="55"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3">
            <w:col w:w="1600" w:space="120"/>
            <w:col w:w="4440" w:space="720"/>
            <w:col w:w="4500"/>
          </w:cols>
          <w:pgMar w:left="240" w:top="130" w:right="279" w:bottom="1440" w:gutter="0" w:footer="0" w:header="0"/>
          <w:type w:val="continuous"/>
        </w:sectPr>
      </w:pPr>
    </w:p>
    <w:p>
      <w:pPr>
        <w:spacing w:after="0" w:line="68" w:lineRule="exact"/>
        <w:rPr>
          <w:sz w:val="20"/>
          <w:szCs w:val="20"/>
          <w:color w:val="auto"/>
        </w:rPr>
      </w:pPr>
    </w:p>
    <w:p>
      <w:pPr>
        <w:ind w:left="6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380"/>
          </w:cols>
          <w:pgMar w:left="240" w:top="130" w:right="279" w:bottom="1440" w:gutter="0" w:footer="0" w:header="0"/>
          <w:type w:val="continuous"/>
        </w:sectPr>
      </w:pPr>
    </w:p>
    <w:p>
      <w:pPr>
        <w:spacing w:after="0" w:line="315" w:lineRule="exact"/>
        <w:rPr>
          <w:sz w:val="20"/>
          <w:szCs w:val="20"/>
          <w:color w:val="auto"/>
        </w:rPr>
      </w:pPr>
    </w:p>
    <w:p>
      <w:pPr>
        <w:ind w:left="4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$8,954,525,040 as of September 30, 2017.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were 126,490,563 shares of the registrant's common stock outstanding as of May 11, 2018.</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-116205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2018 annual meeting of stockholders, which is expected to be filed pursuant to Regulation 14A within 120 days after the end of the registrant’s fiscal year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gridSpan w:val="18"/>
          </w:tcPr>
          <w:p>
            <w:pPr>
              <w:jc w:val="center"/>
              <w:ind w:right="2040"/>
              <w:spacing w:after="0"/>
              <w:rPr>
                <w:sz w:val="20"/>
                <w:szCs w:val="20"/>
                <w:color w:val="auto"/>
              </w:rPr>
            </w:pPr>
            <w:r>
              <w:rPr>
                <w:rFonts w:ascii="Arial" w:cs="Arial" w:eastAsia="Arial" w:hAnsi="Arial"/>
                <w:sz w:val="18"/>
                <w:szCs w:val="18"/>
                <w:b w:val="1"/>
                <w:bCs w:val="1"/>
                <w:color w:val="auto"/>
                <w:w w:val="99"/>
              </w:rPr>
              <w:t>FOR THE FISCAL YEAR ENDED MARCH 31, 2018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52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Forward-Looking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398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3"/>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7800" w:type="dxa"/>
            <w:vAlign w:val="bottom"/>
            <w:gridSpan w:val="25"/>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gridSpan w:val="9"/>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Unresolved Staff Comments.</w:t>
              </w:r>
            </w:hyperlink>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1320" w:type="dxa"/>
            <w:vAlign w:val="bottom"/>
            <w:gridSpan w:val="7"/>
          </w:tcPr>
          <w:p>
            <w:pPr>
              <w:spacing w:after="0"/>
              <w:rPr>
                <w:sz w:val="21"/>
                <w:szCs w:val="21"/>
                <w:color w:val="auto"/>
              </w:rPr>
            </w:pPr>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10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10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2"/>
          </w:tcPr>
          <w:p>
            <w:pPr>
              <w:jc w:val="center"/>
              <w:ind w:right="3960"/>
              <w:spacing w:after="0"/>
              <w:rPr>
                <w:rFonts w:ascii="Arial" w:cs="Arial" w:eastAsia="Arial" w:hAnsi="Arial"/>
                <w:sz w:val="18"/>
                <w:szCs w:val="18"/>
                <w:b w:val="1"/>
                <w:bCs w:val="1"/>
                <w:color w:val="0000FF"/>
                <w:w w:val="99"/>
              </w:rPr>
            </w:pPr>
            <w:hyperlink w:anchor="page30">
              <w:r>
                <w:rPr>
                  <w:rFonts w:ascii="Arial" w:cs="Arial" w:eastAsia="Arial" w:hAnsi="Arial"/>
                  <w:sz w:val="18"/>
                  <w:szCs w:val="18"/>
                  <w:b w:val="1"/>
                  <w:bCs w:val="1"/>
                  <w:color w:val="0000FF"/>
                  <w:w w:val="99"/>
                </w:rPr>
                <w:t>PART 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8"/>
          </w:tcPr>
          <w:p>
            <w:pPr>
              <w:spacing w:after="0"/>
              <w:rPr>
                <w:rFonts w:ascii="Arial" w:cs="Arial" w:eastAsia="Arial" w:hAnsi="Arial"/>
                <w:sz w:val="18"/>
                <w:szCs w:val="18"/>
                <w:color w:val="0000FF"/>
                <w:w w:val="97"/>
              </w:rPr>
            </w:pPr>
            <w:hyperlink w:anchor="page30">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gridSpan w:val="6"/>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Selected Financial Data.</w:t>
              </w:r>
            </w:hyperlink>
          </w:p>
        </w:tc>
        <w:tc>
          <w:tcPr>
            <w:tcW w:w="6340" w:type="dxa"/>
            <w:vAlign w:val="bottom"/>
            <w:gridSpan w:val="21"/>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2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gridSpan w:val="2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2280" w:type="dxa"/>
            <w:vAlign w:val="bottom"/>
            <w:gridSpan w:val="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gridSpan w:val="13"/>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Financial Statements and Supplementary Data.</w:t>
              </w:r>
            </w:hyperlink>
          </w:p>
        </w:tc>
        <w:tc>
          <w:tcPr>
            <w:tcW w:w="1020" w:type="dxa"/>
            <w:vAlign w:val="bottom"/>
            <w:gridSpan w:val="5"/>
          </w:tcPr>
          <w:p>
            <w:pPr>
              <w:spacing w:after="0"/>
              <w:rPr>
                <w:sz w:val="21"/>
                <w:szCs w:val="21"/>
                <w:color w:val="auto"/>
              </w:rPr>
            </w:pPr>
          </w:p>
        </w:tc>
        <w:tc>
          <w:tcPr>
            <w:tcW w:w="4360" w:type="dxa"/>
            <w:vAlign w:val="bottom"/>
            <w:gridSpan w:val="10"/>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101</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01">
              <w:r>
                <w:rPr>
                  <w:rFonts w:ascii="Arial" w:cs="Arial" w:eastAsia="Arial" w:hAnsi="Arial"/>
                  <w:sz w:val="18"/>
                  <w:szCs w:val="18"/>
                  <w:color w:val="0000FF"/>
                  <w:w w:val="88"/>
                </w:rPr>
                <w:t>Controls and Procedures.</w:t>
              </w:r>
            </w:hyperlink>
          </w:p>
        </w:tc>
        <w:tc>
          <w:tcPr>
            <w:tcW w:w="6940" w:type="dxa"/>
            <w:vAlign w:val="bottom"/>
            <w:gridSpan w:val="21"/>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101</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8760" w:type="dxa"/>
            <w:vAlign w:val="bottom"/>
            <w:gridSpan w:val="28"/>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Other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102</w:t>
              </w:r>
            </w:hyperlink>
          </w:p>
        </w:tc>
      </w:tr>
      <w:tr>
        <w:trPr>
          <w:trHeight w:val="46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39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Directors, Executive Officers and Corporate Governance.</w:t>
              </w:r>
            </w:hyperlink>
          </w:p>
        </w:tc>
        <w:tc>
          <w:tcPr>
            <w:tcW w:w="46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Executive Compensation.</w:t>
              </w:r>
            </w:hyperlink>
          </w:p>
        </w:tc>
        <w:tc>
          <w:tcPr>
            <w:tcW w:w="6900" w:type="dxa"/>
            <w:vAlign w:val="bottom"/>
            <w:gridSpan w:val="2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4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Certain Relationships and Related Transactions, and Director Independence.</w:t>
              </w:r>
            </w:hyperlink>
          </w:p>
        </w:tc>
        <w:tc>
          <w:tcPr>
            <w:tcW w:w="326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760" w:type="dxa"/>
            <w:vAlign w:val="bottom"/>
            <w:gridSpan w:val="28"/>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Principal Accounting Fees and Services.</w:t>
              </w:r>
            </w:hyperlink>
          </w:p>
        </w:tc>
        <w:tc>
          <w:tcPr>
            <w:tcW w:w="1000" w:type="dxa"/>
            <w:vAlign w:val="bottom"/>
            <w:gridSpan w:val="4"/>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102</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14"/>
          </w:tcPr>
          <w:p>
            <w:pPr>
              <w:jc w:val="center"/>
              <w:ind w:right="3920"/>
              <w:spacing w:after="0"/>
              <w:rPr>
                <w:rFonts w:ascii="Arial" w:cs="Arial" w:eastAsia="Arial" w:hAnsi="Arial"/>
                <w:sz w:val="18"/>
                <w:szCs w:val="18"/>
                <w:b w:val="1"/>
                <w:bCs w:val="1"/>
                <w:color w:val="0000FF"/>
              </w:rPr>
            </w:pPr>
            <w:hyperlink w:anchor="page103">
              <w:r>
                <w:rPr>
                  <w:rFonts w:ascii="Arial" w:cs="Arial" w:eastAsia="Arial" w:hAnsi="Arial"/>
                  <w:sz w:val="18"/>
                  <w:szCs w:val="18"/>
                  <w:b w:val="1"/>
                  <w:bCs w:val="1"/>
                  <w:color w:val="0000FF"/>
                </w:rPr>
                <w:t>PART IV</w:t>
              </w:r>
            </w:hyperlink>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5"/>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gridSpan w:val="6"/>
          </w:tcPr>
          <w:p>
            <w:pPr>
              <w:spacing w:after="0"/>
              <w:rPr>
                <w:sz w:val="24"/>
                <w:szCs w:val="24"/>
                <w:color w:val="auto"/>
              </w:rPr>
            </w:pPr>
          </w:p>
        </w:tc>
        <w:tc>
          <w:tcPr>
            <w:tcW w:w="3920" w:type="dxa"/>
            <w:vAlign w:val="bottom"/>
            <w:gridSpan w:val="7"/>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3">
              <w:r>
                <w:rPr>
                  <w:rFonts w:ascii="Arial" w:cs="Arial" w:eastAsia="Arial" w:hAnsi="Arial"/>
                  <w:sz w:val="18"/>
                  <w:szCs w:val="18"/>
                  <w:color w:val="0000FF"/>
                </w:rPr>
                <w:t>103</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29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Form 10-K Summary.</w:t>
            </w:r>
          </w:p>
        </w:tc>
        <w:tc>
          <w:tcPr>
            <w:tcW w:w="5820" w:type="dxa"/>
            <w:vAlign w:val="bottom"/>
            <w:gridSpan w:val="16"/>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104</w:t>
              </w:r>
            </w:hyperlink>
          </w:p>
        </w:tc>
      </w:tr>
      <w:tr>
        <w:trPr>
          <w:trHeight w:val="547"/>
        </w:trPr>
        <w:tc>
          <w:tcPr>
            <w:tcW w:w="1600" w:type="dxa"/>
            <w:vAlign w:val="bottom"/>
            <w:gridSpan w:val="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Exhibit Index.</w:t>
              </w:r>
            </w:hyperlink>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105</w:t>
              </w:r>
            </w:hyperlink>
          </w:p>
        </w:tc>
      </w:tr>
      <w:tr>
        <w:trPr>
          <w:trHeight w:val="250"/>
        </w:trPr>
        <w:tc>
          <w:tcPr>
            <w:tcW w:w="1020" w:type="dxa"/>
            <w:vAlign w:val="bottom"/>
            <w:tcBorders>
              <w:top w:val="single" w:sz="8" w:color="0000FF"/>
            </w:tcBorders>
            <w:gridSpan w:val="2"/>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Signatures.</w:t>
              </w:r>
            </w:hyperlink>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r>
      <w:tr>
        <w:trPr>
          <w:trHeight w:val="507"/>
        </w:trPr>
        <w:tc>
          <w:tcPr>
            <w:tcW w:w="8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gridSpan w:val="15"/>
          </w:tcPr>
          <w:p>
            <w:pPr>
              <w:ind w:left="40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Private Securities Litigation Reform Act of 1995, including but not limited to certain disclosures contained in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the federal securities laws.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use a 52- or 53-week fiscal year ending on the Saturday closest to March 31 of each year. Fiscal years 2018 and 2017 were 52-week years, and fiscal year 2016 was a 53-week year. Our other fiscal quarters end on the Saturday closest to June 30, September 30 and December 31 of each year.</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22, 2014, RF Micro Devices, Inc. (“RFMD”) and TriQuint Semiconductor, Inc. ("TriQuint") entered into an Agreement and Plan of Merger and Reorganization as subsequently amended on July 15, 2014 (the "Merger Agreement"), providing for the combination of RFMD and TriQuint in a merger of equals (the "Business Combination") under a new holding company named Qorvo, Inc. (the “Company” or “Qorvo”). The transactions contemplated by the Merger Agreement were consummated on January 1, 2015.</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concerning the Business Combination, see Note 6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Qorvo® is a product and technology leader at the forefront of the growing global demand for always-on broadband connectivity. We combine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("CPE"),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Qorvo employs more than 8,300 people. We have world-class manufacturing facilities, and our fabrication facility in Richardson, Texas, is a United States Department of Defense ("DoD")-accredited ‘Trusted Source’ (Category 1A) for gallium arsenide ("GaAs"), gallium nitride ("GaN") and bulk acoustic wave ("BAW") technologies. Our design and manufacturing expertise covers many semiconductor process technologies, which we source both internally and through external suppliers. Our primary wafer fabrication facilities are in Florida, North Carolina, Oregon and Texas, and our primary assembly and test facilities are in China, Costa Rica, Germany and Texas. We also operate design, sales and other manufacturing facilities throughout Asia, Europe and North America.</w:t>
      </w:r>
    </w:p>
    <w:p>
      <w:pPr>
        <w:spacing w:after="0" w:line="1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Qorvo was incorporated in Delaware in 2013. Our principal executive office is located at 7628 Thorndike Road, Greensboro, North Carolina 27409 and our telephone number is (336) 664-1233.</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hanging="332"/>
        <w:spacing w:after="0" w:line="26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is a leading global supplier of cellular RF and Wi-Fi solutions into a variety of mobile devices, including smartphones,</w:t>
      </w:r>
      <w:r>
        <w:rPr>
          <w:rFonts w:ascii="Arial" w:cs="Arial" w:eastAsia="Arial" w:hAnsi="Arial"/>
          <w:sz w:val="17"/>
          <w:szCs w:val="17"/>
          <w:i w:val="1"/>
          <w:iCs w:val="1"/>
          <w:color w:val="auto"/>
        </w:rPr>
        <w:t xml:space="preserve"> </w:t>
      </w:r>
      <w:r>
        <w:rPr>
          <w:rFonts w:ascii="Arial" w:cs="Arial" w:eastAsia="Arial" w:hAnsi="Arial"/>
          <w:sz w:val="17"/>
          <w:szCs w:val="17"/>
          <w:color w:val="auto"/>
        </w:rPr>
        <w:t>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("CA")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BAW and surface acoustic wave ("SAW") filters, power amplifiers ("PAs"), low noise amplifiers ("LNAs"), switches, multimode multi-band PAs and transmit modules, RF power management integrated circuits ("ICs"), diversity receive modules, antenna switch modules, antenna tuning and control solutions, modules incorporating PAs and duplexers ("PADs") and modules incorporating switches, PAs and duplexers ("S-PADs").</w:t>
      </w:r>
    </w:p>
    <w:p>
      <w:pPr>
        <w:spacing w:after="0" w:line="182" w:lineRule="exact"/>
        <w:rPr>
          <w:rFonts w:ascii="Arial" w:cs="Arial" w:eastAsia="Arial" w:hAnsi="Arial"/>
          <w:sz w:val="17"/>
          <w:szCs w:val="17"/>
          <w:color w:val="auto"/>
        </w:rPr>
      </w:pPr>
    </w:p>
    <w:p>
      <w:pPr>
        <w:ind w:left="340" w:right="22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with a diverse portfolio of solutions that "connect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spanning communications and defense applications. These applications include high performance defense systems such as radar, electronic warfare and communication systems, Wi-Fi CPE for home and work, high speed connectivity in Long-Term Evolution ("LTE") and 5G base stations, cloud connectivity via data center communications and telecom transport, automotive connectivity and other IoT, including smart home solutions. IDP products include GaAs and GaN PAs, LNAs, switches, complementary metal oxide semiconductor ("CMOS") system-on-a-chip ("SoC") solutions, premium BAW and SAW filter solutions and various multi-chip and hybrid assemblies.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financial information about the results of our operating segments for each of the last three fiscal years, see Note 16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business is diversified primarily across seven strategic end markets: mobile devices, defense and aerospace, CPE Wi-Fi, cellular base stations, optical, automotive connectivity and smart home. These markets compose the primary building blocks of the IoT.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our largest market, mobile devices, the most significant trend today is the increasing demand for ubiquitous broadband mobile data. This is driven primarily by video, with data traffic for video exceeding data traffic for web browsing and voice. Compounding this, consumers want higher resolution screens and access to streaming media, real-time traffic/navigation, GPS, Bluetooth® connectivity and Wi-Fi. In response, leading smartphone providers are adding 4G LTE and 5G bands of coverage to their flagship devices to reduce development costs and enable larger, more concentrated marketing budgets in support of fewer models. They are also adding CA technology to enable simultaneous communication over multiple frequency bands. This helps network operators optimize spectral efficiency and provides an enhanced user experience for consumers. Both trends expand RF content and drive higher levels of integration, which can increase performance requirements for RF components and narrow the competitive field. We see these trends continuing, as consumers increasingly expect always-on, ultra-low latency, broadband connectivity and as smartphone manufacturers and network operators seek to enhance performance and the user experience generation-over-generation.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30"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global defense and aerospace industries are sharply focused on balancing cost, RF performance and power consumption. The trends toward phased arrays and higher frequencies of operation are expanding the market opportunities for monolithic microwave integrated circuits ("MMICs") and discrete PAs, LNAs, passive devices, die level solutions and multichip modules leveraging multiple semiconductor technologies and advanced packaging techniques. Additionally, as with all RF communications systems, spectrum is becoming increasingly crowded and requires interference-free connections which are addressed by premium filtering solutions. These factors continue to drive demand for increased reliability and performance to address current and next generation communications for defense and national security capabilities, both domestic and with international partners.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CPE Wi-Fi</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Wi-Fi markets, consumer and enterprise demand for faster data rates, the growth in connected users and the higher performance requirements of 802.11ac and 802.11ax mandate best-in-class RF solutions. Wi-Fi is continuing to proliferate within CPE, including routers, access points, set-top boxes and smart televisions, as well as in automobiles. As spectrum becomes more crowded, the demand for interference-free transmission and reception is expected to drive the demand for high performance filters in RF solutions for Wi-Fi equipment.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widespread use of data-intensive applications has driven cellular operators to require more power-efficient designs and solutions that enable increased capacity from cellular networks. To meet network demand, network equipment manufacturers are using techniques such as CA, moving to new RF frequency bands that have wider channel bandwidths and incorporating cloud radio access networks, which use a virtual radio access technology and remote radio heads. As demand for data-intensive applications continues to grow, the next generation network, called 5G, is forecasted to begin commercial rollout in 2020. 5G networks will continue the progression of operating at much higher frequencies, likely at 28GHz and 39GHz. In the meantime, operators will continue to evolve the performance of their LTE networks and run field trials to prove out 5G technologies and solutions. The future trends in the base station market include implementation of Multiple Input Multiple Output ("MIMO") and small cells.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Optical</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optical market is comprised of traditional long haul, telecom network applications and hyperscale data center applications. Telecom applications typically involve high-speed networks of fiber optic cable to enable voice and data communications in a transcontinental, regional or city-wide area. Data center applications support the processing and routing of massive amounts of internet data traffic to, from and within hyperscale facilities used by Web 2.0 participants like Facebook, Google and Amazon in support of their proprietary, cloud-based applications. High-speed throughput, efficient power consumption and cost efficiency are key attributes of the hyperscale data center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Connectivity</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automobile is becoming a more connected device with the addition of multiple RF based connectivity solutions such as satellite radio, in-car infotainment and LTE connectivity solutions. Looking forward, new standards are expected to be deployed that will connect the car to other vehicles or to highway infrastructure. All of these applications create opportunities that will drive the need for RF solutions that will enhance passenger comfort, convenience and safety. Most of these applications require AEC-Q100 qualified solutions, which is the standard in the automobile industry. Additionally, in this market most of the communications devices will need to share frequency spectrum with either licensed or unlicensed users.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smart home is characterized as a dwelling that contains devices such as sensors that detect light, motion or temperature, or whether doors are open, closed, locked or unlocked, and actuators to implement a command such as lowering the temperature or opening your garage door. Typically, these devices can be controlled via the internet, by a computer or phone or through a direct peer-to-peer connection such as a television remote control. The solutions often utilize industry open standard technologies like Bluetooth Low Energy ("BLE"), ZigBee, and Thread as well as proprietary solutions to link to a central gateway that connects to the internet.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also participate in several smaller markets including broadband cable, point-to-point radio, Very Small Aperture Terminal ("VSAT") and cellular machine-to-machine ("M2M") applications.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Applications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semiconductor solutions serve RF, microwave and millimeter-wave applications. We believe our products deliver key advantages, as measured by size, weight, linearity, distortion, output power, power-added efficiency, selectivity, frequency control, and other critical performance metrics.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utilize specialized substrate materials such as GaAs, gallium nitride on silicon carbide (GaN on SiC), silicon germanium (SiGe) and silicon for power amplifiers. We use silicon on insulator (SOI) for tuners and switches and silicon for controllers. Our filters use substrates made of lithium tantalate for SAW filters, lithium niobate for temperature compensated SAW filters (TC-SAW) and silicon for BAW filters. We use heterojunction bipolar transistor ("HBT") and pseudomorphic high electron mobility transistors ("pHEMT") technologies for our GaAS and GaN power amplifiers. We use solid mounted resonator ("SMR") technology to manufacture our BAW filters.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Qorvo’s MP product portfolio includes our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product families.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leverages Qorvo’s product and technology leadership, systems-level expertise and advanced integration capabilities to combine all major transmit and receive RF functionality in highly integrated, high-performance, split-band placements. Qorvo’s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modules leverage our deep systems-level expertise to integrate core cellular transmit and receive functionality in high-performance multiband PA modules and transmit modules.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solutions support the industry’s most advanced smartphone architectures, and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solutions support cost-optimized performance-tier smartphone architectures.</w:t>
      </w:r>
    </w:p>
    <w:p>
      <w:pPr>
        <w:spacing w:after="0" w:line="1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Qorvo is a pioneer in envelope tracking ("ET") technology, which we incorporate into power management components and our most advanced PAs. We also offer ET-capable PAs for third-party power management components. Our ET technology enables us to track the envelope of high-speed modulation signals and adjust the PA in real time to maximize efficiency and maintain the requisite levels of linearity. This is increasingly necessary to maximize data rates and satisfy user expectations for battery life and case temperatures.</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mobile product portfolio includes filters, duplexers, switches, multimode/multi-band PAs and transmit modules, RF power management ICs, diversity receive modules, antenna switch modules, antenna tuning and control solutions, and modules incorporating PAs, PADs, and S-PADs.</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Historically, we have experienced seasonal fluctuations in the sale of mobile products, with revenue strongest in our second and third fiscal quarters and weakest in our fourth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Contractors serving the United States and other governments use our high performance and high reliability products for mission critical solutions across the military and aerospace industry. Our die-level integrated circuits and discrete components, MMICs and multi-chip modules are key components for radar, electronic warfare and communications systems. Program applications include major shipboard, airborne and battlefield radar systems as well as communications and electronic warfare. We supply a wide range of products for large-scale programs with long lead-times. Once a component has been designed into an end-use military application, it is generally used during the entire production life of the end-use system.</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for defense radar applications bring new capabilities to detect and neutralize threats against aircrews and shipboard and infantry forces around the globe. Our microwave PAs provide the power at the heart of phased array radar. These radars consist of large element arrays composed of many individual integrated circuits, with the capability to track multiple targets simultaneously. We are strategically teamed with top tier contractors to offer this type of capability to new domestic and multi-national production programs, along with retrofits of other essential tactical military assets with critical enhancements and service life extension capabilities.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defense communications field, we supply filters, amplifiers and other components for handheld and satellite communications systems. In addition, we use our packaging and integrated assembly expertise to speed designs, facilitate multi-chip package evolution and deliver cost-effective solutions.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the leading supplier of GaN-based products to global defense and aerospace markets and are directly engaged with the United States government, primarily through contracts with the Defense Advanced Research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Project Agency, the Air Force Research Laboratory and the Office of Naval Research, to develop next generation GaN devices for future high-power phased array radar, electronic warfare and communications systems. The DoD has certified our GaN fabrication and production capabilities at Manufacturing Readiness Level 9, the highest in the industry.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CPE Wi-Fi</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address the high performance requirements demanded in customer premises Wi-Fi equipment through our portfolio of differentiated products, including discrete high power amplifiers, and integrated front-end modules ("iFEMs") for mid and low power, and our discrete and integrated BAW filter capabilities. Our products primarily target high-end Wi-Fi market segments, including retail (routers, extenders and repeaters), distributed mesh solutions, enterprise, service provider and carrier grade Wi-Fi. Our solutions enable better home and business coverage with the faster and more reliable connections required for video streaming, augmented/virtual reality and high density user environments. We use our GaN and GaAs technologies to supply leading Wi-Fi chipset providers with highly integrated, power-efficient solutions and we use our premium filter technologies to provide coexistence and band-edge solutions to address interference issues due to spectrum crowding. This approach aligns with our key customers’ need for more highly integrated, cost-effective solutions to provide a high-quality user experience at affordable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offer a broad set of custom RF amplifier solutions, receive module technologies and premium filter solutions to the leading base station OEMs to address the current and future needs of this market. To address the increasing market demands for more power-efficient designs and increased network capacity, we offer transceiver products supporting LTE massive MIMO deployments, primarily in China and Japan. Our integrated solutions for these massive MIMO systems include switch-LNA modules, variable gain amplifiers and integrated PA modules. Our GaAs base station solutions offer differentiated low noise performance, while our GaN amplifiers combine high linearity and efficiency with high output power and low power consumption. We are a strategic supplier of transceiver solutions to base station OEM market leaders, and we expect to continue to grow these relationships with new product categories.</w:t>
      </w:r>
    </w:p>
    <w:p>
      <w:pPr>
        <w:spacing w:after="0" w:line="16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are leveraging our legacy defense product capabilities across low frequencies up through millimeter wave to respond to the product demands of the next generation 5G networks for sub-6GHz and millimeter wave solutions. Our current products are embedded in ongoing 5G field trials, and we have multiple product development engagements with top OEMs to intersect network operators’ timelines for deployment of 5G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Optical</w:t>
      </w:r>
    </w:p>
    <w:p>
      <w:pPr>
        <w:spacing w:after="0" w:line="23"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We supply linear and nonlinear driver solutions and trans-impedance amplifiers (“TIAs”) to the optical market and have leveraged this market position by extending our product offerings to include TIAs for long haul telecom, metro and datacenter interconnect applications. These differentiated, value-added products balance performance with the cost per gigabit for our customers. Achieving this balance requires a mix of internal and external semiconductor technologies and innovative packaging. Technologies used for our optical products include GaAs pHEMT, Indium Phosphide ("InP"), SiGe and silicon. In addition, we were the first to offer optical drivers with surface mount packaging and we continue to innovate to create smaller products that consume less power and enhance throughput to address the 40G, 100G, 200G and beyond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Connectivity</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To address the growing demand for connected car solutions, including solutions for cellular LTE, Wi-Fi, and satellite digital audio radio service, we offer a product portfolio that includes differentiated BAW filters, LNAs, switches, PAs and LTE front end solutions, all of which meet or exceed the industry’s automotive level quality and reliability standards. Our BAW and SAW solutions address interference issues due to licensed and unlicensed frequency bands being contiguous or overlapping. We leverage our mobile and CPE Wi-Fi and cellular LTE product portfolios and other technology combinations to address the industry needs. We have products on multiple reference designs with key chipset makers to address future vehicle-to-vehicle communication requirements.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product portfolio for the smart home market consists of silicon CMOS SoC devices and the associated firmware and software to drive the radio functions and enable application software to interface with the SoC. To augment the SoC, we offer various configurations of filtering and amplification utilizing our extensive portfolio of filters, amplifiers and LNAs. Our solutions are vertically focused on applications that perform the functions of remote controls, and we provide support to our customers to enable development of application software to run on our platforms. Our solutions typically support open standard technologies such as BLE, ZigBee, and Thread. Our smart home product development efforts are focused on driving more functionality and system power savings features into our hardware and software architectures to address the needs of battery powered devices, primarily remote controls. We are also engaged with overall ecosystem providers to develop products beyond remote controls to address next generation smart home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majority of our products are multi-chip modules utilizing multiple semiconductor and acoustic material processing technologies. These products have varying degrees of complexity and contain semiconductors and other components that are manufactured in-house or outsourced. We are a leading supplier of RF solutions and a leading manufacturer of GaAs HBT, GaAs pHEMT, GaN, SAW, TC-SAW and BAW products.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operate wafer fabrication facilities for the production of GaAs, GaN, SAW, TC-SAW and BAW wafers in Apopka, Florida; Greensboro, North Carolina; Hillsboro, Oregon; and Richardson, Texas. We also use multiple silicon-based process technologies, including SOI, SiGe and CMOS. We outsource all silicon manufacturing to leading silicon foundries located throughout the world. We have a global supply chain and ship millions of units per day.</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our own flip chip and wafer-level packaging ("WLP") technologies and we also use external suppliers for these and other packaging technologies. In flip chip packages, the electrical connections are created directly on the surface of the die, which eliminates wirebonds so the die may be attached directly to a substrate or leadframe. This type of technology provides a higher density interconnection than wirebonded die and enables smaller form factors with improved thermal and electrical performance. We use WLP technologies for our SAW, TC-SAW and BAW filter products.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Once semiconductor wafers are manufactured, they are singulated, or separated, into individual units called die. Prior to singulation of wafers into die, we regularly conduct wafer level tests which could include electrical validation, RF testing through the designed frequency bands, as well as visual inspection. For module products, the next step is assembly. During assembly, the die and other components are placed on high-density interconnect substrates to provide connectivity between the die and the components. This populated substrate is formed into a microelectronic package. Next, the products are tested for RF performance and prepared for shipment through a tape and reel process. We primarily use internal assembly facilities in China, Costa Rica, Germany, and the U.S., and we also utilize external suppliers. We also manufacture large volumes of WLP die and discrete filters that our customers directly assemble into their products.</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Manufacturing yields can vary significantly between products, based on a number of factors, including product complexity and the maturity of our manufacturing processes. To maximize wafer yields and quality, we test products multiple times, maintain continuous reliability monitoring and conduct numerous quality control inspections throughout the production flow.</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internal manufacturing facilities require a high level of fixed costs, consisting primarily of occupancy costs, maintenance, repair, equipment depreciation, and fixed labor costs related to manufacturing and process engineering.</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ICs and filter products are highly complex and sensitive to contaminants, and semiconductor fabrication requires highly controlled, clean environments. Wafers can be rejected or die on a wafer can be found to be nonfunctional as a result of minute impurities, variances in the fabrication process or defects in the masks used to transfer circuits onto the wafers.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manufacturing facilities worldwide are certified to the ISO 9001 quality standard, and select locations are certified to additional automotive (IATF 16949), aerospace (AS 9100) and environmental (ISO 14001) standards.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We require that all of our key vendors and suppliers be compliant with select standards,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purchase numerous raw materials, passive components and substrates for our products and manufacturing processes. For our GaAs and GaN manufacturing operations, we use several raw materials, including GaAs wafers and GaN on SiC wafers. For our acoustic filter manufacturing operations, we use several raw materials, including wafer starting materials made from quartz, silicon, lithium niobate or lithium tantalite, as well as ceramic or metal packages. Relatively few companies produce these materials. Our most significant suppliers of ceramic surface mount packages are based in Japan.</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our silicon-based products, we use third-party foundries. High demand for silicon wafers and wafer starting materials has led to supply constraints from time-to-time, and we have attempted to address this by qualifying multiple silicon foundries and by obtaining supply commitments, in some cases in exchange for purchase or capital commitments by us.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and test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We believe we have adequate sources for the supply of raw materials, passive components and substrates for our products and manufacturing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design, develop, manufacture and market products for leading U.S. and international OEMs and ODMs. We also collaborate with leading baseband reference design partners located primarily in the U.S. and China.</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provided our products to our largest end customer, Apple Inc. ("Apple"), through sales to multiple contract manufacturers, which in the aggregate accounted for 36%, 34%, and 37% of total revenue in fiscal years 2018, 2017 and 2016, respectively. Huawei Technologies Co., Ltd. ("Huawei") accounted for 8%, 11% and 12% of our total revenue in fiscal years 2018, 2017 and 2016, respectively. These customers primarily purchase cellular RF and Wi-Fi solutions offered by our MP segment for a variety of mobile devices, including smartphones, notebook computers, wearables, tablets and cellular-based applications for the IoT.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Some of our sales to overseas customers are made under export licenses that must be obtained from the United States Department of Commerce.</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Information about revenue (including segment revenue), operating profit or loss and total assets is presented in Part II, Item 8, “Financial Statements and Supplementary Data”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sell our products worldwide directly to customers as well as through a network of domestic and foreign sales representative firms and distributors. We select our domestic and foreign sales representatives based on technical skills and sales experience, the presence of complementary product lines and the customer base served. We provide ongoing training to our internal and external sales representatives and distributors to keep them educated about our products.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website contains extensive product information, and we publish a comprehensive product selection guide annually.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platform providers and provide them strong technical support to help anticipate future product needs and enhance their customer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maintain a high level of investment in research and development ("R&amp;D") to develop the advanced technologies and products necessary to lead in the markets we serve. Our R&amp;D activities focus primarily on large, competitive design win opportunities for major programs at key customers, which typically requires us to improve the year-over-year functional density, performance, size and cost of our products. We also devote significant R&amp;D resources for targeted development of new products for general release to various markets. Our R&amp;D efforts require us to focus on both continuous improvement in our processes for design and manufacture as well as innovation in fundamental areas like materials, software and firmware, semiconductor process technologies, simulation and modeling, systems architecture, circuit design, device packaging, module integration and test.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several generations of GaAs, GaN, BAW and SAW process technologies that we manufacture internally. We invest in these technologies to improve device performance, reduce die size and reduce manufacturing costs. We also help develop and qualify technologies made by key suppliers, including SOI for switches and RF signal conditioning solutions, SiGe and InP for amplifiers, and CMOS for power management devices and SoC solutions. We combine these external technologies with our proprietary design methods, intellectual property and other expertise to improve performance, increase integration and reduce the size and cost of our products.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invest in GaN process technologies and continue to develop and release new GaN-based products to exploit GaN’s performance advantages. The inherent wide band gap, high electron mobility, and high breakdown voltage characteristics of GaN semiconductor devices offer significant performance advantages versus competing technologies.</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develop and qualify advanced packaging technologies to allow us to eliminate wire bonds, reduce component size, improve performance and reduce package costs. We are also investing in large scale module assembly and test capabilities to bring these technologies to market in very high volumes.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fiscal years 2018, 2017 and 2016, we incurred approximately $445.1 million, $470.8 million and $448.8 million, respectively, in R&amp;D expenses. We expect to continue to spend substantial funds on R&amp;D in support of our growth and product diversification.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in a competitive industry characterized by rapid advances in technology and new product introductions. Our customers’ product life cycles are often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their cost limitations. The selection process for our products to be included in our customers’ products is highly competitive, and our customers provide no guarantees that our products will be included in the next generation of products introduced.</w:t>
      </w:r>
    </w:p>
    <w:p>
      <w:pPr>
        <w:spacing w:after="0" w:line="178"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We compete primarily with the following companies: Analog Devices, Inc.; Broadcom Limited; M/A-COM Technology Solutions, Inc.; Murata Manufacturing Co., Ltd.; Northrop Grumman Corporation; Qualcomm Technologies, Inc.; Skyworks Solutions, Inc.; and Sumitomo Electric Device Innovations.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intellectual property and substantial technological capabilities. In some cases, our competitors are also our customers or suppliers. Additionally, many of our competitors may have significantly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greater financial, technical, manufacturing and marketing resources than we do, which may allow them to implement new technologies and develop new products more quickly than we can.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believe our intellectual property, including patents, copyrights, trademarks and trade secrets, is important to our business, and we actively seek opportunities to leverage our intellectual property portfolio to promote our business interests. We also actively seek to monitor and protect our global intellectual property rights and to deter unauthorized use of our intellectual property and other assets. Such efforts can be difficult because of the absence of consistent international standards and laws. Moreover, we respect the intellectual property rights of others and have implemented policies and procedures to mitigate the risk of infringing or misappropriating third party intellectual property.</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intellectual property rights to the same extent as U.S. laws. We have approximately 1,300 patents that expire from 2018 to 2038. We also continue to acquire patents through acquisitions or direct prosecution efforts and engage in licensing transactions to secure the right to practice third 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intellectual property right. As we expand our products and offerings, we also seek to expand our patent prosecution efforts to cover such products.</w:t>
      </w:r>
    </w:p>
    <w:p>
      <w:pPr>
        <w:spacing w:after="0" w:line="179"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sales are the result of standard purchase orders or specific agreements with customers. We maintain Qorvo-owned finished goods inventory at certain customers’ "hub" locations and do not recognize revenue until our customers draw down the inventory at these hubs. Our customers’ projections of consumption of hub inventory and quantities on purchase orders, as well as the shipment schedules, are frequently revised within agreed-upon lead times to reflect changes in the customers’ needs.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31, 2018, we had more than 8,300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A number of our employees in Germany (less than 5% of our global workforce as of March 31, 2018) are represented by internal works councils. We have never experienced any work stoppage, and we believe that our current employee relations are good.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Financial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area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Fiscal Year</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524,472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467,031</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306,328</w:t>
            </w: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2,449,064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2,565,543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2,304,398</w:t>
            </w:r>
          </w:p>
        </w:tc>
      </w:tr>
      <w:tr>
        <w:trPr>
          <w:trHeight w:val="27"/>
        </w:trPr>
        <w:tc>
          <w:tcPr>
            <w:tcW w:w="5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205740</wp:posOffset>
            </wp:positionV>
            <wp:extent cx="3636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1, 2017</w:t>
            </w:r>
          </w:p>
        </w:tc>
        <w:tc>
          <w:tcPr>
            <w:tcW w:w="28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 2016</w:t>
            </w: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1,089,157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1,082,754</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816,882</w:t>
            </w: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183,836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67,750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46,170</w:t>
            </w: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our products. Of our total revenue for fiscal 2018, approximately 52% ($1,539.7 million) was attributable to customers in China and 19% ($564.8 million) was attributable to customers in Taiwan. Of our total revenue for fiscal years 2017 and 2016, approximately 62% ($1,866.0 million) and 61% ($1,601.0 million), respectively, was attributable to customers in China and 13% ($398.4 million) and 14% ($365.1 million), respectively, was attributable to customers in Taiwan.</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financial information regarding our operations by geographic area, see Note 16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certain risks associated with our foreign operations, see 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provide our own manufacturing waste water pretreatment and disposal for most of our manufacturing facilities, and we have contracted for the disposal of our hazardous waste. State agencies require us to report storage and emissions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an ISO 14001:2015 certified manufacturer with a comprehensive Environmental Management System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actively monitor the hazardous materials that are used in the manufacture, assembly and testing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anticipate any material capital expenditures for environmental control facilities in fiscal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 You may also read and copy any documents that we file with the SEC at the SEC’s Public Reference Room located at 100 F Street, N.E., Room 1580, Washington, D.C. 20549. Please call the SEC at 1-800-SEC-0330 for information on the operation of the Public Reference Room.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181" w:lineRule="exact"/>
        <w:rPr>
          <w:sz w:val="20"/>
          <w:szCs w:val="20"/>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disputes and downturns in the semiconductor industry and the overall global economy;</w:t>
      </w:r>
    </w:p>
    <w:p>
      <w:pPr>
        <w:spacing w:after="0" w:line="170" w:lineRule="exact"/>
        <w:rPr>
          <w:rFonts w:ascii="Arial" w:cs="Arial" w:eastAsia="Arial" w:hAnsi="Arial"/>
          <w:sz w:val="18"/>
          <w:szCs w:val="18"/>
          <w:color w:val="auto"/>
        </w:rPr>
      </w:pPr>
    </w:p>
    <w:p>
      <w:pPr>
        <w:ind w:left="660" w:right="10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that they hold and to forecast accurately their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acquire additional capacity in response to customer demand.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 as our industry’s product life cycles are short and our customers' requirements change rapidly.</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largest markets are characterized by short product life cycles and the frequent introduction of new products in response to evolving product requirements, driven by end user demand for more functionality, improved performance, lower costs and smaller form factors. Our largest MP customers typically refresh some or all of their product portfolios by releasing new models each year. In some cases, product designs we pursue represent either opportunities to substantially increase our revenue by winning a new design or a risk of a substantial revenue loss by losing an incumbent product in a customer's device.</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future success is dependent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product design engineers;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timely completion of product designs and ramp up of new products according to our customers’ needs with acceptable manufacturing yields;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performing product. If we are unsuccessful in achieving design wins against our competitors, our revenue and operating results will be adversely affected.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substantial portion of our MP revenue comes from large purchases by a small number of customers. Our future operating results depend on both the success of our largest customers and on our success in diversifying our products and customer base. Collectively, our two largest end customers accounted for an aggregate of approximately 44%, 45% and 49% of our revenue for fiscal years 2018, 2017 and 2016, respectively.</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typically manufacture custom products on an exclusive basis for individual customers for a negotiated period of time. Increasingly, the top-tier cellular handset OEMs are releasing fewer new phone models on an annual basis, which heightens the importance of achieving design wins for these larger opportunities. While the financial rewards and market affirmation from a design win for these premier customers are greater, competition for these projects is intense. The concentration of our revenue with a relatively small number of customers makes us particularly dependent on factors, both positive and negative, affecting those customers. If demand for their products increases, our results are favorably impacted, while if demand for their products decreases, they may reduce their purchases of,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in the past with certain suppliers. Quality or reliability issues in our supply chain could negatively affect our products, our reputation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sales through distributors.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sell a significant portion of our products through third 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operate wafer fabrication facilities in Florida,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related to our facilities will affect our business and financial results, including the following:</w:t>
      </w:r>
    </w:p>
    <w:p>
      <w:pPr>
        <w:spacing w:after="0" w:line="225" w:lineRule="exact"/>
        <w:rPr>
          <w:sz w:val="20"/>
          <w:szCs w:val="20"/>
          <w:color w:val="auto"/>
        </w:rPr>
      </w:pPr>
    </w:p>
    <w:p>
      <w:pPr>
        <w:ind w:left="5620" w:right="2760" w:hanging="5288"/>
        <w:spacing w:after="0" w:line="559"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 16</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factory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political, regulatory and economic risks associated with our international manufacturing operations;</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applicable environmental and other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worldwide operations and business could be disrupted by natural disasters, industrial accidents, cybersecurity incidents, telecommunications failures, power or water shortages, extreme weather conditions, public health issues, military actions, acts of terrorism, political or regulatory issues and other man-made disasters or catastrophic events.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products have unique designs and are fabricated using multiple semiconductor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30" w:right="2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minute impurities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packaging.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deviations from required specifications could include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writing off the value of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disposing of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recalling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product replacements or modifications;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and indirect costs incurred by our customers in recalling their products due to defects in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increased inventory risks and costs because we build our products based on forecasts provided by customers before receiving purchase orders for the products.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ensure availability of our products for some of our largest end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write-off inventory, which would have a negative impact on our gross margin and other operating results.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Platform providers are typically large companies that provide system reference designs for OEMs and ODMs that include the platform provider’s baseband and other complementary products. A platform provider may own or control IP that gives it a strong market position for its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in recent years as platform providers have worked to develop more fully integrated solutions that include their own RF technologies and components.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testing facilities in multiple countries, and some of our business activities may be concentrated in one or more geographic areas. As a result, we are subject to regulatory, geopolitical and other risks associated with doing business outside the U.S.,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and local economic and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controls and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 trade (including import/export regulations) and other related restrictions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labor market conditions and workers’ rights affecting our transportation or manufacturing arrangements or those of our customers or suppliers;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occurrences of geopolitical crises such as terrorist activity, armed conflict, civil or military unrest or political instability, which may disrupt manufacturing, assembly, logistics, security and communications and result in reduced demand for our products;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pandemics and similar major health concerns, which could adversely affect our business and our customer order patterns.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to customers located outside the U.S. accounted for approximately 82% of our revenue in fiscal 2018, of which approximately 52% and 19% were attributable to sales to customers located in China and Taiwan, respectively.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imposition by the U.S. of tariffs on goods imported from China and other government actions that restrict our ability to sell our products to Chinese customers, and countermeasures imposed by China in response, could directly or indirectly adversely impact our manufacturing costs and the sales of our products in China and other markets.</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Costa 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significant portion of our assembly and testing capacity in China. In recent years, the Chinese economy has experienced periods of rapid expansion and wide fluctuations in the rate of inflation. In response to these factors, the Chinese government has, from time to time, adopted measures to regulate growth and contain inflation, including measures designed to restrict credit or to control prices. Such actions in the future, as well as other changes in Chinese laws and regulations, could increase the cost of doing business in China or decrease the demand for our products in China, which could have a material adverse effect on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compete with several companies primarily engaged in the business of designing, manufacturing and selling RF solutions, as well as suppliers of discrete integrated circuits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difficult to predict future demand for our products, which makes it difficult to estimate future requirements for production capacity. Capacity expansion projects have long lead times and require capital commitments based on forecasted product trends and demand well in advance of production orders from customers. In recent years, we have made significant capital investments to expand our BAW, SAW and TC-SAW filter capacity to address forecasted future demand patterns.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capacity additions by us and our competitors sometimes exceeded demand requirements, leading to overcapacity situations. Fluctuations in the growth rate of industry capacity relative to the growth rate in demand for our products also lead to overcapacity and contribute to cyclicality in the semiconductor market.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many of our manufacturing costs are fixed, these costs cannot be reduced in proportion to the reduced revenues experienced during periods in which we underutilize our manufacturing facilities as a result of overcapacity. If the demand for our products is not consistent with our expectations, underutilization of our manufacturing facilities may have a material adverse effect on average selling prices, our gross margin and other operating results. If demand for our products experiences a prolonged decrease, we may be required to write down our long-lived assets or shorten the useful lives of underutilized assets and accelerate depreciation, which would increase our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5, 2017, we entered into a five-year unsecured senior credit facility pursuant to a credit agreement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or the Term Loan (as defined below) be increased by an amount not to exceed $300.0 million. The revolving credit facility is available to finance working capital, capital expenditures and for other corporate purposes. This facility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67"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We may not be able to generate sufficient cash to service all of our debt, including our Term Loan and Senior Notes, or to fund capital expenditures and may be forced to take other actions to satisfy our debt obligations and financing requirements, which may not be successful or on terms favorable to us.</w:t>
      </w:r>
    </w:p>
    <w:p>
      <w:pPr>
        <w:spacing w:after="0" w:line="10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Credit Agreement also includes a $400.0 million senior delayed draw term loan (the "Term Loan"), of which $100.0 million was funded at closing and then subsequently repaid during March 2018. At our discretion, we may draw down the remaining balance in up to two advances prior to June 5, 2018.</w:t>
      </w:r>
    </w:p>
    <w:p>
      <w:pPr>
        <w:spacing w:after="0" w:line="12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November 2015, we issued $450.0 million aggregate principal amount of 6.75% Senior Notes due 2023 (the "2023 Notes") and $550.0 million aggregate principal amount of 7.00% Senior Notes due 2025 (the "2025 Notes" and together with the 2023 Notes, the "Notes"). The Notes were issued pursuant to an indenture dated as of November 19, 2015 (the "Indenture"). In September 2016, we completed an exchange offer, in which all of the 2023 Notes and substantially all of the 2025 Notes were exchanged for new notes that have been registered under the Securities Act of 1933, as amended (the "Securities Act"). Our ability to make scheduled payments on or to refinance our debt obligations, including the Term Loan and the Notes,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the principal, premium, if any, and interest on our debt, including the Term Loan and the Notes. If our cash flows and capital resources are insufficient to fund our debt service obligations, we may face liquidity issues and be forced to reduce or delay investments and capital expenditures, or to sell assets, seek additional capital or restructure or refinance our debt, including the Term Loan and the Notes. These alternative measures may not be successful and may not permit us to meet our scheduled debt service and other obligations. Additionally, the agreements governing our Credit Agreement and the Indenture governing the Notes limit the use of the proceeds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any disposition; as a result, we may not be allowed under these documents to use proceeds from such dispositions to satisfy our debt service obligations. Further, we may need to refinance all or a portion of our debt on or before maturity, and we cannot be sure that we will be able to refinance any of our debt on commercially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Credit Agreement governing our revolving credit facility and the Term Loan and the Indenture governing the Notes contain a number of significant restrictions and covenants that limit our ability to:</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covenants could have the effect of limiting our flexibility in planning for or reacting to changes in our business and the markets in which we compete. In addition, the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credit facility. If we violate covenants under the Credit Agreement and are unable to obtain a waiver from our lenders, our debt under our revolving credit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on terms that are acceptable to us, or at all.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and economic and political conditions, including market conditions in the semiconductor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operations and stock performance of competitors and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 and restructuring;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acquisitions, strategic alliances, capital commitments, or new products announced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cannot assure you that the price of our common stock will not fluctuate or decline significantly in the future. In addition, the stock market in general can experience considerable price and volume fluctuations that are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repurchases may fluctuate.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amount and timing of our stock repurchases may fluctuate based on a number of factors, including our priorities for the use of our cash for other purposes, such as capital spending and acquisitions, restrictions under securities laws and because of changes in our cash flows, tax laws and the market price of our common stock.</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dilute our stockholders’ ownership, cause us to incur debt and assume contingent liabilities or adversely affect our results of operations.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business strategy, we expect to continue to review potential acquisitions and strategic investments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19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from a company we acquire or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dissynergies or other harm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or impairment of investments from unsuccessful research and development by companies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order to compete, we must attract, retain, and motivate key employees, and our failure to do so could harm our business and our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effectively, we must: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 and filter design, and technical marketing and support, is limited. In addition, existing or new immigration laws, policies or regulations in the U.S. may limit the pool of available talent. Travels bans, difficulties obtaining visas and other restrictions on international travel could make it more difficult to effectively manage our international operations, collaborate as a global company or service our international customer base. We cannot be sure that we will be able to attract and retain skilled personnel in the future, which could harm our business and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our intellectual property portfolio and may not be able to successfully protect against the use of our intellectual property by third parties.</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countries in which our products are developed, manufactured or sold may not protect our products or intellectual property rights to the same extent as U.S. laws. This increases the possibility of piracy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finding could adversely affect the demand for our products.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networks and implement various procedures to restrict unauthorized access to our proprietary information.</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As a 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or cause us to incur significant costs to remedy the damages caused by the incident.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18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costs related to cyber-attacks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product development delays, or diversion of the attention of management and key information technology and other resources, or otherwise adversely affect our internal operations and reputation or degrade our financial results and stock price.</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to run our business, or by our third 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privacy legislation, enforcement, and policy activity in this area are rapidly expanding and creating a complex regulatory compliance environment. For example, the European Union adopted the General Data Protection Regulation ("GDPR"), which requires companies to meet new requirements beginning in May 2018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related or data protection laws and regulations could result in proceedings against us by governmental entities or others.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environmental, health and safety regulations and climate change.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a broad array of U.S.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Our failure to comply with any of these existing or future laws or regulations could result in:</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penalties and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liabilities, including financial responsibility for remedial measures if our properties are contaminated;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to secure required permits and governmental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curtailment of our manufacturing, assembly and test processes;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70"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Compliance with these policies increases our operating expenses and non-compliance can adversely affect customer relationships and harm our business.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Various jurisdictions are developing other climate change-based regulations that also may increase our expenses and adversely affect our operating results. We expect increased worldwide regulatory activity relating to climate change in the future. Future compliance with these laws and regulations may adversely affect our business and results of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30"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Regulations in the U.S. currently require that we determine whether certain materials used in our products, referred to as conflict minerals, originated in the Democratic Republic of the Congo or adjoining countries, or were from recycled or scrap sources. The verification and reporting requirements could affect the sourcing and availability of minerals that are used in the manufacture of our products. We have incurred costs and expect to incur additional costs associated with complying with these requirements. Additionally, we may face reputational challenges with our customers and other stakeholders if we are unable to sufficiently verify the origins of all minerals used in our products through the due diligence procedures that we implement. We may also face challenges with government regulators and our customers and suppliers if we are unable to sufficiently make any required determination that the metals used in our products are conflict free.</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24" w:lineRule="exact"/>
        <w:rPr>
          <w:sz w:val="20"/>
          <w:szCs w:val="20"/>
          <w:color w:val="auto"/>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methods, estimates and judgments we use in applying our accounting policies have a significant impact on our results of operations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in Part II, Item 7 of this report). Such methods, estimates and judgments are, by their nature, subject to substantial risks,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assumptions, and factors may arise over time that lead us to change our methods, estimates and judgments that could significantly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we make about the scope of our future operations could affect our future financial results.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time to time, changes in the business environment have led us to change the scope of our operations or business, which has resulted in restructuring and asset impairment charges, and this could occur in the future.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amount and timing of such charges can be difficult to predict. Factors that contribute to the amount and timing of such charges include:</w:t>
      </w:r>
    </w:p>
    <w:p>
      <w:pPr>
        <w:spacing w:after="0" w:line="225" w:lineRule="exact"/>
        <w:rPr>
          <w:sz w:val="20"/>
          <w:szCs w:val="20"/>
          <w:color w:val="auto"/>
        </w:rPr>
      </w:pPr>
    </w:p>
    <w:p>
      <w:pPr>
        <w:ind w:left="660" w:right="5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execution of plans and programs that are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future divestitures and the amount and type of proceeds realized from such divestitures;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impact our results of operations.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subject to taxation in China, Germany, Singapore, the U.S.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our overall profitability and the amount of profit determined to be earned and taxed in jurisdictions with differing statutory tax rates;</w:t>
      </w:r>
    </w:p>
    <w:p>
      <w:pPr>
        <w:spacing w:after="0" w:line="236"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 including those described in Note 12 of the Notes to the Consolidated Financial Statements set forth in Part II, Item 8 of this report;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 and</w:t>
      </w:r>
    </w:p>
    <w:p>
      <w:pPr>
        <w:spacing w:after="0" w:line="225" w:lineRule="exact"/>
        <w:rPr>
          <w:rFonts w:ascii="Arial" w:cs="Arial" w:eastAsia="Arial" w:hAnsi="Arial"/>
          <w:sz w:val="18"/>
          <w:szCs w:val="18"/>
          <w:color w:val="auto"/>
        </w:rPr>
      </w:pPr>
    </w:p>
    <w:p>
      <w:pPr>
        <w:ind w:right="220" w:firstLine="332"/>
        <w:spacing w:after="0" w:line="501"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country withholding taxes incurred upon repatriation. Any significant increase in our future effective tax rates could reduce net income for future periods.</w:t>
      </w:r>
    </w:p>
    <w:p>
      <w:pPr>
        <w:spacing w:after="0"/>
        <w:rPr>
          <w:sz w:val="20"/>
          <w:szCs w:val="20"/>
          <w:color w:val="auto"/>
        </w:rPr>
      </w:pPr>
      <w:r>
        <w:rPr>
          <w:rFonts w:ascii="Arial" w:cs="Arial" w:eastAsia="Arial" w:hAnsi="Arial"/>
          <w:sz w:val="17"/>
          <w:szCs w:val="17"/>
          <w:b w:val="1"/>
          <w:bCs w:val="1"/>
          <w:i w:val="1"/>
          <w:iCs w:val="1"/>
          <w:color w:val="auto"/>
        </w:rPr>
        <w:t>Changes in the favorable tax status of our subsidiaries in Costa Rica and Singapore would have an adverse impact on our operating results.</w:t>
      </w: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subsidiaries in Costa Rica and Singapore have been granted tax holidays that effectively minimize our tax expense and that are expected to be effective through March 2024 and December 2021,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In February 2017, Singapore enacted legislation that will exclude from our existing Development and Expansion Incentive grant the benefit of the reduced tax rate for Intellectual Property income earned after June 30, 2021. Future changes in the status of either tax holiday could have a negative effect on our net income in future years.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impact of new U.S. tax legislation is uncertain and could have a material adverse impact on our cash flows and results of operations.</w:t>
      </w: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December 22, 2017, the U.S. enacted comprehensive tax legislation, commonly referred to as the Tax Cuts and Jobs Act (the "Tax Act"), which includes a number of changes to U.S. tax laws that impact us, including a reduction in the U.S. federal corporate tax rate from 35% to 21%, a one-time mandatory deemed repatriation tax on earnings of certain foreign subsidiaries that were previously tax deferred, and a new minimum tax on certain foreign earnings.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30" w:right="27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analysis of the changes enacted by the Tax Act, it will continue to have a significant impact on our results of operations.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Tax Act requires complex computations to be performed that were not previously required under U.S. tax law, significant judgments to be made in interpretation of the provisions of the Tax Act, significant estimates in calculations, and the preparation and analysis of information not previously relevant or regularly produced. The United States Treasury Department, the Internal Revenue Service, and other standard-setting bodies could interpret or issue guidance on how provisions of the Tax Act will be applied or otherwise administered that is different from our initial interpretation. As we complete our analysis of the Tax Act, review all information, collect and prepare necessary data, and interpret any additional guidance, we may adjust the initial provisional amounts that we have recorded, which could have a material adverse effect on our results of operations or financial condition.</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Organisation for Economic Co-operation and Development Base Erosion and Profit Shifting initiative on tax policy and enacted laws in the countries in which we operate could increase our tax obligations.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Many countries are beginning to implement legislation and other guidance to align their international tax rules with the Organisation for Economic Co-operation’s Base Erosion and Profit Shifting recommendations and action plan, which aim to standardize and modernize global corporate tax policy, including changes to cross-border tax, transfer pricing documentation rules, and nexus-based tax incentive practices. If these changes are adopted by countries in which we do business, our tax obligations in these countries could increase. Furthermore, as a result of the heightened scrutiny of corporate taxation policies, prior decisions by tax authorities regarding treatments and positions of corporate income taxes could be subject to enforcement activities, and legislative investigation and inquiry, which could also result in changes in tax policies or prior tax rulings. Any such changes in policies or rulings may also increase our effective tax rate or result in the taxes we previously paid being subject to change, which may harm our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corporate headquarters (leased) and our MP headquarters (owned) are in Greensboro, North Carolina, where we also have a six-inch wafer production facility (owned), a design and prototyping facility (leased) and other leased office space to perform certain test and design operations. Our IDP headquarters is in Richardson, Texas (leased) and includes office space and design operations. We also have wafer fabrication facilities in Richardson, Texas (owned) and Farmers Branch, Texas (owned). In Hillsboro, Oregon, we have a single facility (owned) that includes office space and a wafer fabrication facility. We also have wafer fabrication facilities in Apopka, Florida (owned) and Bend, Oregon (leased).</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module assembly and test facilities in Beijing, China (the building is owned and we hold a land-use right for the land) and Dezhou, China (the building is leased and we hold a land-use right for the land). In the fourth quarter of fiscal 2018, we signed a definitive lease for an additional manufacturing facility in Beijing, China, where we expect to start production beginning in fiscal 2020. We have a filter assembly and test facility in Heredia, Costa Rica (owned). We also have an assembly and test site in Richardson, Texas (owned) for custom products for our aerospace and defense business and a packaging and test facility in Nuremberg, Germany (leased).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maintain numerous design centers and sales and customer support centers in leased offices located throughout Asia, Europe and North America.</w:t>
      </w:r>
    </w:p>
    <w:p>
      <w:pPr>
        <w:spacing w:after="0" w:line="2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We do not identify or allocate assets by operating segment. For information on long-lived tangible assets by country, see Note 16 of the Notes to the Consolidated Financial Statements in Part II, Item 8 of this report.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the information under the heading "Legal Matters" in Note 10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common stock is traded on the Nasdaq Global Select Market under the symbol "QRVO." The table below shows the high and low sales prices of our common stock for each of the quarters in the fiscal years ended March 31, 2018 and April 1, 2017, as reported by The Nasdaq Stock Market LLC. As of May 11, 2018, there were 775 holders of record of our common stock. This number does not include the beneficial owners of unexchanged stock certificates related to the Business Combination or the additional beneficial owners of our common stock who held their shares in street name as of that date.</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Low</w:t>
            </w: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March 31, 2018</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79.34</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63.03</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76.47</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81.20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64.53</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2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86.84</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r>
      <w:tr>
        <w:trPr>
          <w:trHeight w:val="27"/>
        </w:trPr>
        <w:tc>
          <w:tcPr>
            <w:tcW w:w="7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72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6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Low</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Fiscal Year Ended April 1, 2017</w:t>
            </w: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50.45</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69.71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52.12</w:t>
            </w:r>
          </w:p>
        </w:tc>
      </w:tr>
    </w:tbl>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have never declared or paid cash dividends on our common stock. Although we currently intend to retain our earnings for use in our business and to repurchase our common stock, our future dividend policy with respect to our common stock may change and will depend on our earnings, capital requirements, debt covenants and other factors deemed relevant by our Board of Directors.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364"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17145</wp:posOffset>
            </wp:positionV>
            <wp:extent cx="6277610" cy="4528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7610" cy="452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4"/>
                <w:szCs w:val="14"/>
                <w:b w:val="1"/>
                <w:bCs w:val="1"/>
                <w:color w:val="auto"/>
              </w:rPr>
              <w:t>January 2,</w:t>
            </w:r>
          </w:p>
        </w:tc>
        <w:tc>
          <w:tcPr>
            <w:tcW w:w="1860" w:type="dxa"/>
            <w:vAlign w:val="bottom"/>
          </w:tcPr>
          <w:p>
            <w:pPr>
              <w:ind w:left="600"/>
              <w:spacing w:after="0"/>
              <w:rPr>
                <w:sz w:val="20"/>
                <w:szCs w:val="20"/>
                <w:color w:val="auto"/>
              </w:rPr>
            </w:pPr>
            <w:r>
              <w:rPr>
                <w:rFonts w:ascii="Arial" w:cs="Arial" w:eastAsia="Arial" w:hAnsi="Arial"/>
                <w:sz w:val="14"/>
                <w:szCs w:val="14"/>
                <w:b w:val="1"/>
                <w:bCs w:val="1"/>
                <w:color w:val="auto"/>
              </w:rPr>
              <w:t>March 28,</w:t>
            </w:r>
          </w:p>
        </w:tc>
        <w:tc>
          <w:tcPr>
            <w:tcW w:w="1780" w:type="dxa"/>
            <w:vAlign w:val="bottom"/>
          </w:tcPr>
          <w:p>
            <w:pPr>
              <w:ind w:left="640"/>
              <w:spacing w:after="0"/>
              <w:rPr>
                <w:sz w:val="20"/>
                <w:szCs w:val="20"/>
                <w:color w:val="auto"/>
              </w:rPr>
            </w:pPr>
            <w:r>
              <w:rPr>
                <w:rFonts w:ascii="Arial" w:cs="Arial" w:eastAsia="Arial" w:hAnsi="Arial"/>
                <w:sz w:val="14"/>
                <w:szCs w:val="14"/>
                <w:b w:val="1"/>
                <w:bCs w:val="1"/>
                <w:color w:val="auto"/>
              </w:rPr>
              <w:t>April 2,</w:t>
            </w:r>
          </w:p>
        </w:tc>
        <w:tc>
          <w:tcPr>
            <w:tcW w:w="1760" w:type="dxa"/>
            <w:vAlign w:val="bottom"/>
          </w:tcPr>
          <w:p>
            <w:pPr>
              <w:ind w:left="660"/>
              <w:spacing w:after="0"/>
              <w:rPr>
                <w:sz w:val="20"/>
                <w:szCs w:val="20"/>
                <w:color w:val="auto"/>
              </w:rPr>
            </w:pPr>
            <w:r>
              <w:rPr>
                <w:rFonts w:ascii="Arial" w:cs="Arial" w:eastAsia="Arial" w:hAnsi="Arial"/>
                <w:sz w:val="14"/>
                <w:szCs w:val="14"/>
                <w:b w:val="1"/>
                <w:bCs w:val="1"/>
                <w:color w:val="auto"/>
              </w:rPr>
              <w:t>April 1,</w:t>
            </w:r>
          </w:p>
        </w:tc>
        <w:tc>
          <w:tcPr>
            <w:tcW w:w="1880" w:type="dxa"/>
            <w:vAlign w:val="bottom"/>
          </w:tcPr>
          <w:p>
            <w:pPr>
              <w:ind w:left="640"/>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226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7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2017</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8"/>
        </w:trPr>
        <w:tc>
          <w:tcPr>
            <w:tcW w:w="2260" w:type="dxa"/>
            <w:vAlign w:val="bottom"/>
          </w:tcPr>
          <w:p>
            <w:pPr>
              <w:spacing w:after="0"/>
              <w:rPr>
                <w:sz w:val="20"/>
                <w:szCs w:val="20"/>
                <w:color w:val="auto"/>
              </w:rPr>
            </w:pPr>
            <w:r>
              <w:rPr>
                <w:rFonts w:ascii="Arial" w:cs="Arial" w:eastAsia="Arial" w:hAnsi="Arial"/>
                <w:sz w:val="14"/>
                <w:szCs w:val="14"/>
                <w:b w:val="1"/>
                <w:bCs w:val="1"/>
                <w:color w:val="auto"/>
              </w:rPr>
              <w:t>Total Return Index for:</w:t>
            </w:r>
          </w:p>
        </w:tc>
        <w:tc>
          <w:tcPr>
            <w:tcW w:w="1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Qorvo, Inc.</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860" w:type="dxa"/>
            <w:vAlign w:val="bottom"/>
          </w:tcPr>
          <w:p>
            <w:pPr>
              <w:jc w:val="center"/>
              <w:spacing w:after="0"/>
              <w:rPr>
                <w:sz w:val="20"/>
                <w:szCs w:val="20"/>
                <w:color w:val="auto"/>
              </w:rPr>
            </w:pPr>
            <w:r>
              <w:rPr>
                <w:rFonts w:ascii="Arial" w:cs="Arial" w:eastAsia="Arial" w:hAnsi="Arial"/>
                <w:sz w:val="14"/>
                <w:szCs w:val="14"/>
                <w:color w:val="auto"/>
                <w:w w:val="88"/>
              </w:rPr>
              <w:t>112.61</w:t>
            </w:r>
          </w:p>
        </w:tc>
        <w:tc>
          <w:tcPr>
            <w:tcW w:w="1780" w:type="dxa"/>
            <w:vAlign w:val="bottom"/>
          </w:tcPr>
          <w:p>
            <w:pPr>
              <w:jc w:val="center"/>
              <w:spacing w:after="0"/>
              <w:rPr>
                <w:sz w:val="20"/>
                <w:szCs w:val="20"/>
                <w:color w:val="auto"/>
              </w:rPr>
            </w:pPr>
            <w:r>
              <w:rPr>
                <w:rFonts w:ascii="Arial" w:cs="Arial" w:eastAsia="Arial" w:hAnsi="Arial"/>
                <w:sz w:val="14"/>
                <w:szCs w:val="14"/>
                <w:color w:val="auto"/>
                <w:w w:val="96"/>
              </w:rPr>
              <w:t>72.19</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w w:val="91"/>
              </w:rPr>
              <w:t>97.39</w:t>
            </w:r>
          </w:p>
        </w:tc>
        <w:tc>
          <w:tcPr>
            <w:tcW w:w="1880" w:type="dxa"/>
            <w:vAlign w:val="bottom"/>
          </w:tcPr>
          <w:p>
            <w:pPr>
              <w:jc w:val="center"/>
              <w:spacing w:after="0"/>
              <w:rPr>
                <w:sz w:val="20"/>
                <w:szCs w:val="20"/>
                <w:color w:val="auto"/>
              </w:rPr>
            </w:pPr>
            <w:r>
              <w:rPr>
                <w:rFonts w:ascii="Arial" w:cs="Arial" w:eastAsia="Arial" w:hAnsi="Arial"/>
                <w:sz w:val="14"/>
                <w:szCs w:val="14"/>
                <w:color w:val="auto"/>
                <w:w w:val="88"/>
              </w:rPr>
              <w:t>100.07</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Nasdaq Composite</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103.60</w:t>
            </w:r>
          </w:p>
        </w:tc>
        <w:tc>
          <w:tcPr>
            <w:tcW w:w="1780" w:type="dxa"/>
            <w:vAlign w:val="bottom"/>
          </w:tcPr>
          <w:p>
            <w:pPr>
              <w:jc w:val="center"/>
              <w:spacing w:after="0"/>
              <w:rPr>
                <w:sz w:val="20"/>
                <w:szCs w:val="20"/>
                <w:color w:val="auto"/>
              </w:rPr>
            </w:pPr>
            <w:r>
              <w:rPr>
                <w:rFonts w:ascii="Arial" w:cs="Arial" w:eastAsia="Arial" w:hAnsi="Arial"/>
                <w:sz w:val="14"/>
                <w:szCs w:val="14"/>
                <w:color w:val="auto"/>
                <w:w w:val="88"/>
              </w:rPr>
              <w:t>104.64</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w w:val="93"/>
              </w:rPr>
              <w:t>127.64</w:t>
            </w:r>
          </w:p>
        </w:tc>
        <w:tc>
          <w:tcPr>
            <w:tcW w:w="1880" w:type="dxa"/>
            <w:vAlign w:val="bottom"/>
          </w:tcPr>
          <w:p>
            <w:pPr>
              <w:jc w:val="center"/>
              <w:spacing w:after="0"/>
              <w:rPr>
                <w:sz w:val="20"/>
                <w:szCs w:val="20"/>
                <w:color w:val="auto"/>
              </w:rPr>
            </w:pPr>
            <w:r>
              <w:rPr>
                <w:rFonts w:ascii="Arial" w:cs="Arial" w:eastAsia="Arial" w:hAnsi="Arial"/>
                <w:sz w:val="14"/>
                <w:szCs w:val="14"/>
                <w:color w:val="auto"/>
                <w:w w:val="88"/>
              </w:rPr>
              <w:t>153.56</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S&amp;P 500</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100.95</w:t>
            </w:r>
          </w:p>
        </w:tc>
        <w:tc>
          <w:tcPr>
            <w:tcW w:w="1780" w:type="dxa"/>
            <w:vAlign w:val="bottom"/>
          </w:tcPr>
          <w:p>
            <w:pPr>
              <w:jc w:val="center"/>
              <w:spacing w:after="0"/>
              <w:rPr>
                <w:sz w:val="20"/>
                <w:szCs w:val="20"/>
                <w:color w:val="auto"/>
              </w:rPr>
            </w:pPr>
            <w:r>
              <w:rPr>
                <w:rFonts w:ascii="Arial" w:cs="Arial" w:eastAsia="Arial" w:hAnsi="Arial"/>
                <w:sz w:val="14"/>
                <w:szCs w:val="14"/>
                <w:color w:val="auto"/>
                <w:w w:val="88"/>
              </w:rPr>
              <w:t>102.75</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w w:val="93"/>
              </w:rPr>
              <w:t>120.39</w:t>
            </w:r>
          </w:p>
        </w:tc>
        <w:tc>
          <w:tcPr>
            <w:tcW w:w="1880" w:type="dxa"/>
            <w:vAlign w:val="bottom"/>
          </w:tcPr>
          <w:p>
            <w:pPr>
              <w:jc w:val="center"/>
              <w:spacing w:after="0"/>
              <w:rPr>
                <w:sz w:val="20"/>
                <w:szCs w:val="20"/>
                <w:color w:val="auto"/>
              </w:rPr>
            </w:pPr>
            <w:r>
              <w:rPr>
                <w:rFonts w:ascii="Arial" w:cs="Arial" w:eastAsia="Arial" w:hAnsi="Arial"/>
                <w:sz w:val="14"/>
                <w:szCs w:val="14"/>
                <w:color w:val="auto"/>
                <w:w w:val="88"/>
              </w:rPr>
              <w:t>137.24</w:t>
            </w:r>
          </w:p>
        </w:tc>
      </w:tr>
      <w:tr>
        <w:trPr>
          <w:trHeight w:val="203"/>
        </w:trPr>
        <w:tc>
          <w:tcPr>
            <w:tcW w:w="2260" w:type="dxa"/>
            <w:vAlign w:val="bottom"/>
          </w:tcPr>
          <w:p>
            <w:pPr>
              <w:spacing w:after="0"/>
              <w:rPr>
                <w:sz w:val="20"/>
                <w:szCs w:val="20"/>
                <w:color w:val="auto"/>
              </w:rPr>
            </w:pPr>
            <w:r>
              <w:rPr>
                <w:rFonts w:ascii="Arial" w:cs="Arial" w:eastAsia="Arial" w:hAnsi="Arial"/>
                <w:sz w:val="14"/>
                <w:szCs w:val="14"/>
                <w:color w:val="auto"/>
              </w:rPr>
              <w:t>Nasdaq Electronic Components</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100.94</w:t>
            </w:r>
          </w:p>
        </w:tc>
        <w:tc>
          <w:tcPr>
            <w:tcW w:w="1780" w:type="dxa"/>
            <w:vAlign w:val="bottom"/>
          </w:tcPr>
          <w:p>
            <w:pPr>
              <w:jc w:val="center"/>
              <w:spacing w:after="0"/>
              <w:rPr>
                <w:sz w:val="20"/>
                <w:szCs w:val="20"/>
                <w:color w:val="auto"/>
              </w:rPr>
            </w:pPr>
            <w:r>
              <w:rPr>
                <w:rFonts w:ascii="Arial" w:cs="Arial" w:eastAsia="Arial" w:hAnsi="Arial"/>
                <w:sz w:val="14"/>
                <w:szCs w:val="14"/>
                <w:color w:val="auto"/>
                <w:w w:val="96"/>
              </w:rPr>
              <w:t>98.56</w:t>
            </w:r>
          </w:p>
        </w:tc>
        <w:tc>
          <w:tcPr>
            <w:tcW w:w="1760" w:type="dxa"/>
            <w:vAlign w:val="bottom"/>
          </w:tcPr>
          <w:p>
            <w:pPr>
              <w:jc w:val="center"/>
              <w:ind w:left="8"/>
              <w:spacing w:after="0"/>
              <w:rPr>
                <w:sz w:val="20"/>
                <w:szCs w:val="20"/>
                <w:color w:val="auto"/>
              </w:rPr>
            </w:pPr>
            <w:r>
              <w:rPr>
                <w:rFonts w:ascii="Arial" w:cs="Arial" w:eastAsia="Arial" w:hAnsi="Arial"/>
                <w:sz w:val="14"/>
                <w:szCs w:val="14"/>
                <w:color w:val="auto"/>
                <w:w w:val="93"/>
              </w:rPr>
              <w:t>140.56</w:t>
            </w:r>
          </w:p>
        </w:tc>
        <w:tc>
          <w:tcPr>
            <w:tcW w:w="1880" w:type="dxa"/>
            <w:vAlign w:val="bottom"/>
          </w:tcPr>
          <w:p>
            <w:pPr>
              <w:jc w:val="center"/>
              <w:spacing w:after="0"/>
              <w:rPr>
                <w:sz w:val="20"/>
                <w:szCs w:val="20"/>
                <w:color w:val="auto"/>
              </w:rPr>
            </w:pPr>
            <w:r>
              <w:rPr>
                <w:rFonts w:ascii="Arial" w:cs="Arial" w:eastAsia="Arial" w:hAnsi="Arial"/>
                <w:sz w:val="14"/>
                <w:szCs w:val="14"/>
                <w:color w:val="auto"/>
                <w:w w:val="88"/>
              </w:rPr>
              <w:t>191.99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ind w:left="260" w:right="440" w:hanging="242"/>
        <w:spacing w:after="0" w:line="250" w:lineRule="auto"/>
        <w:rPr>
          <w:sz w:val="20"/>
          <w:szCs w:val="20"/>
          <w:color w:val="auto"/>
        </w:rPr>
      </w:pPr>
      <w:r>
        <w:rPr>
          <w:rFonts w:ascii="Arial" w:cs="Arial" w:eastAsia="Arial" w:hAnsi="Arial"/>
          <w:sz w:val="18"/>
          <w:szCs w:val="18"/>
          <w:color w:val="auto"/>
        </w:rPr>
        <w:t>A. The index level for all series assumes that $100.00 was invested in our common stock and each index on January 2, 2015, the registration date of our common stock under Rule 12g-3(c) of the Exchange Act.</w:t>
      </w:r>
    </w:p>
    <w:p>
      <w:pPr>
        <w:spacing w:after="0" w:line="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Qorvo, Inc. was added to the S&amp;P 500 Index on June 12, 2015.</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9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December 31, 2017 to January 27, 2018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28, 2018 to February 24, 2018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February 25, 2018 to March 31, 2018</w:t>
      </w:r>
    </w:p>
    <w:p>
      <w:pPr>
        <w:spacing w:after="0" w:line="121"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purchased as part of publicly</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w w:val="94"/>
              </w:rPr>
              <w:t>that may yet be purchased under</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12"/>
                <w:szCs w:val="12"/>
                <w:b w:val="1"/>
                <w:bCs w:val="1"/>
                <w:color w:val="auto"/>
                <w:w w:val="89"/>
              </w:rPr>
              <w:t>(in</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w w:val="91"/>
              </w:rPr>
              <w:t>paid per share</w:t>
            </w:r>
          </w:p>
        </w:tc>
        <w:tc>
          <w:tcPr>
            <w:tcW w:w="100" w:type="dxa"/>
            <w:vAlign w:val="bottom"/>
            <w:vMerge w:val="restart"/>
          </w:tcPr>
          <w:p>
            <w:pPr>
              <w:spacing w:after="0"/>
              <w:rPr>
                <w:sz w:val="5"/>
                <w:szCs w:val="5"/>
                <w:color w:val="auto"/>
              </w:rPr>
            </w:pP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auto"/>
              </w:rPr>
              <w:t>the plans or programs</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$213.1 million</w:t>
            </w:r>
          </w:p>
        </w:tc>
        <w:tc>
          <w:tcPr>
            <w:tcW w:w="0" w:type="dxa"/>
            <w:vAlign w:val="bottom"/>
          </w:tcPr>
          <w:p>
            <w:pPr>
              <w:spacing w:after="0"/>
              <w:rPr>
                <w:sz w:val="1"/>
                <w:szCs w:val="1"/>
                <w:color w:val="auto"/>
              </w:rPr>
            </w:pPr>
          </w:p>
        </w:tc>
      </w:tr>
      <w:tr>
        <w:trPr>
          <w:trHeight w:val="270"/>
        </w:trPr>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$213.1 million</w:t>
            </w:r>
          </w:p>
        </w:tc>
        <w:tc>
          <w:tcPr>
            <w:tcW w:w="0" w:type="dxa"/>
            <w:vAlign w:val="bottom"/>
          </w:tcPr>
          <w:p>
            <w:pPr>
              <w:spacing w:after="0"/>
              <w:rPr>
                <w:sz w:val="1"/>
                <w:szCs w:val="1"/>
                <w:color w:val="auto"/>
              </w:rPr>
            </w:pPr>
          </w:p>
        </w:tc>
      </w:tr>
      <w:tr>
        <w:trPr>
          <w:trHeight w:val="276"/>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82.87</w:t>
            </w:r>
          </w:p>
        </w:tc>
        <w:tc>
          <w:tcPr>
            <w:tcW w:w="100" w:type="dxa"/>
            <w:vAlign w:val="bottom"/>
          </w:tcPr>
          <w:p>
            <w:pPr>
              <w:spacing w:after="0"/>
              <w:rPr>
                <w:sz w:val="24"/>
                <w:szCs w:val="24"/>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$162.1 million</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82.87</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$162.1 million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740" w:space="720"/>
            <w:col w:w="7960"/>
          </w:cols>
          <w:pgMar w:left="240" w:top="130" w:right="239" w:bottom="1440" w:gutter="0" w:footer="0" w:header="0"/>
        </w:sectPr>
      </w:pPr>
    </w:p>
    <w:p>
      <w:pPr>
        <w:spacing w:after="0" w:line="8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are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See Note 15 of the Notes to the Consolidated Financial Statements set forth in Part II, Item 8 of this report for a further discussion of our share repurchase program.</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8"/>
              </w:rPr>
              <w:t>Fiscal Year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jc w:val="right"/>
              <w:ind w:right="89"/>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2,973,536</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3,032,574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1,148,231</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1,826,570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1,897,062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1,561,173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1,021,658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743,304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445,103</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470,836</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448,763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527,751</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545,588</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534,099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249,886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151,404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103,830</w:t>
            </w:r>
          </w:p>
        </w:tc>
        <w:tc>
          <w:tcPr>
            <w:tcW w:w="3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3"/>
                <w:szCs w:val="13"/>
                <w:color w:val="auto"/>
                <w:w w:val="94"/>
              </w:rPr>
              <w:t>(13)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(10)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c>
          <w:tcPr>
            <w:tcW w:w="3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28,913</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2,903,254</w:t>
            </w:r>
          </w:p>
        </w:tc>
        <w:tc>
          <w:tcPr>
            <w:tcW w:w="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2,944,515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2,598,758</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1,588,500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1,120,890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70,282</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88,059</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w w:val="94"/>
              </w:rPr>
              <w:t>(14)</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(58,879) </w:t>
            </w:r>
            <w:r>
              <w:rPr>
                <w:rFonts w:ascii="Arial" w:cs="Arial" w:eastAsia="Arial" w:hAnsi="Arial"/>
                <w:sz w:val="25"/>
                <w:szCs w:val="25"/>
                <w:color w:val="auto"/>
                <w:vertAlign w:val="superscript"/>
              </w:rPr>
              <w:t>(11)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86"/>
              <w:spacing w:after="0" w:line="270" w:lineRule="exact"/>
              <w:rPr>
                <w:sz w:val="20"/>
                <w:szCs w:val="20"/>
                <w:color w:val="auto"/>
              </w:rPr>
            </w:pPr>
            <w:r>
              <w:rPr>
                <w:rFonts w:ascii="Arial" w:cs="Arial" w:eastAsia="Arial" w:hAnsi="Arial"/>
                <w:sz w:val="18"/>
                <w:szCs w:val="18"/>
                <w:color w:val="auto"/>
              </w:rPr>
              <w:t xml:space="preserve">(23,316) </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7,017</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17,145</w:t>
            </w:r>
          </w:p>
        </w:tc>
        <w:tc>
          <w:tcPr>
            <w:tcW w:w="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23,873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w w:val="94"/>
              </w:rPr>
              <w:t>(15)</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(43,863) </w:t>
            </w:r>
            <w:r>
              <w:rPr>
                <w:rFonts w:ascii="Arial" w:cs="Arial" w:eastAsia="Arial" w:hAnsi="Arial"/>
                <w:sz w:val="25"/>
                <w:szCs w:val="25"/>
                <w:color w:val="auto"/>
                <w:vertAlign w:val="superscript"/>
              </w:rPr>
              <w:t>(12)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86"/>
              <w:spacing w:after="0" w:line="270" w:lineRule="exact"/>
              <w:rPr>
                <w:sz w:val="20"/>
                <w:szCs w:val="20"/>
                <w:color w:val="auto"/>
              </w:rPr>
            </w:pPr>
            <w:r>
              <w:rPr>
                <w:rFonts w:ascii="Arial" w:cs="Arial" w:eastAsia="Arial" w:hAnsi="Arial"/>
                <w:sz w:val="18"/>
                <w:szCs w:val="18"/>
                <w:color w:val="auto"/>
              </w:rPr>
              <w:t xml:space="preserve">(25,983) </w:t>
            </w:r>
            <w:r>
              <w:rPr>
                <w:rFonts w:ascii="Arial" w:cs="Arial" w:eastAsia="Arial" w:hAnsi="Arial"/>
                <w:sz w:val="25"/>
                <w:szCs w:val="25"/>
                <w:color w:val="auto"/>
                <w:vertAlign w:val="superscript"/>
              </w:rPr>
              <w:t>(8)</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3"/>
                <w:szCs w:val="13"/>
                <w:color w:val="auto"/>
              </w:rPr>
              <w:t>(4)</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3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3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196,303</w:t>
            </w:r>
          </w:p>
        </w:tc>
        <w:tc>
          <w:tcPr>
            <w:tcW w:w="3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12,642</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7"/>
              </w:rPr>
              <w:t>Weighted average shares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126,946</w:t>
            </w: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127,121</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126,946</w:t>
            </w:r>
          </w:p>
        </w:tc>
        <w:tc>
          <w:tcPr>
            <w:tcW w:w="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127,121</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141,937</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93,211</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72,019</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0"/>
              </w:rPr>
              <w:t>As of Fiscal Year End</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926,037</w:t>
            </w:r>
          </w:p>
        </w:tc>
        <w:tc>
          <w:tcPr>
            <w:tcW w:w="3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545,463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425,881</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299,814</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171,898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186,808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1,402,526</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1,042,777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1,135,409</w:t>
            </w:r>
          </w:p>
        </w:tc>
        <w:tc>
          <w:tcPr>
            <w:tcW w:w="340" w:type="dxa"/>
            <w:vAlign w:val="bottom"/>
          </w:tcPr>
          <w:p>
            <w:pPr>
              <w:jc w:val="right"/>
              <w:ind w:right="86"/>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1,174,795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317,445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6,381,519</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6,522,323</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6,596,819</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920,312</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4"/>
              </w:rPr>
              <w:t>Long-term debt and capital lease obligations,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983,290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989,154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988,130</w:t>
            </w:r>
          </w:p>
        </w:tc>
        <w:tc>
          <w:tcPr>
            <w:tcW w:w="340" w:type="dxa"/>
            <w:vAlign w:val="bottom"/>
          </w:tcPr>
          <w:p>
            <w:pPr>
              <w:jc w:val="right"/>
              <w:ind w:right="86"/>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4,775,564</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4,896,722</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4,999,672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6,173,160</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676,351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120" w:right="200" w:hanging="107"/>
        <w:spacing w:after="0" w:line="273" w:lineRule="auto"/>
        <w:rPr>
          <w:sz w:val="20"/>
          <w:szCs w:val="20"/>
          <w:color w:val="auto"/>
        </w:rPr>
      </w:pPr>
      <w:r>
        <w:rPr>
          <w:rFonts w:ascii="Arial" w:cs="Arial" w:eastAsia="Arial" w:hAnsi="Arial"/>
          <w:sz w:val="14"/>
          <w:szCs w:val="14"/>
          <w:color w:val="auto"/>
        </w:rPr>
        <w:t>1 Other operating expense for fiscal 2014 includes the impairment of intangible assets of $11.3 million and restructuring expenses of $11.1 million, as well as acquisition-related expenses of $5.1 million.</w:t>
      </w:r>
    </w:p>
    <w:p>
      <w:pPr>
        <w:spacing w:after="0" w:line="52" w:lineRule="exact"/>
        <w:rPr>
          <w:sz w:val="20"/>
          <w:szCs w:val="20"/>
          <w:color w:val="auto"/>
        </w:rPr>
      </w:pPr>
    </w:p>
    <w:p>
      <w:pPr>
        <w:ind w:left="120" w:right="180" w:hanging="107"/>
        <w:spacing w:after="0" w:line="273" w:lineRule="auto"/>
        <w:rPr>
          <w:sz w:val="20"/>
          <w:szCs w:val="20"/>
          <w:color w:val="auto"/>
        </w:rPr>
      </w:pPr>
      <w:r>
        <w:rPr>
          <w:rFonts w:ascii="Arial" w:cs="Arial" w:eastAsia="Arial" w:hAnsi="Arial"/>
          <w:sz w:val="14"/>
          <w:szCs w:val="14"/>
          <w:color w:val="auto"/>
        </w:rPr>
        <w:t>2 As a result of the Business Combination, which was completed on January 1, 2015, fiscal 2015 results include the results of TriQuint as of March 28, 2015 and for the period of January 1, 2015 through March 28, 2015.</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3 Other operating expense for fiscal 2015 includes acquisition and integration-related expenses of $43.5 million and restructuring expenses of $12.4 million.</w:t>
      </w:r>
    </w:p>
    <w:p>
      <w:pPr>
        <w:sectPr>
          <w:pgSz w:w="11900" w:h="16838" w:orient="portrait"/>
          <w:cols w:equalWidth="0" w:num="1">
            <w:col w:w="11400"/>
          </w:cols>
          <w:pgMar w:left="240" w:top="130"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30" w:right="25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4 Income tax benefit for fiscal 2015 includes the effects of the income tax benefit generated by the reduction in the valuation allowance against domestic deferred tax assets.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5 Total assets for fiscal 2015 include goodwill and intangible assets totaling approximately $4,430.7 million associated with the Business Combination.</w:t>
      </w:r>
    </w:p>
    <w:p>
      <w:pPr>
        <w:spacing w:after="0" w:line="96"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6 Other operating expense for fiscal 2016 includes integration-related expenses of $26.5 million and restructuring expenses of $10.2 million (see Note 6 and Note 11 of the Notes to the Consolidated Financial Statements set forth in Part II, Item 8 of this report).</w:t>
      </w:r>
    </w:p>
    <w:p>
      <w:pPr>
        <w:spacing w:after="0" w:line="52"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7 During fiscal 2016, we issued the Notes and recorded $25.8 million of related interest expense, which was offset by $5.2 million of capitalized interest (see Note 8 of the Notes to the Consolidated Financial Statements set forth in Part II, Item 8 of this report).</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8 Income tax expense for fiscal 2016 includes the effects of the income tax expense generated by the increase in the valuation allowance against domestic state deferred tax assets (see Note 12 of the Notes to the Consolidated Financial Statements set forth in Part II, Item 8 of this report).</w:t>
      </w:r>
    </w:p>
    <w:p>
      <w:pPr>
        <w:spacing w:after="0" w:line="52" w:lineRule="exact"/>
        <w:rPr>
          <w:sz w:val="20"/>
          <w:szCs w:val="20"/>
          <w:color w:val="auto"/>
        </w:rPr>
      </w:pPr>
    </w:p>
    <w:p>
      <w:pPr>
        <w:ind w:left="120" w:right="100" w:hanging="107"/>
        <w:spacing w:after="0" w:line="257" w:lineRule="auto"/>
        <w:rPr>
          <w:sz w:val="20"/>
          <w:szCs w:val="20"/>
          <w:color w:val="auto"/>
        </w:rPr>
      </w:pPr>
      <w:r>
        <w:rPr>
          <w:rFonts w:ascii="Arial" w:cs="Arial" w:eastAsia="Arial" w:hAnsi="Arial"/>
          <w:sz w:val="14"/>
          <w:szCs w:val="14"/>
          <w:color w:val="auto"/>
        </w:rPr>
        <w:t xml:space="preserve">9 ASU 2015-17 </w:t>
      </w:r>
      <w:r>
        <w:rPr>
          <w:rFonts w:ascii="Arial" w:cs="Arial" w:eastAsia="Arial" w:hAnsi="Arial"/>
          <w:sz w:val="14"/>
          <w:szCs w:val="14"/>
          <w:i w:val="1"/>
          <w:iCs w:val="1"/>
          <w:color w:val="auto"/>
        </w:rPr>
        <w:t>"Balance Sheet Classification of Deferred Taxes"</w:t>
      </w:r>
      <w:r>
        <w:rPr>
          <w:rFonts w:ascii="Arial" w:cs="Arial" w:eastAsia="Arial" w:hAnsi="Arial"/>
          <w:sz w:val="14"/>
          <w:szCs w:val="14"/>
          <w:color w:val="auto"/>
        </w:rPr>
        <w:t xml:space="preserve"> was adopted in fiscal 2016, prospectively, which required deferred tax assets and deferred tax liabilities to be presented as non-current in a classified balance sheet. Prior periods presented were not retrospectively adjusted (see Note 12 of the Notes to the Consolidated Financial Statements set forth in Part II, Item 8 of this report).</w:t>
      </w:r>
    </w:p>
    <w:p>
      <w:pPr>
        <w:spacing w:after="0" w:line="64"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10 Other operating expense for fiscal 2017 includes integration-related expenses of $16.9 million and restructuring expenses of $2.1 million (see Note 6 and Note 11 of the Notes to the Consolidated Financial Statements set forth in Part II, Item 8 of this report).</w:t>
      </w:r>
    </w:p>
    <w:p>
      <w:pPr>
        <w:spacing w:after="0" w:line="52" w:lineRule="exact"/>
        <w:rPr>
          <w:sz w:val="20"/>
          <w:szCs w:val="20"/>
          <w:color w:val="auto"/>
        </w:rPr>
      </w:pPr>
    </w:p>
    <w:p>
      <w:pPr>
        <w:ind w:left="120" w:right="380" w:hanging="107"/>
        <w:spacing w:after="0" w:line="273" w:lineRule="auto"/>
        <w:rPr>
          <w:sz w:val="20"/>
          <w:szCs w:val="20"/>
          <w:color w:val="auto"/>
        </w:rPr>
      </w:pPr>
      <w:r>
        <w:rPr>
          <w:rFonts w:ascii="Arial" w:cs="Arial" w:eastAsia="Arial" w:hAnsi="Arial"/>
          <w:sz w:val="14"/>
          <w:szCs w:val="14"/>
          <w:color w:val="auto"/>
        </w:rPr>
        <w:t>11 During fiscal 2017, we recorded $69.9 million of interest expense related to the Notes, which was offset by $13.6 million of capitalized interest (see Note 8 of the Notes to the Consolidated Financial Statements set forth in Part II, Item 8 of this report).</w:t>
      </w:r>
    </w:p>
    <w:p>
      <w:pPr>
        <w:spacing w:after="0" w:line="52"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12 Income tax expense for fiscal 2017 includes the effects of the increase in our unrecognized tax benefits and the unfavorable impact of losses arising in countries with low tax rates (see Note 12 of the Notes to the Consolidated Financial Statements set forth in Part II, Item 8 of this report).</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13 Other operating expense for fiscal 2018 includes integration-related expenses of $6.2 million and restructuring expenses of $67.7 million (see Note 6 and Note 11 of the Notes to the Consolidated Financial Statements set forth in Part II, Item 8 of this report).</w:t>
      </w:r>
    </w:p>
    <w:p>
      <w:pPr>
        <w:spacing w:after="0" w:line="52" w:lineRule="exact"/>
        <w:rPr>
          <w:sz w:val="20"/>
          <w:szCs w:val="20"/>
          <w:color w:val="auto"/>
        </w:rPr>
      </w:pPr>
    </w:p>
    <w:p>
      <w:pPr>
        <w:ind w:left="120" w:right="600" w:hanging="107"/>
        <w:spacing w:after="0" w:line="273" w:lineRule="auto"/>
        <w:rPr>
          <w:sz w:val="20"/>
          <w:szCs w:val="20"/>
          <w:color w:val="auto"/>
        </w:rPr>
      </w:pPr>
      <w:r>
        <w:rPr>
          <w:rFonts w:ascii="Arial" w:cs="Arial" w:eastAsia="Arial" w:hAnsi="Arial"/>
          <w:sz w:val="14"/>
          <w:szCs w:val="14"/>
          <w:color w:val="auto"/>
        </w:rPr>
        <w:t>14 During fiscal 2018, we recorded $70.5 million of interest expense primarily related to the Notes, which was offset by $13.6 million of capitalized interest (see Note 8 of the Notes to the Consolidated Financial Statements set forth in Part II, Item 8 of this report).</w:t>
      </w:r>
    </w:p>
    <w:p>
      <w:pPr>
        <w:spacing w:after="0" w:line="52" w:lineRule="exact"/>
        <w:rPr>
          <w:sz w:val="20"/>
          <w:szCs w:val="20"/>
          <w:color w:val="auto"/>
        </w:rPr>
      </w:pPr>
    </w:p>
    <w:p>
      <w:pPr>
        <w:ind w:left="120" w:right="20" w:hanging="107"/>
        <w:spacing w:after="0" w:line="257" w:lineRule="auto"/>
        <w:rPr>
          <w:sz w:val="20"/>
          <w:szCs w:val="20"/>
          <w:color w:val="auto"/>
        </w:rPr>
      </w:pPr>
      <w:r>
        <w:rPr>
          <w:rFonts w:ascii="Arial" w:cs="Arial" w:eastAsia="Arial" w:hAnsi="Arial"/>
          <w:sz w:val="14"/>
          <w:szCs w:val="14"/>
          <w:color w:val="auto"/>
        </w:rPr>
        <w:t>15 Income tax expense for fiscal 2018 includes the effects from the enactment of the Tax Act, including the one-time transition tax on certain unrepatriated earnings of foreign subsidiaries (the "Transitional Repatriation Tax") expense, which was partially offset by the benefit from remeasuring deferred taxes for the decrease in the U.S. corporate tax rate from 35% to 21% (see Note 12 of the Notes to the Consolidated Financial Statements set forth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w:t>
      </w:r>
    </w:p>
    <w:p>
      <w:pPr>
        <w:ind w:right="20"/>
        <w:spacing w:after="0" w:line="266" w:lineRule="auto"/>
        <w:rPr>
          <w:sz w:val="20"/>
          <w:szCs w:val="20"/>
          <w:color w:val="auto"/>
        </w:rPr>
      </w:pPr>
      <w:r>
        <w:rPr>
          <w:rFonts w:ascii="Arial" w:cs="Arial" w:eastAsia="Arial" w:hAnsi="Arial"/>
          <w:sz w:val="17"/>
          <w:szCs w:val="17"/>
          <w:i w:val="1"/>
          <w:iCs w:val="1"/>
          <w:color w:val="auto"/>
        </w:rPr>
        <w:t>"estimate,"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dependence on a few large customers for a substantial portion of our revenue, a loss of revenue if contracts with the United States government or defense and aerospace contractors are canceled or delayed, our ability to implement innovative technologies, our ability to bring new products to market and achieve design wins, the efficient and successful operation of our wafer fabrication and other facilities, our ability to adjust production capacity in a timely fashion in response to changes in demand for our products, variability in manufacturing yields, industry overcapacity, inaccurate product forecasts and corresponding inventory and manufacturing costs, dependence on third parties, our dependence on international sales and operations, our ability to attract and retain skilled personnel and develop leaders, the possibility that future acquisitions may dilute our stockholders’ ownership and cause us to incur debt and assume contingent liabilities, fluctuations in the price of our common stock, our ability to protect our intellectual property, claims of intellectual property infringement and other lawsuits, security breaches and other similar disruptions compromising our information, and the impact of government and stringent environmental regulations. These and other risks and uncertainties, which are described in more detail under Item 1A, "Risk Factors" in this Annual Report on Form 10-K and in other reports and statements that we file with the SEC, could cause actual results and developments to be materially different from those expressed or implied by any of these forward-looking statements.</w:t>
      </w:r>
    </w:p>
    <w:p>
      <w:pPr>
        <w:spacing w:after="0" w:line="2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February 22, 2014, RFMD and TriQuint entered into the Merger Agreement, which provided for the combination of RFMD and TriQuint in a merger of equals and resulted in the Business Combination under a new holding company named Qorvo, Inc. The transactions contemplated by the Merger Agreement were consummated on January 1, 2015.</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Qorvo® is a product and technology leader at the forefront of the growing global demand for always-on broadband connectivity. We combine a broad portfolio of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Qorvo employs more than 8,300 people. We have world-class manufacturing facilities, and our fabrication facility in Richardson, Texas, is a U.S. DoD-accredited ‘Trusted Source’ (Category 1A) for GaAs, GaN and BAW technologies. Our design and manufacturing expertise covers many semiconductor process technologies, which we source both internally and through external suppliers. Our primary wafer fabrication facilities are in Florida, North Carolina, Oregon and Texas, and our primary assembly and test facilities are in China, Costa Rica, Germany and Texas. We also operate design, sales and manufacturing facilities throughout Asia, Europe and North America.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design, develop, manufacture and market our products to leading U.S. and international OEMs and ODMs in the following operating segments:</w:t>
      </w:r>
    </w:p>
    <w:p>
      <w:pPr>
        <w:spacing w:after="0" w:line="237" w:lineRule="exact"/>
        <w:rPr>
          <w:sz w:val="20"/>
          <w:szCs w:val="20"/>
          <w:color w:val="auto"/>
        </w:rPr>
      </w:pPr>
    </w:p>
    <w:p>
      <w:pPr>
        <w:ind w:left="340" w:right="20" w:hanging="332"/>
        <w:spacing w:after="0" w:line="289"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Mobile Products (MP) </w:t>
      </w:r>
      <w:r>
        <w:rPr>
          <w:rFonts w:ascii="Arial" w:cs="Arial" w:eastAsia="Arial" w:hAnsi="Arial"/>
          <w:sz w:val="16"/>
          <w:szCs w:val="16"/>
          <w:color w:val="auto"/>
        </w:rPr>
        <w:t>- MP is a leading global supplier of cellular RF and Wi-Fi solutions into a variety of mobile devices, including smartphones,</w:t>
      </w:r>
      <w:r>
        <w:rPr>
          <w:rFonts w:ascii="Arial" w:cs="Arial" w:eastAsia="Arial" w:hAnsi="Arial"/>
          <w:sz w:val="16"/>
          <w:szCs w:val="16"/>
          <w:i w:val="1"/>
          <w:iCs w:val="1"/>
          <w:color w:val="auto"/>
        </w:rPr>
        <w:t xml:space="preserve"> </w:t>
      </w:r>
      <w:r>
        <w:rPr>
          <w:rFonts w:ascii="Arial" w:cs="Arial" w:eastAsia="Arial" w:hAnsi="Arial"/>
          <w:sz w:val="16"/>
          <w:szCs w:val="16"/>
          <w:color w:val="auto"/>
        </w:rPr>
        <w:t>notebook computers, wearables, tablets, and cellular-based applications for the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SAW filters, PAs, LNAs, switches, multimode multi-band PAs and transmit modules, RF power management ICs, diversity receive modules, antenna switch modules, antenna tuning and control solutions, modules incorporating PADs and modules incorporating S-PADs.</w:t>
      </w:r>
    </w:p>
    <w:p>
      <w:pPr>
        <w:spacing w:after="0" w:line="166" w:lineRule="exact"/>
        <w:rPr>
          <w:rFonts w:ascii="Arial" w:cs="Arial" w:eastAsia="Arial" w:hAnsi="Arial"/>
          <w:sz w:val="16"/>
          <w:szCs w:val="16"/>
          <w:i w:val="1"/>
          <w:iCs w:val="1"/>
          <w:color w:val="auto"/>
        </w:rPr>
      </w:pPr>
    </w:p>
    <w:p>
      <w:pPr>
        <w:ind w:left="340" w:right="24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Infrastructure and Defense Products (IDP) </w:t>
      </w:r>
      <w:r>
        <w:rPr>
          <w:rFonts w:ascii="Arial" w:cs="Arial" w:eastAsia="Arial" w:hAnsi="Arial"/>
          <w:sz w:val="18"/>
          <w:szCs w:val="18"/>
          <w:color w:val="auto"/>
        </w:rPr>
        <w:t>- IDP is a leading global supplier of RF solutions with a diverse portfolio of solutions that "connect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spanning communications and defense applications. These applications include high performance defense systems such as radar, electronic warfare and communication systems, Wi-Fi customer premises equipment for home and work, high speed connectivity in LTE and 5G base stations, cloud connectivity via data center communications and telecom transport, automotive connectivity and other IoT, including smart home solutions. Our IDP products include GaAs and GaN PAs, LNAs, switches, CMOS system-on-a-chip solutions, premium BAW and SAW filter solutions and various multi-chip and hybrid assemblies.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March 31, 2018,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and operating income as a percentage of revenue. For financial information about the results of our operating segments for each of the last three fiscal years, see Note 16 of the Notes to the Consolidated Financial Statements set forth in Part II, Item 8 of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Management Summary</w:t>
      </w:r>
    </w:p>
    <w:p>
      <w:pPr>
        <w:spacing w:after="0" w:line="225" w:lineRule="exact"/>
        <w:rPr>
          <w:sz w:val="20"/>
          <w:szCs w:val="20"/>
          <w:color w:val="auto"/>
        </w:rPr>
      </w:pPr>
    </w:p>
    <w:p>
      <w:pPr>
        <w:ind w:left="660" w:right="1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revenue decreased 1.9% in fiscal 2018 to $2,973.5 million compared to $3,032.6 million in fiscal 2017, primarily due to lower demand for our cellular RF solutions in support of customers based in China, partially offset by higher demand for our defense and aerospace and Wi-Fi products as well as higher demand for our cellular RF solutions in support of our largest end customer.</w:t>
      </w:r>
    </w:p>
    <w:p>
      <w:pPr>
        <w:spacing w:after="0" w:line="18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gross margin for fiscal 2018 was 38.6% compared to 37.4% for fiscal 2017. Gross margin was positively impacted by improved manufacturing and test yields on certain high-volume products, lower depreciation, favorable changes in product mix within our cellular RF solutions and growth in demand for our IDP products. This increase in gross margin was partially offset by lower factory utilization, average selling price erosion and higher intangible amortization.</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income was $70.3 million in fiscal 2018 compared to $88.1 million in fiscal 2017. This decrease was primarily due to one-time restructuring charges, partially offset by lower personnel-related costs as well as cost savings resulting from restructuring initiatives described below and ongoing efforts to optimize our product portfolio.</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2018, we initiated restructuring actions to improve operating efficiencies. As a result of these actions, we recorded approximately $18.3 million of employee termination benefits and adjusted the carrying value of certain held for sale assets located in China and the U.S. to fair market value (resulting in impairment charges totaling approximately $46.3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net loss per diluted share was $0.32 for fiscal 2018 as compared to net loss per diluted share of $0.13 for fiscal 2017.</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$852.5 million for fiscal 2018 as compared to $776.8 million for fiscal 2017. This year-over-year increase was primarily due to changes in working capital. The Tax Act did not have an impact on our fiscal 2018 cash flows from operating activities.</w:t>
      </w:r>
    </w:p>
    <w:p>
      <w:pPr>
        <w:spacing w:after="0" w:line="181" w:lineRule="exact"/>
        <w:rPr>
          <w:rFonts w:ascii="Arial" w:cs="Arial" w:eastAsia="Arial" w:hAnsi="Arial"/>
          <w:sz w:val="18"/>
          <w:szCs w:val="18"/>
          <w:color w:val="auto"/>
        </w:rPr>
      </w:pPr>
    </w:p>
    <w:p>
      <w:pPr>
        <w:ind w:left="660" w:right="80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Capital expenditures totaled $269.8 million in fiscal 2018, as compared to $552.7 million in fiscal 2017. The comparable prior year period expenditures were related to projects that increased premium filter capacity and manufacturing cost saving initiatives.</w:t>
      </w:r>
    </w:p>
    <w:p>
      <w:pPr>
        <w:spacing w:after="0" w:line="146" w:lineRule="exact"/>
        <w:rPr>
          <w:rFonts w:ascii="Arial" w:cs="Arial" w:eastAsia="Arial" w:hAnsi="Arial"/>
          <w:sz w:val="17"/>
          <w:szCs w:val="17"/>
          <w:color w:val="auto"/>
        </w:rPr>
      </w:pPr>
    </w:p>
    <w:p>
      <w:pPr>
        <w:ind w:left="660" w:right="340" w:hanging="328"/>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Tax Act, enacted during the third quarter of fiscal 2018, lowers the U.S. federal corporate income tax rate from 35% to 21% as of January 1, 2018, and implements a territorial tax system that will allow the repatriation of future foreign earnings without incurring additional U.S. federal income tax. This tax law change resulted in a provisional tax benefit of $39.1 million to reduce the U.S. deferred tax assets and liabilities and a provisional tax expense of $116.4 million for a one-time transitional deemed repatriation of our historical unremitted foreign earnings.</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fiscal 2018, we repurchased approximately 2.9 million shares of our common stock for approximately $219.9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for fiscal years 2018,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right"/>
              <w:ind w:right="780"/>
              <w:spacing w:after="0" w:line="153" w:lineRule="exact"/>
              <w:rPr>
                <w:sz w:val="20"/>
                <w:szCs w:val="20"/>
                <w:color w:val="auto"/>
              </w:rPr>
            </w:pPr>
            <w:r>
              <w:rPr>
                <w:rFonts w:ascii="Arial" w:cs="Arial" w:eastAsia="Arial" w:hAnsi="Arial"/>
                <w:sz w:val="14"/>
                <w:szCs w:val="14"/>
                <w:b w:val="1"/>
                <w:bCs w:val="1"/>
                <w:color w:val="auto"/>
              </w:rPr>
              <w:t>% of</w:t>
            </w: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2,973,536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3,032,574</w:t>
            </w:r>
          </w:p>
        </w:tc>
        <w:tc>
          <w:tcPr>
            <w:tcW w:w="172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100.0%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2,610,726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1,826,570</w:t>
            </w:r>
          </w:p>
        </w:tc>
        <w:tc>
          <w:tcPr>
            <w:tcW w:w="1360" w:type="dxa"/>
            <w:vAlign w:val="bottom"/>
            <w:gridSpan w:val="3"/>
          </w:tcPr>
          <w:p>
            <w:pPr>
              <w:jc w:val="right"/>
              <w:ind w:right="128"/>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1,897,062</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1,561,173</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1,146,966</w:t>
            </w:r>
          </w:p>
        </w:tc>
        <w:tc>
          <w:tcPr>
            <w:tcW w:w="13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1,135,512</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1,049,553</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445,103</w:t>
            </w:r>
          </w:p>
        </w:tc>
        <w:tc>
          <w:tcPr>
            <w:tcW w:w="1360" w:type="dxa"/>
            <w:vAlign w:val="bottom"/>
            <w:gridSpan w:val="3"/>
          </w:tcPr>
          <w:p>
            <w:pPr>
              <w:jc w:val="right"/>
              <w:ind w:right="128"/>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470,836</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448,763</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527,751</w:t>
            </w:r>
          </w:p>
        </w:tc>
        <w:tc>
          <w:tcPr>
            <w:tcW w:w="13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545,588</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534,099</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103,830</w:t>
            </w:r>
          </w:p>
        </w:tc>
        <w:tc>
          <w:tcPr>
            <w:tcW w:w="1360" w:type="dxa"/>
            <w:vAlign w:val="bottom"/>
            <w:gridSpan w:val="3"/>
          </w:tcPr>
          <w:p>
            <w:pPr>
              <w:jc w:val="right"/>
              <w:ind w:right="12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31,029</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54,723</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overall revenue decreased $59.0 million, or 1.9%, in fiscal 2018 as compared to fiscal 2017, primarily due to lower demand for our cellular RF solutions in support of customers based in China, partially offset by higher demand for our defense and aerospace and Wi-Fi products as well as higher demand for our cellular RF solutions in support of our largest end customer.</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overall revenue increased $421.8 million, or 16.2%, in fiscal 2017 as compared to fiscal 2016, primarily due to higher demand for our cellular RF solutions in support of marquee smartphones and customers based in China and higher sales of our wireless infrastructure, defense and aerospace and Wi-Fi products.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provided our products to our largest end customer, Apple, through sales to multiple contract manufacturers, which in the aggregate accounted for 36%, 34% and 37% of total revenue in fiscal years 2018, 2017 and 2016, respectively. Huawei accounted for approximately 8%, 11% and 12% of our total revenue in fiscal years 2018,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2016, respectively. These customers primarily purchase cellular RF and Wi-Fi solutions offered by our MP segment for a variety of mobile devices, including smartphones, notebook computers, wearables, tablets and cellular-based applications for the IoT.</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International shipments amounted to $2,449.1 million in fiscal 2018 (approximately 82% of revenue) compared to $2,565.5 million in fiscal 2017 (approximately 85% of revenue) and $2,304.4 million in fiscal 2016 (approximately 88% of revenue). Shipments to Asia totaled $2,329.3 million in fiscal 2018 (approximately 78% of revenue) compared to $2,441.1 million in fiscal 2017 (approximately 81% of revenue) and $2,162.1 million in fiscal 2016 (approximately 83% of revenue). We expect our international and Asia shipments will remain relatively stable at these historical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overall gross margin for fiscal 2018 was 38.6% as compared to 37.4% in fiscal 2017. The increase was primarily due to improved manufacturing and test yields on certain high-volume parts, lower depreciation, favorable changes in product mix within our cellular RF solutions and growth in demand for our IDP products. This increase in gross margin was partially offset by lower factory utilization, average selling price erosion and higher intangible amortization.</w:t>
      </w:r>
    </w:p>
    <w:p>
      <w:pPr>
        <w:spacing w:after="0" w:line="14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overall gross margin for fiscal 2017 was 37.4% as compared to 40.2% in fiscal 2016. Gross margin was adversely impacted in fiscal 2017 by an unfavorable change in product mix towards lower margin low-band PAD modules, product cost reductions lagging normal average selling price erosion, lower factory utilization and unfavorable inventory adjustments primarily due to lower than expected manufacturing and assembly yields on the low-band PAD modules in the second quarter of fiscal 2017. The lower yield was associated with the device packaging, not device functionality; however, the impact was significant because the issue was identified late in the production process. These adverse factors were partially offset by lower intangible amortization, stock-based compensation and other costs related to the Business Combination in fiscal 2017 as compared to fiscal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fiscal 2018, R&amp;D spending decreased $25.7 million, or 5.5%, as compared to fiscal 2017, primarily due to lower personnel-related costs as well as cost savings resulting from the ongoing efforts to optimize our product portfolio and the restructuring actions initiated in fiscal 2018.</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2017, R&amp;D spending increased $22.1 million, or 4.9%, as compared to fiscal 2016, primarily driven by costs associated with the design and development of high-performance filter-based products and GaN-based technologies and products. The increased R&amp;D expense was partially offset by lower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fiscal 2018, selling, general and administrative expense decreased $17.8 million, or 3.3%, as compared to fiscal 2017, primarily due to lower personnel-related costs as well as cost savings resulting from the restructuring actions initiated in fiscal 2018.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2017, selling, general, and administrative expense increased $11.5 million, or 2.2%, as compared to fiscal 2016, primarily due to higher personnel-related costs, partially offset by lower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fiscal 2018, other operating expense was $103.8 million. In fiscal 2018, we initiated restructuring actions to improve operating efficiencies, and, as a result of these actions, we recorded approximately $18.3 million of employee termination benefits and adjusted the carrying value of certain held for sale assets located in China and the U.S. to fair market value (resulting in impairment charges totaling approximately $46.3 million, pursuant to Accounting Standards Codification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In fiscal 2018, we also recorded integration costs and restructuring costs of $6.2 million and $2.6 million, respectively, associated with the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30"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as well as $24.3 million of start-up costs related to new processes and operations in both existing and new facilities.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fiscal 2017, other operating expense was $31.0 million, including integration costs of $16.9 million and restructuring costs of $2.0 million associated with the Business Combination, as well as $9.7 million of start-up costs related to new processes and operations in both existing and new facilities.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fiscal 2016, other operating expense was $54.7 million, including integration costs of $26.5 million and restructuring costs of $10.1 million (including stock-based compensation) associated with the Business Combination, as well as $14.1 million of start-up costs related to new processes and operations in both existing and new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overall operating income was $70.3 million for fiscal 2018 as compared to $88.1 million for fiscal 2017. This decrease was primarily due to one-time restructuring charges, partially offset by lower personnel-related costs as well as cost savings resulting from the restructuring initiative and ongoing efforts to optimize our product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overall operating income was $88.1 million for fiscal 2017 as compared to $12.0 million for fiscal 2016. This increase was primarily due to higher gross profit from higher revenue and lower intangible amortization, stock-based compensation and other costs related to the Business Combination, partially offset by lower gross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Mobile Products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1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6100" w:type="dxa"/>
            <w:vAlign w:val="bottom"/>
            <w:gridSpan w:val="2"/>
          </w:tcPr>
          <w:p>
            <w:pPr>
              <w:ind w:left="40"/>
              <w:spacing w:after="0"/>
              <w:rPr>
                <w:sz w:val="20"/>
                <w:szCs w:val="20"/>
                <w:color w:val="auto"/>
              </w:rPr>
            </w:pPr>
            <w:r>
              <w:rPr>
                <w:rFonts w:ascii="Arial" w:cs="Arial" w:eastAsia="Arial" w:hAnsi="Arial"/>
                <w:sz w:val="18"/>
                <w:szCs w:val="18"/>
                <w:color w:val="auto"/>
              </w:rPr>
              <w:t>(In thousands, except percentages)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18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2,181,161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2,384,041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2,083,334</w:t>
            </w:r>
          </w:p>
        </w:tc>
      </w:tr>
      <w:tr>
        <w:trPr>
          <w:trHeight w:val="243"/>
        </w:trPr>
        <w:tc>
          <w:tcPr>
            <w:tcW w:w="180" w:type="dxa"/>
            <w:vAlign w:val="bottom"/>
          </w:tcPr>
          <w:p>
            <w:pPr>
              <w:spacing w:after="0"/>
              <w:rPr>
                <w:sz w:val="21"/>
                <w:szCs w:val="21"/>
                <w:color w:val="auto"/>
              </w:rPr>
            </w:pPr>
          </w:p>
        </w:tc>
        <w:tc>
          <w:tcPr>
            <w:tcW w:w="61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549,574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554,001</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591,751</w:t>
            </w:r>
          </w:p>
        </w:tc>
      </w:tr>
      <w:tr>
        <w:trPr>
          <w:trHeight w:val="27"/>
        </w:trPr>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6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18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MP revenue decreased $202.9 million, or 8.5%, in fiscal 2018 as compared to fiscal 2017 primarily due to lower demand for our cellular RF solutions in support of customers based in China, partially offset by higher demand for our cellular RF solutions in support of our largest end customer.</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increase in MP operating income as a percentage of revenue in fiscal 2018 as compared to fiscal 2017 was primarily due to higher gross margin and lower operating expense. Gross margin increased primarily due to favorable changes in product mix within our cellular RF solutions, lower depreciation and improved manufacturing and test yields on certain high-volume parts. This increase in gross margin was partially offset by average selling price erosion and lower factory utilization. Operating expense decreased primarily due to lower personnel-related costs as well as cost savings resulting from restructuring actions that were initiated during fiscal 2018 to improve operating efficiencies and ongoing efforts to optimize our product portfolio.</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MP revenue increased $300.7 million, or 14.4%, in fiscal 2017 as compared to fiscal 2016, primarily due to higher demand for our cellular RF solutions in support of marquee smartphones and customers based in China.</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decrease in MP operating income as a percentage of revenue in fiscal 2017 as compared to fiscal 2016 was primarily due to lower gross margin. Gross margin was adversely impacted in fiscal 2017 by an unfavorable change in product mix towards lower margin low-band PAD modules, product cost reductions lagging normal average selling price erosion, lower factory utilization, and unfavorable inventory adjustments, primarily due to lower than expected manufacturing assembly yields on the low-band PAD modules in the second quarter of fiscal 2017. The lower yield was associated with the device packaging, not device functionality, however, the impact was significant because the issue was identified late in the production process.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3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52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66"/>
        </w:trPr>
        <w:tc>
          <w:tcPr>
            <w:tcW w:w="63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Infrastructure and Defense Products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6200" w:type="dxa"/>
            <w:vAlign w:val="bottom"/>
            <w:gridSpan w:val="3"/>
          </w:tcPr>
          <w:p>
            <w:pPr>
              <w:ind w:left="40"/>
              <w:spacing w:after="0"/>
              <w:rPr>
                <w:sz w:val="20"/>
                <w:szCs w:val="20"/>
                <w:color w:val="auto"/>
              </w:rPr>
            </w:pPr>
            <w:r>
              <w:rPr>
                <w:rFonts w:ascii="Arial" w:cs="Arial" w:eastAsia="Arial" w:hAnsi="Arial"/>
                <w:sz w:val="18"/>
                <w:szCs w:val="18"/>
                <w:color w:val="auto"/>
              </w:rPr>
              <w:t>(In thousands, except percentages)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788,495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644,653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523,512</w:t>
            </w:r>
          </w:p>
        </w:tc>
      </w:tr>
      <w:tr>
        <w:trPr>
          <w:trHeight w:val="243"/>
        </w:trPr>
        <w:tc>
          <w:tcPr>
            <w:tcW w:w="180" w:type="dxa"/>
            <w:vAlign w:val="bottom"/>
          </w:tcPr>
          <w:p>
            <w:pPr>
              <w:spacing w:after="0"/>
              <w:rPr>
                <w:sz w:val="21"/>
                <w:szCs w:val="21"/>
                <w:color w:val="auto"/>
              </w:rPr>
            </w:pPr>
          </w:p>
        </w:tc>
        <w:tc>
          <w:tcPr>
            <w:tcW w:w="62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235,719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152,539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108,370</w:t>
            </w:r>
          </w:p>
        </w:tc>
      </w:tr>
      <w:tr>
        <w:trPr>
          <w:trHeight w:val="27"/>
        </w:trPr>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6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18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IDP revenue increased $143.8 million, or 22.3%, in fiscal 2018 as compared to fiscal 2017, primarily due to higher demand for our defense and aerospace and Wi-Fi products.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IDP operating income increased $83.2 million, or 54.5%, in fiscal 2018 as compared to fiscal 2017, primarily due to higher demand for our defense and aerospace and Wi-Fi products.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IDP revenue increased $121.1 million, or 23.1%, in fiscal 2017 as compared to fiscal 2016, primarily due to higher sales of our wireless infrastructure, defense and aerospace and Wi-Fi products.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 in IDP operating income as a percentage of revenue in fiscal 2017 as compared to fiscal 2016 was driven by higher gross profit from increased revenue, favorable factory utilization and lower unfavorable inventory adjustments. This increase in gross profit was partially offset by higher personnel-related expenses.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16 of the Notes to the Consolidated Financial Statements set forth in Part II, Item 8 of this report for a reconciliation of segment operating income to the consolidated operating income for fiscal years 2018,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Estimate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first quarter of fiscal 2018, we changed our accounting estimate for the expected useful lives of certain machinery and equipment. We evaluated our current asset base and reassessed the estimated useful lives of certain machinery and equipment in connection with the implementation of several capital projects, including the migration of certain SAW processes from 4-inch to 6-inch toolsets and certain BAW processes from 6-inch to 8-inch toolsets. Based on our ability to re-use equipment across generations of process technologies and historical usage trends, we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$59.7 million for fiscal 2018. This decrease in depreciation expense for fiscal 2018 resulted in the following: (1) an increase in income from operations of $47.4 million; (2) an increase in net income of $44.1 million; (3) an improvement in earnings per share of $0.34; and (4) a reduction in inventory of $12.3 million.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OTHER (EXPENSE) INCOME AND INCOME TAXES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180" w:type="dxa"/>
            <w:vAlign w:val="bottom"/>
          </w:tcPr>
          <w:p>
            <w:pPr>
              <w:spacing w:after="0"/>
              <w:rPr>
                <w:sz w:val="2"/>
                <w:szCs w:val="2"/>
                <w:color w:val="auto"/>
              </w:rPr>
            </w:pPr>
          </w:p>
        </w:tc>
        <w:tc>
          <w:tcPr>
            <w:tcW w:w="63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18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r>
      <w:tr>
        <w:trPr>
          <w:trHeight w:val="243"/>
        </w:trPr>
        <w:tc>
          <w:tcPr>
            <w:tcW w:w="18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1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r>
      <w:tr>
        <w:trPr>
          <w:trHeight w:val="243"/>
        </w:trPr>
        <w:tc>
          <w:tcPr>
            <w:tcW w:w="18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recognized $70.5 million, $69.9 million and $25.8 million of interest expense in fiscal years 2018, 2017 and 2016, respectively, primarily related to the $1.0 billion of senior notes that were issued in the third quarter of fiscal 2016. Interest expense in the preceding table for fiscal years 2018, 2017 and 2016 is net of capitalized interest of $13.6 million, $13.6 million and $5.2 million,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Other expense in fiscal 2018 of approximately $0.6 million was related primarily to a net loss from foreign currency offset by a gain on investments. The foreign currency loss was driven primarily by the depreciation of the U.S. dollar against the Euro and Singapore Dollar as well as by the changes in the local currency denominated balance sheet accounts. Other expense in fiscal 2017 of approximately $3.1 million was related primarily to a net loss from foreign currency. The foreign currency loss was driven primarily by the appreciation of the U.S. dollar against the Renminbi as well as by the changes in the local currency denominated balance sheet accounts. In fiscal 2016, we recognized other income primarily due to a gain from the sale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Income tax expense for fiscal 2018 was $57.4 million, which was primarily comprised of tax expense related to the net $77.3 million provisional impact of the Tax Act, international operations generating pre-tax book income and an increase in gross unrecognized tax benefits, offset by tax benefits related to tax credits and domestic and international operations generating pre-tax book losses. For fiscal 2018, this resulted in an annual effective tax rate of 335.0%.</w:t>
      </w:r>
    </w:p>
    <w:p>
      <w:pPr>
        <w:spacing w:after="0" w:line="10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impact of the Tax Act resulted in a provisional net tax expense of $77.3 million in fiscal 2018. This was comprised of a provisional transitional repatriation tax expense of $116.4 million, offset by a provisional deferred tax benefit of $39.1 million from the remeasurement of U.S. deferred tax assets and liabilities. Both the tax charge and the tax benefit represent provisional amounts based on current best estimates.</w:t>
      </w:r>
    </w:p>
    <w:p>
      <w:pPr>
        <w:spacing w:after="0" w:line="1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Income tax expense for fiscal 2017 was $43.9 million, which was primarily comprised of tax expense related to domestic and international operations generating pre-tax book income and an increase in gross unrecognized tax benefits, offset by tax benefits related to tax credits and international operations generating pre-tax book losses. For fiscal 2017, this resulted in an annual effective tax rate of 160.6%.</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for fiscal 2016 was $26.0 million, which was primarily comprised of tax expense related to international operations, an increase in gross unrecognized tax benefits and a $25.1 million increase in the valuation allowance against domestic state tax net operating loss and credit deferred tax assets and foreign net operating loss deferred tax assets, offset by tax benefits arising from domestic operations and tax credits. For fiscal 2016, this resulted in an annual effective tax rate of (908.0)%.</w:t>
      </w:r>
    </w:p>
    <w:p>
      <w:pPr>
        <w:spacing w:after="0" w:line="14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2018, 2017 and 2016, the valuation allowance against domestic and foreign deferred tax assets was $42.8 million, $33.1 million, and $34.7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Note 12 of the Consolidated Financial Statements in Part II, Item 8 of this report for additional information regarding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Under Financial Accounting Standards Board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2018, total remaining unearned compensation cost related to unvested restricted stock units and options was $72.8 million, which will be amortized over the weighted-average remaining service period of approximately 1.2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generated by operations is our primary source of liquidity. As of March 31, 2018, we had working capital of approximately $1,402.5 million, including $926.0 million in cash and cash equivalents, compared to working capital of $1,042.8 million, including $545.5 million in cash and cash equivalents, as of April 1, 2017.</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$926.0 million of total cash and cash equivalents as of March 31, 2018, includes approximately $292.9 million held by our foreign subsidiaries, of which $190.8 million is held by Qorvo International Pte. Ltd. in Singapore. If the undistributed earnings of our foreign subsidiaries are needed in the U.S., we may be required to accrue and pay state income and/or foreign local withholding taxes to repatriate these earnings. Our current plans are to permanently reinvest the undistributed earnings of our foreign subsidiaries, except for the earnings of Qorvo International Pte.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5, 2017, we and certain of our material domestic subsidiaries (the “Guarantors”) entered into a five-year unsecured senior credit facility with Bank of America, N.A., as administrative agent, swing line lender, and L/C issuer, and a syndicate of lenders (the “Credit Agreement”). On the same date, in connection with the execution of the Credit Agreement, we terminated our prior credit agreement, dated April 7, 2015.</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 "Revolving Facility", together with the Term Loan, the "Credit Facility"). In December 2017, $100.0 million of the Term Loan was funded and this amount was subsequently repaid in March 2018. The remainder of the Term Loan is available, at our discretion, in up to two draws prior to June 5, 2018. The Revolving Facility includes a $25.0 million sublimit for the issuance of standby letters of credit and a $10.0 million sublimit for swing line loans. We may request at any time that the Credit Facility be increased by an amount not to exceed $300.0 million. The Credit Facility is available to finance working capital, capital expenditures and other corporate purposes. Our obligations under the Credit Agreement are jointly and severally guaranteed by the Guarantors. Outstanding amounts are due in full on the maturity date of December 5, 2022 (with amounts borrowed under the swing line option due in full no later than ten business days after such loan is made). We had no outstanding amounts under the Credit Facility as of March 31, 2018.</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Note 8 of the Notes to the Consolidated Financial Statements set forth in Part II, Item 8 of this report for further information about the Credit Agreement, including applicable interest rates and financial covenants. As of March 31, 2018, we were in compliance with all the financial covenants under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November 5, 2015, our Board of Directors authorized a share repurchase program to repurchase up to $1.0 billion of our outstanding common stock through November 4, 2016. On February 16, 2016, as part of the $1.0 billion share repurchase program, we entered into variable maturity accelerated share repurchase ("ASR") agreements (a $250.0 million collared agreement and a $250.0 million uncollared agreement) with Bank of America, N.A. For the upfront payment of $500.0 million, in fiscal 2016, we received an aggregate of 10.0 million shares of our common stock under the ASR agreements. Final settlements of the ASR agreements were completed during the first quarter of fiscal 2017 with 0.4 million shares received resulting in a total of 10.4 million shares of our common stock repurchased under the ASR agreements.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are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This program included approximately $150.0 million authorized on the $1.0 billion repurchase program that expired November 4, 2016.</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repurchased 2.9 million shares, 4.1 million shares (inclusive of the 0.4 million shares received in final settlement of the ASR agreement) and 24.3 million shares (inclusive of the 10.0 million shares initially received under the ASR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agreement) of our common stock during fiscal years 2018, 2017 and 2016, respectively, at an aggregate cost of $219.9 million, $209.4 million and $1,300.0 million, respectively, in accordance with the share repurchase programs described above. As of March 31, 2018, $162.1 million remains available for future repurchases under our current share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in fiscal 2018 provided cash of $852.5 million, compared to $776.8 million in fiscal 2017. This year-over-year increase was primarily due to changes in working capital. The Tax Act did not have an impact on our fiscal 2018 cash flows from operating activities.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in fiscal 2017 provided cash of $776.8 million, compared to $687.9 million in fiscal 2016. This year-over-year increase was due primarily to improvement in working capital, partially offset by lower adjustments for non-cash items. The adjustments for non-cash items were lower due primarily to stock-based compensation expense and deferred taxes, partially offset by higher depreciation.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cash used in investing activities in fiscal 2018 was $277.4 million, compared to $490.3 million in fiscal 2017. This year-over-year decrease in cash used in investing activities was primarily due to capital expenditures incurred in fiscal 2017 that increased premium filter capacity and manufacturing cost saving initiatives.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in fiscal 2017 was $490.3 million, compared to $278.7 million in fiscal 2016. This increase was primarily due to higher capital expenditures related to projects for increasing premium filter capacity and manufacturing cost savings initiatives and the acquisition of GreenPeak Technologies, B.V. ("GreenPeak"), partially offset by higher net proceeds from available-for-sale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Net cash used in financing activities in fiscal 2018 was $196.8 million, compared to $165.7 million in fiscal 2017. This year-over-year increase was primarily due to higher share repurchase activity, higher tax withholding paid on behalf of employees for restricted stock units and debt payments.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financing activities in 2017 was $165.7 million, compared to $283.0 million in fiscal 2016. This decrease was primarily due to lower share repurchase activity, partially offset by lower net proceeds from borrowings.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equity or debt financing could be dilutive to holders of our common stock. Further, we cannot be sure that additional equity or debt financing, if required, will be available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the effects of inflation had a significant impact on our revenue or operating income during fiscal years 2018, 2017 and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no off-balance sheet arrangements as defined in Item 303(a)(4)(ii) of SEC Regulation S-K.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March 31, 2018, and the effect such obligations are expected to have on our liquidity and cash flows in future periods.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1"/>
              </w:rPr>
              <w:t>Payments Due By Period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Fiscal 2024 and</w:t>
            </w: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Payments</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Fiscal 2019</w:t>
            </w:r>
          </w:p>
        </w:tc>
        <w:tc>
          <w:tcPr>
            <w:tcW w:w="10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2020-2021</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2022-2023</w:t>
            </w:r>
          </w:p>
        </w:tc>
        <w:tc>
          <w:tcPr>
            <w:tcW w:w="20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Capital commitments </w:t>
            </w: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39,200</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1,480,132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136,793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1,138,150</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Capital lease </w:t>
            </w: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18,454</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purchase obligations and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Cross-licensing liability </w:t>
            </w: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11,034</w:t>
            </w: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1,956,188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407,044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174,156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159,107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1,215,881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17145</wp:posOffset>
            </wp:positionV>
            <wp:extent cx="512826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spacing w:after="0" w:line="38" w:lineRule="exact"/>
        <w:rPr>
          <w:sz w:val="20"/>
          <w:szCs w:val="20"/>
          <w:color w:val="auto"/>
        </w:rPr>
      </w:pPr>
    </w:p>
    <w:p>
      <w:pPr>
        <w:ind w:right="120" w:firstLine="8"/>
        <w:spacing w:after="0" w:line="255"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Capital commitments represent obligations for the construction or purchase of property and equipment. They were not recorded as liabilities on our Consolidated Balance Sheet because we had not received the related goods or services as of March 31, 2018.</w:t>
      </w:r>
    </w:p>
    <w:p>
      <w:pPr>
        <w:spacing w:after="0" w:line="1" w:lineRule="exact"/>
        <w:rPr>
          <w:rFonts w:ascii="Arial" w:cs="Arial" w:eastAsia="Arial" w:hAnsi="Arial"/>
          <w:sz w:val="16"/>
          <w:szCs w:val="16"/>
          <w:color w:val="auto"/>
        </w:rPr>
      </w:pPr>
    </w:p>
    <w:p>
      <w:pPr>
        <w:jc w:val="both"/>
        <w:ind w:right="400" w:firstLine="8"/>
        <w:spacing w:after="0" w:line="263" w:lineRule="auto"/>
        <w:tabs>
          <w:tab w:leader="none" w:pos="23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Long-term debt obligations represent future cash payments of principal and interest over the life of the Notes, including anticipated interest payments not recorded as liabilities on our Consolidated Balance Sheet as of March 31, 2018. Debt obligations are classified based on their stated maturity date, and any future redemptions would impact our cash payments. See Note 8 of the Notes to the Consolidated Financial Statements set forth in Part II, Item 8 of this report for further information.</w:t>
      </w:r>
    </w:p>
    <w:p>
      <w:pPr>
        <w:ind w:right="160" w:firstLine="8"/>
        <w:spacing w:after="0" w:line="246"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capital lease obligation relates to a lease that was signed in the fourth quarter of fiscal 2018. This lease will allow us to consolidate several leased facilities as well as provide additional manufacturing space in Beijing, China. The lease is not recorded on our Consolidated Balance Sheet as of March 31, 2018, because the lease term is not expected to commence until fiscal 2020.</w:t>
      </w:r>
    </w:p>
    <w:p>
      <w:pPr>
        <w:spacing w:after="0" w:line="1" w:lineRule="exact"/>
        <w:rPr>
          <w:rFonts w:ascii="Arial" w:cs="Arial" w:eastAsia="Arial" w:hAnsi="Arial"/>
          <w:sz w:val="16"/>
          <w:szCs w:val="16"/>
          <w:color w:val="auto"/>
        </w:rPr>
      </w:pPr>
    </w:p>
    <w:p>
      <w:pPr>
        <w:ind w:right="80" w:firstLine="8"/>
        <w:spacing w:after="0" w:line="263" w:lineRule="auto"/>
        <w:tabs>
          <w:tab w:leader="none" w:pos="23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Other purchase obligations and commitments include payments due under various contracts as well as agreements to purchase materials and manufacturing services. They are not recorded as liabilities on our Consolidated Balance Sheet because we had not received the related goods or services as of March 31, 2018.</w:t>
      </w:r>
    </w:p>
    <w:p>
      <w:pPr>
        <w:ind w:right="580" w:firstLine="8"/>
        <w:spacing w:after="0" w:line="248" w:lineRule="auto"/>
        <w:tabs>
          <w:tab w:leader="none" w:pos="2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cross-licensing liability represents payables under a cross-licensing agreement and are included in "Accrued liabilities" and "Other long-term liabilities" in the Consolidated Balance Sheet as of March 31, 2018.</w:t>
      </w:r>
    </w:p>
    <w:p>
      <w:pPr>
        <w:spacing w:after="0" w:line="1" w:lineRule="exact"/>
        <w:rPr>
          <w:rFonts w:ascii="Arial" w:cs="Arial" w:eastAsia="Arial" w:hAnsi="Arial"/>
          <w:sz w:val="16"/>
          <w:szCs w:val="16"/>
          <w:color w:val="auto"/>
        </w:rPr>
      </w:pPr>
    </w:p>
    <w:p>
      <w:pPr>
        <w:ind w:right="540" w:firstLine="8"/>
        <w:spacing w:after="0" w:line="276"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Commitments for deferred compensation represent the liability under our Non-Qualified Deferred Compensation Plan. See Note </w:t>
      </w:r>
      <w:r>
        <w:rPr>
          <w:rFonts w:ascii="Arial" w:cs="Arial" w:eastAsia="Arial" w:hAnsi="Arial"/>
          <w:sz w:val="18"/>
          <w:szCs w:val="18"/>
          <w:color w:val="auto"/>
        </w:rPr>
        <w:t>9</w:t>
      </w:r>
      <w:r>
        <w:rPr>
          <w:rFonts w:ascii="Arial" w:cs="Arial" w:eastAsia="Arial" w:hAnsi="Arial"/>
          <w:sz w:val="16"/>
          <w:szCs w:val="16"/>
          <w:color w:val="auto"/>
        </w:rPr>
        <w:t xml:space="preserve"> of the Notes to the Consolidated Financial Statements set forth in Part II, Item 8 of this report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Obligations</w:t>
      </w:r>
    </w:p>
    <w:p>
      <w:pPr>
        <w:spacing w:after="0" w:line="225"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As of March 31, 2018, in addition to the amounts shown in the contractual obligations table above, we had $127.4 million of unrecognized income tax benefits and accrued interest, of which $18.3 million had been recorded as a liability. We are uncertain as to if, or when, such amounts may be settled.</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in Note 9 of the Notes to the Consolidated Financial Statements set forth in Part II, Item 8 of this report, we have two pension plans in Germany with a combined benefit obligation of approximately $12.7 million as of March 31, 2018. Pension benefit payments are not included in the schedule above because they are not available for all periods presented. Pension benefit payments were approximately $0.2 million in fiscal 2018 and are expected to be approximately $0.3 million in fiscal 2019.</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30"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set forth in Part II, Item 8 of this report).</w:t>
      </w:r>
    </w:p>
    <w:p>
      <w:pPr>
        <w:spacing w:after="0" w:line="178"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b w:val="1"/>
          <w:bCs w:val="1"/>
          <w:i w:val="1"/>
          <w:iCs w:val="1"/>
          <w:color w:val="auto"/>
        </w:rPr>
        <w:t xml:space="preserve">Inventory Reserves. </w:t>
      </w:r>
      <w:r>
        <w:rPr>
          <w:rFonts w:ascii="Arial" w:cs="Arial" w:eastAsia="Arial" w:hAnsi="Arial"/>
          <w:sz w:val="17"/>
          <w:szCs w:val="17"/>
          <w:color w:val="auto"/>
        </w:rPr>
        <w:t>The valuation of inventory requires us to estimate obsolete or excess inventory. The determination of obsolete or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178"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an impact on margins of less than 2% in fiscal years 2018, 2017 and 2016.</w:t>
      </w:r>
    </w:p>
    <w:p>
      <w:pPr>
        <w:spacing w:after="0" w:line="17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333333"/>
        </w:rPr>
        <w:t>Periodically, we evaluate the period over which we expect to recover the economic value of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333333"/>
        </w:rPr>
        <w:t xml:space="preserve">considering factors such as changes in machinery and equipment technology, our ability to re-use equipment across generations of process technology and historical usage trends. When we determine that the useful lives of assets are shorter or longer than we had </w:t>
      </w:r>
      <w:r>
        <w:rPr>
          <w:rFonts w:ascii="Arial" w:cs="Arial" w:eastAsia="Arial" w:hAnsi="Arial"/>
          <w:sz w:val="18"/>
          <w:szCs w:val="18"/>
          <w:color w:val="000000"/>
        </w:rPr>
        <w:t>originally estimated, we</w:t>
      </w:r>
      <w:r>
        <w:rPr>
          <w:rFonts w:ascii="Arial" w:cs="Arial" w:eastAsia="Arial" w:hAnsi="Arial"/>
          <w:sz w:val="18"/>
          <w:szCs w:val="18"/>
          <w:color w:val="333333"/>
        </w:rPr>
        <w:t xml:space="preserve"> </w:t>
      </w:r>
      <w:r>
        <w:rPr>
          <w:rFonts w:ascii="Arial" w:cs="Arial" w:eastAsia="Arial" w:hAnsi="Arial"/>
          <w:sz w:val="18"/>
          <w:szCs w:val="18"/>
          <w:color w:val="000000"/>
        </w:rPr>
        <w:t>adjust the rate of depreciation to reflect the revised useful lives of the assets.</w:t>
      </w:r>
    </w:p>
    <w:p>
      <w:pPr>
        <w:spacing w:after="0" w:line="187"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We assess property and equipment for impairment when events or changes in circumstances indicate that the carrying value of the assets or the asset grouping may not be recoverable. Factors that we consider in deciding when to perform an impairment review include an adverse change in our use of the assets or an expectation that the assets will be sold or otherwise disposed. We assess the recoverability of the assets held for use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The process of evaluating property and equipment for impairment is highly subjective and requires significant judgment as we are required to make assumptions about items such as future demand for our products and industry trends.</w:t>
      </w:r>
    </w:p>
    <w:p>
      <w:pPr>
        <w:spacing w:after="0" w:line="179"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is recorded when the purchase price paid for a business exceeds the estimated fair value of the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tangible and intangible assets acquired. Intangibles are recorded when such assets are acquired by purchase or license. The value of our intangibles, including goodwill, could be impacted by future adverse changes such as: (i) any future declines in our operating results; (ii) a decline in the value of technology company stocks, including the value of our common stock; (iii) a prolonged or more significant slowdown in the worldwide economy or the semiconductor industry; or (iv) failure to meet the performance projections included in our forecasts of future operating results.</w:t>
      </w:r>
    </w:p>
    <w:p>
      <w:pPr>
        <w:spacing w:after="0" w:line="15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account for goodwill and indefinite-lived intangible assets in accordance with the FASB's guidance, which requires annual testing for impairment or whenever events or circumstances make it more likely than not that an impairment may have occurred. We perform our annual impairment tests on the first day of the fourth quarter in each fiscal year. Our indefinite-lived intangible assets consist of in-process research and development ("IPRD").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We have the option to perform a qualitative assessment (commonly referred to as "step zero") to determine whether further quantitative analysis for impairment of goodwill or indefinite-lived intangible assets is necessary. In performing step zero for our impairment test, we are required to make assumptions and judgments, including the evaluation of macroeconomic conditions as related to our business, industry and market trends, and the overall future financial performance of our reporting units and future opportunities in the markets in which they operate. We also consider recent fair value calculations of our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we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8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w:t>
      </w:r>
    </w:p>
    <w:p>
      <w:pPr>
        <w:spacing w:after="0" w:line="170"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our business strategy or our internal forecasts. Although we believe the assumptions, judgments and estimates we have made have been reasonable and appropriate, different assumptions, judgments and estimates could materially affect our results of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Goodwill is allocated to our reporting units based on the expected benefit from the synergies of the business combinations generating the underlying goodwill. For fiscal 2018, we performed a qualitative assessment of the fair value of our reporting units and, as a result of our analysis, we determined that there were no indicators of impairment and no further quantitative impairment test was deemed necessary.</w:t>
      </w:r>
    </w:p>
    <w:p>
      <w:pPr>
        <w:spacing w:after="0" w:line="166"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For fiscal 2017, we performed a qualitative assessment of the fair value of our reporting units and, as a result of our analysis, we determined that there were no indicators of impairment and no further quantitative impairment test was deemed necessary.</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For fiscal 2016, although there were no indicators of impairment, we opted to bypass the qualitative assessment and proceeded to perform fair value assessments of our reporting units (the first step of the quantitative impairment analysis) as the fair value of the reporting units had changed (due to the Business Combination) since the last time we performed a quantitative analysis. The quantitative assessments performed reaffirmed that there were no indicators of impairment for fiscal 2016.</w:t>
      </w:r>
    </w:p>
    <w:p>
      <w:pPr>
        <w:spacing w:after="0" w:line="187"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In performing these quantitative assessments, consistent with our historical approach, we used both the income and market approaches to estimate the fair value of our reporting units. The income approach involves discounting future estimated cash flows. The sum of the reporting unit cash flow projections was compared to our market capitalization in a discounted cash flow framework to calculate an overall implied internal rate of return (or discount rate) for the Company. Our market capitalization was adjusted to a control basis assuming a reasonable control premium, which resulted in an implied discount rate. This implied discount rate serves as a baseline for estimating the specific discount rate for each reporting unit.</w:t>
      </w:r>
    </w:p>
    <w:p>
      <w:pPr>
        <w:spacing w:after="0" w:line="158"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The discount rate used is the value-weighted average of our estimated cost of equity and debt (“cost of capital”) derived using both known and estimated customary market metrics. Our weighted average cost of capital is adjusted for each reporting unit to reflect a risk factor, if necessary, for each reporting unit. We perform sensitivity tests with respect to growth rates and discount rates used in the income approach. We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30" w:right="2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believe the income approach is appropriate because it provides a fair value estimate based upon the respective reporting unit’s expected long-term operations and cash flow performance.</w:t>
      </w:r>
    </w:p>
    <w:p>
      <w:pPr>
        <w:spacing w:after="0" w:line="170"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We considered historical rates and current market conditions when determining the discount and growth rates used in our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We believe the market approach is appropriate because it provides a fair value using multiples from companies with operations and economic characteristics similar to its reporting units. We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78"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Under the income approach,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 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In fiscal 2015, as a result of the Business Combination, we recorded IPRD of $470.0 million. IPRD was recorded at fair value as of the date of acquisition as an indefinite-lived intangible asset until the completion or abandonment of the associated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During fiscal years 2018, 2017 and 2016, we completed and transferred into developed technology approximately $37.0 million, $220.0 million and $203.0 million, respectively, of IPRD. We performed a qualitative assessment of the remaining IPRD of $10.0 million during fiscal 2018 and concluded that IPRD was not impaired.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color w:val="auto"/>
        </w:rPr>
        <w:t>Intangible assets are recorded when such assets are acquired by purchase or license. Finite-lived intangible assets consist primarily of technology licenses, customer relationships, developed technology and trade names resulting from business combinations and are subject to amortization.</w:t>
      </w:r>
    </w:p>
    <w:p>
      <w:pPr>
        <w:spacing w:after="0" w:line="124"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2015 and 2017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87" w:lineRule="exact"/>
        <w:rPr>
          <w:sz w:val="20"/>
          <w:szCs w:val="20"/>
          <w:color w:val="auto"/>
        </w:rPr>
      </w:pPr>
    </w:p>
    <w:p>
      <w:pPr>
        <w:jc w:val="both"/>
        <w:ind w:left="660" w:right="320"/>
        <w:spacing w:after="0" w:line="286" w:lineRule="auto"/>
        <w:rPr>
          <w:sz w:val="20"/>
          <w:szCs w:val="20"/>
          <w:color w:val="auto"/>
        </w:rPr>
      </w:pPr>
      <w:r>
        <w:rPr>
          <w:rFonts w:ascii="Arial" w:cs="Arial" w:eastAsia="Arial" w:hAnsi="Arial"/>
          <w:sz w:val="17"/>
          <w:szCs w:val="17"/>
          <w:color w:val="auto"/>
        </w:rPr>
        <w:t>The fair value of trade names acquired in fiscal years 2015 and 2017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two to three years.</w:t>
      </w:r>
    </w:p>
    <w:p>
      <w:pPr>
        <w:spacing w:after="0" w:line="166"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fair value of the non-compete agreements acquired in fiscal 2017 was determined based on an income approach using the "incremental income method" over the useful life of two years.</w:t>
      </w:r>
    </w:p>
    <w:p>
      <w:pPr>
        <w:spacing w:after="0" w:line="170"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We regularly review identified intangible assets to determine if facts and circumstances indicate that the useful life has changed from the original estimate or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Net revenue is generated principally from sales of semiconductor products. We recognize revenue from product sales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4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Sales of products are generally made through either our sales force, manufacturers' representatives or through a distribution network. Revenue from the majority of our products is recognized upon shipment of the product to the customer from a Company-owned or third-party location. Some revenue is recognized upon receipt of the shipment by the customer. We have limited rebate programs offering price protection to certain distributors. These rebates represented approximately 5% of net revenue in fiscal 2018 and can be reasonably estimated based on specific criteria included in the rebate agreements and other known factors at the time. We reduce revenue and record reserves for product returns and allowances for price protection, stock rotation, and scrap allowance based on historical experience or specific identification depending on the contractual terms of the arrangement.</w:t>
      </w:r>
    </w:p>
    <w:p>
      <w:pPr>
        <w:spacing w:after="0" w:line="149"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We also recognize a portion of our net revenue through other agreements such as non-recurring engineering fees, contracts for R&amp;D work, royalty income, intellectual property ("IP") revenue, and service revenue. These agreements are collectively less than 1% of our consolidated annual revenue. Revenue from these agreements is recognized when the service is completed or upon certain milestones, as provided for in the agreements.</w:t>
      </w:r>
    </w:p>
    <w:p>
      <w:pPr>
        <w:spacing w:after="0" w:line="106" w:lineRule="exact"/>
        <w:rPr>
          <w:sz w:val="20"/>
          <w:szCs w:val="20"/>
          <w:color w:val="auto"/>
        </w:rPr>
      </w:pPr>
    </w:p>
    <w:p>
      <w:pPr>
        <w:jc w:val="both"/>
        <w:ind w:left="660" w:right="440"/>
        <w:spacing w:after="0" w:line="286" w:lineRule="auto"/>
        <w:rPr>
          <w:sz w:val="20"/>
          <w:szCs w:val="20"/>
          <w:color w:val="auto"/>
        </w:rPr>
      </w:pPr>
      <w:r>
        <w:rPr>
          <w:rFonts w:ascii="Arial" w:cs="Arial" w:eastAsia="Arial" w:hAnsi="Arial"/>
          <w:sz w:val="17"/>
          <w:szCs w:val="17"/>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18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In addition, we license or sell our rights to use portions of our IP portfolio, which includes certain patent rights useful in the manufacture and sales of certain products. IP revenue recognition is dependent on the terms of each agreement. We will recognize IP revenue upon delivery of the IP if we have no substantive future obligation to perform under the arrangement. We will defer recognition of IP revenue where future performance obligations are required to earn the revenue or the revenue is not guaranteed. Revenue from services is recognized during the period that the service is performed.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Accounts receivable are recorded for all revenue items listed above and do not bear interest. We evaluate the collectability of accounts receivable based on a combination of factors. In cases where we are aware of circumstances that may impair a specific customer’s ability to meet its financial obligations after the original sale, we will record an allowance against amounts due, and thereby reduce the receivable to the amount we reasonably believe will be collected. For all other customers, we recognize allowances for doubtful accounts based on the length of time the receivables are past due, industry and geographic concentrations, the current business environment and our historical experience.</w:t>
      </w:r>
    </w:p>
    <w:p>
      <w:pPr>
        <w:spacing w:after="0" w:line="132"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Our terms and conditions do not give our customers a right of return associated with the original sale of our products. However, we will authorize sales returns under certain circumstances, which include perceived quality problems, courtesy returns and like-kind exchanges. We evaluate our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12 of the Notes to the Consolidated Financial Statements set forth in Part II, Item 8 of this report for additional information regarding changes in the valuation allowance and net deferred tax assets.</w:t>
      </w:r>
    </w:p>
    <w:p>
      <w:pPr>
        <w:spacing w:after="0" w:line="169"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12 of the Notes to the Consolidated Financial Statements set forth in Part II, Item 8 of this report for additional information regarding our uncertain tax positions and the amount of unrecognized tax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January 2017, the FASB issued Accounting Standards Update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new guidance simplifies the subsequent measurement of goodwill by eliminating the second step from the quantitative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We will continue to have the option to perform a qualitative assessment to determine if a quantitative goodwill impairment test is necessary. The new standard will become effective for us beginning in fiscal 2021 with early adoption permitted. We do not believe it will have a significant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new guidance clarifies the definition of a business and provides further guidance for evaluating whether a transaction will be accounted for as an acquisition of an asset or a business. The new standard will become effective for us beginning in the first quarter of fiscal 2019 with early adoption permitted. The update should be applied prospectively. We do not believe it will have a significant impact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i w:val="1"/>
          <w:iCs w:val="1"/>
          <w:color w:val="auto"/>
        </w:rPr>
        <w:t xml:space="preserve">(a consensus of the FASB’s Emerging Issues Task Force)." </w:t>
      </w:r>
      <w:r>
        <w:rPr>
          <w:rFonts w:ascii="Arial" w:cs="Arial" w:eastAsia="Arial" w:hAnsi="Arial"/>
          <w:sz w:val="18"/>
          <w:szCs w:val="18"/>
          <w:color w:val="auto"/>
        </w:rPr>
        <w:t>The new guidance addresses eight specific cash flow issues with the objective of reducing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new standard will become effective for us beginning in the first quarter of fiscal 2019. We do not believe it will have a significant impact on our consolidated financial statements.</w:t>
      </w:r>
    </w:p>
    <w:p>
      <w:pPr>
        <w:spacing w:after="0" w:line="190"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The new guidance requires entities to use a current lifetime expected credit loss methodology to measure impairments of certain financial instruments. It also modifies the impairment model for available-for-sale debt securities and provides for a simplified accounting model for purchased financial assets with credit deterioration since their origination. The new standard will become effective for us beginning in the first quarter of fiscal 2021 with early adoption permitted. We do not believe it will have a significant impact on our consolidated financial statements.</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guidance requires lessees to recognize a right-of-use asset and a lease liability for all leases with a term longer than 12 months, including those previously described as operating leases. Consistent with current U.S. generally accepted accounting principles ("GAAP"), the recognition, measurement, and presentation of expenses and cash flows arising from a lease by a lessee will primarily depend on its classification as a finance or operating lease. The new guidance will become effective for us in the first quarter of fiscal 2020. We expect the valuation of the right-of-use assets and lease liabilities, for leases previously described as operating leases, to be the present value of our forecasted future lease commitments. We are continuing to assess the overall impacts of the new standard, including the discount rate to be applied in these valuations.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The new guidance will affect the accounting for equity investments, financial liabilities measured under the fair value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us beginning in the first quarter of fiscal 2019. We do not believe it will have a significant impact on our consolidated financial statements.</w:t>
      </w:r>
    </w:p>
    <w:p>
      <w:pPr>
        <w:spacing w:after="0" w:line="1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with several amendments subsequently issued. The new guidance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We will adopt the standard in the first quarter of fiscal 2019 using the modified retrospective approach, under which the cumulative effect of adoption is recognized at the date of initial application. We have evaluated the impact of the standard and do not anticipate that the adoption of this standard will have a material impact on our consolidated financial statements. We are implementing changes to our accounting policies, internal controls and disclosures to support the new standard, however, we do not expect these changes to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In March 2018, the FASB issued ASU 2018-05, </w:t>
      </w:r>
      <w:r>
        <w:rPr>
          <w:rFonts w:ascii="Arial" w:cs="Arial" w:eastAsia="Arial" w:hAnsi="Arial"/>
          <w:sz w:val="17"/>
          <w:szCs w:val="17"/>
          <w:i w:val="1"/>
          <w:iCs w:val="1"/>
          <w:color w:val="auto"/>
        </w:rPr>
        <w:t>"Income Taxes (Topic 740): Amendments to SEC Paragraphs Pursuant to SEC Staff Accounting Bulletin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118." </w:t>
      </w:r>
      <w:r>
        <w:rPr>
          <w:rFonts w:ascii="Arial" w:cs="Arial" w:eastAsia="Arial" w:hAnsi="Arial"/>
          <w:sz w:val="17"/>
          <w:szCs w:val="17"/>
          <w:color w:val="auto"/>
        </w:rPr>
        <w:t>The amendments incorporate into the ASC the recent SEC guidance related to the income tax accounting implications of the Tax Act. See Note 12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to the Consolidated Financial Statements in Part II, Item 8 of this report for additional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The new guidance clarifies when modification accounting in Topic 718 should be applied to changes to the terms or conditions of a share-based payment award. We elected to early-adopt the standard in the first quarter of fiscal 2018 with no impact on our consolidated financial statements.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The new guidance requires that restricted cash and restricted cash equivalents be included in cash and cash equivalents when reconciling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beginning-of-period and end-of-period total amounts shown in the statement of cash flows. We adopted the provisions of ASU 2016-18 in the second quarter of fiscal 2018 using the retrospective transition method. The adjustment to reclassify restricted cash for each period presented was less than $1.0 million.</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The new guidance requires an entity to recognize the income tax consequences of an intra-entity transfer of an asset, other than inventory, when the transfer occurs. We elected to early-adopt the standard in the first quarter of fiscal 2018 using the modified retrospective method (which resulted in a cumulative adjustment to retained earnings of $1.2 million as of the beginning of the period of adoption). During fiscal 2018, we recognized a tax expense of $6.9 million related to transfers of intra-entity assets.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new guidance simplifies certain aspects of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forfeitures, classification of awards on the balance sheet and presentation on the statement of cash flows, and became effective for us in the first quarter of fiscal 2018. We recognized a cumulative-effect adjustment to reduce our accumulated deficit by $36.7 million with a corresponding increase to deferred tax assets for the federal and state net operating losses attributable to excess tax benefits that had not been previously recognized. All excess tax benefits and deficiencies in the current and future periods will be recognized as income tax expense in our Consolidated Statement of Operations in the reporting period in which they occur. This will result in increased volatility in our effective tax rate. During fiscal 2018, we recognized a discrete tax benefit of $12.2 million related to the excess tax benefits from stock-based compensation. We also elected to prospectively adopt the provision that requires excess tax benefits to be presented within operating activities in the statement of cash flows and no prior periods have been restated as a result of the adoption. We continued our existing practice of estimating expected forfeitures in determining compensation cost.</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"Investments-Equity Method and Joint Ventures (Topic 323): Simplifying the Transition to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Accounting." </w:t>
      </w:r>
      <w:r>
        <w:rPr>
          <w:rFonts w:ascii="Arial" w:cs="Arial" w:eastAsia="Arial" w:hAnsi="Arial"/>
          <w:sz w:val="18"/>
          <w:szCs w:val="18"/>
          <w:color w:val="auto"/>
        </w:rPr>
        <w:t>The new guidance eliminates the requirement to retrospectively apply the equity method of accounting when an investment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cost basis qualifies for the equity method of accounting. We adopted ASU 2016-07 in the first quarter of fiscal 2018 with no impact on our consolidated financial results.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We adopted ASU 2015-11 in the first quarter of fiscal 2018 with no significant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exposed to financial market risks, including changes in interest rates, currency exchange rates and certain commodity prices. The overall objective of our financial risk management program is to seek a reduction in the potential negative earnings effects from changes in interest rates, foreign exchange rates and commodity prices arising from our business activities. We manage these financial exposures through operational means and by using various financial instruments. These practices may change as economic conditions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30" w:right="2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interest rates under our Credit Agreement are variable, however, since we have no outstanding balances under the Credit Agreement, there is no interest rate risk related to this facility as of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Rates</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Costa 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 We seek to manage our foreign exchange risk in part through operational means.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2018, we incurred a foreign currency loss of $2.8 million as compared to a loss of $3.2 million in fiscal 2017, which is recorded in “Other (expense) income.”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financial instrument holdings, including foreign receivables, cash and payables at March 31, 2018,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$2.7 million. If the U.S. dollar increased in value 10% in relation to the re-measured foreign currency instruments, our net income would have increased by approximately $2.2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continue to attempt to mitigate the risk of similar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547"/>
        </w:trPr>
        <w:tc>
          <w:tcPr>
            <w:tcW w:w="428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Balance Sheets</w:t>
              </w:r>
            </w:hyperlink>
          </w:p>
        </w:tc>
        <w:tc>
          <w:tcPr>
            <w:tcW w:w="708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Statements of Operations</w:t>
              </w:r>
            </w:hyperlink>
          </w:p>
        </w:tc>
        <w:tc>
          <w:tcPr>
            <w:tcW w:w="708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Statements of Comprehensive Loss</w:t>
              </w:r>
            </w:hyperlink>
          </w:p>
        </w:tc>
        <w:tc>
          <w:tcPr>
            <w:tcW w:w="760" w:type="dxa"/>
            <w:vAlign w:val="bottom"/>
          </w:tcPr>
          <w:p>
            <w:pPr>
              <w:spacing w:after="0"/>
              <w:rPr>
                <w:sz w:val="21"/>
                <w:szCs w:val="21"/>
                <w:color w:val="auto"/>
              </w:rPr>
            </w:pPr>
          </w:p>
        </w:tc>
        <w:tc>
          <w:tcPr>
            <w:tcW w:w="70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 xml:space="preserve">Consolidated Statements of </w:t>
              </w:r>
            </w:hyperlink>
            <w:r>
              <w:rPr>
                <w:rFonts w:ascii="Arial" w:cs="Arial" w:eastAsia="Arial" w:hAnsi="Arial"/>
                <w:sz w:val="18"/>
                <w:szCs w:val="18"/>
                <w:color w:val="0000FF"/>
                <w:w w:val="89"/>
              </w:rPr>
              <w:t>Stockholders' Equity</w:t>
            </w:r>
          </w:p>
        </w:tc>
        <w:tc>
          <w:tcPr>
            <w:tcW w:w="760" w:type="dxa"/>
            <w:vAlign w:val="bottom"/>
          </w:tcPr>
          <w:p>
            <w:pPr>
              <w:spacing w:after="0"/>
              <w:rPr>
                <w:sz w:val="21"/>
                <w:szCs w:val="21"/>
                <w:color w:val="auto"/>
              </w:rPr>
            </w:pPr>
          </w:p>
        </w:tc>
        <w:tc>
          <w:tcPr>
            <w:tcW w:w="70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w:t>
              </w:r>
            </w:hyperlink>
          </w:p>
        </w:tc>
        <w:tc>
          <w:tcPr>
            <w:tcW w:w="760" w:type="dxa"/>
            <w:vAlign w:val="bottom"/>
          </w:tcPr>
          <w:p>
            <w:pPr>
              <w:spacing w:after="0"/>
              <w:rPr>
                <w:sz w:val="21"/>
                <w:szCs w:val="21"/>
                <w:color w:val="auto"/>
              </w:rPr>
            </w:pPr>
          </w:p>
        </w:tc>
        <w:tc>
          <w:tcPr>
            <w:tcW w:w="708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w:t>
              </w:r>
            </w:hyperlink>
          </w:p>
        </w:tc>
        <w:tc>
          <w:tcPr>
            <w:tcW w:w="70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80" w:type="dxa"/>
            <w:vAlign w:val="bottom"/>
            <w:gridSpan w:val="6"/>
          </w:tcPr>
          <w:p>
            <w:pPr>
              <w:spacing w:after="0"/>
              <w:rPr>
                <w:sz w:val="20"/>
                <w:szCs w:val="20"/>
                <w:color w:val="auto"/>
              </w:rPr>
            </w:pPr>
            <w:r>
              <w:rPr>
                <w:rFonts w:ascii="Arial" w:cs="Arial" w:eastAsia="Arial" w:hAnsi="Arial"/>
                <w:sz w:val="18"/>
                <w:szCs w:val="18"/>
                <w:color w:val="0000EE"/>
                <w:w w:val="90"/>
              </w:rPr>
              <w:t>Reports of Independent Registered Public Accounting Firm</w:t>
            </w:r>
          </w:p>
        </w:tc>
        <w:tc>
          <w:tcPr>
            <w:tcW w:w="7080" w:type="dxa"/>
            <w:vAlign w:val="bottom"/>
            <w:gridSpan w:val="3"/>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2018</w:t>
            </w:r>
          </w:p>
        </w:tc>
        <w:tc>
          <w:tcPr>
            <w:tcW w:w="28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(Notes 1 &amp; 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w w:val="91"/>
              </w:rPr>
              <w:t>Accounts receivable, less allowance of $134 and $58 as of March 31, 2018 and April 1, 2017,</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345,957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(Notes 1 &amp; 4)</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472,292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23,909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8"/>
                <w:szCs w:val="18"/>
                <w:i w:val="1"/>
                <w:iCs w:val="1"/>
                <w:color w:val="auto"/>
              </w:rPr>
              <w:t>(Note 1)</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(Notes 1 &amp; 9)</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30,815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1,843,805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18"/>
                <w:szCs w:val="18"/>
                <w:i w:val="1"/>
                <w:iCs w:val="1"/>
                <w:color w:val="auto"/>
              </w:rPr>
              <w:t>(Notes 1 &amp; 5)</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1,374,112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(Notes 1, 6 &amp; 7)</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2,173,889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(Notes 1, 6 &amp; 7)</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860,336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(Notes 1 &amp; 3)</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(Notes 9 &amp; 12)</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65,612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6,381,519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213,193</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Accrued liabilities </w:t>
            </w:r>
            <w:r>
              <w:rPr>
                <w:rFonts w:ascii="Arial" w:cs="Arial" w:eastAsia="Arial" w:hAnsi="Arial"/>
                <w:sz w:val="18"/>
                <w:szCs w:val="18"/>
                <w:i w:val="1"/>
                <w:iCs w:val="1"/>
                <w:color w:val="auto"/>
              </w:rPr>
              <w:t>(Notes 1, 9, 10, &amp; 11)</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Other current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60,904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8)</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983,290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(Notes 9, 10, 11 &amp; 12)</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118,302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1,605,955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10)</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w w:val="91"/>
              </w:rPr>
              <w:t>Preferred stock, $.0001 par value; 5,000 shares authorized; no shares issued and outstanding</w:t>
            </w:r>
          </w:p>
        </w:tc>
        <w:tc>
          <w:tcPr>
            <w:tcW w:w="24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stock and additional paid-in capital, $.0001 par value; 405,000 shares authorized;</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126,322 and 126,464 shares issued and outstanding at March 31, 2018 and April 1, 2017,</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5,237,085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5,357,394</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4,775,564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6,381,519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i w:val="1"/>
          <w:iCs w:val="1"/>
          <w:color w:val="auto"/>
        </w:rPr>
        <w:t>See accompanying notes.</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122"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2,973,536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3,032,574</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2,610,726</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1,826,570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1,897,062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1,561,173</w:t>
            </w:r>
          </w:p>
        </w:tc>
      </w:tr>
      <w:tr>
        <w:trPr>
          <w:trHeight w:val="237"/>
        </w:trPr>
        <w:tc>
          <w:tcPr>
            <w:tcW w:w="64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1,146,966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1,135,512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1,049,553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470,836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448,763</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527,751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545,588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534,099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6 &amp; 11)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31,029</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1,076,684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1,047,453</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1,037,585</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17,145</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r>
      <w:tr>
        <w:trPr>
          <w:trHeight w:val="67"/>
        </w:trPr>
        <w:tc>
          <w:tcPr>
            <w:tcW w:w="6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8"/>
                <w:szCs w:val="18"/>
                <w:i w:val="1"/>
                <w:iCs w:val="1"/>
                <w:color w:val="auto"/>
              </w:rPr>
              <w:t>(Note 12)</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(43,863)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(25,983)</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loss per share </w:t>
            </w:r>
            <w:r>
              <w:rPr>
                <w:rFonts w:ascii="Arial" w:cs="Arial" w:eastAsia="Arial" w:hAnsi="Arial"/>
                <w:sz w:val="18"/>
                <w:szCs w:val="18"/>
                <w:i w:val="1"/>
                <w:iCs w:val="1"/>
                <w:color w:val="auto"/>
              </w:rPr>
              <w:t>(Note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126,946</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127,121</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141,937</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126,946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127,121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141,937</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including intra-entity foreign currency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gain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gain recognized and included in net loss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900" w:type="dxa"/>
            <w:vAlign w:val="bottom"/>
            <w:gridSpan w:val="5"/>
          </w:tcPr>
          <w:p>
            <w:pPr>
              <w:ind w:left="8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60" w:type="dxa"/>
            <w:vAlign w:val="bottom"/>
          </w:tcPr>
          <w:p>
            <w:pPr>
              <w:spacing w:after="0"/>
              <w:rPr>
                <w:sz w:val="20"/>
                <w:szCs w:val="20"/>
                <w:color w:val="auto"/>
              </w:rPr>
            </w:pPr>
          </w:p>
        </w:tc>
        <w:tc>
          <w:tcPr>
            <w:tcW w:w="144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28, 2015</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6,584,247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6,173,160</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(28,845)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17,967</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(1,300,009)</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135,366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135,366</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April 2, 2016</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5,442,613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74"/>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16,832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Tax deficiency from exercised stock options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81,722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81,722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April 1, 2017</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5,357,394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74"/>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28,064</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Cumulative-effect adoption of ASU 2016-09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36,684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36,684</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2016-16</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66,799</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Balance, March 31, 2018</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126,322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5,237,085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(458,769)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320"/>
          </w:cols>
          <w:pgMar w:left="240" w:top="125"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20"/>
          </w:cols>
          <w:pgMar w:left="240" w:top="125" w:right="3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(40,288)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(16,558)</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(28,845)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174,425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209,825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180,362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539,790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494,752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494,589</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Amortization of debt issuance cost and other non-cash items</w:t>
            </w:r>
          </w:p>
        </w:tc>
        <w:tc>
          <w:tcPr>
            <w:tcW w:w="340" w:type="dxa"/>
            <w:vAlign w:val="bottom"/>
          </w:tcPr>
          <w:p>
            <w:pPr>
              <w:spacing w:after="0"/>
              <w:rPr>
                <w:sz w:val="21"/>
                <w:szCs w:val="21"/>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Excess tax benefit from exercises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(32,248)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(28,027)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Loss (income) on investments and other assets, net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49,177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68,158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88,845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139,516</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36,682</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and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38,952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Income tax payable/(recoverable)</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50,801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13,414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852,520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776,820</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687,927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(269,835)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(552,702)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(315,624)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(340,527)</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Proceeds from maturities of available-for-sale securities</w:t>
            </w:r>
          </w:p>
        </w:tc>
        <w:tc>
          <w:tcPr>
            <w:tcW w:w="3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186,793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390,009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Purchase of business, net of cash acquired </w:t>
            </w:r>
            <w:r>
              <w:rPr>
                <w:rFonts w:ascii="Arial" w:cs="Arial" w:eastAsia="Arial" w:hAnsi="Arial"/>
                <w:sz w:val="18"/>
                <w:szCs w:val="18"/>
                <w:i w:val="1"/>
                <w:iCs w:val="1"/>
                <w:color w:val="auto"/>
              </w:rPr>
              <w:t>(Note 6)</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(117,994)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Other investing</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(490,348)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(278,714)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 transaction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(1,300,009)</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Proceeds from debt issuances</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1,175,000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59,148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51,875</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(15,516)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Excess tax benefit from exercises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Other financing</w:t>
            </w:r>
          </w:p>
        </w:tc>
        <w:tc>
          <w:tcPr>
            <w:tcW w:w="3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(165,650)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(282,984)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380,623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119,717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125,935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545,779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426,062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300,127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926,402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545,779</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70,208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71,171</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year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41,478</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52,656</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34,942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and financing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31,769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75,340</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420"/>
          </w:cols>
          <w:pgMar w:left="240" w:top="122" w:right="239" w:bottom="70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703"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2018</w:t>
      </w:r>
    </w:p>
    <w:p>
      <w:pPr>
        <w:spacing w:after="0" w:line="34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(the "Business Combination") under a new holding company named Qorvo, Inc. The stockholders of both RFMD and TriQuint approved the Merger Agreement at each company's special meeting of stockholders on September 5, 2014. During the third quarter of fiscal 2015, all necessary regulatory approvals were received to complete the Business Combination. The Business Combination closed on January 1, 2015 (fourth quarter of fiscal 2015). For financial reporting and accounting purposes, RFMD was the acquirer of TriQuint.</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a product and technology leader at the forefront of the growing global demand for always-on broadband connectivity. The Company combines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the Company's products enable a broad range of leading-edge applications - from very-high-power wired and wireless infrastructure solutions to ultra-low-power smart home solutions. The Company's products and technologies help transform how people around the world access their data, transact commerce, and interact with their communities.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design and manufacturing expertise covers many semiconductor process technologies, which it sources both internally and through external suppliers. The Company’s primary wafer fabrication facilities are located in Florida, North Carolina, Oregon and Texas and its primary assembly and test facilities are located in China, Costa Rica, Germany and Texas. The Company operates design, sales and manufacturing facilities throughout Asia, Europe and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Certain items in the fiscal years 2017 and 2016 financial statements have been reclassified to conform to the fiscal 2018 presentation, such as restricted cash in accordance with Accounting Standards Update ("ASU") 2016-18.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most recent three fiscal years ended on March 31, 2018, April 1, 2017, and April 2, 2016. Fiscal years 2018 and 2017 were 52-week years, and fiscal year 2016 was a 53-week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amounts reported in the consolidated financial statements and accompanying notes. The actual results that the Company experiences may differ materially from its estimates. The Company makes estimates for the returns reserve, rebates, allowance for doubtful accounts, inventory valuation including reserves, warranty reserves, income tax valuation, current and deferred income taxes, uncertain tax positions, non-marketable equity investments, other-than-temporary impairments of investments, goodwill, long-lived assets and other financial statement amounts on a regular basis and makes adjustments based on historical experiences and expected future conditions. Accounting estimates require difficult and subjective judgments and actual results may differ from the Company’s estimates.</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the first quarter of fiscal 2018, the Company changed its accounting estimate for the expected useful lives of certain machinery and equipment. The Company evaluated its asset base and reassessed the estimated useful lives of certain machinery and equipment in connection with its implementation of several capital projects, including the migration of certain surface acoustic wave ("SAW") processes from 4-inch to 6-inch toolsets and certain bulk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acoustic wave ("BAW") processes from 6-inch to 8-inch toolsets. Based on its ability to re-use equipment across generations of process technologies and historical usage trends, the Company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$59.7 million for fiscal 2018. This decrease in depreciation expense for fiscal 2018 resulted in the following: (1) an increase in income from operations of $47.4 million; (2) an increase in net income of $44.1 million; (3) an improvement in earnings per share of $0.34; and (4) a reduction in inventory of $12.3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Investments available-for-sale at March 31, 2018 and April 1, 2017 consisted of auction rate securities ("ARS"). Available-for-sale investments with an original maturity date greater than approximately three months and less than one year are classified as current investments. Available-for-sale investments with an original maturity date exceeding one year are classified as long-term.</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Available-for-sale securities are carried at fair value with the unrealized gains and losses, net of tax, reported in “Other comprehensive income (loss).” The cost of securities sold is based on the specific identification method and any realized gain or loss is included in “Other (expense) income.” The cost of available-for-sale securities is adjusted for premiums and discounts, with the amortization or accretion of such amounts included as a portion of interest.</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assesses individual investments for impairment quarterly. Investments are impaired when the fair value is less than the amortized cost. If an investment is impaired, the Company evaluates whether the impairment is other-than-temporary. A debt investment impairment is considered other-than-temporary if (i) the Company intends to sell the security, (ii) it is more likely than not that the Company will be required to sell the security before recovery of the entire amortized cost basis, or (iii) the Company does not expect to recover the entire amortized cost basis of the security (a credit loss). Other-than-temporary declines in the Company's debt securities are recognized as a loss in the statement of operations if due to credit loss; all other losses on debt securities are recorded in “Other comprehensive income (loss).” The previous amortized cost basis less the other-than-temporary impairment becomes the new cost basis and is not adjusted for subsequent recoveries in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Inventories are stated at the lower of cost or net realizable value (cost is based on standard cost, which approximates actual average cost).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the income statement in the period incurred rather than as a portion of inventory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was not significant during the periods presented.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records miscellaneous non-product receivables that are collectible within 12 months in “Other receivables,” such as value-added tax receivables ($38.1 million as of March 31, 2018 and $55.4 million as of April 1, 2017, which are reported on a net basis), precious metal reclaims submitted for payment and other miscellaneous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Depreciation of property and equipment is computed using the straight-line method over the estimated useful lives of the assets, ranging from one year to thirty-nine years. The Company capitalizes interest on borrowings related to eligible capital expenditures. Capitalized interest is added to the cost of qualified assets and depreciated together with that asset cost. The Company’s assets acquired under capital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for use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w:t>
      </w:r>
      <w:r>
        <w:rPr>
          <w:rFonts w:ascii="Arial" w:cs="Arial" w:eastAsia="Arial" w:hAnsi="Arial"/>
          <w:sz w:val="17"/>
          <w:szCs w:val="17"/>
          <w:color w:val="333333"/>
        </w:rPr>
        <w:t>Impairment, if any, is based on the excess of the carrying amount over the fair value of those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recorded when the purchase price paid for a business exceeds the estimated fair value of the net identified tangible and intangible assets acquired. Intangibles are recorded when such assets are acquired by purchase or license. The value of the Company's intangibles, including goodwill, could be impacted by future adverse changes such as: (i) any future declines in the Company's operating results; (ii) a decline in the value of technology company stocks, including the value of the Company's common stock; (iii) a prolonged or more significant slowdown in the worldwide economy or the semiconductor industry; or (iv) failure to meet the performance projections included in the Company's forecasts of future operating results.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accounts for goodwill and indefinite-lived intangible assets in accordance with the Financial Accounting Standards Board ("FASB") guidance, which requires annual testing for impairment or whenever events or circumstances make it more likely than not that an impairment may have occurred. The Company performs its annual impairment tests on the first day of the fourth quarter in each fiscal year. Indefinite-lived intangible assets consist of in-process research and development ("IPRD").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the option to perform a qualitative assessment (commonly referred to as "step zero") to determine whether further quantitative analysis for impairment of goodwill or indefinite-lived intangible assets is necessary. In performing step zero for its impairment test, the Company is required to make assumptions and judgments, including the evaluation of macroeconomic conditions as related to the Company's business, industry and market trends, and the overall future financial performance of the Company's reporting units and future opportunities in the markets in which they operate. The Company also considers recent fair value calculations of its indefinite-lived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the Company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the Company's business strategy or its internal forecasts. Although the Company believes the assumptions, judgments and estimates it has made have been reasonable and appropriate, different assumptions, judgments and estimates could materially affect its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Goodwill is allocated to the Company's reporting units based on the expected benefit from the synergies of the business combinations generating the underlying goodwill. As of March 31, 2018, the Company's goodwill balance of $2,173.9 million is allocated between its Mobile Products ("MP") and Infrastructure and Defense Products ("IDP") reporting units. In fiscal years 2018 and 2017, the Company completed qualitative assessments of the fair value of its reporting units and concluded that goodwill was not impaired.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fiscal 2016, although there were no indicators of impairment, the Company opted to bypass the qualitative assessment and proceeded to perform fair value assessments of its reporting units (the first step of the quantitative impairment analysis) as the fair value of the reporting units had changed (due to the Business Combination) since the last time the Company performed a quantitative analysis. The quantitative assessments performed reaffirmed that there were no indicators of impairment for fiscal 2016.</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performing these quantitative assessments, consistent with its historical approach, the Company used both the income and market approaches to estimate the fair value of its reporting units. The income approach involves discounting future estimated cash flows. The sum of the reporting unit cash flow projections was compared to the Company's market capitalization in a discounted cash flow framework to calculate an overall implied internal rate of return (or discount rate) for the Company. The Company's market capitalization was adjusted to a control basis assuming a reasonable control premium, which resulted in an implied discount rate. This implied discount rate serves as a baseline for estimating the specific discount rate for each reporting unit.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discount rate used is the value-weighted average of the Company's estimated cost of equity and debt (“cost of capital”) derived using both known and estimated customary market metrics. The Company's weighted average cost of capital is adjusted for each reporting unit to reflect a risk factor, if necessary, for each reporting unit. The Company performs sensitivity tests with respect to growth rates and discount rates used in the income approach. The Company believes the income approach is appropriate because it provides a fair value estimate based upon the respective reporting unit’s expected long-term operations and cash flow performance.</w:t>
      </w:r>
    </w:p>
    <w:p>
      <w:pPr>
        <w:spacing w:after="0" w:line="18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considered historical rates and current market conditions when determining the discount and growth rates used in its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applying the market approach, valuation multiples are derived from historical and projected operating data of selected guideline companies, which are evaluated and adjusted, if necessary, based on the strengths and weaknesses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30" w:right="27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of the reporting unit relative to the selected guideline companies. The valuation multiples are then applied to the appropriate historical and/or projected operating data of the reporting unit to arrive at an indication of fair value. The Company believes the market approach is appropriate because it provides a fair value using multiples from companies with operations and economic characteristics similar to its reporting units. The Company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7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Under the income approach described above,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 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fiscal 2015, as a result of the Business Combination, the Company recorded IPRD of $470.0 million. IPRD was recorded at fair value as of the date of acquisition as an indefinite-lived intangible asset until the completion or abandonment of the associated research and development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During fiscal years 2018, 2017 and 2016, the Company completed and transferred into developed technology approximately $37.0 million, $220.0 million and $203.0 million, respectively, of IPRD. The Company performed a qualitative assessment of the remaining IPRD of $10.0 million during fiscal 2018 and concluded that IPRD was not impaired.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Intangible assets are recorded when such assets are acquired by purchase or license. Finite-lived intangible assets consist primarily of technology licenses, customer relationships, developed technology and trade names resulting from business combinations and are subject to amortization.</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2015 and 2017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trade names acquired in fiscal years 2015 and 2017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two to three years.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regularly reviews identified intangible assets to determine if facts and circumstances indicate that the useful lives have changed from the original estimate or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"Accrued liabilities" balance as of March 31, 2018 and April 1, 2017 includes accrued compensation and benefits of $96.7 million and $98.7 million, respectively, and interest payable of $23.1 million and $23.2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net revenue is generated principally from sales of semiconductor products. The Company recognizes revenue from product sales when 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Sales of products are generally made through either the Company's sales force, manufacturers' representatives or through a distribution network. Revenue from the majority of the Company's products is recognized upon shipment of the product to the customer from a Company-owned or third-party location. Some revenue is recognized upon receipt of the shipment by the customer. The Company has limited rebate programs offering price protection to certain distributors. These rebates represent less than 5% of net revenue and can be reasonably estimated based on specific criteria included in the rebate agreements and other known factors at the time. The Company reduces revenue and records reserves for product returns and allowances for price protection, stock rotation, and scrap allowance based on historical experience or specific identification depending on the contractual terms of the arrangement.</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also recognizes a portion of its net revenue through other agreements such as non-recurring engineering fees, contracts for R&amp;D work, royalty income, intellectual property ("IP") revenue, and service revenue. These agreements are collectively less than 1% of consolidated annual revenue. Revenue from these agreements is recognized when the service is completed or upon certain milestones, as provided for in the agreements.</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additionally licenses or sells its rights to use portions of its IP portfolio, which includes certain patent rights useful in the manufacture and sales of certain products. IP revenue recognition is dependent on the terms of each agreement. The Company will recognize IP revenue upon delivery of the IP if the Company has no substantive future obligation to perform under the arrangement. The Company will defer recognition of IP revenue where future performance obligations are required to earn the revenue or the revenue is not guaranteed. Revenue from services is recognized during the period that the service is performed.</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Accounts receivable are recorded for all revenue items listed above and do not bear interest. The Company evaluates the collectability of accounts receivable based on a combination of factors. In cases where the Company is aware of circumstances that may impair a specific customer’s ability to meet its financial obligations subsequent to the original sale, the Company will record an allowance against amounts due, and thereby reduce the receivable to the amount the Company reasonably believes will be collected. For all other customers, the Company recognizes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allowances for doubtful accounts based on the length of time the receivables are past due, industry and geographic concentrations, the current business environment and the Company’s historical experience.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terms and conditions do not give its customers a right of return associated with the original sale of its products. However, the Company will authorize sales returns under certain circumstances, which include perceived quality problems, courtesy returns and like-kind exchanges. The Company evaluates its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recognizes amounts billed to a customer in a sale transaction related to shipping and handling as revenue. The costs incurred by the Company for shipping and handling are classified as cost of goods sold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Precious Metals Reclaim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uses historical experience to estimate the amount of reclaim on precious metals used in manufacturing at the end of each period and states the reclaim value at the lower of average cost or market. The estimated value to be received from precious metal reclaim is included in "Other current assets" and reclaims submitted for payment are included in "Other receivables"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more likely than 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It is the Company’s current intent and policy to invest the earnings of foreign subsidiaries indefinitely outside the U.S., except for Qorvo International Pte. Ltd. in Singapore. Accordingly, the Company does not record a deferred tax liability for U.S. income taxes on unremitted foreign earnings of other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Under FASB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2018, total remaining unearned compensation cost related to unvested restricted stock units and options was $72.8 million, which will be amortized over the weighted-average remaining service period of approximately 1.2 years.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30" w:right="2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FASB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income (expense)”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The new guidance simplifies the subsequent measurement of goodwill by eliminating the second step from the quantitative goodwill impairment test. The Company will continue to have the option to perform a qualitative assessment to determine if a quantitative goodwill impairment test is necessary. The new standard will become effective for the Company beginning in fiscal 2021 with early adoption permitted. The Company does not believe it will have a significant impact on its consolidated financial statements.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The new guidance clarifies the definition of a business and provides further guidance for evaluating whether a transaction will be accounted for as an acquisition of an asset or a business. The new standard will become effective for the Company beginning in the first quarter of fiscal 2019 with early adoption permitted. The update should be applied prospectively. The Company does not believe it will have a significant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(a consensus of the FASB’s Emerging Issues Task Force)." </w:t>
      </w:r>
      <w:r>
        <w:rPr>
          <w:rFonts w:ascii="Arial" w:cs="Arial" w:eastAsia="Arial" w:hAnsi="Arial"/>
          <w:sz w:val="18"/>
          <w:szCs w:val="18"/>
          <w:color w:val="auto"/>
        </w:rPr>
        <w:t>The new guidance addresses eight specific cash flow issues with the objective of reducing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new standard will become effective for the Company beginning in the first quarter of fiscal 2019. The Company does not believe it will have a significant impact on its consolidated financial statements.</w:t>
      </w:r>
    </w:p>
    <w:p>
      <w:pPr>
        <w:spacing w:after="0" w:line="190"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The new guidance requires entities to use a current lifetime expected credit loss methodology to measure impairments of certain financial instruments. It also modifies the impairment model for available-for-sale debt securities and provides for a simplified accounting model for purchased financial assets with credit deterioration since their origination. The new standard will become effective for the Company beginning in the first quarter of fiscal 2021 with early adoption permitted. The Company does not believe it will have a significant impact on its consolidated financial statements.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requires lessees to recognize a right-of-use asset and a lease liability for all leases with a term longer than 12 months, including those previously described as operating leases. Consistent with current U.S. generally accepted accounting principles ("GAAP"), the recognition, measurement, and presentation of expenses and cash flows arising from a lease by a lessee will primarily depend on its classification as a finance or operating lease. The new guidance will become effective for the Company in the first quarter of fiscal 2020. The Company expects the valuation of the right-of-use assets and lease liabilities, for leases previously described as operating leases, to be the present value of its forecasted future lease commitments. The Company is continuing to assess the overall impacts of the new standard, including the discount rate to be applied in these valuations.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The new guidance will affect the accounting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investments, financial liabilities measured under the fair value option and 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does not believe it will have a significant impact on its consolidated financial statements.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with several amendments subsequently issued. The new guidance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The Company will adopt the standard in the first quarter of fiscal 2019 using the modified retrospective approach, under which the cumulative effect of adoption is recognized at the date of initial application. The Company has evaluated the impact of the standard and does not anticipate that the adoption of this standard will have a material impact on its consolidated financial statements. The Company is implementing changes to its accounting policies, internal controls and disclosures to support the new standard; however, these changes are not expected to be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(Topic 740): Amendments to SEC Paragraphs Pursuant to SEC Staff Accounting Bulletin 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118." </w:t>
      </w:r>
      <w:r>
        <w:rPr>
          <w:rFonts w:ascii="Arial" w:cs="Arial" w:eastAsia="Arial" w:hAnsi="Arial"/>
          <w:sz w:val="18"/>
          <w:szCs w:val="18"/>
          <w:color w:val="auto"/>
        </w:rPr>
        <w:t>The amendments incorporate into the ASC the recent SEC guidance related to the income tax accounting implications of the Tax Cuts and Jobs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Act"). See Note 12 for further disclosures.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The new guidance clarifies when modification accounting in Topic 718 should be applied to changes to the terms or conditions of a share-based payment award. The Company elected to early-adopt the standard in the first quarter of fiscal 2018 with no impact on its consolidated financial statements.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Force)." </w:t>
      </w:r>
      <w:r>
        <w:rPr>
          <w:rFonts w:ascii="Arial" w:cs="Arial" w:eastAsia="Arial" w:hAnsi="Arial"/>
          <w:sz w:val="18"/>
          <w:szCs w:val="18"/>
          <w:color w:val="auto"/>
        </w:rPr>
        <w:t>The new guidance requires that restricted cash and restricted cash equivalents be included in cash and cash equivalents when reconciling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beginning-of-period and end-of-period total amounts shown in the statement of cash flows. The Company adopted the provisions of ASU 2016-18 in the second quarter of fiscal 2018 using the retrospective transition method. The adjustment to reclassify restricted cash for each period presented was less than $1.0 million.</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The new guidance requires an entity to recognize the income tax consequences of an intra-entity transfer of an asset, other than inventory, when the transfer occurs. The Company elected to early-adopt the standard in the first quarter of fiscal 2018 using the modified retrospective method (which resulted in a cumulative adjustment to retained earnings of $1.2 million as of the beginning of the period of adoption). During fiscal 2018, the Company recognized a tax expense of $6.9 million related to transfers of intra-entity assets.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simplifies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 the statement of cash flows, and became effective for the Company in the first quarter of fiscal 2018. The Company recognized a cumulative-effect adjustment to reduce the Company's accumulated deficit by $36.7 million with a corresponding increase to deferred tax assets for the federal and state net operating losses attributable to excess tax benefits that had not been previously recognized. All excess tax benefits and deficiencies in the current and future periods will be recognized as income tax expense in the Company’s Consolidated Statement of Operations in the reporting period in which they occur. This will result in increased volatility in the Company’s effective tax rate. During fiscal 2018, the Company recognized a discrete tax benefit of $12.2 million related to the excess tax benefits from stock-based compensation. The Company also elected to prospectively adopt the provision that requires excess tax benefits to be presented within operating activities in the statement of cash flows and no</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30" w:right="27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prior periods have been restated as a result of the adoption. The Company has continued its existing practice of estimating expected forfeitures in determining compensation cost.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"Investments-Equity Method and Joint Ventures (Topic 323): Simplifying the Transition to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Accounting." </w:t>
      </w:r>
      <w:r>
        <w:rPr>
          <w:rFonts w:ascii="Arial" w:cs="Arial" w:eastAsia="Arial" w:hAnsi="Arial"/>
          <w:sz w:val="18"/>
          <w:szCs w:val="18"/>
          <w:color w:val="auto"/>
        </w:rPr>
        <w:t>The new guidance eliminates the requirement to retrospectively apply the equity method of accounting when an investment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cost basis qualifies for the equity method of accounting. The Company adopted ASU 2016-07 in the first quarter of fiscal 2018 with no impact on its consolidated financial results.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The Company adopted ASU 2015-11 in the first quarter of fiscal 2018 with no significant impact on its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revenue for the respective periods,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b w:val="1"/>
                <w:bCs w:val="1"/>
                <w:color w:val="auto"/>
              </w:rPr>
              <w:t>Fiscal Year</w:t>
            </w:r>
          </w:p>
        </w:tc>
        <w:tc>
          <w:tcPr>
            <w:tcW w:w="182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Apple Inc. ("Apple")</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Huawei Technologies Co., Ltd.</w:t>
            </w:r>
          </w:p>
        </w:tc>
        <w:tc>
          <w:tcPr>
            <w:tcW w:w="184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provided its products to Apple through sales to multiple contract manufacturers.</w:t>
      </w:r>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These customers primarily purchase cellular RF and Wi-Fi solutions offered by the Company's MP segment for a variety of mobile devices, including smartphones, notebook computers, wearables, tablets and cellular-based applications for the Internet of Things ("IoT").</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related to these customers (which includes multiple contract manufacturers) accounted for 26%, 40%, and 40% of the Company's total net accounts receivable balance as of March 31, 2018, April 1, 2017 and April 2,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March 31, 2018 and April 1,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238125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19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96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60" w:type="dxa"/>
            <w:vAlign w:val="bottom"/>
          </w:tcPr>
          <w:p>
            <w:pPr>
              <w:jc w:val="center"/>
              <w:ind w:left="19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380" w:type="dxa"/>
            <w:vAlign w:val="bottom"/>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April 1, 2017</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March 31, 2018 and April 1, 2017.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2018, the Company had invested $45.0 million to acquire shares of Series F Preferred Stock of Cavendish Kinetics Limited, a private limited company incorporated in England and Wales. This investment is accounted for as a cost method investment and classified in "Long-term investments"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Marketable securities are measured at fair value and recorded in "Cash and cash equivalents" and "Long-term investments" in the Consolidated Balance Sheets, and the related unrealized gains and losses are included in "Accumulated other comprehensive loss," a component of stockholders’ equity, net of tax.</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at fair value on a recurring basis was determined using the following levels of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April 1, 2017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5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5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16,136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14,284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2017</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11,972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10,237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00" w:firstLine="8"/>
        <w:spacing w:after="0" w:line="255" w:lineRule="auto"/>
        <w:tabs>
          <w:tab w:leader="none" w:pos="2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Auction rate securities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firstLine="8"/>
        <w:spacing w:after="0" w:line="250" w:lineRule="auto"/>
        <w:tabs>
          <w:tab w:leader="none" w:pos="2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non-qualified deferred compensation plan provides eligible employees and members of the Board of Directors with the opportunity to defer a specified percentage of their cash compensation. The Company includes the asset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April 1, 2017,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non-financial assets, such as intangible assets and property and equipment, are measured at fair value when there is an indicator of impairment, and recorded at fair value only when an impairment charge is recognized. See Note 11 for further information on impairment of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8 for the fair value of the Company's long-term debt.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30" w:right="27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92,282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221,137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198,339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472,292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components of property and equipment are as follows (in thousands):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Building and leasehold improvements</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389,234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384,784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1,660,138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1,659,404</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2,073,150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2,069,213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(981,328)</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1,161,240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1,087,885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304,047</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34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1,374,112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60" w:type="dxa"/>
            <w:vAlign w:val="bottom"/>
            <w:vMerge w:val="restart"/>
          </w:tcPr>
          <w:p>
            <w:pPr>
              <w:jc w:val="right"/>
              <w:ind w:right="177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BUSINESS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GreenPeak Technologies, B.V.</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fiscal 2017, the Company completed the acquisition of GreenPeak Technologies, B.V. ("GreenPeak"), a leader in ultra-low power, short RF communication technology. The acquisition expanded the Company's offerings to include integrated RF solutions and systems-on-a-chip ("SoCs") for the connected home. The Company acquired 100% of the outstanding equity securities of GreenPeak for a purchase price of $118.1 million, net of cash acquired of $0.7 million. The total purchase price was allocated to GreenPeak's assets and liabilities based upon fair values as determined by the Company and resulted in goodwill of $38.2 million. The measurement period (up to one year from the acquisition date pursuant to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related to the acquisition of GreenPeak was concluded during the first quarter of fiscal 2018.</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GreenPeak acquisition resulted in an increase in intangible assets of $82.1 million. The more significant intangible assets acquired were developed technology of $74.2 million (which is being amortized over 7 years) and customer relationships of $5.6 million (which is being amortized over 3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between RFMD and TriQuint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 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initial allocation to goodwill of $2,036.7 million represented the excess of the purchase price over the fair value of assets acquired and liabilities assumed, which amount was allocated to the Company's MP operating segment ($1,745.5 million) and IDP operating segment ($291.2 million). During the measurement period (which was concluded during the third quarter of fiscal 2016), adjustments of $3.8 million and $1.1 million were made to reduce goodwill and increase property and equipment and deferred taxes, respectively. Goodwill recognized from the Business Combination is not deductible for income tax purposes.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Business Combination resulted in an increase in intangible assets of $2,394.0 million. The more significant intangible assets acquired were developed technology of $610.0 million and customer relationships of $1,220.0 million (which are both being amortized over periods between 4 and 6 years) and IPRD of $470.0 million, of which $460.0 million has been completed as of March 31, 2018 and transferred to finite-lived intangible assets (which are being amortized over periods between 4 and 6 years).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years 2018, 2017 and 2016, the Company incurred integration costs of approximately $6.2 million, $16.9 million, and $26.5 million, respectively, associated with the Business Combination. During fiscal years 2018, 2017 and 2016, the Company incurred restructuring costs of approximately $2.6 million, $2.0 million, and $10.1 million, respectively, associated with the Business Combination.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acquisition, integration and restructuring costs are being expensed as incurred and are presented in the Consolidated Statements of Operations as "Other operating expense." See Note 11 for further information on the restructuring.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30" w:right="2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years 2017 and 2018, are as follows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2, 2016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GreenPeak acquisition</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38,217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1, 2017 (1)</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422,411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GreenPeak acquisition measurement adjustment</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422,386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goodwill balance is presented net of accumulated impairment losses and write-offs of $621.6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Goodwill is allocated to the reporting units that are expected to benefit from the synergies of the business combinations generating the underlying goodwill.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1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1, 2017</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3"/>
                <w:szCs w:val="13"/>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3"/>
                <w:szCs w:val="13"/>
                <w:color w:val="auto"/>
              </w:rPr>
            </w:pPr>
          </w:p>
        </w:tc>
        <w:tc>
          <w:tcPr>
            <w:tcW w:w="11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6"/>
                <w:szCs w:val="16"/>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1,272,725</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936,175</w:t>
            </w:r>
          </w:p>
        </w:tc>
        <w:tc>
          <w:tcPr>
            <w:tcW w:w="3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1,272,725</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656,688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1,246,335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733,081</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1,209,335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481,441</w:t>
            </w: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29,391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29,377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29,353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21,912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12,379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11,904</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13,346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3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983</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47,000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2,571,856</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1,711,520</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2,572,785</w:t>
            </w:r>
          </w:p>
        </w:tc>
        <w:tc>
          <w:tcPr>
            <w:tcW w:w="2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1,172,222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fiscal 2018, $37.0 million of IPRD assets were completed, transferred to finite-lived intangible assets, and are being amortized over their useful lives of 4 years. As of March 31, 2018, the IPRD remaining totaled approximately $10.0 million and is expected to be completed during fiscal 2019 with estimated remaining costs to complete of approximately $1.0 million to $2.0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$539.8 million, $494.8 million and $494.6 million in fiscal years 2018, 2017 and 2016, respectively.</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6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6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455,000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2020</w:t>
            </w: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2022</w:t>
            </w: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675"/>
        </w:trPr>
        <w:tc>
          <w:tcPr>
            <w:tcW w:w="3180" w:type="dxa"/>
            <w:vAlign w:val="bottom"/>
          </w:tcPr>
          <w:p>
            <w:pPr>
              <w:spacing w:after="0"/>
              <w:rPr>
                <w:sz w:val="24"/>
                <w:szCs w:val="24"/>
                <w:color w:val="auto"/>
              </w:rPr>
            </w:pPr>
          </w:p>
        </w:tc>
        <w:tc>
          <w:tcPr>
            <w:tcW w:w="6180" w:type="dxa"/>
            <w:vAlign w:val="bottom"/>
          </w:tcPr>
          <w:p>
            <w:pPr>
              <w:jc w:val="right"/>
              <w:ind w:right="347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as of March 31, 2018 and April 1, 2017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Pr>
          <w:p>
            <w:pPr>
              <w:spacing w:after="0"/>
              <w:rPr>
                <w:sz w:val="16"/>
                <w:szCs w:val="16"/>
                <w:color w:val="auto"/>
              </w:rPr>
            </w:pPr>
          </w:p>
        </w:tc>
        <w:tc>
          <w:tcPr>
            <w:tcW w:w="150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548,500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550,000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r>
      <w:tr>
        <w:trPr>
          <w:trHeight w:val="257"/>
        </w:trPr>
        <w:tc>
          <w:tcPr>
            <w:tcW w:w="76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983,290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989,154</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December 5, 2017 (the "Closing Date"), the Company and certain of its material domestic subsidiaries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was subsequently repaid in March 2018), with the remainder available, at the discretion of the Company, in up to two draws prior to June 5, 2018. The Revolving Facility includes a $25.0 million sublimit for the issuance of standby letters of credit and a $10.0 million sublimit for swing line loans. The Company may request, at its option and at any time, that the Credit Facility be increased by an amount not to exceed $300.0 million, subject to securing additional funding commitments from the existing or new lenders. The Credit Facility is available to finance working capital, capital expenditures and other corporate purposes. The Company’s obligations under the Credit Agreement are jointly and severally guaranteed by the Guarantors. Upon execution of the Credit Agreement, the Company terminated its prior credit agreement, dated as of April 7, 2015, as amended, with Bank of America, N.A., thus terminating and releasing the Company’s obligations and guarantees of certain of its subsidiaries under that agreement. During fiscal 2018, there were no borrowings under the Revolving Facility. The Company had no outstanding amounts under the Credit Facility as of March 31, 2018.</w:t>
      </w:r>
    </w:p>
    <w:p>
      <w:pPr>
        <w:spacing w:after="0" w:line="18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At the Company’s option, loans under the Credit Agreement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six or twelve months, as selected by the Company. The Applicable Rate for Eurodollar Rate loans ranges from 1.125% per annum to 1.375% per annum. The Applicable Rate for Base Rate loans ranges from 0.125% per annum to</w:t>
      </w:r>
    </w:p>
    <w:p>
      <w:pPr>
        <w:spacing w:after="0" w:line="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0.375%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 Interest paid on the Term Loan during fiscal 2018 was $0.7 million.</w:t>
      </w:r>
    </w:p>
    <w:p>
      <w:pPr>
        <w:spacing w:after="0" w:line="1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comply in order to borrow funds and to avoid an event of default, including the following financial covenants that the Company must maintain: (i) a consolidated leverage ratio not to exceed 3.0 to 1.0 as of the end of any fiscal quarter of the Company, provided that in connection with a permitted acquisition in excess of $300.0 million, the Company's maximum consolidated leverage ratio may increase on two occasions during the term of the Credit Facility to 3.5 to 1.0 for four consecutive fiscal quarters, beginning with the fiscal quarter in which such acquisition occurs and (ii) an interest coverage ratio not to be less than 3.0 to 1.0 as of the end of any fiscal quarter of the Company. As of March 31, 2018, the Company was in compliance with these covenants.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Credit Agreement also contains customary events of default. The occurrence of an event of default can result in the exercise of remedies including an increase in the applicable rate of interest by 2.00%, termination of undrawn commitments under the Credit Facility, declaration that all outstanding loans are due and payable and requiring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collateral deposits in respect of outstanding letters of credit.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U.S. to qualified institutional buyers pursuant to Rule 144A under the Securities Act of 1933, as amended (the “Securities Act”), and outside the U.S. pursuant to Regulation S under the Securities Act. The Notes were issued pursuant to an indenture dated as of November 19, 2015 (the "Indenture") containing customary events of default, including payment default, failure to provide certain notices and certain provisions related to bankruptcy events. The Indenture also contains customary negative covenants.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19, 2016, the Company completed an exchange offer, in which all of the 2023 Notes and substantially all of the 2025 Notes were exchanged for new notes that have been registered under the Securities 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 In March 2018, the Company repurchased $5.5 million of the 2023 Notes at a redemption price of 107.50% plus accrued and unpaid interest.</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 In March 2018, the Company repurchased $1.5 million of the 2025 Notes at a redemption price of 109.50% plus accrued and unpaid interest.</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is payable on June 1 and December 1 of each year on the 2023 Notes at a rate of 6.75% per annum and on the 2025 Notes at a rate of 7.00% per annum. Interest paid on the Notes during fiscal 2018 and fiscal 2017 was $68.9 million and $71.2 million, respectively.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2023 Notes and the 2025 Notes are traded over the counter, and their fair values as of March 31, 2018 of $474.5 million and $596.5 million, respectively (compared to carrying values of $444.5 million and $548.5 million, respectively) were estimated based upon the values of their last trade at the end of the period. The fair values of the 2023 Notes and the 2025 Notes were $489.4 million and $607.8 million, respectively (compared to carrying values of $450.0 million and $550.0 million, respectively), as of April 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fiscal 2018, the Company recognized $70.5 million of interest expense related to the Notes and the Term Loan, which was offset by $13.6 million of interest capitalized to property and equipment. During fiscal 2017 and fiscal 2016, the Company recognized $69.9 million and $25.8 million, respectively, of interest expense related to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30"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Notes, which was partially offset by $13.6 million and $5.2 million, respectively, of interest capitalized to property and equipment.</w:t>
      </w:r>
    </w:p>
    <w:p>
      <w:pPr>
        <w:spacing w:after="0" w:line="221"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U.S. employees are eligible to participate in the Company's fully qualified 401(k) plan 30 days after their date of hire. An employee may invest pretax earnings in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total, the Company contributed $14.0 million, $11.5 million and $11.7 million to its domestic and foreign defined contribution plans during fiscal years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maintains two qualified defined benefit pension plans for its subsidiaries located in Germany. One of the plans is funded through a self-paid reinsurance program with $4.0 million and $3.3 million of assets valued as of March 31, 2018 and April 1, 2017, respectively. Assets of the funded plan are included in "Other non-current assets" in the Consolidated Balance Sheets. The net periodic benefit obligations of both plans were $12.7 million and $11.4 million as of March 31, 2018 and April 1, 2017, respectively, which is included in “Accrued liabilities” and “Other long-term liabilities” in the Consolidated Balance Sheets. The assumptions used in calculating the benefit obligations for the plans are dependent on the local economic conditions and were measured as of March 31, 2018 and April 1, 2017. The net periodic benefit costs were approximately $0.7 million, $0.6 million and $0.8 million for fiscal years 2018,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$14.3 million and $10.2 million as of March 31, 2018 and April 1, 2017, respectively. The current portion of the deferred compensation obligation and fair value of the assets held in the rabbi trust were $1.0 million and $0.7 million as of March 31, 2018 and April 1, 2017, respectively, and are included in "Other current assets" and "Accrued liabilities" in the Consolidated Balance Sheets. The non-current portion of the deferred compensation obligation and fair value of the assets held in the rabbi trust were $13.3 million and $9.5 million as of March 31, 2018 and April 1, 2017, respectively, and are included in "Other non-current assets" and "Other long-term liabilities" in the Consolidated Balance Sheets.</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CONTINGENT LIABILITIES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leases certain of its corporate, wafer fabrication and other facilities from multiple third-party real estate developers. The operating leases expire at various dates through 2034, and some of these leases have renewal options, with the longest ranging up to two, ten-year periods. Several of these leases also include market rate rent escalations, rent holidays, and leasehold improvement incentives, all of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The Company also leases various machinery and equipment and office equipment under non-cancelable operating leases. The remaining terms of these operating leases range from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less than one year to approximately four years. As of March 31, 2018, the total future minimum lease payments related to facility and equipment operating leases was approximately $68.6 million.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fourth quarter of fiscal 2018, the Company entered into a capital lease for a facility in Beijing, China that will allow the Company to consolidate several leased facilities as well as provide additional manufacturing space. The lease term is expected to commence in fiscal 2020 and therefore is not recorded on the Consolidated Balance Sheet as of March 31, 2018. The initial term of the lease is five years. The lease includes multiple renewal options, and the maximum lease term cannot exceed 30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under non-cancelable operating and capital leases as of March 31, 2018,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b w:val="1"/>
                <w:bCs w:val="1"/>
                <w:color w:val="auto"/>
              </w:rPr>
              <w:t>Operating Leases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Capital Lease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tcPr>
          <w:p>
            <w:pPr>
              <w:jc w:val="right"/>
              <w:ind w:right="97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12,476</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11,516</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9,624</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48,243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66,697</w:t>
            </w: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68,582</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52,431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121,013</w:t>
            </w:r>
          </w:p>
        </w:tc>
      </w:tr>
      <w:tr>
        <w:trPr>
          <w:trHeight w:val="20"/>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Rent expense under operating leases, covering facilities and equipment, was approximately $16.3 million, $14.8 million, and $14.2 million for fiscal years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RESTRUCTURING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2018, the Company recorded approximately $67.7 million of restructuring expenses in "Other operating expense" in the Consolidated Statements of Operations, related to actions initiated in fiscal 2018 to improve operating efficiencies and actions initiated in fiscal 2015 as a result of the Business Combination.</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fiscal 2018, the Company initiated restructuring actions to improve operating efficiencies, and, as a result of these actions, recorded approximately $18.3 million of employee termination benefits. As a result of this restructuring plan, in the fourth quarter of fiscal 2018, the Company also adjusted the carrying value of certain of its held for sale assets located in China and the U.S. to fair market value (resulting in impairment charges totaling approximately $46.3 million, pursuant to ASC 360). The fair value of the assets is based on quotes from third parties. The Company expects to record approximately $0.9 million of additional restructuring charges in fiscal 2019 primarily associated with employee termination benefits.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fiscal years 2018, 2017 and 2016, the Company recorded restructuring expenses (including employee termination benefits, stock-based compensation and ongoing expenses related to exited leased facilities) of approximately $2.7 million, $2.1 million and $10.2 million, respectively, primarily as a result of the Business Combination. See Note 6 for further information on the Business Combination.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2018 and April 1, 2017, restructuring obligations relating to employee termination benefits totaled $6.1 million and $1.6 million, respectively, and are included in “Accrued liabilities” in the Consolidated Balance Sheets. As of March 31, 2018 and April 1, 2017, restructuring obligations relating to lease obligations totaled $2.6 million and $2.1 million, respectively, and are included in "Accrued liabilities" and "Other long-term liabilities" in the Consolidated Balance Sheets.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Tax Act was signed into law in the U.S. The Tax Act significantly revises the future ongoing U.S. corporate income tax by, among other things, lowering U.S. corporate income tax rates, providing full expensing for investments in new and used qualified property made after September 27, 2017, and implementing a territorial tax system. Due to the timing of the Company's fiscal year, the lower corporate income tax rate will be phased in, resulting in a U.S. statutory federal rate of approximately 31.5% for our fiscal year ended March 31, 2018, and 21% for subsequent fiscal years. The Tax Act implements a territorial tax system that eliminates U.S. federal income taxes on dividends from 10% owned foreign subsidiaries, but limits the ability to credit certain foreign taxes that existed prior to enactment of the Tax Act. In connection with the transition to the new territorial tax system, a one-time transition tax on certain unrepatriated earnings of foreign subsidiaries is being imposed (the “Transitional Repatriation Tax”), which is payable over eight years. In addition, the Tax Act includes two new U.S. tax base erosion provisions, the Global Intangible Low-Taxed Income ("GILTI") provisions and the Base-Erosion and Anti-Abuse Tax (“BEAT”) provisions, which become effective for the Company in fiscal 2019.</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SEC issued Staff Accounting Bulletin No. 118 (“SAB 118”) to address the appropriate accounting treatment when a registrant does not have the necessary information available, prepared, or analyzed (including computations) in reasonable detail to complete the accounting for certain income tax effects of the Tax Act. SAB 118 allows for a measurement period of up to one year after the enactment date of the Tax Act to finalize the recording of the related tax impacts. In the interim periods, provisional amounts are to be recorded where the income tax effect can be reasonably estimated. The Company’s accounting for the Tax Act is incomplete, but the Company has recorded the provisional estimates discussed below and will finalize and record any resulting adjustments within the one-year measurement period. The final transitional impacts of the Tax Act may differ from the below provisional estimates, possibly materially, due to, among other things: legislation by states with respect to the Tax Act; evolving technical interpretations of the Tax Act; legislative action to address questions that arise because of the Tax Act; clarification of the application of accounting standards for income taxes or related interpretations in response to the Tax Act; or updates or changes to provisional amounts the Company has utilized to calculate the transitional impacts, including impacts from changes to current year earnings and tax liabilities, deferred tax assets and liabilities, earnings and profits at foreign subsidiaries, tax pools at foreign subsidiaries, foreign tax credits and foreign exchange rates.</w:t>
      </w:r>
    </w:p>
    <w:p>
      <w:pPr>
        <w:spacing w:after="0" w:line="18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impact of the Tax Act resulted in a provisional tax expense of $77.3 million in fiscal 2018. This was comprised of a provisional Transitional Repatriation Tax expense of $116.4 million, offset by a provisional deferred tax benefit of $39.1 million from the remeasurement of U.S. deferred tax assets and liabilities. Both the tax charge and the tax benefit represent provisional amounts and the Company’s current best estimates.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Transitional Repatriation Tax is a one-time tax on accumulated and current earnings and profits (“E&amp;P”) of foreign companies with U.S. owners that have not previously been subjected to tax in the U.S. A portion of the E&amp;P is subject to a tax rate of 15.5% and the remainder to 8%. To determine the amount of the Transitional Repatriation Tax, the Company must determine for each foreign company in which it has a direct or indirect ownership interest, among other factors, the amount of post-1986 E&amp;P of its foreign subsidiaries, as well as the amount of non-U.S. income taxes paid on such earnings. The Company was able to make a reasonable estimate of the Transitional Repatriation Tax on its wholly owned foreign subsidiaries and has recorded a provisional Transitional Repatriation Tax expense of $116.4 million as a component of its current income tax provision. No reasonable estimate has been made with respect to direct and indirect investments in other foreign companies. The Company is continuing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gather and analyze additional information and guidance to complete the accounting with respect to its calculation of E&amp;P, non-U.S. income taxes paid, and the portion taxable at the 15.5% tax rate.</w:t>
      </w:r>
    </w:p>
    <w:p>
      <w:pPr>
        <w:spacing w:after="0" w:line="170"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The Tax Act allows the tax liability arising from the Transitional Repatriation Tax to be paid on an installment basis over eight years, resulting in a provisional increase in the long-term tax liability account included in "Other long-term liabilities" in the Company's Consolidated Balance Sheets.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deferred tax assets and liabilities of the Company are impacted by the Tax Act. The reduction in the U.S. federal corporate tax rate from 35% to 21% for tax years beginning after December 31, 2017, requires the Company to remeasure its deferred tax assets and liabilities. The Company has evaluated this change and recorded a decrease to net deferred tax liabilities with a corresponding increase to deferred tax benefit of $39.1 million. In addition, the full expensing of investments in qualified property after September 27, 2017, impacts the calculation of deferred tax balances. The provisional amount for full expensing requires further analysis to determine which fixed assets placed in service after September 27, 2017, meet the qualification requirements. The Company is still in the process of evaluating the state tax impact on deferred tax balances, including valuation allowances, from the full expensing provision and other provisions of the Tax Act.</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GILTI creates a new requirement that certain income earned by foreign subsidiaries must be currently included in the gross income of the U.S. stockholder. Due to the complexity of the new GILTI tax rules, the Company continues to evaluate this provision of the Tax Act and the application of ASC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Under U.S. GAAP, the Company is allowed to make an accounting policy choice of either: (1) treating taxes due on future U.S. inclusions in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related to GILTI as a current-period expense when incurred (the “period cost method”) or (2) factoring such amounts into the Company's measurement of its deferred taxes (the “deferred method”). The Company has not yet completed its analysis of the GILTI tax rules and is not yet able to reasonably estimate the effect of this provision or make the accounting policy election. As a result, the Company has not made any provisional adjustments related to potential GILTI tax in its financial statements and has not made a policy decision regarding whether to record deferred taxes for GILTI.</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Beginning in calendar year 2018, the Tax Act provides a 100% deduction for dividends received from 10-percent owned foreign corporations by U.S. corporate stockholders, subject to a one-year holding period. Although dividend income is now exempt from U.S. federal tax in the hands of the U.S. corporate stockholders, companies must still apply the guidance of ASC 740-30-25-18 to account for the tax consequences of outside basis differences and other tax impacts of their investments in non-U.S. subsidiaries. While the Company has accrued the Transitional Repatriation Tax on the deemed repatriated earnings that were previously indefinitely reinvested, it currently intends to only repatriate amounts where no additional withholding taxes will be imposed on a distribution. The Company has determined that Singapore does not impose a withholding tax on dividends and no longer takes the position that earnings are permanently reinvested for our operating subsidiary in Singapore. With respect to its other foreign subsidiaries, the Company continues to account for them as permanently reinvested while it continues to evaluate the impacts of the Tax Act on its operations in accordance with guidance issued under SAB 118.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consists of the following components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Foreign</w:t>
            </w:r>
          </w:p>
        </w:tc>
        <w:tc>
          <w:tcPr>
            <w:tcW w:w="3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(33,346)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benefit (expense):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4"/>
                <w:szCs w:val="14"/>
                <w:color w:val="auto"/>
              </w:rPr>
              <w:t>(1)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15,624</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0" w:firstLine="8"/>
        <w:spacing w:after="0" w:line="275" w:lineRule="auto"/>
        <w:tabs>
          <w:tab w:leader="none" w:pos="2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fiscal 2016, the state deferred tax expense included a $31.0 million income tax expense related to an increase in the valuation allowance for the deferred tax asset related to state net operating losses and tax credits.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provision for income taxes to income tax expense computed by applying the statutory federal income tax rate to pre-tax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years 2018, 2017 and 2016 is as follows (dollars in thousands):</w:t>
      </w:r>
    </w:p>
    <w:p>
      <w:pPr>
        <w:spacing w:after="0" w:line="157"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46355</wp:posOffset>
            </wp:positionV>
            <wp:extent cx="5231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Amount</w:t>
            </w:r>
          </w:p>
        </w:tc>
        <w:tc>
          <w:tcPr>
            <w:tcW w:w="1140" w:type="dxa"/>
            <w:vAlign w:val="bottom"/>
          </w:tcPr>
          <w:p>
            <w:pPr>
              <w:jc w:val="right"/>
              <w:ind w:right="251"/>
              <w:spacing w:after="0"/>
              <w:rPr>
                <w:sz w:val="20"/>
                <w:szCs w:val="20"/>
                <w:color w:val="auto"/>
              </w:rPr>
            </w:pPr>
            <w:r>
              <w:rPr>
                <w:rFonts w:ascii="Arial" w:cs="Arial" w:eastAsia="Arial" w:hAnsi="Arial"/>
                <w:sz w:val="16"/>
                <w:szCs w:val="16"/>
                <w:b w:val="1"/>
                <w:bCs w:val="1"/>
                <w:color w:val="auto"/>
                <w:w w:val="90"/>
              </w:rPr>
              <w:t>Percentage</w:t>
            </w:r>
          </w:p>
        </w:tc>
      </w:tr>
      <w:tr>
        <w:trPr>
          <w:trHeight w:val="33"/>
        </w:trPr>
        <w:tc>
          <w:tcPr>
            <w:tcW w:w="3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tax (expense) benefit at statutory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(5,407)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(9,557)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1,002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(Increase) decrease resulting from:</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benefit (provision), net of federal</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benefit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474</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(662)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(1,320)</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38,054</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(221.95)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15,352</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15,459</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540.21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changes in income tax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applied to net deferred tax assets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39,168</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1,163</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(2,716)</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(94.92)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Foreign tax rate difference</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21,829</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(11,298)</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4,114</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143.77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permanent differences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(2,598)</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(8,432)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(1,700)</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(59.40)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(1,632)</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1,363</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(25,120)</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(877.84)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9,924</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(3,228)</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(5,362)</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(187.37)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Tax reserve adjustments</w:t>
            </w: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(29,188)</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(21,789)</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(8,699)</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(303.99)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(5,098)</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(6,989)</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(3,984)</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(139.21)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U.S. Tax Toll Charge</w:t>
            </w:r>
          </w:p>
        </w:tc>
        <w:tc>
          <w:tcPr>
            <w:tcW w:w="22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(116,419)</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679.03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Intra-entity transfer</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(6,873)</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 tax (expense) benefit</w:t>
            </w: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333</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214</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2,343</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81.89</w:t>
            </w:r>
          </w:p>
        </w:tc>
      </w:tr>
      <w:tr>
        <w:trPr>
          <w:trHeight w:val="27"/>
        </w:trPr>
        <w:tc>
          <w:tcPr>
            <w:tcW w:w="3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(57,433)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334.99 %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(43,863)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(25,983)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(908.00)%</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0"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Fiscal Year</w:t>
            </w:r>
          </w:p>
        </w:tc>
        <w:tc>
          <w:tcPr>
            <w:tcW w:w="100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15,599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83,333</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40,575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other credits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92,793</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deferred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268,902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123,934</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235,798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(258,422)</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(91,337)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(113,961)</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56"/>
        </w:trPr>
        <w:tc>
          <w:tcPr>
            <w:tcW w:w="8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Amounts included in the Consolidated Balance Sheets: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(131,511)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(113,961)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has recorded a $42.8 million and a $33.1 million valuation allowance against the U.S. deferred tax assets and deferred tax assets at foreign subsidiaries as of March 31, 2018, and April 1, 2017, respectively. These valuation allowances were established based upon management's opinion that it is more likely than not (a likelihood of more than 50 percent) that the benefit of these deferred tax assets may not be realized. Realization is dependent upon generating future income in the taxing jurisdictions in which the operating loss carryovers, credit carryovers, depreciable tax basis and other tax deferred assets exist. Management reevaluates the ability to realize the benefit of the deferred tax assets of the Company on a quarterly basis.</w:t>
      </w:r>
    </w:p>
    <w:p>
      <w:pPr>
        <w:spacing w:after="0" w:line="15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valuation allowance against deferred tax assets increased by $9.7 million in fiscal 2018. The increase was comprised of a $6.8 million increase resulting from tax rate changes, primarily the federal rate changes enacted in the Tax Act, a $1.9 million increase in the state deferred tax for net operating losses and tax credits, a $1.0 million increase for deferred tax assets for net operating losses at other foreign subsidiaries and a $0.5 million increase in the valuation allowance for state tax credits due to the adoption of ASU 2016-09. It was partially offset by a $0.5 million decrease in valuation allowance for federal deferred tax assets for foreign tax credits. At the end of fiscal 2018, a $2.0 million valuation allowance remained against deferred tax assets at other foreign subsidiaries and a $40.8 million valuation allowance remained against domestic deferred tax assets as management has determined it is more likely than not that the related deferred tax assets will not be realized.</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valuation allowance against deferred tax assets decreased by $1.6 million in fiscal 2017. The decrease was comprised of a $5.2 million decrease in the valuation allowance for foreign deferred tax assets primarily resulting from the removal of the valuation allowance at a China manufacturing subsidiary as management has determined it is more likely than not that the related deferred tax assets will be realized. The decrease was offset by a $2.8 million increase in the valuation allowance for federal deferred tax assets for foreign tax credits and state deferred tax assets for net operating losses and tax credits, as well as a $0.8 million increase for deferred tax assets for net operating losses at other foreign subsidiaries. At the end of fiscal 2017, a $0.8 million valuation allowance remained against deferred tax assets at other foreign subsidiaries and a $32.3 million valuation allowance remained against domestic deferred tax assets as management determined it was more likely than not that the related deferred tax assets would not be realized.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fiscal 2017, the Company's China manufacturing subsidiary, which operates as a cost plus manufacturer for another Qorvo subsidiary, exited its start-up operational phase and generated sufficient income to substantially offset the losses earned in prior years. The balance of the cumulative pre-tax book loss was expected to be offset by income in the first half of fiscal 2018 as production at the assembly and test facility continued to increase as the Company reduced its dependence on outside assembly and test subcontractors. After evaluating the positive and negative evidence, management determined that it was more likely than not that the deferred tax assets of this China manufacturing subsidiary would be realized and a valuation allowance would not be provided as of the end of fiscal 2017.</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valuation allowance against deferred tax assets increased by $20.9 million in fiscal 2016. The increase was comprised of a $20.2 million increase in the valuation allowance for state deferred tax assets for net operating losses and tax credits, a $5.0 million increase in the valuation allowance for foreign net operating loss deferred tax assets, and a $4.3 million decrease in the valuation allowance related to a deferred tax asset recorded in the initial purchase price accounting for the Business Combination. The Business Combination adjustment related to a deferred tax asset which was recorded during fiscal 2015 in the initial purchase price accounting with a full valuation allowance, but which deferred tax asset was determined in fiscal 2016 to not exist as of the acquisition date. Accordingly, in fiscal 2016, that deferred tax asset was removed along with the offsetting deferred tax asset valuation allowance. </w:t>
      </w:r>
      <w:r>
        <w:rPr>
          <w:rFonts w:ascii="Arial" w:cs="Arial" w:eastAsia="Arial" w:hAnsi="Arial"/>
          <w:sz w:val="15"/>
          <w:szCs w:val="15"/>
          <w:color w:val="auto"/>
        </w:rPr>
        <w:t>At</w:t>
      </w:r>
      <w:r>
        <w:rPr>
          <w:rFonts w:ascii="Arial" w:cs="Arial" w:eastAsia="Arial" w:hAnsi="Arial"/>
          <w:sz w:val="17"/>
          <w:szCs w:val="17"/>
          <w:color w:val="auto"/>
        </w:rPr>
        <w:t xml:space="preserve"> the end of fiscal 2016, a $5.2 million valuation allowance remained against foreign deferred tax assets and a $29.5 million valuation allowance remained against domestic deferred tax assets as management determined it was more likely than not that the related deferred tax assets would not be realized, effectively increasing the domestic net deferred tax liabilities.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fiscal 2016, North Carolina enacted legislation to reduce the corporate income tax rate from 5% to 4% and phase-in over a three-year period a move to a single sales factor apportionment methodology. In addition, the Company underwent operational changes to leverage existing resources and capabilities of its Singapore subsidiary and consolidate operations and responsibilities associated with its foreign back-end manufacturing operations and foreign customers in that Singapore subsidiary. Together these changes resulted in a significant decrease in the amount of future taxable income expected to be allocated to North Carolina and other states in which the net operating loss and tax credit carryovers existed. As a result, it was no longer more likely than not that the deferred tax assets related to those state net operating loss and tax credit carryovers for which a valuation allowance was being provided will be used before they expire. The deferred tax asset for foreign net operating losses primarily related to the China subsidiary which owns the internal assembly and test facility that became operational during fiscal 2016 and had incurred losses since inception.</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March 31, 2018, the Company had federal loss carryovers of approximately $305.0 million that expire in fiscal years 2020 to 2038 if unused and state losses of approximately $147.3 million that expire in fiscal years 2019 to 2038 if unused. Federal research credits of $54.9 million, and state credits of $58.7 million may expire in fiscal years 2019 to 2038 and 2019 to 2033, respectively. Foreign losses in the Netherlands of approximately $7.8 million expire in fiscal years 2019 to 2027. Included in the amounts above are certain net operating losses and other tax attribute assets acquired in conjunction with acquisitions in the current and prior years. The utilization of acquired domestic assets is subject to certain annual limitations as required under Section 382 of the Internal Revenue Code of 1986, as amended (the "Code") and similar state income tax provisions.</w:t>
      </w:r>
    </w:p>
    <w:p>
      <w:pPr>
        <w:spacing w:after="0" w:line="17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has continued to expand its operations and increase its investments in numerous international jurisdictions. These activities expose the Company to taxation in multiple foreign jurisdictions. It is management's opinion that current and future undistributed foreign earnings will be permanently reinvested, except for the earnings of Qorvo International Pte. Ltd., our operating subsidiary in Singapore. No provision for U.S. federal, state income taxes and foreign local withholding taxes has been made with respect to any of the other foreign subsidiaries. It is not practical to estimate the additional tax that would be incurred, if any, if the permanently reinvested earnings were repatriated.</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foreign subsidiaries with tax holiday agreements in Costa Rica and Singapore. These tax holiday agreements have varying rates and expire in March 2024 and December 2021, respectively. In February 2017, Singapore enacted legislation that will exclude from the Company's existing Development and Expansion Incentive grant the benefit of the reduced tax rate for intellectual property income earned after June 30, 2021. Incentives from these countries are subject to the Company meeting certain employment and investment requirements. Income tax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expense decreased by $7.9 million (approximately $0.06 per basic and diluted share impact) in fiscal 2018 and $2.7 million (approximately $0.02 per basic and diluted share impact) in fiscal 2017 as a result of these agreements.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gross unrecognized tax benefits totaled $122.8 million as of March 31, 2018, $90.6 million as of April 1, 2017, and $69.1 million as of April 2, 2016. Of these amounts, $118.7 million (net of federal benefit of state taxes), $84.4 million (net of federal benefit of state taxes) and $64.2 million (net of federal benefit of state taxes) as of March 31, 2018, April 1, 2017, and April 2, 2016, respectively, represent the amounts of unrecognized tax benefits that, if recognized, would impact the effective tax rate in each of the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fiscal 2016 through fiscal 2018 beginning and ending amount of gross unrecognized tax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69,052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2018, 2017 and 2016, the Company recognized $(2.5) million, $2.1 million and $1.6 million, respectively, of interest and penalties related to uncertain tax positions. Accrued interest and penalties related to unrecognized tax benefits totaled $4.6 million, $7.1 million and $5.0 million as of March 31, 2018, April 1, 2017, and April 2, 2016, respectively.</w:t>
      </w:r>
    </w:p>
    <w:p>
      <w:pPr>
        <w:spacing w:after="0" w:line="187"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unrecognized tax benefits of $122.8 million and accrued interest and penalties of $4.6 million at the end of fiscal 2018 are recorded on the Consolidated Balance Sheet as an $18.3 million long-term liability, with the balance reducing the carrying value of the gross deferred tax assets.</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Within the next 12 months, the Company believes it is reasonably possible that only a minimal amount of gross unrecognized tax benefits will be reduced as a result of reductions for tax positions taken in prior years where the only uncertainty was related to the timing of the tax deduction.</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Income taxes payable of $60.0 million and $31.7 million as of March 31, 2018, and April 1, 2017, respectively, are included in "Other current liabilities" in the Consolidated Balance Sheets. Long term income taxes payable of $24.2 million as of March 31, 2018, are included in "Other long-term liabilities" in the Consolidated Balance Sheets.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RFMD's fiscal 2015 and TriQuint's calendar 2014 federal, North Carolina, and California tax returns and subsequent tax years remain open for examination. The federal tax return for the short period ended January 1, 2015 for RFMD is currently under examination by the Internal Revenue Service, and the Singapore tax return for calendar year 2012 is currently under examination by the Singapore tax authorities. An examination by taxing authorities of the Company's China subsidiary in Beijing of its calendar year 2013 through 2015 tax returns was completed in fiscal 2018 with minimal adjustments and returns for subsequent tax years remain open for examination. An examination by the German taxing authorities of the returns for calendar years 2013 through 2015 was completed during fiscal 2017 with minimal adjustments and returns for subsequent tax years remain open for examination. Tax attributes (including net operating loss and credit carryovers) arising in earlier fiscal years remain open to adjustment.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For 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6"/>
              </w:rPr>
              <w:t>Numerator for basic and diluted net loss per share — net loss available to common</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(28,845)</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Denominator for basic net loss per share — weighted average shares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126,946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141,937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Stock-based awards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Denominator for diluted net loss per share — adjusted weighted average shares and assumed</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126,946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conversions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Basic net loss per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computation of diluted net loss per share for fiscal years 2018, 2017 and 2016, approximately 3.7 million shares, 4.8 million shares and 5.0 million shares, respectively, were excluded because the effect of their inclusion would have been anti-dilutive.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such as stock appreciation rights, restricted stock awards, performance shares and performance units, under the 2003 Plan.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non-employee directors were entitled to receive options to acquire shares of common stock.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Program - TriQuint Semiconductor, Inc.</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Effective upon the closing of the Business Combination, the Company assumed the TriQuint, Inc. 1996 Stock Incentive Program (the “TriQuint 1996 Stock Incentive Program”), originally adopted by TriQuint. The TriQuint 1996 Stock Incentive Program provided for the grant of incentive and non-qualified stock options to officers, outside directors and other employees of TriQuint or any parent or subsidiary. The TriQuint 1996 Stock Incentive Program was amended in 2002 to provide that options granted thereunder must have an exercise price per share no less than 100% of the fair market value of the share price on the grant date. In 2005, the TriQuint 1996 Stock Incentive Program was further amended to extend the term of the program to 2015 and permit the award of restricted stock, restricted stock units, stock appreciation rights, performance shares and performance units in addition to the grant of stock options. In addition, the amendment provided specific performance criteria that the plan administrator may use to establish performance objectives. The terms of each grant under the TriQuint 1996 Stock Incentive Program could not exceed ten years. No further awards can be granted under this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Inducement Award Plan- TriQuint Semiconductor, Inc.</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Effective upon the closing of the Business Combination, the Company assumed the sponsorship of the TriQuint, Inc. 2008 Inducement Award Plan (the “TriQuint 2008 Inducement Award Plan”), originally adopted by TriQuint. The TriQuint 2008 Inducement Award Plan provided for the grant of nonstatutory stock options, restricted stock, restricted stock units, stock appreciation rights and other stock or cash awards to employees of TriQuint or any parent or subsidiary. The options granted thereunder were required to have an exercise price per share no less than 100% of the fair market value per share on the date of grant. The terms of each grant under the plan could not exceed ten years. No further awards can be granted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and 2012 Incentive Plans - TriQuint Semiconductor, Inc.</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2009 Incentive Plan and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Qorvo,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currently grants stock options and restricted stock units to employees and directors under the 2012 Stock Incentive Plan (the "2012 Plan"), which was approved by the Company's stockholders on August 16, 2012, assumed by the Company in connection with the Business Combination and reapproved by the Company's stockholders on August 8, 2017 for purposes of Section 162(m) of the Code.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March 31, 2018, 3.6 million shares were available for issuance under the 2012 Plan. The aggregate number of shares subject to performance-based restricted stock units awarded for fiscal 2018 under the 2012 Plan was 0.2 million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Qorvo,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March 31, 2018, 2.4 million shares were available for issuance under the 2013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2018, 2017 or 2016. As of March 31, 2018, 0.3 million shares were available for issuance under the 2015 Inducement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March 31, 2018, 4.6 million shares were available for future issuance under this plan. The Company makes no cash contributions to the ESPP, but bears the expenses of its administration. The Company issued 0.5 million, 0.7 million and 0.4 million shares under the ESPP in fiscal years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2018, 2017 and 2016, the primary stock-based awards and their general terms and conditions are as follows: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 options are granted to employees with an exercise price equal to the market price of the Company’s stock at the date of grant, generally vest over a four-year period from the grant date, and generally expire 10 years from the grant date. Restricted stock units granted by the Company in fiscal years 2018, 2017 and 2016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In fiscal 2018, each non-employee director was eligible to receive an annual grant of restricted stock units.</w:t>
      </w:r>
    </w:p>
    <w:p>
      <w:pPr>
        <w:spacing w:after="0" w:line="19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2018, stock-based compensation of $20.5 million was recognized upon the grant of 0.3 million restricted share units to certain officers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$68.2 million for fiscal 2018, net of expense capitalized into inventory. For fiscal years 2017 and 2016, the total pre-tax stock-based compensation expense recognized was $88.8 million and $139.5 million, respectively, net of expense capitalized into inventory.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30" w:right="29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of the Company’s director and employee stock option plans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26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 Contractual</w:t>
            </w: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840" w:type="dxa"/>
            <w:vAlign w:val="bottom"/>
            <w:gridSpan w:val="2"/>
          </w:tcPr>
          <w:p>
            <w:pPr>
              <w:ind w:left="36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Term (in years)</w:t>
            </w:r>
          </w:p>
        </w:tc>
        <w:tc>
          <w:tcPr>
            <w:tcW w:w="2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April 1, 2017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Outstanding as of March 31, 2018</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132,217</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as of March 31, 2018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as of March 31,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131,585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based upon the Company’s closing stock price of $70.45 as of March 29, 2018 (the last business day prior to the fiscal year end on March 31, 2018), that would have been received by the option holders had all option holders with in-the-money options exercised their options as of that date. As of March 31, 2018, total remaining unearned compensation cost related to unvested option awards was $0.3 million, which will be amortized over the weighted-average remaining service period of approximately 0.5 years.</w:t>
      </w:r>
    </w:p>
    <w:p>
      <w:pPr>
        <w:spacing w:after="0" w:line="1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assumptions noted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520"/>
              <w:spacing w:after="0"/>
              <w:rPr>
                <w:sz w:val="20"/>
                <w:szCs w:val="20"/>
                <w:color w:val="auto"/>
              </w:rPr>
            </w:pPr>
            <w:r>
              <w:rPr>
                <w:rFonts w:ascii="Arial" w:cs="Arial" w:eastAsia="Arial" w:hAnsi="Arial"/>
                <w:sz w:val="18"/>
                <w:szCs w:val="18"/>
                <w:b w:val="1"/>
                <w:bCs w:val="1"/>
                <w:color w:val="auto"/>
              </w:rPr>
              <w:t>Fiscal Year</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20" w:type="dxa"/>
            <w:vAlign w:val="bottom"/>
          </w:tcPr>
          <w:p>
            <w:pPr>
              <w:ind w:left="7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5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9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5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9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Weighted-average grant-date fair value of options granted during the period</w:t>
            </w:r>
          </w:p>
        </w:tc>
        <w:tc>
          <w:tcPr>
            <w:tcW w:w="1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32.62</w:t>
            </w:r>
          </w:p>
        </w:tc>
      </w:tr>
      <w:tr>
        <w:trPr>
          <w:trHeight w:val="27"/>
        </w:trPr>
        <w:tc>
          <w:tcPr>
            <w:tcW w:w="5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total intrinsic value of options exercised during fiscal 2018, was $87.8 million. For fiscal years 2017 and 2016, the total intrinsic value of options exercised was $81.0 million and $74.9 million, respectively.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received from the exercise of stock options and from participation in the employee stock purchase plan (excluding accrued unremitted employee funds) was approximately $57.5 million for fiscal 2018 and is reflected in cash flows from financing activities in the Consolidated Statements of Cash Flows. The Company settles employee stock options with newly issued shares of the Company's common stock.</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used the implied volatility of market-traded options on the Company’s common stock for the expected volatility assumption input to the Black-Scholes option-pricing model, consistent with the guidance in ASC 718. The selection of implied volatility data to estimate expected volatility was based upon the availability of actively-traded options on the Company’s common stock and the Company’s assessment that implied volatility is more representative of future common stock price trends than historical volatility.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dividend yield assumption is based on the Company’s history and expectation of future dividend payouts and may be subject to change in the future. The Company has never paid a dividend.</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expected life of employee stock options represents the weighted-average period that the stock options are expected to remain outstanding. The Company’s method of calculating the expected term of an option assumes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all outstanding options will be exercised at the midpoint of the current date and full contractual term, combined with the average life of all options that have been exercised or canceled. The Company believes that this method provides a better estimate of the future expected life based on analysis of historical exercise behavioral data.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assumption is based upon observed interest rates appropriate for the terms of the Company’s employee stock options.</w:t>
      </w:r>
    </w:p>
    <w:p>
      <w:pPr>
        <w:spacing w:after="0" w:line="23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1.6% for both stock options and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790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79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57.73</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2018, total remaining unearned compensation cost related to unvested restricted stock units was $72.5 million, which will be amortized over the weighted-average remaining service period of approximately 1.2 years.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total fair value of restricted stock units that vested during fiscal 2018 was $73.2 million, based upon the fair market value of the Company’s common stock on the vesting date. For fiscal years 2017 and 2016, the total fair value of restricted stock units that vested was $46.1 million and $60.2 million, respectively.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5, 2015, the Company announced that its Board of Directors authorized a share repurchase program to repurchase up to $1.0 billion of the Company's outstanding common stock through November 4, 2016. On February 16, 2016, as part of the $1.0 billion share repurchase program, the Company entered into variable maturity accelerated share repurchase ("ASR") agreements (a $250.0 million collared agreement and a $250.0 million uncollared agreement) with Bank of America, N.A. For the upfront payment of $500.0 million, the Company received 3.1 million shares of its common stock under the collared agreement (representing 50% of the shares the Company would have repurchased assuming an average share price of $40.78) and 4.9 million shares of the Company's common stock under the uncollared agreement (representing 80% of the shares the Company would have repurchased assuming an average share price of $40.78). On March 10, 2016, the Company received an additional 2.0 million shares of its common stock under the collared agreement. Final settlements of the ASR agreements were completed during the first quarter of fiscal 2017 with 0.4 million shares received resulting in a total of 10.4 million shares of the Company's common stock repurchased under the ASR agreements. The shares were retired in the periods they were delivered, and the upfront payment was accounted for as a reduction to stockholders' equity in the Consolidated Balance Sheet in the period the payment was made. The Company reflected each ASR as a repurchase of common stock in the period delivered for purposes of calculating earnings per share.</w:t>
      </w:r>
    </w:p>
    <w:p>
      <w:pPr>
        <w:spacing w:after="0" w:line="1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November 3, 2016, the Company announced that its Board of Directors authorized a share repurchase program to repurchase up to $500.0 million of the Company's outstanding stock. Under this program, share repurchases are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does not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have a fixed term, and may be modified, suspended or terminated at any time without prior notice. The program included approximately $150.0 million authorized on the $1.0 billion repurchase program that expired November 4, 2016.</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repurchased 2.9 million shares, 4.1 million shares (inclusive of 0.4 million shares received under the ASR agreement) and 24.3 million shares (inclusive of 10.0 million shares received under the ASR agreement) of its common stock during fiscal years 2018, 2017 and 2016, respectively, at an aggregate cost of $219.9 million, $209.4 million and $1,300.0 million, respectively, in accordance with the share repurchase programs described above. As of March 31, 2018, $162.1 million remains available for future repurchases under our current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March 31, 2018, the Company had reserved a total of approximately 15.7 million of its authorized 405.0 million shares of common stock for future issuance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Possible future issuance under Company stock incentive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6,254</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Restricted stock-based units 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OPERATING SEGMENT AND GEOGRAPHIC INFORMATION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Company's operating segments as of March 31, 2018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MP is a leading global supplier of cellular RF and Wi-Fi solutions for a variety of mobile devices, including smartphones, notebook computers, wearables, tablets, and cellular-based applications for the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BAW and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and modules incorporating switches, PAs and duplexers.</w:t>
      </w:r>
    </w:p>
    <w:p>
      <w:pPr>
        <w:spacing w:after="0" w:line="19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IDP is a leading global supplier of RF solutions with a diverse portfolio of solutions that "connect and protect," spanning communications and defense applications. These applications include high performance defense systems such as radar, electronic warfare and communication systems, Wi-Fi customer premises equipment for home and work, high speed connectivity in Long-Term Evolution and 5G base stations, cloud connectivity via data center communications and telecom transport, automotive connectivity and other IoT, including smart home solutions. IDP products include high power GaAs and GaN PAs, LNAs, switches, CMOS SoC solutions, premium BAW and SAW filter solutions and various multi-chip and hybrid assemblies.</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acquisition and integration related costs, restructuring and disposal costs, start-up costs,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MP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2,181,161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2,384,041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2,083,334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788,495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All other (1)</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2,973,536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3,032,574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2,610,726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549,574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IDP</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235,719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152,539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(688,153)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88,059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(1) "All other" revenue relates to royalty income that is not allocated to MP or IDP.</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(68,158)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(88,845)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Start-up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8"/>
              </w:rPr>
              <w:t>Other (including loss (gain) on assets and other miscellaneous corporate overhead)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(715,011)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(618,481)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restructuring actions initiated in fiscal 2018, the Company adjusted the carrying value of certain of its held for sale assets located in China and the U.S., and recorded impairment charges totaling approximately $46.3 million. The fair value of the assets is based on quotes from third parties. See Note 11 for further information on the restructuring.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3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524,472</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467,031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306,328</w:t>
            </w:r>
          </w:p>
        </w:tc>
      </w:tr>
      <w:tr>
        <w:trPr>
          <w:trHeight w:val="27"/>
        </w:trPr>
        <w:tc>
          <w:tcPr>
            <w:tcW w:w="3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2,449,064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2,304,398</w:t>
            </w:r>
          </w:p>
        </w:tc>
      </w:tr>
      <w:tr>
        <w:trPr>
          <w:trHeight w:val="459"/>
        </w:trPr>
        <w:tc>
          <w:tcPr>
            <w:tcW w:w="3320" w:type="dxa"/>
            <w:vAlign w:val="bottom"/>
          </w:tcPr>
          <w:p>
            <w:pPr>
              <w:spacing w:after="0"/>
              <w:rPr>
                <w:sz w:val="24"/>
                <w:szCs w:val="24"/>
                <w:color w:val="auto"/>
              </w:rPr>
            </w:pPr>
          </w:p>
        </w:tc>
        <w:tc>
          <w:tcPr>
            <w:tcW w:w="3420" w:type="dxa"/>
            <w:vAlign w:val="bottom"/>
          </w:tcPr>
          <w:p>
            <w:pPr>
              <w:jc w:val="right"/>
              <w:ind w:right="85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83</w:t>
            </w: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Europe</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the Company’s components. Of the Company’s revenue for fiscal 2018, approximately 52% ($1,539.7 million) was from customers in China and 19% ($564.8 million) from customers in Taiwan. Of the Company’s revenue for fiscal years 2017 and 2016, approximately 62% ($1,866.0 million) and 61% ($1,601.0 million), respectively, was from customers in China and 13% ($398.4 million) and 14% ($365.1 million), respectively, was from customers in Taiwan.</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1, 2017</w:t>
            </w:r>
          </w:p>
        </w:tc>
        <w:tc>
          <w:tcPr>
            <w:tcW w:w="24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 2016</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1,089,157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1,082,754</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816,882</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183,836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46,170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INFORMATION</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accordance with the indenture governing the Notes, the Company's obligations under the Notes are fully and unconditionally guaranteed on a joint and several basis by each Guarantor, each of which is 100% owned, directly or indirectly, by Qorvo, Inc.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2018</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926,037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76,863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269,094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345,957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Intercompany accounts and note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154,651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339,434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1,186,353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1,005,017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1,843,805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1,121,941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1,051,948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860,336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6,198,885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2,388,222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(8,587,107)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65,612</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6,271,007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6,753,073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3,022,058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213,193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272,409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167,182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441,279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983,290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983,290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payable</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489,051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118,302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1,495,443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499,169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633,836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1,605,955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4,775,564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6,253,904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(8,642,126)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6,271,007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6,753,073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April 1, 2017</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57,874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Intercompany accounts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131,225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322,559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869,165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1,044,448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(452,008)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1,121,941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1,051,973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6,142,568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2,596,172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(8,738,740)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6,226,721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6,772,490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3,384,943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(9,861,831)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392,075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989,154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payable</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317,695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138,398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129,918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1,329,999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604,853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788,771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(1,098,022)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4,896,722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6,167,637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(8,763,809)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6,226,721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6,772,490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3,384,943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(9,861,831)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2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2018</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2,689,676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2,973,536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828,496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1,723,829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(725,755)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1,826,570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1,146,966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445,103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248,601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349,739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527,751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103,830</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392,718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745,311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1,076,684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70,282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(57,433)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85,631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183,319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(268,950)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87,654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186,172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2017</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3,032,574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979,190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2,023,715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1,897,062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1,135,512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470,836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53,465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253,531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370,812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545,588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88,844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310,514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796,090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1,047,453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88,059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(58,879)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27,305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46,003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68,718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(102,679)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34,014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67,492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60"/>
          </w:cols>
          <w:pgMar w:left="240" w:top="130" w:right="29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2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2016</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2,212,062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2,610,726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1,778,336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2,060,702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(2,277,865)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1,561,173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1,049,553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448,763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72,358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151,814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360,593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534,099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139,516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309,302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667,259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1,037,585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44,014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93,990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89,738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14,862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Notes to Consolidated Financial Statement (continued)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99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196,848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165,883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489,789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852,520</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-187960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60"/>
            <w:col w:w="788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(269,835)</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investing</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Net cash (used in) provided by investing</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235,865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(415,825)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Proceeds from debt issuances</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 of debt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common stock, including</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(219,907)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restricted stock units</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415,825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380,623</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226,186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319,593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629,314</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297,088</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the period</w:t>
            </w:r>
          </w:p>
        </w:tc>
        <w:tc>
          <w:tcPr>
            <w:tcW w:w="44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580" w:type="dxa"/>
            <w:vAlign w:val="bottom"/>
            <w:gridSpan w:val="3"/>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66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6"/>
          <w:szCs w:val="16"/>
          <w:b w:val="1"/>
          <w:bCs w:val="1"/>
          <w:color w:val="auto"/>
        </w:rPr>
        <w:t>Notes to Consolidated Financial Statement (continued)</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34290</wp:posOffset>
            </wp:positionV>
            <wp:extent cx="4845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4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Non-Guarantor</w:t>
            </w: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Eliminations and</w:t>
            </w:r>
          </w:p>
        </w:tc>
        <w:tc>
          <w:tcPr>
            <w:tcW w:w="12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165,660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175,988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435,172</w:t>
            </w:r>
          </w:p>
        </w:tc>
        <w:tc>
          <w:tcPr>
            <w:tcW w:w="120" w:type="dxa"/>
            <w:vAlign w:val="bottom"/>
          </w:tcPr>
          <w:p>
            <w:pPr>
              <w:spacing w:after="0"/>
              <w:rPr>
                <w:sz w:val="21"/>
                <w:szCs w:val="21"/>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776,820</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-187960</wp:posOffset>
            </wp:positionV>
            <wp:extent cx="723773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171450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3000" w:space="620"/>
            <w:col w:w="7800"/>
          </w:cols>
          <w:pgMar w:left="240" w:top="130" w:right="239" w:bottom="1440" w:gutter="0" w:footer="0" w:header="0"/>
        </w:sectPr>
      </w:pPr>
    </w:p>
    <w:tbl>
      <w:tblPr>
        <w:tblLayout w:type="fixed"/>
        <w:tblInd w:w="40" w:type="dxa"/>
        <w:tblCellMar>
          <w:top w:w="0" w:type="dxa"/>
          <w:left w:w="0" w:type="dxa"/>
          <w:bottom w:w="0" w:type="dxa"/>
          <w:right w:w="0" w:type="dxa"/>
        </w:tblCellMar>
      </w:tblP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Purchase of available-for-sale securities</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tcPr>
          <w:p>
            <w:pPr>
              <w:ind w:left="160"/>
              <w:spacing w:after="0"/>
              <w:rPr>
                <w:sz w:val="20"/>
                <w:szCs w:val="20"/>
                <w:color w:val="auto"/>
              </w:rPr>
            </w:pPr>
            <w:r>
              <w:rPr>
                <w:rFonts w:ascii="Arial" w:cs="Arial" w:eastAsia="Arial" w:hAnsi="Arial"/>
                <w:sz w:val="18"/>
                <w:szCs w:val="18"/>
                <w:color w:val="auto"/>
                <w:w w:val="92"/>
              </w:rPr>
              <w:t>Proceeds from maturities and sales of available-</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for-sale securities</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w w:val="99"/>
              </w:rPr>
              <w:t>Purchase of a business, net of cash acquired</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 investing</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40" w:type="dxa"/>
            <w:vAlign w:val="bottom"/>
          </w:tcPr>
          <w:p>
            <w:pPr>
              <w:ind w:left="160"/>
              <w:spacing w:after="0"/>
              <w:rPr>
                <w:sz w:val="20"/>
                <w:szCs w:val="20"/>
                <w:color w:val="auto"/>
              </w:rPr>
            </w:pPr>
            <w:r>
              <w:rPr>
                <w:rFonts w:ascii="Arial" w:cs="Arial" w:eastAsia="Arial" w:hAnsi="Arial"/>
                <w:sz w:val="18"/>
                <w:szCs w:val="18"/>
                <w:color w:val="auto"/>
              </w:rPr>
              <w:t>Excess tax benefit from exercises of stock</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options</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w w:val="97"/>
              </w:rPr>
              <w:t>Proceeds from the issuance of common stock</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59,148</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40" w:type="dxa"/>
            <w:vAlign w:val="bottom"/>
          </w:tcPr>
          <w:p>
            <w:pPr>
              <w:ind w:left="160"/>
              <w:spacing w:after="0"/>
              <w:rPr>
                <w:sz w:val="20"/>
                <w:szCs w:val="20"/>
                <w:color w:val="auto"/>
              </w:rPr>
            </w:pPr>
            <w:r>
              <w:rPr>
                <w:rFonts w:ascii="Arial" w:cs="Arial" w:eastAsia="Arial" w:hAnsi="Arial"/>
                <w:sz w:val="18"/>
                <w:szCs w:val="18"/>
                <w:color w:val="auto"/>
              </w:rPr>
              <w:t>Repurchase of common stock, including</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(209,357)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tcPr>
          <w:p>
            <w:pPr>
              <w:ind w:left="160"/>
              <w:spacing w:after="0"/>
              <w:rPr>
                <w:sz w:val="20"/>
                <w:szCs w:val="20"/>
                <w:color w:val="auto"/>
              </w:rPr>
            </w:pPr>
            <w:r>
              <w:rPr>
                <w:rFonts w:ascii="Arial" w:cs="Arial" w:eastAsia="Arial" w:hAnsi="Arial"/>
                <w:sz w:val="18"/>
                <w:szCs w:val="18"/>
                <w:color w:val="auto"/>
                <w:w w:val="93"/>
              </w:rPr>
              <w:t>Tax withholding paid on behalf of employees for</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 financing</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w w:val="94"/>
              </w:rPr>
              <w:t>Net cash (used in) provided by financing activities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(165,660)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Arial" w:cs="Arial" w:eastAsia="Arial" w:hAnsi="Arial"/>
                <w:sz w:val="18"/>
                <w:szCs w:val="18"/>
                <w:color w:val="auto"/>
              </w:rPr>
              <w:t>Net increase in cash, cash equivalents and</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Arial" w:cs="Arial" w:eastAsia="Arial" w:hAnsi="Arial"/>
                <w:sz w:val="18"/>
                <w:szCs w:val="18"/>
                <w:color w:val="auto"/>
                <w:w w:val="94"/>
              </w:rPr>
              <w:t>Cash, cash equivalents and restricted cash at the</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w w:val="94"/>
              </w:rPr>
              <w:t>Cash, cash equivalents and restricted cash at the</w:t>
            </w: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0"/>
                <w:szCs w:val="20"/>
                <w:color w:val="auto"/>
              </w:rPr>
            </w:pPr>
            <w:r>
              <w:rPr>
                <w:rFonts w:ascii="Arial" w:cs="Arial" w:eastAsia="Arial" w:hAnsi="Arial"/>
                <w:sz w:val="18"/>
                <w:szCs w:val="18"/>
                <w:color w:val="auto"/>
              </w:rPr>
              <w:t>end of the period</w:t>
            </w:r>
          </w:p>
        </w:tc>
        <w:tc>
          <w:tcPr>
            <w:tcW w:w="4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-3781425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-3438525</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-2743835</wp:posOffset>
            </wp:positionV>
            <wp:extent cx="723773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3086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-2263140</wp:posOffset>
            </wp:positionV>
            <wp:extent cx="723773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3086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-1645920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-942975</wp:posOffset>
            </wp:positionV>
            <wp:extent cx="723773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3086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-325120</wp:posOffset>
            </wp:positionV>
            <wp:extent cx="723773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3086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-1303020</wp:posOffset>
            </wp:positionV>
            <wp:extent cx="723773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-3094990</wp:posOffset>
            </wp:positionV>
            <wp:extent cx="723773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(469)</w:t>
            </w:r>
          </w:p>
        </w:tc>
        <w:tc>
          <w:tcPr>
            <w:tcW w:w="4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486"/>
        </w:trPr>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186,793</w:t>
            </w:r>
          </w:p>
        </w:tc>
        <w:tc>
          <w:tcPr>
            <w:tcW w:w="4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186,793</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(117,994)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(117,994)</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90"/>
              </w:rPr>
              <w:t>(424,175)</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(552,702)</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3,924</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(5,976)</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61,891</w:t>
            </w:r>
          </w:p>
        </w:tc>
        <w:tc>
          <w:tcPr>
            <w:tcW w:w="4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90"/>
              </w:rPr>
              <w:t>(172,036)</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(256,421)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(490,348)</w:t>
            </w:r>
          </w:p>
        </w:tc>
      </w:tr>
      <w:tr>
        <w:trPr>
          <w:trHeight w:val="75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59,148</w:t>
            </w:r>
          </w:p>
        </w:tc>
      </w:tr>
      <w:tr>
        <w:trPr>
          <w:trHeight w:val="48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(209,357)</w:t>
            </w:r>
          </w:p>
        </w:tc>
      </w:tr>
      <w:tr>
        <w:trPr>
          <w:trHeight w:val="48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(15,516)</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1,587</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1,601</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(165,650)</w:t>
            </w:r>
          </w:p>
        </w:tc>
      </w:tr>
      <w:tr>
        <w:trPr>
          <w:trHeight w:val="27"/>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486"/>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5,553</w:t>
            </w:r>
          </w:p>
        </w:tc>
        <w:tc>
          <w:tcPr>
            <w:tcW w:w="4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114,164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119,717</w:t>
            </w:r>
          </w:p>
        </w:tc>
      </w:tr>
      <w:tr>
        <w:trPr>
          <w:trHeight w:val="486"/>
        </w:trPr>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220,633</w:t>
            </w:r>
          </w:p>
        </w:tc>
        <w:tc>
          <w:tcPr>
            <w:tcW w:w="4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205,429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426,062</w:t>
            </w:r>
          </w:p>
        </w:tc>
      </w:tr>
      <w:tr>
        <w:trPr>
          <w:trHeight w:val="27"/>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26"/>
        </w:trPr>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226,186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319,593</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545,779</w:t>
            </w:r>
          </w:p>
        </w:tc>
      </w:tr>
      <w:tr>
        <w:trPr>
          <w:trHeight w:val="27"/>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-8255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-1122680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480"/>
            <w:col w:w="5400"/>
          </w:cols>
          <w:pgMar w:left="240" w:top="13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30" w:right="23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Notes to Consolidated Financial Statement (continued)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9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282,955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273,171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131,801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687,927</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-187960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60"/>
            <w:col w:w="788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available-for-sale securities</w:t>
            </w:r>
          </w:p>
        </w:tc>
        <w:tc>
          <w:tcPr>
            <w:tcW w:w="3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(340,527)</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w w:val="91"/>
              </w:rPr>
              <w:t>Proceeds from maturities of available-for-sale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390,009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390,009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investing</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(278,714)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1,175,000</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Payment of debt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Excess tax benefit from exercises of stock</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51,875</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common stock, including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(1,300,009)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(1,300,009)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restricted stock units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financing</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Net cash (used in) provided by financing</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(282,984)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66,255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59,680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125,935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145,749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300,127</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Pr>
          <w:p>
            <w:pPr>
              <w:spacing w:after="0"/>
              <w:rPr>
                <w:sz w:val="18"/>
                <w:szCs w:val="18"/>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205,429</w:t>
            </w:r>
          </w:p>
        </w:tc>
        <w:tc>
          <w:tcPr>
            <w:tcW w:w="100" w:type="dxa"/>
            <w:vAlign w:val="bottom"/>
          </w:tcPr>
          <w:p>
            <w:pPr>
              <w:spacing w:after="0"/>
              <w:rPr>
                <w:sz w:val="18"/>
                <w:szCs w:val="18"/>
                <w:color w:val="auto"/>
              </w:rPr>
            </w:pPr>
          </w:p>
        </w:tc>
        <w:tc>
          <w:tcPr>
            <w:tcW w:w="6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gridSpan w:val="3"/>
            <w:vMerge w:val="restart"/>
          </w:tcPr>
          <w:p>
            <w:pPr>
              <w:ind w:left="5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the period</w:t>
            </w:r>
          </w:p>
        </w:tc>
        <w:tc>
          <w:tcPr>
            <w:tcW w:w="3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97" w:name="page98"/>
    <w:bookmarkEnd w:id="97"/>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 (continued)</w:t>
      </w:r>
    </w:p>
    <w:p>
      <w:pPr>
        <w:sectPr>
          <w:pgSz w:w="11900" w:h="16838" w:orient="portrait"/>
          <w:cols w:equalWidth="0" w:num="1">
            <w:col w:w="11400"/>
          </w:cols>
          <w:pgMar w:left="240" w:top="130" w:right="259" w:bottom="1440" w:gutter="0" w:footer="0" w:header="0"/>
        </w:sect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QUARTERLY FINANCIAL SUMMARY (UNAUDITED):</w:t>
      </w: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2018 Quarter</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640,831</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821,583</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236,377</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321,022</w:t>
            </w: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(30,624)</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w w:val="91"/>
              </w:rPr>
              <w:t>(1),(2),(3)</w:t>
            </w: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35,919</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55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2017 Quarter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698,537</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864,698</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276,475</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316,799</w:t>
            </w: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(5,675)</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w w:val="91"/>
              </w:rPr>
              <w:t>(1),(2),(3)</w:t>
            </w: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11,847</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-2940685</wp:posOffset>
            </wp:positionV>
            <wp:extent cx="711771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7715"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-2589530</wp:posOffset>
            </wp:positionV>
            <wp:extent cx="7117715"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7715" cy="26606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-2152015</wp:posOffset>
            </wp:positionV>
            <wp:extent cx="711771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-1114425</wp:posOffset>
            </wp:positionV>
            <wp:extent cx="711771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7715"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-762635</wp:posOffset>
            </wp:positionV>
            <wp:extent cx="7117715"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7715" cy="26606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711771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845,739</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665,383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336,927</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252,640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(33,082)</w:t>
            </w:r>
          </w:p>
        </w:tc>
        <w:tc>
          <w:tcPr>
            <w:tcW w:w="660" w:type="dxa"/>
            <w:vAlign w:val="bottom"/>
          </w:tcPr>
          <w:p>
            <w:pPr>
              <w:ind w:left="20"/>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(12,501)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Pr>
          <w:p>
            <w:pPr>
              <w:jc w:val="right"/>
              <w:ind w:right="37"/>
              <w:spacing w:after="0"/>
              <w:rPr>
                <w:sz w:val="20"/>
                <w:szCs w:val="20"/>
                <w:color w:val="auto"/>
              </w:rPr>
            </w:pPr>
            <w:r>
              <w:rPr>
                <w:rFonts w:ascii="Arial" w:cs="Arial" w:eastAsia="Arial" w:hAnsi="Arial"/>
                <w:sz w:val="13"/>
                <w:szCs w:val="13"/>
                <w:color w:val="auto"/>
                <w:w w:val="87"/>
              </w:rPr>
              <w:t>(1),(2),(3)</w:t>
            </w: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(1),(2),(3),(5)</w:t>
            </w:r>
          </w:p>
        </w:tc>
        <w:tc>
          <w:tcPr>
            <w:tcW w:w="0" w:type="dxa"/>
            <w:vAlign w:val="bottom"/>
          </w:tcPr>
          <w:p>
            <w:pPr>
              <w:spacing w:after="0"/>
              <w:rPr>
                <w:sz w:val="1"/>
                <w:szCs w:val="1"/>
                <w:color w:val="auto"/>
              </w:rPr>
            </w:pPr>
          </w:p>
        </w:tc>
      </w:tr>
      <w:tr>
        <w:trPr>
          <w:trHeight w:val="54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826,347</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642,992</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310,642</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231,596</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(78,638)</w:t>
            </w:r>
          </w:p>
        </w:tc>
        <w:tc>
          <w:tcPr>
            <w:tcW w:w="660" w:type="dxa"/>
            <w:vAlign w:val="bottom"/>
          </w:tcPr>
          <w:p>
            <w:pPr>
              <w:ind w:left="20"/>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55,908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Pr>
          <w:p>
            <w:pPr>
              <w:jc w:val="right"/>
              <w:ind w:right="37"/>
              <w:spacing w:after="0"/>
              <w:rPr>
                <w:sz w:val="20"/>
                <w:szCs w:val="20"/>
                <w:color w:val="auto"/>
              </w:rPr>
            </w:pPr>
            <w:r>
              <w:rPr>
                <w:rFonts w:ascii="Arial" w:cs="Arial" w:eastAsia="Arial" w:hAnsi="Arial"/>
                <w:sz w:val="13"/>
                <w:szCs w:val="13"/>
                <w:color w:val="auto"/>
                <w:w w:val="87"/>
              </w:rPr>
              <w:t>(1),(2),(3)</w:t>
            </w: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(1),(2),(3),(7)</w:t>
            </w:r>
          </w:p>
        </w:tc>
        <w:tc>
          <w:tcPr>
            <w:tcW w:w="0" w:type="dxa"/>
            <w:vAlign w:val="bottom"/>
          </w:tcPr>
          <w:p>
            <w:pPr>
              <w:spacing w:after="0"/>
              <w:rPr>
                <w:sz w:val="1"/>
                <w:szCs w:val="1"/>
                <w:color w:val="auto"/>
              </w:rPr>
            </w:pPr>
          </w:p>
        </w:tc>
      </w:tr>
      <w:tr>
        <w:trPr>
          <w:trHeight w:val="54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6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2">
            <w:col w:w="6620" w:space="40"/>
            <w:col w:w="4740"/>
          </w:cols>
          <w:pgMar w:left="240" w:top="130" w:right="259" w:bottom="1440" w:gutter="0" w:footer="0" w:header="0"/>
          <w:type w:val="continuous"/>
        </w:sectPr>
      </w:pPr>
    </w:p>
    <w:p>
      <w:pPr>
        <w:ind w:left="180" w:hanging="172"/>
        <w:spacing w:after="0" w:line="247"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integration related expenses of $1.5 million, $1.8 million, $1.7 million and $1.2 million in the first, second, third and fourth quarters of fiscal 2018, respectively, associated with the Business Combination. The Company recorded integration related expenses of $5.3 million, $5.0 million, $3.9 million and $2.7 million in the first, second, third and fourth quarters of fiscal 2017, respectively, associated with the Business Combination (Note 6).</w:t>
      </w:r>
    </w:p>
    <w:p>
      <w:pPr>
        <w:spacing w:after="0" w:line="1" w:lineRule="exact"/>
        <w:rPr>
          <w:rFonts w:ascii="Arial" w:cs="Arial" w:eastAsia="Arial" w:hAnsi="Arial"/>
          <w:sz w:val="14"/>
          <w:szCs w:val="14"/>
          <w:color w:val="auto"/>
        </w:rPr>
      </w:pPr>
    </w:p>
    <w:p>
      <w:pPr>
        <w:ind w:left="180" w:right="460" w:hanging="172"/>
        <w:spacing w:after="0" w:line="260" w:lineRule="auto"/>
        <w:tabs>
          <w:tab w:leader="none" w:pos="162"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Company recorded restructuring expenses of $0.5 million, $10.5 million, $15.2 million and $41.5 million in the first, second, third and fourth quarters of fiscal 2018, respectively. The Company recorded restructuring expenses of $0.8 million, $0.5 million, $0.4 million and $0.4 million in the first, second, third and fourth quarters of fiscal 2017, respectively (Note 11).</w:t>
      </w:r>
    </w:p>
    <w:p>
      <w:pPr>
        <w:ind w:left="180" w:right="38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start-up expenses of $6.6 million, $7.2 million, $5.4 million and $5.1 million in the first, second, third and fourth quarters of fiscal 2018, respectively. The Company recorded start-up expenses of $2.1 million, $2.0 million, $2.2 million and $3.4 million in the first, second, third and fourth quarters of fiscal 2017, respectively.</w:t>
      </w:r>
    </w:p>
    <w:p>
      <w:pPr>
        <w:ind w:left="160" w:hanging="152"/>
        <w:spacing w:after="0"/>
        <w:tabs>
          <w:tab w:leader="none" w:pos="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expense of $98.5 million for the third quarter of fiscal 2018 relates primarily to a discrete provisional tax expense related to the enactment of the Tax Act (Note 12).</w:t>
      </w:r>
    </w:p>
    <w:p>
      <w:pPr>
        <w:spacing w:after="0" w:line="1" w:lineRule="exact"/>
        <w:rPr>
          <w:rFonts w:ascii="Arial" w:cs="Arial" w:eastAsia="Arial" w:hAnsi="Arial"/>
          <w:sz w:val="14"/>
          <w:szCs w:val="14"/>
          <w:color w:val="auto"/>
        </w:rPr>
      </w:pPr>
    </w:p>
    <w:p>
      <w:pPr>
        <w:ind w:left="180" w:right="14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benefit of $31.2 million for the fourth quarter of fiscal 2018 relates primarily to a discrete provisional benefit for adjustments to a third quarter fiscal 2018 provisional estimate of the impact of the Tax Act (Note 12).</w:t>
      </w:r>
    </w:p>
    <w:p>
      <w:pPr>
        <w:ind w:left="160" w:hanging="152"/>
        <w:spacing w:after="0"/>
        <w:tabs>
          <w:tab w:leader="none" w:pos="1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Income tax expense of $123.2 million for the third quarter of fiscal 2017 relates primarily to the timing of income and loss recognition in the various tax jurisdictions for the quarter (Note 12).</w:t>
      </w:r>
    </w:p>
    <w:p>
      <w:pPr>
        <w:spacing w:after="0" w:line="12" w:lineRule="exact"/>
        <w:rPr>
          <w:rFonts w:ascii="Arial" w:cs="Arial" w:eastAsia="Arial" w:hAnsi="Arial"/>
          <w:sz w:val="13"/>
          <w:szCs w:val="13"/>
          <w:color w:val="auto"/>
        </w:rPr>
      </w:pPr>
    </w:p>
    <w:p>
      <w:pPr>
        <w:ind w:left="160" w:hanging="152"/>
        <w:spacing w:after="0"/>
        <w:tabs>
          <w:tab w:leader="none" w:pos="1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Income tax benefit of $93.2 million for the fourth quarter of fiscal 2017 relates primarily to the timing of income and loss recognition in the various tax jurisdictions for the quarter (Note 12).</w:t>
      </w:r>
    </w:p>
    <w:p>
      <w:pPr>
        <w:spacing w:after="0" w:line="16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Each quarter of fiscal 2018 and fiscal 2017 contained a comparable number of weeks (13 weeks).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30" w:right="25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Qorvo, Inc.: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86" w:lineRule="exact"/>
        <w:rPr>
          <w:sz w:val="20"/>
          <w:szCs w:val="20"/>
          <w:color w:val="auto"/>
        </w:rPr>
      </w:pPr>
    </w:p>
    <w:p>
      <w:pPr>
        <w:ind w:right="140"/>
        <w:spacing w:after="0" w:line="193" w:lineRule="exact"/>
        <w:rPr>
          <w:sz w:val="20"/>
          <w:szCs w:val="20"/>
          <w:color w:val="auto"/>
        </w:rPr>
      </w:pPr>
      <w:r>
        <w:rPr>
          <w:rFonts w:ascii="Arial" w:cs="Arial" w:eastAsia="Arial" w:hAnsi="Arial"/>
          <w:sz w:val="16"/>
          <w:szCs w:val="16"/>
          <w:color w:val="auto"/>
        </w:rPr>
        <w:t>We have audited the accompanying consolidated balance sheets of Qorvo, Inc. and subsidiaries (the “Company”) as of March 31, 2018 and April 1, 2017, the related consolidated statements of operations, comprehensive loss,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March 31, 2018, and the related notes (collectively, the consolidated financial statements). In our opinion, the consolidated financial statements present fairly, in all material respects, the financial position of the Company as of March 31, 2018 and April 1, 2017,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March 31, 2018, in conformity with U.S. generally accepted accounting principles.</w:t>
      </w:r>
    </w:p>
    <w:p>
      <w:pPr>
        <w:spacing w:after="0" w:line="15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March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May 21, 2018 expressed an unqualified opinion on the effectiveness of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86"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 KPMG LLP</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Greensboro, North Carolina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May 21, 2018</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125" w:right="3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Qorvo, Inc.: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8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 xml:space="preserve">We have audited Qorvo, Inc.’s (the “Company”) internal control over financial reporting as of March 31,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In our opinion, the Company maintained,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internal control over financial reporting as of March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March 31, 2018 and April 1, 2017, the related consolidated statements of operations, comprehensive loss, stockholders’ equity, and cash flows for each of the years in the three-year period ended March 31, 2018, and the related notes (collectively, the consolidated financial statements), and our report dated May 21, 2018 expressed an unqualified opinion on those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8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8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6"/>
          <w:szCs w:val="16"/>
          <w:color w:val="auto"/>
        </w:rPr>
        <w:t>/ KPMG LLP</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Greensboro, North Carolina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May 21, 2018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ind w:left="5"/>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5" w:hanging="252"/>
        <w:spacing w:after="0"/>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189" w:lineRule="exact"/>
        <w:rPr>
          <w:sz w:val="20"/>
          <w:szCs w:val="20"/>
          <w:color w:val="auto"/>
        </w:rPr>
      </w:pPr>
    </w:p>
    <w:p>
      <w:pPr>
        <w:jc w:val="both"/>
        <w:ind w:left="5"/>
        <w:spacing w:after="0" w:line="271" w:lineRule="auto"/>
        <w:rPr>
          <w:sz w:val="20"/>
          <w:szCs w:val="20"/>
          <w:color w:val="auto"/>
        </w:rPr>
      </w:pPr>
      <w:r>
        <w:rPr>
          <w:rFonts w:ascii="Arial" w:cs="Arial" w:eastAsia="Arial" w:hAnsi="Arial"/>
          <w:sz w:val="17"/>
          <w:szCs w:val="17"/>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179" w:lineRule="exact"/>
        <w:rPr>
          <w:sz w:val="20"/>
          <w:szCs w:val="20"/>
          <w:color w:val="auto"/>
        </w:rPr>
      </w:pPr>
    </w:p>
    <w:p>
      <w:pPr>
        <w:ind w:left="245" w:hanging="245"/>
        <w:spacing w:after="0"/>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25" w:lineRule="exact"/>
        <w:rPr>
          <w:sz w:val="20"/>
          <w:szCs w:val="20"/>
          <w:color w:val="auto"/>
        </w:rPr>
      </w:pPr>
    </w:p>
    <w:p>
      <w:pPr>
        <w:jc w:val="both"/>
        <w:ind w:left="5"/>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183"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31, 2018.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1"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was effective as of March 31, 2018, based on the criteria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COSO.</w:t>
      </w:r>
    </w:p>
    <w:p>
      <w:pPr>
        <w:spacing w:after="0" w:line="200" w:lineRule="exact"/>
        <w:rPr>
          <w:sz w:val="20"/>
          <w:szCs w:val="20"/>
          <w:color w:val="auto"/>
        </w:rPr>
      </w:pP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5"/>
          </w:cols>
          <w:pgMar w:left="235" w:top="130" w:right="239" w:bottom="1440" w:gutter="0" w:footer="0" w:header="0"/>
        </w:sectPr>
      </w:pPr>
    </w:p>
    <w:bookmarkStart w:id="101" w:name="page102"/>
    <w:bookmarkEnd w:id="101"/>
    <w:p>
      <w:pPr>
        <w:ind w:left="5"/>
        <w:spacing w:after="0" w:line="277" w:lineRule="auto"/>
        <w:rPr>
          <w:sz w:val="20"/>
          <w:szCs w:val="20"/>
          <w:color w:val="auto"/>
        </w:rPr>
      </w:pPr>
      <w:r>
        <w:rPr>
          <w:rFonts w:ascii="Arial" w:cs="Arial" w:eastAsia="Arial" w:hAnsi="Arial"/>
          <w:sz w:val="18"/>
          <w:szCs w:val="18"/>
          <w:color w:val="auto"/>
        </w:rPr>
        <w:t>KPMG LLP, an independent registered public accounting firm, has issued an unqualified opinion on the effectiveness of the Company’s internal control over financial reporting, which is included in this Annual Report on Form 10-K under Item 8.</w:t>
      </w:r>
    </w:p>
    <w:p>
      <w:pPr>
        <w:spacing w:after="0" w:line="170" w:lineRule="exact"/>
        <w:rPr>
          <w:sz w:val="20"/>
          <w:szCs w:val="20"/>
          <w:color w:val="auto"/>
        </w:rPr>
      </w:pPr>
    </w:p>
    <w:p>
      <w:pPr>
        <w:ind w:left="245" w:hanging="245"/>
        <w:spacing w:after="0"/>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There were no changes in our Company's internal control over financial reporting (as defined in Rules 13a-15(f) and 15d-15(f) under the Exchange Act) during the quarter ended March 31, 2018 that have materially affected, or are reasonably likely to materially affect, our internal control over financial reporting.</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 w:right="2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2018 Annual Meeting of Stockholders under the captions "Corporate Governance," "Executive Officers," "Proposal 1 - Election of Directors" and "Section 16(a) Beneficial Ownership Reporting Compliance," and the information therein is incorporated herein by reference.</w:t>
      </w:r>
    </w:p>
    <w:p>
      <w:pPr>
        <w:spacing w:after="0" w:line="181" w:lineRule="exact"/>
        <w:rPr>
          <w:sz w:val="20"/>
          <w:szCs w:val="20"/>
          <w:color w:val="auto"/>
        </w:rPr>
      </w:pPr>
    </w:p>
    <w:p>
      <w:pPr>
        <w:ind w:left="5" w:right="60"/>
        <w:spacing w:after="0" w:line="257" w:lineRule="auto"/>
        <w:rPr>
          <w:sz w:val="20"/>
          <w:szCs w:val="20"/>
          <w:color w:val="auto"/>
        </w:rPr>
      </w:pPr>
      <w:r>
        <w:rPr>
          <w:rFonts w:ascii="Arial" w:cs="Arial" w:eastAsia="Arial" w:hAnsi="Arial"/>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5" w:right="20"/>
        <w:spacing w:after="0" w:line="342" w:lineRule="auto"/>
        <w:rPr>
          <w:sz w:val="20"/>
          <w:szCs w:val="20"/>
          <w:color w:val="auto"/>
        </w:rPr>
      </w:pPr>
      <w:r>
        <w:rPr>
          <w:rFonts w:ascii="Arial" w:cs="Arial" w:eastAsia="Arial" w:hAnsi="Arial"/>
          <w:sz w:val="16"/>
          <w:szCs w:val="16"/>
          <w:color w:val="auto"/>
        </w:rPr>
        <w:t>Information required by this Item may be found in our definitive proxy statement for our 2018 Annual Meeting of Stockholders under the captions "Executive Compensation" and "Compensation Committee Interlocks and Insider Participation," and the information therein is incorporated herein by reference.</w:t>
      </w:r>
    </w:p>
    <w:p>
      <w:pPr>
        <w:spacing w:after="0" w:line="120" w:lineRule="exact"/>
        <w:rPr>
          <w:sz w:val="20"/>
          <w:szCs w:val="20"/>
          <w:color w:val="auto"/>
        </w:rPr>
      </w:pPr>
    </w:p>
    <w:p>
      <w:pPr>
        <w:ind w:left="5"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5" w:right="10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2018 Annual Meeting of Stockholders under the captions "Security Ownership of Certain Beneficial Owners and Management" and "Equity Compensation Plan Information," and the information therein is incorporated herein by reference.</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 w:right="18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2018 Annual Meeting of Stockholders under the captions "Related Person Transactions" and "Corporate Governance," and the information therein is incorporated herein by reference.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5"/>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2018 Annual Meeting of Stockholders under the captions “Proposal 3 - Ratification of Appointment of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5"/>
          </w:cols>
          <w:pgMar w:left="235" w:top="368" w:right="239" w:bottom="1440" w:gutter="0" w:footer="0" w:header="0"/>
        </w:sectPr>
      </w:pPr>
    </w:p>
    <w:bookmarkStart w:id="102" w:name="page103"/>
    <w:bookmarkEnd w:id="102"/>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Balance Sheets as of March 31, 2018 and April 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2018, 2017 and 2016.</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fiscal years 2018, 2017 and 2016.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2018, 2017 and 2016.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2018, 2017 and 2016.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8"/>
        <w:spacing w:after="0" w:line="277" w:lineRule="auto"/>
        <w:tabs>
          <w:tab w:leader="none" w:pos="7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ind w:left="340" w:right="7740" w:hanging="33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80"/>
          </w:cols>
          <w:pgMar w:left="240" w:top="121" w:right="37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219"/>
          </w:cols>
          <w:pgMar w:left="240" w:top="130"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380" w:type="dxa"/>
            <w:vAlign w:val="bottom"/>
            <w:gridSpan w:val="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8"/>
        </w:trPr>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60" w:type="dxa"/>
            <w:vAlign w:val="bottom"/>
            <w:gridSpan w:val="26"/>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252"/>
        </w:trPr>
        <w:tc>
          <w:tcPr>
            <w:tcW w:w="1380" w:type="dxa"/>
            <w:vAlign w:val="bottom"/>
            <w:gridSpan w:val="4"/>
          </w:tcPr>
          <w:p>
            <w:pPr>
              <w:ind w:left="400"/>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400" w:type="dxa"/>
            <w:vAlign w:val="bottom"/>
          </w:tcPr>
          <w:p>
            <w:pPr>
              <w:spacing w:after="0"/>
              <w:rPr>
                <w:sz w:val="16"/>
                <w:szCs w:val="16"/>
                <w:color w:val="auto"/>
              </w:rPr>
            </w:pPr>
          </w:p>
        </w:tc>
        <w:tc>
          <w:tcPr>
            <w:tcW w:w="980" w:type="dxa"/>
            <w:vAlign w:val="bottom"/>
            <w:gridSpan w:val="3"/>
          </w:tcPr>
          <w:p>
            <w:pPr>
              <w:ind w:left="100"/>
              <w:spacing w:after="0" w:line="174" w:lineRule="exact"/>
              <w:rPr>
                <w:sz w:val="20"/>
                <w:szCs w:val="20"/>
                <w:color w:val="auto"/>
              </w:rPr>
            </w:pPr>
            <w:r>
              <w:rPr>
                <w:rFonts w:ascii="Arial" w:cs="Arial" w:eastAsia="Arial" w:hAnsi="Arial"/>
                <w:sz w:val="18"/>
                <w:szCs w:val="18"/>
                <w:b w:val="1"/>
                <w:bCs w:val="1"/>
                <w:color w:val="auto"/>
              </w:rPr>
              <w:t>No.</w:t>
            </w:r>
          </w:p>
        </w:tc>
        <w:tc>
          <w:tcPr>
            <w:tcW w:w="9620" w:type="dxa"/>
            <w:vAlign w:val="bottom"/>
            <w:gridSpan w:val="35"/>
          </w:tcPr>
          <w:p>
            <w:pPr>
              <w:spacing w:after="0" w:line="174"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7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560" w:type="dxa"/>
            <w:vAlign w:val="bottom"/>
            <w:tcBorders>
              <w:bottom w:val="single" w:sz="8" w:color="0000FF"/>
            </w:tcBorders>
            <w:gridSpan w:val="32"/>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Agreement and Plan of Merger and Reorganization dated February 22, 2014, by and among TriQuint Semiconductor, Inc., RF Micro</w:t>
              </w:r>
            </w:hyperlink>
          </w:p>
        </w:tc>
        <w:tc>
          <w:tcPr>
            <w:tcW w:w="60" w:type="dxa"/>
            <w:vAlign w:val="bottom"/>
            <w:gridSpan w:val="3"/>
          </w:tcPr>
          <w:p>
            <w:pPr>
              <w:spacing w:after="0"/>
              <w:rPr>
                <w:sz w:val="22"/>
                <w:szCs w:val="22"/>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Devices, Inc. and Rocky Holding, Inc. (incorporated by reference to Exhibit 2.1 to Amendment No. 3 to the Company’s Registration</w:t>
              </w:r>
            </w:hyperlink>
          </w:p>
        </w:tc>
        <w:tc>
          <w:tcPr>
            <w:tcW w:w="60" w:type="dxa"/>
            <w:vAlign w:val="bottom"/>
            <w:gridSpan w:val="3"/>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5"/>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Statement on Form S-4 filed with the SEC on July 21, 2014 (File No. 333-195236))</w:t>
              </w:r>
            </w:hyperlink>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80" w:type="dxa"/>
            <w:vAlign w:val="bottom"/>
            <w:tcBorders>
              <w:bottom w:val="single" w:sz="8" w:color="0000FF"/>
            </w:tcBorders>
            <w:gridSpan w:val="33"/>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First Amendment to Agreement and Plan of Merger and Reorganization, dated July 15, 2014, by and among RF Micro Devices, Inc.,</w:t>
              </w:r>
            </w:hyperlink>
          </w:p>
        </w:tc>
        <w:tc>
          <w:tcPr>
            <w:tcW w:w="40" w:type="dxa"/>
            <w:vAlign w:val="bottom"/>
            <w:gridSpan w:val="2"/>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TriQuint Semiconductor, Inc. and Rocky Holding, Inc. (incorporated by reference to Exhibit 2.2 to Amendment No. 3 to the</w:t>
              </w:r>
            </w:hyperlink>
          </w:p>
        </w:tc>
        <w:tc>
          <w:tcPr>
            <w:tcW w:w="680" w:type="dxa"/>
            <w:vAlign w:val="bottom"/>
            <w:gridSpan w:val="15"/>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Company’s Registration Statement on Form S-4 filed with the SEC on July 21, 2014 (File No. 333-195236))</w:t>
              </w:r>
            </w:hyperlink>
          </w:p>
        </w:tc>
        <w:tc>
          <w:tcPr>
            <w:tcW w:w="1800" w:type="dxa"/>
            <w:vAlign w:val="bottom"/>
            <w:gridSpan w:val="20"/>
          </w:tcPr>
          <w:p>
            <w:pPr>
              <w:spacing w:after="0"/>
              <w:rPr>
                <w:sz w:val="17"/>
                <w:szCs w:val="17"/>
                <w:color w:val="auto"/>
              </w:rPr>
            </w:pPr>
          </w:p>
        </w:tc>
      </w:tr>
      <w:tr>
        <w:trPr>
          <w:trHeight w:val="264"/>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20" w:type="dxa"/>
            <w:vAlign w:val="bottom"/>
            <w:gridSpan w:val="35"/>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Contingent Acquisition Implementation Deed by and among TriQuint Semiconductor, Inc., Cavendish Kinetics Limited and Certain</w:t>
              </w:r>
            </w:hyperlink>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Cavendish Shareholders, dated as of August 4, 2015 (incorporated by reference to Exhibit 2.1 to the Company's Quarterly Report on</w:t>
              </w:r>
            </w:hyperlink>
          </w:p>
        </w:tc>
        <w:tc>
          <w:tcPr>
            <w:tcW w:w="80" w:type="dxa"/>
            <w:vAlign w:val="bottom"/>
            <w:gridSpan w:val="4"/>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Form 10-Q/A filed with the SEC on April 26, 2016)+</w:t>
              </w:r>
            </w:hyperlink>
          </w:p>
        </w:tc>
        <w:tc>
          <w:tcPr>
            <w:tcW w:w="5760" w:type="dxa"/>
            <w:vAlign w:val="bottom"/>
            <w:gridSpan w:val="26"/>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40" w:type="dxa"/>
            <w:vAlign w:val="bottom"/>
            <w:tcBorders>
              <w:bottom w:val="single" w:sz="8" w:color="0000FF"/>
            </w:tcBorders>
            <w:gridSpan w:val="29"/>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Deed of Amendment relating to the Contingent Acquisition Implementation Deed between Qorvo US, Inc. and Cavendish Kinetics</w:t>
              </w:r>
            </w:hyperlink>
          </w:p>
        </w:tc>
        <w:tc>
          <w:tcPr>
            <w:tcW w:w="180" w:type="dxa"/>
            <w:vAlign w:val="bottom"/>
            <w:gridSpan w:val="6"/>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Limited, dated July 31, 2017 (incorporated by reference to Exhibit 2.1 to the Company’s Quarterly Report on Form 10-Q filed with</w:t>
              </w:r>
            </w:hyperlink>
          </w:p>
        </w:tc>
        <w:tc>
          <w:tcPr>
            <w:tcW w:w="120" w:type="dxa"/>
            <w:vAlign w:val="bottom"/>
            <w:gridSpan w:val="5"/>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the SEC on November 3, 2017)+</w:t>
              </w:r>
            </w:hyperlink>
          </w:p>
        </w:tc>
        <w:tc>
          <w:tcPr>
            <w:tcW w:w="7240" w:type="dxa"/>
            <w:vAlign w:val="bottom"/>
            <w:gridSpan w:val="28"/>
          </w:tcPr>
          <w:p>
            <w:pPr>
              <w:spacing w:after="0"/>
              <w:rPr>
                <w:sz w:val="17"/>
                <w:szCs w:val="17"/>
                <w:color w:val="auto"/>
              </w:rPr>
            </w:pPr>
          </w:p>
        </w:tc>
      </w:tr>
      <w:tr>
        <w:trPr>
          <w:trHeight w:val="48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20" w:type="dxa"/>
            <w:vAlign w:val="bottom"/>
            <w:gridSpan w:val="35"/>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Amended and Restated Certificate of Incorporation of Qorvo, Inc., as amended (incorporated by reference to Exhibit 3.1 to the</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Company’s Quarterly Report on Form 10-Q filed with the SEC on February 3, 2015)</w:t>
              </w:r>
            </w:hyperlink>
          </w:p>
        </w:tc>
        <w:tc>
          <w:tcPr>
            <w:tcW w:w="500" w:type="dxa"/>
            <w:vAlign w:val="bottom"/>
            <w:gridSpan w:val="12"/>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20" w:type="dxa"/>
            <w:vAlign w:val="bottom"/>
            <w:gridSpan w:val="35"/>
          </w:tcPr>
          <w:p>
            <w:pPr>
              <w:spacing w:after="0"/>
              <w:rPr>
                <w:rFonts w:ascii="Arial" w:cs="Arial" w:eastAsia="Arial" w:hAnsi="Arial"/>
                <w:sz w:val="18"/>
                <w:szCs w:val="18"/>
                <w:color w:val="0000FF"/>
                <w:w w:val="98"/>
              </w:rPr>
            </w:pPr>
            <w:hyperlink r:id="rId51">
              <w:r>
                <w:rPr>
                  <w:rFonts w:ascii="Arial" w:cs="Arial" w:eastAsia="Arial" w:hAnsi="Arial"/>
                  <w:sz w:val="18"/>
                  <w:szCs w:val="18"/>
                  <w:color w:val="0000FF"/>
                  <w:w w:val="98"/>
                </w:rPr>
                <w:t>Amended and Restated Bylaws of Qorvo, Inc., effective as of May 13, 2016 (incorporated by reference to Exhibit 3.1 to the</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Company's Current Report on Form 8-K filed with the SEC on May 19, 2016)</w:t>
              </w:r>
            </w:hyperlink>
          </w:p>
        </w:tc>
        <w:tc>
          <w:tcPr>
            <w:tcW w:w="3260" w:type="dxa"/>
            <w:vAlign w:val="bottom"/>
            <w:tcBorders>
              <w:top w:val="single" w:sz="8" w:color="0000FF"/>
            </w:tcBorders>
            <w:gridSpan w:val="9"/>
          </w:tcPr>
          <w:p>
            <w:pPr>
              <w:spacing w:after="0"/>
              <w:rPr>
                <w:sz w:val="17"/>
                <w:szCs w:val="17"/>
                <w:color w:val="auto"/>
              </w:rPr>
            </w:pPr>
          </w:p>
        </w:tc>
        <w:tc>
          <w:tcPr>
            <w:tcW w:w="720" w:type="dxa"/>
            <w:vAlign w:val="bottom"/>
            <w:gridSpan w:val="16"/>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60" w:type="dxa"/>
            <w:vAlign w:val="bottom"/>
            <w:tcBorders>
              <w:bottom w:val="single" w:sz="8" w:color="0000FF"/>
            </w:tcBorders>
            <w:gridSpan w:val="32"/>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Specimen Certificate of Common Stock of Qorvo, Inc. (incorporated by reference to Exhibit 4.1 to the Company's Annual Report on</w:t>
              </w:r>
            </w:hyperlink>
          </w:p>
        </w:tc>
        <w:tc>
          <w:tcPr>
            <w:tcW w:w="60" w:type="dxa"/>
            <w:vAlign w:val="bottom"/>
            <w:gridSpan w:val="3"/>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Form 10-K filed with the SEC on May 27, 2015)</w:t>
              </w:r>
            </w:hyperlink>
          </w:p>
        </w:tc>
        <w:tc>
          <w:tcPr>
            <w:tcW w:w="6100" w:type="dxa"/>
            <w:vAlign w:val="bottom"/>
            <w:gridSpan w:val="27"/>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80" w:type="dxa"/>
            <w:vAlign w:val="bottom"/>
            <w:tcBorders>
              <w:bottom w:val="single" w:sz="8" w:color="0000FF"/>
            </w:tcBorders>
            <w:gridSpan w:val="2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Indenture, dated as of November 19, 2015, among Qorvo, Inc., the Guarantors party thereto and MUFG Union Bank, N.A., as</w:t>
              </w:r>
            </w:hyperlink>
          </w:p>
        </w:tc>
        <w:tc>
          <w:tcPr>
            <w:tcW w:w="540" w:type="dxa"/>
            <w:vAlign w:val="bottom"/>
            <w:gridSpan w:val="13"/>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5"/>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Trustee (incorporated by reference to Exhibit 4.1 to the Company's Current Report on Form 8-K filed with the SEC on November 19,</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3">
              <w:r>
                <w:rPr>
                  <w:rFonts w:ascii="Arial" w:cs="Arial" w:eastAsia="Arial" w:hAnsi="Arial"/>
                  <w:sz w:val="18"/>
                  <w:szCs w:val="18"/>
                  <w:color w:val="0000FF"/>
                  <w:w w:val="86"/>
                </w:rPr>
                <w:t>2015)</w:t>
              </w:r>
            </w:hyperlink>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80" w:type="dxa"/>
            <w:vAlign w:val="bottom"/>
            <w:tcBorders>
              <w:bottom w:val="single" w:sz="8" w:color="0000FF"/>
            </w:tcBorders>
            <w:gridSpan w:val="2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Qorvo, Inc. 2007 Employee Stock Purchase Plan (As Assumed and Amended by Qorvo, Inc., and as further amended, effective</w:t>
              </w:r>
            </w:hyperlink>
          </w:p>
        </w:tc>
        <w:tc>
          <w:tcPr>
            <w:tcW w:w="440" w:type="dxa"/>
            <w:vAlign w:val="bottom"/>
            <w:gridSpan w:val="11"/>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5"/>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February 8, 2017)(incorporated by reference to Exhibit 10.1 to the Company's Annual Report on Form 10-K filed with the SEC on</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May 23, 2017)*</w:t>
              </w:r>
            </w:hyperlink>
          </w:p>
        </w:tc>
        <w:tc>
          <w:tcPr>
            <w:tcW w:w="8240" w:type="dxa"/>
            <w:vAlign w:val="bottom"/>
            <w:tcBorders>
              <w:top w:val="single" w:sz="8" w:color="0000FF"/>
            </w:tcBorders>
            <w:gridSpan w:val="23"/>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60" w:type="dxa"/>
            <w:vAlign w:val="bottom"/>
            <w:tcBorders>
              <w:bottom w:val="single" w:sz="8" w:color="0000FF"/>
            </w:tcBorders>
            <w:gridSpan w:val="21"/>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Qorvo, Inc. 2013 Incentive Plan (As Assumed and Amended by Qorvo, Inc.) (incorporated by reference to Exhibit 99.2 to the</w:t>
              </w:r>
            </w:hyperlink>
          </w:p>
        </w:tc>
        <w:tc>
          <w:tcPr>
            <w:tcW w:w="560" w:type="dxa"/>
            <w:vAlign w:val="bottom"/>
            <w:gridSpan w:val="14"/>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Company’s Registration Statement on Form S-8 filed with the SEC on January 5, 2015 (File No. 333-201357))*</w:t>
              </w:r>
            </w:hyperlink>
          </w:p>
        </w:tc>
        <w:tc>
          <w:tcPr>
            <w:tcW w:w="1540" w:type="dxa"/>
            <w:vAlign w:val="bottom"/>
            <w:gridSpan w:val="19"/>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10.3</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80" w:type="dxa"/>
            <w:vAlign w:val="bottom"/>
            <w:tcBorders>
              <w:bottom w:val="single" w:sz="8" w:color="0000FF"/>
            </w:tcBorders>
            <w:gridSpan w:val="1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Qorvo, Inc. 2012 Incentive Plan (As Assumed by Qorvo, Inc.) (incorporated by reference to Exhibit 99.3 to the Company’s</w:t>
              </w:r>
            </w:hyperlink>
          </w:p>
        </w:tc>
        <w:tc>
          <w:tcPr>
            <w:tcW w:w="740" w:type="dxa"/>
            <w:vAlign w:val="bottom"/>
            <w:gridSpan w:val="17"/>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Registration Statement on Form S-8 filed with the SEC on January 5, 2015 (File No. 333-201357))*</w:t>
              </w:r>
            </w:hyperlink>
          </w:p>
        </w:tc>
        <w:tc>
          <w:tcPr>
            <w:tcW w:w="2400" w:type="dxa"/>
            <w:vAlign w:val="bottom"/>
            <w:gridSpan w:val="22"/>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10.4</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80" w:type="dxa"/>
            <w:vAlign w:val="bottom"/>
            <w:tcBorders>
              <w:bottom w:val="single" w:sz="8" w:color="0000FF"/>
            </w:tcBorders>
            <w:gridSpan w:val="18"/>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Qorvo, Inc. 2009 Incentive Plan (As Assumed by Qorvo, Inc.) (incorporated by reference to Exhibit 99.4 to the Company’s</w:t>
              </w:r>
            </w:hyperlink>
          </w:p>
        </w:tc>
        <w:tc>
          <w:tcPr>
            <w:tcW w:w="740" w:type="dxa"/>
            <w:vAlign w:val="bottom"/>
            <w:gridSpan w:val="17"/>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Registration Statement on Form S-8 filed with the SEC on January 5, 2015 (File No. 333-201357))*</w:t>
              </w:r>
            </w:hyperlink>
          </w:p>
        </w:tc>
        <w:tc>
          <w:tcPr>
            <w:tcW w:w="2380" w:type="dxa"/>
            <w:vAlign w:val="bottom"/>
            <w:gridSpan w:val="21"/>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360" w:type="dxa"/>
            <w:vAlign w:val="bottom"/>
            <w:tcBorders>
              <w:bottom w:val="single" w:sz="8" w:color="0000FF"/>
            </w:tcBorders>
            <w:gridSpan w:val="26"/>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Qorvo, Inc. 2008 Inducement Program (As Assumed by Qorvo, Inc.) (incorporated by reference to Exhibit 99.5 to the Company’s</w:t>
              </w:r>
            </w:hyperlink>
          </w:p>
        </w:tc>
        <w:tc>
          <w:tcPr>
            <w:tcW w:w="260" w:type="dxa"/>
            <w:vAlign w:val="bottom"/>
            <w:gridSpan w:val="9"/>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Registration Statement on Form S-8 filed with the SEC on January 5, 2015 (File No. 333-201357))*</w:t>
              </w:r>
            </w:hyperlink>
          </w:p>
        </w:tc>
        <w:tc>
          <w:tcPr>
            <w:tcW w:w="2400" w:type="dxa"/>
            <w:vAlign w:val="bottom"/>
            <w:gridSpan w:val="22"/>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10.6</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20" w:type="dxa"/>
            <w:vAlign w:val="bottom"/>
            <w:tcBorders>
              <w:bottom w:val="single" w:sz="8" w:color="0000FF"/>
            </w:tcBorders>
            <w:gridSpan w:val="35"/>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Qorvo, Inc. 1996 Stock Incentive Program (As Assumed by Qorvo, Inc.) (incorporated by reference to Exhibit 99.6 to the Company’s</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Registration Statement on Form S-8 filed with the SEC on January 5, 2015 (File No. 333-201357))*</w:t>
              </w:r>
            </w:hyperlink>
          </w:p>
        </w:tc>
        <w:tc>
          <w:tcPr>
            <w:tcW w:w="2380" w:type="dxa"/>
            <w:vAlign w:val="bottom"/>
            <w:gridSpan w:val="21"/>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20" w:type="dxa"/>
            <w:vAlign w:val="bottom"/>
            <w:gridSpan w:val="35"/>
          </w:tcPr>
          <w:p>
            <w:pPr>
              <w:spacing w:after="0"/>
              <w:rPr>
                <w:rFonts w:ascii="Arial" w:cs="Arial" w:eastAsia="Arial" w:hAnsi="Arial"/>
                <w:sz w:val="18"/>
                <w:szCs w:val="18"/>
                <w:color w:val="0000FF"/>
                <w:w w:val="98"/>
              </w:rPr>
            </w:pPr>
            <w:hyperlink r:id="rId60">
              <w:r>
                <w:rPr>
                  <w:rFonts w:ascii="Arial" w:cs="Arial" w:eastAsia="Arial" w:hAnsi="Arial"/>
                  <w:sz w:val="18"/>
                  <w:szCs w:val="18"/>
                  <w:color w:val="0000FF"/>
                  <w:w w:val="98"/>
                </w:rPr>
                <w:t>Qorvo, Inc. 2012 Stock Incentive Plan (As Assumed by Qorvo, Inc. and Amended and Restated Effective January 1, 2015)</w:t>
              </w:r>
            </w:hyperlink>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60" w:type="dxa"/>
            <w:vAlign w:val="bottom"/>
            <w:gridSpan w:val="11"/>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(incorporated by reference to Exhibit 99.1 to the Company’s Registration Statement on Form S-8 filed with the SEC on January 5,</w:t>
              </w:r>
            </w:hyperlink>
          </w:p>
        </w:tc>
        <w:tc>
          <w:tcPr>
            <w:tcW w:w="240" w:type="dxa"/>
            <w:vAlign w:val="bottom"/>
            <w:gridSpan w:val="8"/>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2015 (File No. 333-201358))*</w:t>
              </w:r>
            </w:hyperlink>
          </w:p>
        </w:tc>
        <w:tc>
          <w:tcPr>
            <w:tcW w:w="7440" w:type="dxa"/>
            <w:vAlign w:val="bottom"/>
            <w:gridSpan w:val="29"/>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10.8</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320" w:type="dxa"/>
            <w:vAlign w:val="bottom"/>
            <w:tcBorders>
              <w:bottom w:val="single" w:sz="8" w:color="0000FF"/>
            </w:tcBorders>
            <w:gridSpan w:val="25"/>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2003 Stock Incentive Plan of Qorvo, Inc. (As Assumed and Amended by Qorvo, Inc. Effective January 1, 2015) (incorporated by</w:t>
              </w:r>
            </w:hyperlink>
          </w:p>
        </w:tc>
        <w:tc>
          <w:tcPr>
            <w:tcW w:w="300" w:type="dxa"/>
            <w:vAlign w:val="bottom"/>
            <w:gridSpan w:val="10"/>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reference to Exhibit 99.2 to the Company’s Registration Statement on Form S-8 filed with the SEC on January 5, 2015 (File No. 333-</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201358)</w:t>
              </w:r>
              <w:r>
                <w:rPr>
                  <w:rFonts w:ascii="Arial" w:cs="Arial" w:eastAsia="Arial" w:hAnsi="Arial"/>
                  <w:sz w:val="18"/>
                  <w:szCs w:val="18"/>
                  <w:u w:val="single" w:color="auto"/>
                  <w:color w:val="0000FF"/>
                  <w:w w:val="91"/>
                </w:rPr>
                <w:t>)*</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10.9</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40" w:type="dxa"/>
            <w:vAlign w:val="bottom"/>
            <w:tcBorders>
              <w:bottom w:val="single" w:sz="8" w:color="0000FF"/>
            </w:tcBorders>
            <w:gridSpan w:val="29"/>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Qorvo, Inc. 2006 Directors Stock Option Plan (As Assumed by Qorvo, Inc. and Amended Effective January 1, 2015) (incorporated</w:t>
              </w:r>
            </w:hyperlink>
          </w:p>
        </w:tc>
        <w:tc>
          <w:tcPr>
            <w:tcW w:w="180" w:type="dxa"/>
            <w:vAlign w:val="bottom"/>
            <w:gridSpan w:val="6"/>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5"/>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by reference to Exhibit 99.3 to the Company’s Registration Statement on Form S-8 filed with the SEC on January 5, 2015 (File No.</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333-201358))*</w:t>
              </w:r>
            </w:hyperlink>
          </w:p>
        </w:tc>
        <w:tc>
          <w:tcPr>
            <w:tcW w:w="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40" w:type="dxa"/>
            <w:vAlign w:val="bottom"/>
            <w:gridSpan w:val="10"/>
          </w:tcPr>
          <w:p>
            <w:pPr>
              <w:ind w:left="420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00"/>
          </w:cols>
          <w:pgMar w:left="240" w:top="118" w:right="65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1380" w:right="2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63">
        <w:r>
          <w:rPr>
            <w:rFonts w:ascii="Arial" w:cs="Arial" w:eastAsia="Arial" w:hAnsi="Arial"/>
            <w:sz w:val="18"/>
            <w:szCs w:val="18"/>
            <w:u w:val="single" w:color="auto"/>
            <w:color w:val="0000FF"/>
          </w:rPr>
          <w:t>Nonemployee Directors’ Stock Option Plan of Qorvo, Inc. (As Assumed by Qorvo, Inc. and Amended Effective January 1, 2015)</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(incorporated by reference to Exhibit 99.4 to the Company’s Registration Statement on Form S-8 filed with the SEC on January 5,</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2015 (File No. 333-201358))*</w:t>
        </w:r>
      </w:hyperlink>
    </w:p>
    <w:p>
      <w:pPr>
        <w:spacing w:after="0" w:line="19" w:lineRule="exact"/>
        <w:rPr>
          <w:rFonts w:ascii="Arial" w:cs="Arial" w:eastAsia="Arial" w:hAnsi="Arial"/>
          <w:sz w:val="18"/>
          <w:szCs w:val="18"/>
          <w:u w:val="single" w:color="auto"/>
          <w:color w:val="0000FF"/>
        </w:rPr>
      </w:pPr>
    </w:p>
    <w:p>
      <w:pPr>
        <w:ind w:left="1380" w:right="38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64">
        <w:r>
          <w:rPr>
            <w:rFonts w:ascii="Arial" w:cs="Arial" w:eastAsia="Arial" w:hAnsi="Arial"/>
            <w:sz w:val="18"/>
            <w:szCs w:val="18"/>
            <w:u w:val="single" w:color="auto"/>
            <w:color w:val="0000FF"/>
          </w:rPr>
          <w:t>Qorvo, Inc. 2015 Inducement Stock Plan (incorporated by reference to Exhibit 99.5 to the Company’s Registration Statement on</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Form S-8 filed with the SEC on January 5, 2015 (File No. 333-201358))*</w:t>
        </w:r>
      </w:hyperlink>
    </w:p>
    <w:p>
      <w:pPr>
        <w:spacing w:after="0" w:line="8" w:lineRule="exact"/>
        <w:rPr>
          <w:sz w:val="20"/>
          <w:szCs w:val="20"/>
          <w:color w:val="auto"/>
        </w:rPr>
      </w:pPr>
    </w:p>
    <w:p>
      <w:pPr>
        <w:ind w:left="1380" w:right="38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65">
        <w:r>
          <w:rPr>
            <w:rFonts w:ascii="Arial" w:cs="Arial" w:eastAsia="Arial" w:hAnsi="Arial"/>
            <w:sz w:val="18"/>
            <w:szCs w:val="18"/>
            <w:u w:val="single" w:color="auto"/>
            <w:color w:val="0000FF"/>
          </w:rPr>
          <w:t>Qorvo, Inc. Form of Indemnification Agreement (incorporated by reference to Exhibit 10.1 to the Company’s Current Report 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Form 8-K filed with the SEC on January 5, 2015)*</w:t>
        </w:r>
      </w:hyperlink>
    </w:p>
    <w:p>
      <w:pPr>
        <w:spacing w:after="0" w:line="8" w:lineRule="exact"/>
        <w:rPr>
          <w:sz w:val="20"/>
          <w:szCs w:val="20"/>
          <w:color w:val="auto"/>
        </w:rPr>
      </w:pPr>
    </w:p>
    <w:p>
      <w:pPr>
        <w:ind w:left="1380" w:right="20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66">
        <w:r>
          <w:rPr>
            <w:rFonts w:ascii="Arial" w:cs="Arial" w:eastAsia="Arial" w:hAnsi="Arial"/>
            <w:sz w:val="18"/>
            <w:szCs w:val="18"/>
            <w:u w:val="single" w:color="auto"/>
            <w:color w:val="0000FF"/>
          </w:rPr>
          <w:t>Qorvo, Inc. Form of Change in Control Agreement (incorporated by reference to Exhibit 10.1 to the Company’s Current Report on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Form 8-K filed with the SEC on February 10, 2015)*</w:t>
        </w:r>
      </w:hyperlink>
    </w:p>
    <w:p>
      <w:pPr>
        <w:spacing w:after="0" w:line="8" w:lineRule="exact"/>
        <w:rPr>
          <w:sz w:val="20"/>
          <w:szCs w:val="20"/>
          <w:color w:val="auto"/>
        </w:rPr>
      </w:pPr>
    </w:p>
    <w:p>
      <w:pPr>
        <w:ind w:left="1380" w:right="2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67">
        <w:r>
          <w:rPr>
            <w:rFonts w:ascii="Arial" w:cs="Arial" w:eastAsia="Arial" w:hAnsi="Arial"/>
            <w:sz w:val="18"/>
            <w:szCs w:val="18"/>
            <w:u w:val="single" w:color="auto"/>
            <w:color w:val="0000FF"/>
          </w:rPr>
          <w:t>Qorvo, Inc. Director Compensation Program, effective January 1, 2015 (incorporated by reference to Exhibit 10.14 to the Company’s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Annual Report on Form 10-K filed with the SEC on May 27, 2015)*</w:t>
        </w:r>
      </w:hyperlink>
    </w:p>
    <w:p>
      <w:pPr>
        <w:spacing w:after="0" w:line="8" w:lineRule="exact"/>
        <w:rPr>
          <w:sz w:val="20"/>
          <w:szCs w:val="20"/>
          <w:color w:val="auto"/>
        </w:rPr>
      </w:pPr>
    </w:p>
    <w:p>
      <w:pPr>
        <w:ind w:left="1380" w:right="200" w:hanging="971"/>
        <w:spacing w:after="0" w:line="317"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68">
        <w:r>
          <w:rPr>
            <w:rFonts w:ascii="Arial" w:cs="Arial" w:eastAsia="Arial" w:hAnsi="Arial"/>
            <w:sz w:val="16"/>
            <w:szCs w:val="16"/>
            <w:u w:val="single" w:color="auto"/>
            <w:color w:val="0000FF"/>
          </w:rPr>
          <w:t>Qorvo, Inc. Nonqualified Deferred Compensation Plan (As Assumed and Amended and Restated Effective January 1, 2015)</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(incorporated by reference to Exhibit 10.15 to the Company’s Annual Report on Form 10-K filed with the SEC on May 27, 2015)*</w:t>
        </w:r>
      </w:hyperlink>
    </w:p>
    <w:p>
      <w:pPr>
        <w:ind w:left="1380" w:right="40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69">
        <w:r>
          <w:rPr>
            <w:rFonts w:ascii="Arial" w:cs="Arial" w:eastAsia="Arial" w:hAnsi="Arial"/>
            <w:sz w:val="18"/>
            <w:szCs w:val="18"/>
            <w:u w:val="single" w:color="auto"/>
            <w:color w:val="0000FF"/>
          </w:rPr>
          <w:t>Qorvo, Inc. Cash Bonus Plan (As Assumed and Amended and Restated Effective January 1, 2015) (incorporated by reference to</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Exhibit 10.16 to the Company’s Annual Report on Form 10-K filed with the SEC on May 27, 2015)*</w:t>
        </w:r>
      </w:hyperlink>
    </w:p>
    <w:p>
      <w:pPr>
        <w:spacing w:after="0" w:line="8" w:lineRule="exact"/>
        <w:rPr>
          <w:sz w:val="20"/>
          <w:szCs w:val="20"/>
          <w:color w:val="auto"/>
        </w:rPr>
      </w:pPr>
    </w:p>
    <w:p>
      <w:pPr>
        <w:jc w:val="both"/>
        <w:ind w:left="138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70">
        <w:r>
          <w:rPr>
            <w:rFonts w:ascii="Arial" w:cs="Arial" w:eastAsia="Arial" w:hAnsi="Arial"/>
            <w:sz w:val="18"/>
            <w:szCs w:val="18"/>
            <w:u w:val="single" w:color="auto"/>
            <w:color w:val="0000FF"/>
          </w:rPr>
          <w:t>Employment Agreement, dated as of November 12, 2008, between RF Micro Devices, Inc. and Robert A. Bruggeworth (As Assumed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by Qorvo, Inc.) (incorporated by reference to Exhibit 10.1 to RFMD’s Current Report on Form 8-K filed with the SEC on November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14, 2008 (File No. 000-22511))*</w:t>
        </w:r>
      </w:hyperlink>
    </w:p>
    <w:p>
      <w:pPr>
        <w:spacing w:after="0" w:line="19" w:lineRule="exact"/>
        <w:rPr>
          <w:rFonts w:ascii="Arial" w:cs="Arial" w:eastAsia="Arial" w:hAnsi="Arial"/>
          <w:sz w:val="18"/>
          <w:szCs w:val="18"/>
          <w:u w:val="single" w:color="auto"/>
          <w:color w:val="0000FF"/>
        </w:rPr>
      </w:pPr>
    </w:p>
    <w:p>
      <w:pPr>
        <w:ind w:left="1380" w:right="760" w:hanging="971"/>
        <w:spacing w:after="0" w:line="317"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71">
        <w:r>
          <w:rPr>
            <w:rFonts w:ascii="Arial" w:cs="Arial" w:eastAsia="Arial" w:hAnsi="Arial"/>
            <w:sz w:val="16"/>
            <w:szCs w:val="16"/>
            <w:u w:val="single" w:color="auto"/>
            <w:color w:val="0000FF"/>
          </w:rPr>
          <w:t>Wafer Supply Agreement, dated June 9, 2012, between RF Micro Devices, Inc. and IQE, Inc. (incorporated by reference to</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Exhibit 10.1 to RFMD’s Quarterly Report on Form 10-Q/A filed with the SEC on January 3, 2013 (File No. 000-22511))</w:t>
        </w:r>
      </w:hyperlink>
    </w:p>
    <w:p>
      <w:pPr>
        <w:ind w:left="1380" w:right="300" w:hanging="971"/>
        <w:spacing w:after="0" w:line="286"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10.19</w:t>
      </w:r>
      <w:r>
        <w:rPr>
          <w:sz w:val="20"/>
          <w:szCs w:val="20"/>
          <w:color w:val="auto"/>
        </w:rPr>
        <w:tab/>
      </w:r>
      <w:hyperlink r:id="rId72">
        <w:r>
          <w:rPr>
            <w:rFonts w:ascii="Arial" w:cs="Arial" w:eastAsia="Arial" w:hAnsi="Arial"/>
            <w:sz w:val="17"/>
            <w:szCs w:val="17"/>
            <w:u w:val="single" w:color="auto"/>
            <w:color w:val="0000FF"/>
          </w:rPr>
          <w:t>Credit Agreement, dated as of April 7, 2015, by and between Qorvo, Inc., certain of its material domestic subsidiaries, Bank of</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America, N.A., as administrative agent, swing line lender and L/C issuer, and a syndicate of lenders (incorporated by reference to</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Exhibit 10.1 to the Company’s Current Report on Form 8-K filed with the SEC on April 9, 2015)</w:t>
        </w:r>
      </w:hyperlink>
    </w:p>
    <w:p>
      <w:pPr>
        <w:spacing w:after="0" w:line="3" w:lineRule="exact"/>
        <w:rPr>
          <w:rFonts w:ascii="Arial" w:cs="Arial" w:eastAsia="Arial" w:hAnsi="Arial"/>
          <w:sz w:val="17"/>
          <w:szCs w:val="17"/>
          <w:u w:val="single" w:color="auto"/>
          <w:color w:val="0000FF"/>
        </w:rPr>
      </w:pPr>
    </w:p>
    <w:p>
      <w:pPr>
        <w:ind w:left="1380" w:right="540" w:hanging="971"/>
        <w:spacing w:after="0" w:line="305"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73">
        <w:r>
          <w:rPr>
            <w:rFonts w:ascii="Arial" w:cs="Arial" w:eastAsia="Arial" w:hAnsi="Arial"/>
            <w:sz w:val="16"/>
            <w:szCs w:val="16"/>
            <w:u w:val="single" w:color="auto"/>
            <w:color w:val="0000FF"/>
          </w:rPr>
          <w:t>First Amendment to Credit Agreement, dated as of June 5, 2015, by and between Qorvo, Inc., certain of its material domestic</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subsidiaries, Bank of America, N.A., as administrative agent, swing line lender and L/C issuer, and a syndicate of lenders</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(incorporated by reference to Exhibit 10.1 to the Company’s Current Report on Form 8-K filed with the SEC on June 5, 2015)</w:t>
        </w:r>
      </w:hyperlink>
    </w:p>
    <w:p>
      <w:pPr>
        <w:spacing w:after="0" w:line="1" w:lineRule="exact"/>
        <w:rPr>
          <w:rFonts w:ascii="Arial" w:cs="Arial" w:eastAsia="Arial" w:hAnsi="Arial"/>
          <w:sz w:val="16"/>
          <w:szCs w:val="16"/>
          <w:u w:val="single" w:color="auto"/>
          <w:color w:val="0000FF"/>
        </w:rPr>
      </w:pPr>
    </w:p>
    <w:p>
      <w:pPr>
        <w:ind w:left="1380" w:right="4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74">
        <w:r>
          <w:rPr>
            <w:rFonts w:ascii="Arial" w:cs="Arial" w:eastAsia="Arial" w:hAnsi="Arial"/>
            <w:sz w:val="18"/>
            <w:szCs w:val="18"/>
            <w:u w:val="single" w:color="auto"/>
            <w:color w:val="0000FF"/>
          </w:rPr>
          <w:t>Form of Stock Option Agreement (Senior Officers) pursuant to the Qorvo, Inc. 2012 Stock Incentive Plan (incorporated by reference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to Exhibit 10.3 to the Company’s Quarterly Report on Form 10-Q filed with the SEC on August 5, 2015)*</w:t>
        </w:r>
      </w:hyperlink>
    </w:p>
    <w:p>
      <w:pPr>
        <w:spacing w:after="0" w:line="8" w:lineRule="exact"/>
        <w:rPr>
          <w:sz w:val="20"/>
          <w:szCs w:val="20"/>
          <w:color w:val="auto"/>
        </w:rPr>
      </w:pPr>
    </w:p>
    <w:p>
      <w:pPr>
        <w:ind w:left="1380" w:right="2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75">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Incentive Plan (incorporated by reference to Exhibit 10.4 to the Company’s Quarterly Report on Form 10-Q filed with the SEC on</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August 5, 2015)*</w:t>
        </w:r>
      </w:hyperlink>
    </w:p>
    <w:p>
      <w:pPr>
        <w:spacing w:after="0" w:line="19" w:lineRule="exact"/>
        <w:rPr>
          <w:rFonts w:ascii="Arial" w:cs="Arial" w:eastAsia="Arial" w:hAnsi="Arial"/>
          <w:sz w:val="18"/>
          <w:szCs w:val="18"/>
          <w:u w:val="single" w:color="auto"/>
          <w:color w:val="0000FF"/>
        </w:rPr>
      </w:pPr>
    </w:p>
    <w:p>
      <w:pPr>
        <w:ind w:left="1380" w:right="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76">
        <w:r>
          <w:rPr>
            <w:rFonts w:ascii="Arial" w:cs="Arial" w:eastAsia="Arial" w:hAnsi="Arial"/>
            <w:sz w:val="18"/>
            <w:szCs w:val="18"/>
            <w:u w:val="single" w:color="auto"/>
            <w:color w:val="0000FF"/>
          </w:rPr>
          <w:t>Form of Restricted Stock Unit Agreement (Performance-Based and Service-Based Award for Senior Officers) pursuant to the Qorvo,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 2012 Stock Incentive Plan (incorporated by reference to Exhibit 10.5 to the Company’s Quarterly Report on Form 10-Q filed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with the SEC on August 5, 2015)*</w:t>
        </w:r>
      </w:hyperlink>
    </w:p>
    <w:p>
      <w:pPr>
        <w:spacing w:after="0" w:line="19" w:lineRule="exact"/>
        <w:rPr>
          <w:rFonts w:ascii="Arial" w:cs="Arial" w:eastAsia="Arial" w:hAnsi="Arial"/>
          <w:sz w:val="18"/>
          <w:szCs w:val="18"/>
          <w:u w:val="single" w:color="auto"/>
          <w:color w:val="0000FF"/>
        </w:rPr>
      </w:pPr>
    </w:p>
    <w:p>
      <w:pPr>
        <w:ind w:left="1380" w:right="2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77">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Stock Incentive Plan (incorporated by reference to Exhibit 10.6 to the Company’s Quarterly Report on Form 10-Q filed with the SEC</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on August 5, 2015)*</w:t>
        </w:r>
      </w:hyperlink>
    </w:p>
    <w:p>
      <w:pPr>
        <w:spacing w:after="0" w:line="19" w:lineRule="exact"/>
        <w:rPr>
          <w:rFonts w:ascii="Arial" w:cs="Arial" w:eastAsia="Arial" w:hAnsi="Arial"/>
          <w:sz w:val="18"/>
          <w:szCs w:val="18"/>
          <w:u w:val="single" w:color="auto"/>
          <w:color w:val="0000FF"/>
        </w:rPr>
      </w:pPr>
    </w:p>
    <w:p>
      <w:pPr>
        <w:ind w:left="1380" w:right="32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78">
        <w:r>
          <w:rPr>
            <w:rFonts w:ascii="Arial" w:cs="Arial" w:eastAsia="Arial" w:hAnsi="Arial"/>
            <w:sz w:val="18"/>
            <w:szCs w:val="18"/>
            <w:u w:val="single" w:color="auto"/>
            <w:color w:val="0000FF"/>
          </w:rPr>
          <w:t>Qorvo, Inc. Severance Benefits Plan and Summary Plan Description (incorporated by reference to Exhibit 10.8 to the Company’s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Quarterly Report on Form 10-Q filed with the SEC on August 5, 2015)*</w:t>
        </w:r>
      </w:hyperlink>
    </w:p>
    <w:p>
      <w:pPr>
        <w:spacing w:after="0" w:line="8" w:lineRule="exact"/>
        <w:rPr>
          <w:sz w:val="20"/>
          <w:szCs w:val="20"/>
          <w:color w:val="auto"/>
        </w:rPr>
      </w:pPr>
    </w:p>
    <w:p>
      <w:pPr>
        <w:ind w:left="1380" w:right="220" w:hanging="971"/>
        <w:spacing w:after="0" w:line="259"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79">
        <w:r>
          <w:rPr>
            <w:rFonts w:ascii="Arial" w:cs="Arial" w:eastAsia="Arial" w:hAnsi="Arial"/>
            <w:sz w:val="18"/>
            <w:szCs w:val="18"/>
            <w:u w:val="single" w:color="auto"/>
            <w:color w:val="0000FF"/>
          </w:rPr>
          <w:t>Second Amendment to Credit Agreement, dated as of November 12, 2015, by and between Qorvo, Inc., certain of its material</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domestic subsidiaries, Bank of America, N.A. as administrative agent, swing line lender and L/C issuer, and a syndicate of lenders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(incorporated by reference to Exhibit 10.1 to the Company’s Current Report on Form 8-K filed with the SEC on November 13,</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2015).</w:t>
        </w:r>
      </w:hyperlink>
    </w:p>
    <w:p>
      <w:pPr>
        <w:spacing w:after="0" w:line="25" w:lineRule="exact"/>
        <w:rPr>
          <w:rFonts w:ascii="Arial" w:cs="Arial" w:eastAsia="Arial" w:hAnsi="Arial"/>
          <w:sz w:val="18"/>
          <w:szCs w:val="18"/>
          <w:u w:val="single" w:color="auto"/>
          <w:color w:val="0000FF"/>
        </w:rPr>
      </w:pPr>
    </w:p>
    <w:p>
      <w:pPr>
        <w:ind w:left="1380" w:right="4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80">
        <w:r>
          <w:rPr>
            <w:rFonts w:ascii="Arial" w:cs="Arial" w:eastAsia="Arial" w:hAnsi="Arial"/>
            <w:sz w:val="18"/>
            <w:szCs w:val="18"/>
            <w:u w:val="single" w:color="auto"/>
            <w:color w:val="0000FF"/>
          </w:rPr>
          <w:t>Form of Stock Option Agreement (Senior Officers) pursuant to the Qorvo, Inc. 2012 Stock Incentive Plan (incorporated by reference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to Exhibit 10.30 to the Company’s Annual Report on Form 10-K filed with the SEC on May 31, 2016)*</w:t>
        </w:r>
      </w:hyperlink>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240" w:top="130" w:right="65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380" w:right="3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81">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Incentive Plan (incorporated by reference to Exhibit 10.31 to the Company’s Annual Report on Form 10-K filed with the SEC on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May 31, 2016)*</w:t>
        </w:r>
      </w:hyperlink>
    </w:p>
    <w:p>
      <w:pPr>
        <w:spacing w:after="0" w:line="19" w:lineRule="exact"/>
        <w:rPr>
          <w:rFonts w:ascii="Arial" w:cs="Arial" w:eastAsia="Arial" w:hAnsi="Arial"/>
          <w:sz w:val="18"/>
          <w:szCs w:val="18"/>
          <w:u w:val="single" w:color="auto"/>
          <w:color w:val="0000FF"/>
        </w:rPr>
      </w:pPr>
    </w:p>
    <w:p>
      <w:pPr>
        <w:jc w:val="both"/>
        <w:ind w:left="1380" w:right="2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82">
        <w:r>
          <w:rPr>
            <w:rFonts w:ascii="Arial" w:cs="Arial" w:eastAsia="Arial" w:hAnsi="Arial"/>
            <w:sz w:val="18"/>
            <w:szCs w:val="18"/>
            <w:u w:val="single" w:color="auto"/>
            <w:color w:val="0000FF"/>
          </w:rPr>
          <w:t>Form of Restricted Stock Unit Agreement (Performance-Based and Service-Based Award for Senior Officers) pursuant to the Qorvo,</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Inc. 2012 Stock Incentive Plan (incorporated by reference to Exhibit 10.32 to the Company’s Annual Report on Form 10-K filed with</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the SEC on May 31, 2016)*</w:t>
        </w:r>
      </w:hyperlink>
    </w:p>
    <w:p>
      <w:pPr>
        <w:spacing w:after="0" w:line="19" w:lineRule="exact"/>
        <w:rPr>
          <w:rFonts w:ascii="Arial" w:cs="Arial" w:eastAsia="Arial" w:hAnsi="Arial"/>
          <w:sz w:val="18"/>
          <w:szCs w:val="18"/>
          <w:u w:val="single" w:color="auto"/>
          <w:color w:val="0000FF"/>
        </w:rPr>
      </w:pPr>
    </w:p>
    <w:p>
      <w:pPr>
        <w:ind w:left="1380" w:right="10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83">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Stock Incentive Plan (incorporated by reference to Exhibit 10.33 to the Company’s Annual Report on Form 10-K filed with the SEC</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on May 31, 2016)*</w:t>
        </w:r>
      </w:hyperlink>
    </w:p>
    <w:p>
      <w:pPr>
        <w:spacing w:after="0" w:line="19" w:lineRule="exact"/>
        <w:rPr>
          <w:rFonts w:ascii="Arial" w:cs="Arial" w:eastAsia="Arial" w:hAnsi="Arial"/>
          <w:sz w:val="18"/>
          <w:szCs w:val="18"/>
          <w:u w:val="single" w:color="auto"/>
          <w:color w:val="0000FF"/>
        </w:rPr>
      </w:pPr>
    </w:p>
    <w:p>
      <w:pPr>
        <w:ind w:left="1380" w:right="3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84">
        <w:r>
          <w:rPr>
            <w:rFonts w:ascii="Arial" w:cs="Arial" w:eastAsia="Arial" w:hAnsi="Arial"/>
            <w:sz w:val="18"/>
            <w:szCs w:val="18"/>
            <w:u w:val="single" w:color="auto"/>
            <w:color w:val="0000FF"/>
          </w:rPr>
          <w:t>Form of Restricted Stock Unit Award Agreement (Director Annual/Supplemental RSU) pursuant to the Qorvo, Inc. 2012 Stock</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Incentive Plan (incorporated by reference to Exhibit 10.34 to the Company’s Annual Report on Form 10-K filed with the SEC on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May 31, 2016)*</w:t>
        </w:r>
      </w:hyperlink>
    </w:p>
    <w:p>
      <w:pPr>
        <w:spacing w:after="0" w:line="19" w:lineRule="exact"/>
        <w:rPr>
          <w:rFonts w:ascii="Arial" w:cs="Arial" w:eastAsia="Arial" w:hAnsi="Arial"/>
          <w:sz w:val="18"/>
          <w:szCs w:val="18"/>
          <w:u w:val="single" w:color="auto"/>
          <w:color w:val="0000FF"/>
        </w:rPr>
      </w:pPr>
    </w:p>
    <w:p>
      <w:pPr>
        <w:jc w:val="both"/>
        <w:ind w:left="1380" w:right="26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85">
        <w:r>
          <w:rPr>
            <w:rFonts w:ascii="Arial" w:cs="Arial" w:eastAsia="Arial" w:hAnsi="Arial"/>
            <w:sz w:val="18"/>
            <w:szCs w:val="18"/>
            <w:u w:val="single" w:color="auto"/>
            <w:color w:val="0000FF"/>
          </w:rPr>
          <w:t>Form of Restricted Stock Unit Award Agreement (Director Annual/Supplemental RSUs) (deferral election) pursuant to the Qorvo,</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Inc. 2012 Stock Incentive Plan (incorporated by reference to Exhibit 10.1 to the Company’s Quarterly Report on Form 10-Q filed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with the SEC on August 5, 2016)*</w:t>
        </w:r>
      </w:hyperlink>
    </w:p>
    <w:p>
      <w:pPr>
        <w:spacing w:after="0" w:line="19" w:lineRule="exact"/>
        <w:rPr>
          <w:rFonts w:ascii="Arial" w:cs="Arial" w:eastAsia="Arial" w:hAnsi="Arial"/>
          <w:sz w:val="18"/>
          <w:szCs w:val="18"/>
          <w:u w:val="single" w:color="auto"/>
          <w:color w:val="0000FF"/>
        </w:rPr>
      </w:pPr>
    </w:p>
    <w:p>
      <w:pPr>
        <w:ind w:left="1380" w:right="32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86">
        <w:r>
          <w:rPr>
            <w:rFonts w:ascii="Arial" w:cs="Arial" w:eastAsia="Arial" w:hAnsi="Arial"/>
            <w:sz w:val="18"/>
            <w:szCs w:val="18"/>
            <w:u w:val="single" w:color="auto"/>
            <w:color w:val="0000FF"/>
          </w:rPr>
          <w:t>Qorvo, Inc. Cash Bonus Plan (As Amended and Restated Through June 9, 2016) (incorporated by reference to Exhibit 10.1 to the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Company’s Quarterly Report on Form 10-Q filed with the SEC on November 7, 2016)*</w:t>
        </w:r>
      </w:hyperlink>
    </w:p>
    <w:p>
      <w:pPr>
        <w:spacing w:after="0" w:line="8" w:lineRule="exact"/>
        <w:rPr>
          <w:sz w:val="20"/>
          <w:szCs w:val="20"/>
          <w:color w:val="auto"/>
        </w:rPr>
      </w:pPr>
    </w:p>
    <w:p>
      <w:pPr>
        <w:jc w:val="both"/>
        <w:ind w:left="1380" w:right="16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87">
        <w:r>
          <w:rPr>
            <w:rFonts w:ascii="Arial" w:cs="Arial" w:eastAsia="Arial" w:hAnsi="Arial"/>
            <w:sz w:val="18"/>
            <w:szCs w:val="18"/>
            <w:u w:val="single" w:color="auto"/>
            <w:color w:val="0000FF"/>
          </w:rPr>
          <w:t>Qorvo, Inc. Director Compensation Program, effective August 3, 2016 (incorporated by reference to Exhibit 10.4 to the Company’s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Quarterly Report on Form 10-Q filed with the SEC on November 7, 2016)*</w:t>
        </w:r>
      </w:hyperlink>
    </w:p>
    <w:p>
      <w:pPr>
        <w:spacing w:after="0" w:line="8" w:lineRule="exact"/>
        <w:rPr>
          <w:sz w:val="20"/>
          <w:szCs w:val="20"/>
          <w:color w:val="auto"/>
        </w:rPr>
      </w:pPr>
    </w:p>
    <w:p>
      <w:pPr>
        <w:ind w:left="138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88">
        <w:r>
          <w:rPr>
            <w:rFonts w:ascii="Arial" w:cs="Arial" w:eastAsia="Arial" w:hAnsi="Arial"/>
            <w:sz w:val="18"/>
            <w:szCs w:val="18"/>
            <w:u w:val="single" w:color="auto"/>
            <w:color w:val="0000FF"/>
          </w:rPr>
          <w:t>Qorvo, Inc. Short-Term Incentive Plan (As Amended and Restated Through May 11, 2017) (incorporated by reference to Exhibit 10.1</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to the Company’s Current Report on Form 8-K filed with the SEC on May 17, 2017)*</w:t>
        </w:r>
      </w:hyperlink>
    </w:p>
    <w:p>
      <w:pPr>
        <w:spacing w:after="0" w:line="224" w:lineRule="exact"/>
        <w:rPr>
          <w:sz w:val="20"/>
          <w:szCs w:val="20"/>
          <w:color w:val="auto"/>
        </w:rPr>
      </w:pPr>
    </w:p>
    <w:p>
      <w:pPr>
        <w:jc w:val="both"/>
        <w:ind w:left="1380" w:right="160" w:hanging="971"/>
        <w:spacing w:after="0" w:line="295"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89">
        <w:r>
          <w:rPr>
            <w:rFonts w:ascii="Arial" w:cs="Arial" w:eastAsia="Arial" w:hAnsi="Arial"/>
            <w:sz w:val="16"/>
            <w:szCs w:val="16"/>
            <w:u w:val="single" w:color="auto"/>
            <w:color w:val="0000FF"/>
          </w:rPr>
          <w:t>Credit Agreement, dated as of December 5, 2017, by and among Qorvo, Inc., as the Borrower, certain subsidiaries of the Borrower</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identified therein, as the Guarantors, Bank of America, N.A. as Administrative Agent, Swing Line Lender and L/C Issuer, the other</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lenders party thereto, and Wells Fargo Bank, National Association, TD Bank, National Association, The Bank of Tokyo-Mitsubishi</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UFJ, Ltd., PNC Bank, National Association, and Bank of the West, as Co-Syndication Agents (incorporated by reference to Exhibit</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10.1 to the Company’s Current Report on Form 8-K filed with the SEC on December 6, 2017)</w:t>
        </w:r>
      </w:hyperlink>
    </w:p>
    <w:p>
      <w:pPr>
        <w:spacing w:after="0" w:line="4" w:lineRule="exact"/>
        <w:rPr>
          <w:rFonts w:ascii="Arial" w:cs="Arial" w:eastAsia="Arial" w:hAnsi="Arial"/>
          <w:sz w:val="16"/>
          <w:szCs w:val="16"/>
          <w:u w:val="single" w:color="auto"/>
          <w:color w:val="0000FF"/>
        </w:rPr>
      </w:pPr>
    </w:p>
    <w:p>
      <w:pPr>
        <w:ind w:left="400"/>
        <w:spacing w:after="0"/>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w:anchor="page111">
        <w:r>
          <w:rPr>
            <w:rFonts w:ascii="Arial" w:cs="Arial" w:eastAsia="Arial" w:hAnsi="Arial"/>
            <w:sz w:val="16"/>
            <w:szCs w:val="16"/>
            <w:u w:val="single" w:color="auto"/>
            <w:color w:val="0000FF"/>
          </w:rPr>
          <w:t>2018 Declaration of Amendment to Qorvo, Inc. Nonqualified Deferred Compensation Plan, effective as of April 1, 2018*</w:t>
        </w:r>
      </w:hyperlink>
    </w:p>
    <w:p>
      <w:pPr>
        <w:spacing w:after="0" w:line="279" w:lineRule="exact"/>
        <w:rPr>
          <w:rFonts w:ascii="Arial" w:cs="Arial" w:eastAsia="Arial" w:hAnsi="Arial"/>
          <w:sz w:val="16"/>
          <w:szCs w:val="16"/>
          <w:u w:val="single" w:color="auto"/>
          <w:color w:val="0000FF"/>
        </w:rPr>
      </w:pPr>
    </w:p>
    <w:p>
      <w:pPr>
        <w:ind w:left="1380" w:hanging="974"/>
        <w:spacing w:after="0"/>
        <w:tabs>
          <w:tab w:leader="none" w:pos="1380" w:val="left"/>
        </w:tabs>
        <w:numPr>
          <w:ilvl w:val="0"/>
          <w:numId w:val="38"/>
        </w:numPr>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Subsidiaries of Qorvo, Inc.</w:t>
        </w:r>
      </w:hyperlink>
    </w:p>
    <w:p>
      <w:pPr>
        <w:spacing w:after="0" w:line="46" w:lineRule="exact"/>
        <w:rPr>
          <w:rFonts w:ascii="Arial" w:cs="Arial" w:eastAsia="Arial" w:hAnsi="Arial"/>
          <w:sz w:val="16"/>
          <w:szCs w:val="16"/>
          <w:u w:val="single" w:color="auto"/>
          <w:color w:val="0000FF"/>
        </w:rPr>
      </w:pPr>
    </w:p>
    <w:tbl>
      <w:tblPr>
        <w:tblLayout w:type="fixed"/>
        <w:tblInd w:w="40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23.1</w:t>
            </w:r>
          </w:p>
        </w:tc>
        <w:tc>
          <w:tcPr>
            <w:tcW w:w="9440" w:type="dxa"/>
            <w:vAlign w:val="bottom"/>
            <w:gridSpan w:val="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Consent of Independent Registered Public Accounting Firm (KPMG LLP)</w:t>
              </w:r>
            </w:hyperlink>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31.1</w:t>
            </w:r>
          </w:p>
        </w:tc>
        <w:tc>
          <w:tcPr>
            <w:tcW w:w="94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Certification of Periodic Report by Robert A. Bruggeworth, as Chief Executive Officer, pursuant to Rule 13a-14(a) or 15d-14(a) of</w:t>
              </w:r>
            </w:hyperlink>
          </w:p>
        </w:tc>
      </w:tr>
      <w:tr>
        <w:trPr>
          <w:trHeight w:val="196"/>
        </w:trPr>
        <w:tc>
          <w:tcPr>
            <w:tcW w:w="980" w:type="dxa"/>
            <w:vAlign w:val="bottom"/>
          </w:tcPr>
          <w:p>
            <w:pPr>
              <w:spacing w:after="0"/>
              <w:rPr>
                <w:sz w:val="17"/>
                <w:szCs w:val="17"/>
                <w:color w:val="auto"/>
              </w:rPr>
            </w:pPr>
          </w:p>
        </w:tc>
        <w:tc>
          <w:tcPr>
            <w:tcW w:w="9440" w:type="dxa"/>
            <w:vAlign w:val="bottom"/>
            <w:gridSpan w:val="9"/>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the Exchange Act, as adopted pursuant to Section 302 of the Sarbanes-Oxley Act of 2002</w:t>
              </w:r>
            </w:hyperlink>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31.2</w:t>
            </w:r>
          </w:p>
        </w:tc>
        <w:tc>
          <w:tcPr>
            <w:tcW w:w="9440" w:type="dxa"/>
            <w:vAlign w:val="bottom"/>
            <w:gridSpan w:val="9"/>
          </w:tcPr>
          <w:p>
            <w:pPr>
              <w:spacing w:after="0"/>
              <w:rPr>
                <w:rFonts w:ascii="Arial" w:cs="Arial" w:eastAsia="Arial" w:hAnsi="Arial"/>
                <w:sz w:val="18"/>
                <w:szCs w:val="18"/>
                <w:color w:val="0000FF"/>
                <w:w w:val="95"/>
              </w:rPr>
            </w:pPr>
            <w:hyperlink w:anchor="page120">
              <w:r>
                <w:rPr>
                  <w:rFonts w:ascii="Arial" w:cs="Arial" w:eastAsia="Arial" w:hAnsi="Arial"/>
                  <w:sz w:val="18"/>
                  <w:szCs w:val="18"/>
                  <w:color w:val="0000FF"/>
                  <w:w w:val="95"/>
                </w:rPr>
                <w:t>Certification of Periodic Report by Mark J. Murphy, as Chief Financial Officer, pursuant to Rule 13a-14(a) or 15d-14(a) of the</w:t>
              </w:r>
            </w:hyperlink>
          </w:p>
        </w:tc>
      </w:tr>
      <w:tr>
        <w:trPr>
          <w:trHeight w:val="196"/>
        </w:trPr>
        <w:tc>
          <w:tcPr>
            <w:tcW w:w="980" w:type="dxa"/>
            <w:vAlign w:val="bottom"/>
          </w:tcPr>
          <w:p>
            <w:pPr>
              <w:spacing w:after="0"/>
              <w:rPr>
                <w:sz w:val="17"/>
                <w:szCs w:val="17"/>
                <w:color w:val="auto"/>
              </w:rPr>
            </w:pPr>
          </w:p>
        </w:tc>
        <w:tc>
          <w:tcPr>
            <w:tcW w:w="61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Exchange Act, as adopted pursuant to Section 302 of the Sarbanes-Oxley Act of 2002</w:t>
              </w:r>
            </w:hyperlink>
          </w:p>
        </w:tc>
        <w:tc>
          <w:tcPr>
            <w:tcW w:w="2920" w:type="dxa"/>
            <w:vAlign w:val="bottom"/>
            <w:tcBorders>
              <w:top w:val="single" w:sz="8" w:color="0000FF"/>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32.1</w:t>
            </w:r>
          </w:p>
        </w:tc>
        <w:tc>
          <w:tcPr>
            <w:tcW w:w="9440" w:type="dxa"/>
            <w:vAlign w:val="bottom"/>
            <w:gridSpan w:val="9"/>
          </w:tcPr>
          <w:p>
            <w:pPr>
              <w:spacing w:after="0"/>
              <w:rPr>
                <w:rFonts w:ascii="Arial" w:cs="Arial" w:eastAsia="Arial" w:hAnsi="Arial"/>
                <w:sz w:val="18"/>
                <w:szCs w:val="18"/>
                <w:color w:val="0000FF"/>
                <w:w w:val="94"/>
              </w:rPr>
            </w:pPr>
            <w:hyperlink w:anchor="page121">
              <w:r>
                <w:rPr>
                  <w:rFonts w:ascii="Arial" w:cs="Arial" w:eastAsia="Arial" w:hAnsi="Arial"/>
                  <w:sz w:val="18"/>
                  <w:szCs w:val="18"/>
                  <w:color w:val="0000FF"/>
                  <w:w w:val="94"/>
                </w:rPr>
                <w:t>Certification of Periodic Report by Robert A. Bruggeworth, as Chief Executive Officer, pursuant to 18 U.S.C. Section 1350, as</w:t>
              </w:r>
            </w:hyperlink>
          </w:p>
        </w:tc>
      </w:tr>
      <w:tr>
        <w:trPr>
          <w:trHeight w:val="196"/>
        </w:trPr>
        <w:tc>
          <w:tcPr>
            <w:tcW w:w="98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21">
              <w:r>
                <w:rPr>
                  <w:rFonts w:ascii="Arial" w:cs="Arial" w:eastAsia="Arial" w:hAnsi="Arial"/>
                  <w:sz w:val="18"/>
                  <w:szCs w:val="18"/>
                  <w:color w:val="0000FF"/>
                  <w:w w:val="89"/>
                </w:rPr>
                <w:t>adopted pursuant to Section 906 of the Sarbanes-Oxley Act of 2002</w:t>
              </w:r>
            </w:hyperlink>
          </w:p>
        </w:tc>
        <w:tc>
          <w:tcPr>
            <w:tcW w:w="4260" w:type="dxa"/>
            <w:vAlign w:val="bottom"/>
            <w:tcBorders>
              <w:top w:val="single" w:sz="8" w:color="0000FF"/>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32.2</w:t>
            </w:r>
          </w:p>
        </w:tc>
        <w:tc>
          <w:tcPr>
            <w:tcW w:w="9440" w:type="dxa"/>
            <w:vAlign w:val="bottom"/>
            <w:gridSpan w:val="9"/>
          </w:tcPr>
          <w:p>
            <w:pPr>
              <w:spacing w:after="0"/>
              <w:rPr>
                <w:rFonts w:ascii="Arial" w:cs="Arial" w:eastAsia="Arial" w:hAnsi="Arial"/>
                <w:sz w:val="18"/>
                <w:szCs w:val="18"/>
                <w:color w:val="0000FF"/>
                <w:w w:val="94"/>
              </w:rPr>
            </w:pPr>
            <w:hyperlink w:anchor="page122">
              <w:r>
                <w:rPr>
                  <w:rFonts w:ascii="Arial" w:cs="Arial" w:eastAsia="Arial" w:hAnsi="Arial"/>
                  <w:sz w:val="18"/>
                  <w:szCs w:val="18"/>
                  <w:color w:val="0000FF"/>
                  <w:w w:val="94"/>
                </w:rPr>
                <w:t>Certification of Periodic Report by Mark J. Murphy, as Chief Financial Officer, pursuant to 18 U.S.C. Section 1350, as adopted</w:t>
              </w:r>
            </w:hyperlink>
          </w:p>
        </w:tc>
      </w:tr>
      <w:tr>
        <w:trPr>
          <w:trHeight w:val="196"/>
        </w:trPr>
        <w:tc>
          <w:tcPr>
            <w:tcW w:w="980" w:type="dxa"/>
            <w:vAlign w:val="bottom"/>
          </w:tcPr>
          <w:p>
            <w:pPr>
              <w:spacing w:after="0"/>
              <w:rPr>
                <w:sz w:val="17"/>
                <w:szCs w:val="17"/>
                <w:color w:val="auto"/>
              </w:rPr>
            </w:pPr>
          </w:p>
        </w:tc>
        <w:tc>
          <w:tcPr>
            <w:tcW w:w="91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22">
              <w:r>
                <w:rPr>
                  <w:rFonts w:ascii="Arial" w:cs="Arial" w:eastAsia="Arial" w:hAnsi="Arial"/>
                  <w:sz w:val="18"/>
                  <w:szCs w:val="18"/>
                  <w:color w:val="0000FF"/>
                </w:rPr>
                <w:t>pursuant to Section 906 of the Sarbanes-Oxley Act of 2002</w:t>
              </w:r>
            </w:hyperlink>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ind w:left="1380" w:right="40" w:hanging="974"/>
        <w:spacing w:after="0" w:line="255"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10-K for the fiscal year ended March 31, 2018, formatted in XBRL (eXtensible Business Reporting Language): (i) the Consolidated Balance Sheets as of March 31, 2018 and April 1, 2017, (ii) the Consolidated Statements of Operations for the fiscal years ended March 31, 2018, April 1, 2017, and April 2, 2016, (iii) the Consolidated Statements of Stockholders' Equity for the fiscal years ended March 31, 2018, April 1, 2017, and April 2, 2016, (iv) the Consolidated Statements of Cash Flows for the fiscal years ended March 31, 2018, April 1, 2017, and April 2, 2016, and (v) the Notes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240" w:top="130" w:right="6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7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30" w:right="25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7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21, 2018</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Robert A. Bruggeworth</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Mark J. Murphy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20"/>
          </w:cols>
          <w:pgMar w:left="240" w:top="130" w:right="3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21,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Mark J. Murphy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Mark J. Murphy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Gina B. Harrison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Gina B. Harrison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Daniel A. DiLeo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Daniel A. DiLeo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Charles Scott Gibson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Charles Scott Gibson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David H. Y. Ho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David H. Y. Ho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Dr. Walden C. Rhines</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Dr. Walden C. Rhines</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Susan L. Spradley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Susan L. Spradley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30"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auto"/>
        </w:rPr>
        <w:t>2018 DECLARATION OF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1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THIS DECLARATION OF AMENDMENT, made the 13th day of February 2018, by Qorvo, Inc. (the “Company”), as sponsor of the Qorvo, Inc. Nonqualified Deferred Compensation Plan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 :</w:t>
      </w:r>
    </w:p>
    <w:p>
      <w:pPr>
        <w:spacing w:after="0" w:line="235"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It is deemed advisable to amend the Plan to comply with new regulations issued by the Department of Labor applicable to claims involving a determination of disability.</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declared that the Plan shall be and hereby is amended, effective as of April 1, 2018, by deleting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11.3 in its entirety and substituting therefor the following new Section 11.3:</w:t>
      </w:r>
    </w:p>
    <w:p>
      <w:pPr>
        <w:spacing w:after="0" w:line="21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u w:val="single" w:color="auto"/>
          <w:color w:val="auto"/>
        </w:rPr>
        <w:t>Claims and Review Procedures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87" w:lineRule="auto"/>
        <w:tabs>
          <w:tab w:leader="none" w:pos="217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Claims Procedures for Non-Disability Claims</w:t>
      </w:r>
      <w:r>
        <w:rPr>
          <w:rFonts w:ascii="Arial" w:cs="Arial" w:eastAsia="Arial" w:hAnsi="Arial"/>
          <w:sz w:val="19"/>
          <w:szCs w:val="19"/>
          <w:color w:val="auto"/>
        </w:rPr>
        <w:t>. If the Participant or his or her representative submit a written claim for a benefit under the Plan (other than a claim involving a determination of Disability by the Administrator) and the claim is denied in whole or in part, the Administrator will notify the Participant or his or her representative in writing of such denial within ninety (90) days after the claim is received, unless special circumstances require an extension of up to ninety (90) more days, in which case the Participant or his or her representative will be notified in writing of the extension, the special circumstances requiring the extension and the date by which the Administrator expects to render its decision. If the initial claim is denied, the Administrator will give the Participant or his or her representative written notice that includes:</w:t>
      </w:r>
    </w:p>
    <w:p>
      <w:pPr>
        <w:spacing w:after="0" w:line="183" w:lineRule="exact"/>
        <w:rPr>
          <w:sz w:val="20"/>
          <w:szCs w:val="20"/>
          <w:color w:val="auto"/>
        </w:rPr>
      </w:pPr>
    </w:p>
    <w:p>
      <w:pPr>
        <w:ind w:left="1560" w:hanging="255"/>
        <w:spacing w:after="0"/>
        <w:tabs>
          <w:tab w:leader="none" w:pos="15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References to the specific Plan provision(s) on which the denial was based;</w:t>
      </w:r>
    </w:p>
    <w:p>
      <w:pPr>
        <w:spacing w:after="0" w:line="229" w:lineRule="exact"/>
        <w:rPr>
          <w:rFonts w:ascii="Arial" w:cs="Arial" w:eastAsia="Arial" w:hAnsi="Arial"/>
          <w:sz w:val="20"/>
          <w:szCs w:val="20"/>
          <w:color w:val="auto"/>
        </w:rPr>
      </w:pPr>
    </w:p>
    <w:p>
      <w:pPr>
        <w:ind w:left="660" w:firstLine="645"/>
        <w:spacing w:after="0" w:line="260" w:lineRule="auto"/>
        <w:tabs>
          <w:tab w:leader="none" w:pos="1565"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that is necessary to perfect the claim and an explanation of why such material or information is necessary; and</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589"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description of the Plan’s procedures for appealing the denial and the time limits applicable to such procedures, including a statement regarding the Participant’s right to bring an action under Section 502(a) of ERISA following an adverse benefit determination on appeal.</w:t>
      </w:r>
    </w:p>
    <w:p>
      <w:pPr>
        <w:spacing w:after="0" w:line="20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If the Participant or his or her representative disagrees with the Administrator’s decision, they will have sixty (60) days from the receipt of the original denial notice to appeal the decision. This appeal must be in writing and sent to the Administrator.</w:t>
      </w:r>
    </w:p>
    <w:p>
      <w:pPr>
        <w:spacing w:after="0" w:line="16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The Participant or his or her representative has the right to review (upon request and at no charge) all documents and other information relevant to the claim and to submit written comments, documents and other information relating to the claim. Whether a document, record, or other information is relevant to a claim for benefits shall be determined by Section 2560.503-1(m)(8) of the Department of Labor Regulations. The Administrator will notify the Participant or his or her representative in writing of its decision within a reasonable period of time, but not later than sixty</w:t>
      </w:r>
    </w:p>
    <w:p>
      <w:pPr>
        <w:sectPr>
          <w:pgSz w:w="11900" w:h="16838" w:orient="portrait"/>
          <w:cols w:equalWidth="0" w:num="1">
            <w:col w:w="11420"/>
          </w:cols>
          <w:pgMar w:left="240" w:top="589" w:right="239" w:bottom="1440" w:gutter="0" w:footer="0" w:header="0"/>
        </w:sectPr>
      </w:pPr>
    </w:p>
    <w:bookmarkStart w:id="111" w:name="page112"/>
    <w:bookmarkEnd w:id="111"/>
    <w:p>
      <w:pPr>
        <w:jc w:val="both"/>
        <w:ind w:left="4" w:hanging="4"/>
        <w:spacing w:after="0" w:line="246" w:lineRule="auto"/>
        <w:tabs>
          <w:tab w:leader="none" w:pos="385" w:val="left"/>
        </w:tabs>
        <w:numPr>
          <w:ilvl w:val="0"/>
          <w:numId w:val="44"/>
        </w:numPr>
        <w:rPr>
          <w:rFonts w:ascii="Arial" w:cs="Arial" w:eastAsia="Arial" w:hAnsi="Arial"/>
          <w:sz w:val="20"/>
          <w:szCs w:val="20"/>
          <w:color w:val="auto"/>
        </w:rPr>
      </w:pPr>
      <w:r>
        <w:rPr>
          <w:rFonts w:ascii="Arial" w:cs="Arial" w:eastAsia="Arial" w:hAnsi="Arial"/>
          <w:sz w:val="20"/>
          <w:szCs w:val="20"/>
          <w:color w:val="auto"/>
        </w:rPr>
        <w:t>days after it receives the appeal, unless special circumstances require an extension of up to sixty (60) more days, in which case the Participant or his or her representative will be notified in writing of the extension, the special circumstances requiring the extension and the date by which the Administrator expects to render its decision. If the appeal is denied, the Administrator will give the Participant or his or her representative written notice that includes:</w:t>
      </w:r>
    </w:p>
    <w:p>
      <w:pPr>
        <w:spacing w:after="0" w:line="205" w:lineRule="exact"/>
        <w:rPr>
          <w:rFonts w:ascii="Arial" w:cs="Arial" w:eastAsia="Arial" w:hAnsi="Arial"/>
          <w:sz w:val="20"/>
          <w:szCs w:val="20"/>
          <w:color w:val="auto"/>
        </w:rPr>
      </w:pPr>
    </w:p>
    <w:p>
      <w:pPr>
        <w:ind w:left="904" w:hanging="255"/>
        <w:spacing w:after="0"/>
        <w:tabs>
          <w:tab w:leader="none" w:pos="904"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9" w:lineRule="exact"/>
        <w:rPr>
          <w:rFonts w:ascii="Arial" w:cs="Arial" w:eastAsia="Arial" w:hAnsi="Arial"/>
          <w:sz w:val="20"/>
          <w:szCs w:val="20"/>
          <w:color w:val="auto"/>
        </w:rPr>
      </w:pPr>
    </w:p>
    <w:p>
      <w:pPr>
        <w:ind w:left="924" w:hanging="275"/>
        <w:spacing w:after="0"/>
        <w:tabs>
          <w:tab w:leader="none" w:pos="924" w:val="left"/>
        </w:tabs>
        <w:numPr>
          <w:ilvl w:val="1"/>
          <w:numId w:val="44"/>
        </w:numPr>
        <w:rPr>
          <w:rFonts w:ascii="Arial" w:cs="Arial" w:eastAsia="Arial" w:hAnsi="Arial"/>
          <w:sz w:val="20"/>
          <w:szCs w:val="20"/>
          <w:color w:val="auto"/>
        </w:rPr>
      </w:pPr>
      <w:r>
        <w:rPr>
          <w:rFonts w:ascii="Arial" w:cs="Arial" w:eastAsia="Arial" w:hAnsi="Arial"/>
          <w:sz w:val="20"/>
          <w:szCs w:val="20"/>
          <w:color w:val="auto"/>
        </w:rPr>
        <w:t>References to the specific Plan provision(s) on which the denial was based;</w:t>
      </w:r>
    </w:p>
    <w:p>
      <w:pPr>
        <w:spacing w:after="0" w:line="229" w:lineRule="exact"/>
        <w:rPr>
          <w:rFonts w:ascii="Arial" w:cs="Arial" w:eastAsia="Arial" w:hAnsi="Arial"/>
          <w:sz w:val="20"/>
          <w:szCs w:val="20"/>
          <w:color w:val="auto"/>
        </w:rPr>
      </w:pPr>
    </w:p>
    <w:p>
      <w:pPr>
        <w:jc w:val="both"/>
        <w:ind w:left="4" w:firstLine="645"/>
        <w:spacing w:after="0" w:line="291" w:lineRule="auto"/>
        <w:tabs>
          <w:tab w:leader="none" w:pos="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statement that the Participant or his or her representative will be provided, upon request and free of charge, reasonable access to, and copies of, all documents and other information relevant to their claim (whether a document, record, or other information is relevant to a claim for benefits shall be determined by Section 2560.503-1(m)(8) of the Department of Labor Regulations); and</w:t>
      </w:r>
    </w:p>
    <w:p>
      <w:pPr>
        <w:spacing w:after="0" w:line="165" w:lineRule="exact"/>
        <w:rPr>
          <w:rFonts w:ascii="Arial" w:cs="Arial" w:eastAsia="Arial" w:hAnsi="Arial"/>
          <w:sz w:val="18"/>
          <w:szCs w:val="18"/>
          <w:color w:val="auto"/>
        </w:rPr>
      </w:pPr>
    </w:p>
    <w:p>
      <w:pPr>
        <w:ind w:left="904" w:hanging="255"/>
        <w:spacing w:after="0"/>
        <w:tabs>
          <w:tab w:leader="none" w:pos="904" w:val="left"/>
        </w:tabs>
        <w:numPr>
          <w:ilvl w:val="1"/>
          <w:numId w:val="44"/>
        </w:numPr>
        <w:rPr>
          <w:rFonts w:ascii="Arial" w:cs="Arial" w:eastAsia="Arial" w:hAnsi="Arial"/>
          <w:sz w:val="20"/>
          <w:szCs w:val="20"/>
          <w:color w:val="auto"/>
        </w:rPr>
      </w:pPr>
      <w:r>
        <w:rPr>
          <w:rFonts w:ascii="Arial" w:cs="Arial" w:eastAsia="Arial" w:hAnsi="Arial"/>
          <w:sz w:val="20"/>
          <w:szCs w:val="20"/>
          <w:color w:val="auto"/>
        </w:rPr>
        <w:t>A statement regarding the Participant’s right to bring an action under Section 502(a) of ERISA.</w:t>
      </w:r>
    </w:p>
    <w:p>
      <w:pPr>
        <w:spacing w:after="0" w:line="229"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0"/>
          <w:szCs w:val="20"/>
          <w:color w:val="auto"/>
        </w:rPr>
        <w:t>The Participant shall have one year from the date the notice of the denial of the appeal to commence any action seeking judicial review of the denied claim. Failure to bring such an action within that period shall bar the claim. The Participant cannot bring an action until completing the claims and review procedures described in this subparagraph (a).</w:t>
      </w:r>
    </w:p>
    <w:p>
      <w:pPr>
        <w:spacing w:after="0" w:line="213" w:lineRule="exact"/>
        <w:rPr>
          <w:sz w:val="20"/>
          <w:szCs w:val="20"/>
          <w:color w:val="auto"/>
        </w:rPr>
      </w:pPr>
    </w:p>
    <w:p>
      <w:pPr>
        <w:jc w:val="both"/>
        <w:ind w:left="4" w:firstLine="645"/>
        <w:spacing w:after="0" w:line="290" w:lineRule="auto"/>
        <w:tabs>
          <w:tab w:leader="none" w:pos="153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Claims Procedures for Disability Claims</w:t>
      </w:r>
      <w:r>
        <w:rPr>
          <w:rFonts w:ascii="Arial" w:cs="Arial" w:eastAsia="Arial" w:hAnsi="Arial"/>
          <w:sz w:val="19"/>
          <w:szCs w:val="19"/>
          <w:color w:val="auto"/>
        </w:rPr>
        <w:t>. The procedures described in this subparagraph (b) do not apply if a third party (such as the Social Security Administration) rather than the Administrator makes the determination of Disability, in which case the claims procedures in subparagraph (a) shall apply. If the claim is a Disability claim subject to the procedures described in this subparagraph (b), the Administrator shall ensure that the Disability claim and any appeal are adjudicated in a manner designed to ensure the independence and impartiality of the persons involved in making the decision.</w:t>
      </w:r>
    </w:p>
    <w:p>
      <w:pPr>
        <w:spacing w:after="0" w:line="179"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If the Participant or his or her representative submit a written claim for a benefit under the Plan that requires an independent determination of Disability by the Administrator and the claim is denied in whole or in part, the Administrator will notify the Participant or his or her representative in writing of such denial within forty-five (45) days after the claim is received. If, due to matters beyond the control of the Plan, the Administrator needs additional time to process a claim, the Participant or his or her representative will be notified, within forty-five (45) days after the Administrator receives the claim, of those circumstances and of when the Administrator expects to make its decision, but not beyond seventy-five (75) days from the date the claim is received. If, prior to the end of the extension period, due to matters beyond the control of the Plan, a decision cannot be rendered within that extension period, the period for making the determination may be extended for up to one hundred five (105) days from the date the claim is received, provided that the Administrator notifies the Participant or his or her representative of the circumstances requiring the extension and the date as of which the Plan expects to render a decision. The extension notice shall specifically explain the standards on which entitlement to a benefit on account of Disability is based, the unresolved issues that prevent a decision on the claim and the additional information needed from the Participant or his or her representative to resolve those issues, and the Participant or his or her representative shall be afforded at least forty-five (45) days within which to provide the specified</w:t>
      </w:r>
    </w:p>
    <w:p>
      <w:pPr>
        <w:spacing w:after="0" w:line="201"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4"/>
          </w:cols>
          <w:pgMar w:left="896" w:top="595" w:right="239" w:bottom="1440" w:gutter="0" w:footer="0" w:header="0"/>
        </w:sectPr>
      </w:pPr>
    </w:p>
    <w:bookmarkStart w:id="112" w:name="page113"/>
    <w:bookmarkEnd w:id="112"/>
    <w:p>
      <w:pPr>
        <w:jc w:val="both"/>
        <w:ind w:left="4"/>
        <w:spacing w:after="0" w:line="250" w:lineRule="auto"/>
        <w:rPr>
          <w:sz w:val="20"/>
          <w:szCs w:val="20"/>
          <w:color w:val="auto"/>
        </w:rPr>
      </w:pPr>
      <w:r>
        <w:rPr>
          <w:rFonts w:ascii="Arial" w:cs="Arial" w:eastAsia="Arial" w:hAnsi="Arial"/>
          <w:sz w:val="20"/>
          <w:szCs w:val="20"/>
          <w:color w:val="auto"/>
        </w:rPr>
        <w:t>information. If the initial claim is denied, the Administrator will give the Participant or his or her representative written notice in a culturally and linguistically appropriate manner (as described in Section 2560.503-1(o) of the Department of Labor Regulations) that includes:</w:t>
      </w:r>
    </w:p>
    <w:p>
      <w:pPr>
        <w:spacing w:after="0" w:line="200" w:lineRule="exact"/>
        <w:rPr>
          <w:sz w:val="20"/>
          <w:szCs w:val="20"/>
          <w:color w:val="auto"/>
        </w:rPr>
      </w:pPr>
    </w:p>
    <w:p>
      <w:pPr>
        <w:ind w:left="1304" w:hanging="655"/>
        <w:spacing w:after="0"/>
        <w:tabs>
          <w:tab w:leader="none" w:pos="1304"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9" w:lineRule="exact"/>
        <w:rPr>
          <w:rFonts w:ascii="Arial" w:cs="Arial" w:eastAsia="Arial" w:hAnsi="Arial"/>
          <w:sz w:val="20"/>
          <w:szCs w:val="20"/>
          <w:color w:val="auto"/>
        </w:rPr>
      </w:pPr>
    </w:p>
    <w:p>
      <w:pPr>
        <w:ind w:left="1304" w:hanging="655"/>
        <w:spacing w:after="0"/>
        <w:tabs>
          <w:tab w:leader="none" w:pos="1304"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References to the specific Plan provision(s) on which the denial was based;</w:t>
      </w:r>
    </w:p>
    <w:p>
      <w:pPr>
        <w:spacing w:after="0" w:line="242" w:lineRule="exact"/>
        <w:rPr>
          <w:rFonts w:ascii="Arial" w:cs="Arial" w:eastAsia="Arial" w:hAnsi="Arial"/>
          <w:sz w:val="20"/>
          <w:szCs w:val="20"/>
          <w:color w:val="auto"/>
        </w:rPr>
      </w:pPr>
    </w:p>
    <w:p>
      <w:pPr>
        <w:ind w:left="84" w:firstLine="565"/>
        <w:spacing w:after="0" w:line="289" w:lineRule="auto"/>
        <w:tabs>
          <w:tab w:leader="none" w:pos="1341"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that is necessary to perfect the claim and an explanation of why such material or information is necessary;</w:t>
      </w:r>
    </w:p>
    <w:p>
      <w:pPr>
        <w:spacing w:after="0" w:line="188" w:lineRule="exact"/>
        <w:rPr>
          <w:rFonts w:ascii="Arial" w:cs="Arial" w:eastAsia="Arial" w:hAnsi="Arial"/>
          <w:sz w:val="20"/>
          <w:szCs w:val="20"/>
          <w:color w:val="auto"/>
        </w:rPr>
      </w:pPr>
    </w:p>
    <w:p>
      <w:pPr>
        <w:jc w:val="both"/>
        <w:ind w:left="84" w:right="20" w:firstLine="565"/>
        <w:spacing w:after="0" w:line="278" w:lineRule="auto"/>
        <w:tabs>
          <w:tab w:leader="none" w:pos="1341"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description of the Plan’s procedures for appealing the denial and the time limits applicable to such procedures, including a statement regarding the Participant’s right to bring an action under Section 502(a) of ERISA following an adverse benefit determination on appeal;</w:t>
      </w:r>
    </w:p>
    <w:p>
      <w:pPr>
        <w:spacing w:after="0" w:line="200" w:lineRule="exact"/>
        <w:rPr>
          <w:rFonts w:ascii="Arial" w:cs="Arial" w:eastAsia="Arial" w:hAnsi="Arial"/>
          <w:sz w:val="20"/>
          <w:szCs w:val="20"/>
          <w:color w:val="auto"/>
        </w:rPr>
      </w:pPr>
    </w:p>
    <w:p>
      <w:pPr>
        <w:ind w:left="1364" w:hanging="715"/>
        <w:spacing w:after="0"/>
        <w:tabs>
          <w:tab w:leader="none" w:pos="1364"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discussion of the decision, including an explanation of the basis for disagreeing with or not following:</w:t>
      </w:r>
    </w:p>
    <w:p>
      <w:pPr>
        <w:spacing w:after="0" w:line="242" w:lineRule="exact"/>
        <w:rPr>
          <w:rFonts w:ascii="Arial" w:cs="Arial" w:eastAsia="Arial" w:hAnsi="Arial"/>
          <w:sz w:val="20"/>
          <w:szCs w:val="20"/>
          <w:color w:val="auto"/>
        </w:rPr>
      </w:pPr>
    </w:p>
    <w:p>
      <w:pPr>
        <w:ind w:left="644" w:firstLine="653"/>
        <w:spacing w:after="0" w:line="260" w:lineRule="auto"/>
        <w:tabs>
          <w:tab w:leader="none" w:pos="1808"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views presented by the Participant or his or her representative of health care professionals treating the Participant and vocational professionals who evaluated the Participant;</w:t>
      </w:r>
    </w:p>
    <w:p>
      <w:pPr>
        <w:spacing w:after="0" w:line="190" w:lineRule="exact"/>
        <w:rPr>
          <w:rFonts w:ascii="Arial" w:cs="Arial" w:eastAsia="Arial" w:hAnsi="Arial"/>
          <w:sz w:val="20"/>
          <w:szCs w:val="20"/>
          <w:color w:val="auto"/>
        </w:rPr>
      </w:pPr>
    </w:p>
    <w:p>
      <w:pPr>
        <w:jc w:val="both"/>
        <w:ind w:left="644" w:firstLine="653"/>
        <w:spacing w:after="0" w:line="250" w:lineRule="auto"/>
        <w:tabs>
          <w:tab w:leader="none" w:pos="1760"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views of medical or vocational experts whose advice was obtained on behalf of the Plan in connection with the adverse benefit determination, without regard to whether the advice was relied upon in making the benefit determination; and</w:t>
      </w:r>
    </w:p>
    <w:p>
      <w:pPr>
        <w:spacing w:after="0" w:line="199" w:lineRule="exact"/>
        <w:rPr>
          <w:rFonts w:ascii="Arial" w:cs="Arial" w:eastAsia="Arial" w:hAnsi="Arial"/>
          <w:sz w:val="20"/>
          <w:szCs w:val="20"/>
          <w:color w:val="auto"/>
        </w:rPr>
      </w:pPr>
    </w:p>
    <w:p>
      <w:pPr>
        <w:ind w:left="644" w:right="20" w:firstLine="653"/>
        <w:spacing w:after="0" w:line="260" w:lineRule="auto"/>
        <w:tabs>
          <w:tab w:leader="none" w:pos="1821"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Disability determination regarding the Participant presented by the Participant or his or her representative to the Plan made by the Social Security Administration.</w:t>
      </w:r>
    </w:p>
    <w:p>
      <w:pPr>
        <w:spacing w:after="0" w:line="203" w:lineRule="exact"/>
        <w:rPr>
          <w:rFonts w:ascii="Arial" w:cs="Arial" w:eastAsia="Arial" w:hAnsi="Arial"/>
          <w:sz w:val="20"/>
          <w:szCs w:val="20"/>
          <w:color w:val="auto"/>
        </w:rPr>
      </w:pPr>
    </w:p>
    <w:p>
      <w:pPr>
        <w:jc w:val="both"/>
        <w:ind w:left="4" w:firstLine="645"/>
        <w:spacing w:after="0" w:line="299" w:lineRule="auto"/>
        <w:tabs>
          <w:tab w:leader="none" w:pos="137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the adverse benefit determination is based on a medical necessity or experimental treatment or similar exclusion or limit, either an explanation of the scientific or clinical judgment for the determination, applying the terms of the Plan to the Participant’s medical circumstances, or a statement that such explanation will be provided free of charge upon request;</w:t>
      </w:r>
    </w:p>
    <w:p>
      <w:pPr>
        <w:spacing w:after="0" w:line="182" w:lineRule="exact"/>
        <w:rPr>
          <w:rFonts w:ascii="Arial" w:cs="Arial" w:eastAsia="Arial" w:hAnsi="Arial"/>
          <w:sz w:val="19"/>
          <w:szCs w:val="19"/>
          <w:color w:val="auto"/>
        </w:rPr>
      </w:pPr>
    </w:p>
    <w:p>
      <w:pPr>
        <w:jc w:val="both"/>
        <w:ind w:left="4" w:firstLine="645"/>
        <w:spacing w:after="0" w:line="278" w:lineRule="auto"/>
        <w:tabs>
          <w:tab w:leader="none" w:pos="1370" w:val="left"/>
        </w:tabs>
        <w:numPr>
          <w:ilvl w:val="0"/>
          <w:numId w:val="46"/>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200" w:lineRule="exact"/>
        <w:rPr>
          <w:rFonts w:ascii="Arial" w:cs="Arial" w:eastAsia="Arial" w:hAnsi="Arial"/>
          <w:sz w:val="20"/>
          <w:szCs w:val="20"/>
          <w:color w:val="auto"/>
        </w:rPr>
      </w:pPr>
    </w:p>
    <w:p>
      <w:pPr>
        <w:jc w:val="both"/>
        <w:ind w:left="4" w:firstLine="645"/>
        <w:spacing w:after="0" w:line="274" w:lineRule="auto"/>
        <w:tabs>
          <w:tab w:leader="none" w:pos="137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statement that the Participant or his or her representative is entitled to receive, upon request and free of charge, reasonable access to, and copies of, all documents, records, and other information relevant to the Participant’s claim for benefits. Whether a document, record, or other information is relevant to a claim for benefits shall be determined by Section 2560.503-1(m)(8) of the Department of Labor Regulations.</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the Participant or his or her representative disagrees with the Administrator’s decision, they will have one hundred eighty</w:t>
      </w:r>
    </w:p>
    <w:p>
      <w:pPr>
        <w:spacing w:after="0" w:line="39" w:lineRule="exact"/>
        <w:rPr>
          <w:sz w:val="20"/>
          <w:szCs w:val="20"/>
          <w:color w:val="auto"/>
        </w:rPr>
      </w:pPr>
    </w:p>
    <w:p>
      <w:pPr>
        <w:jc w:val="both"/>
        <w:ind w:left="4" w:hanging="4"/>
        <w:spacing w:after="0" w:line="241" w:lineRule="auto"/>
        <w:tabs>
          <w:tab w:leader="none" w:pos="521" w:val="left"/>
        </w:tabs>
        <w:numPr>
          <w:ilvl w:val="0"/>
          <w:numId w:val="47"/>
        </w:numPr>
        <w:rPr>
          <w:rFonts w:ascii="Arial" w:cs="Arial" w:eastAsia="Arial" w:hAnsi="Arial"/>
          <w:sz w:val="20"/>
          <w:szCs w:val="20"/>
          <w:color w:val="auto"/>
        </w:rPr>
      </w:pPr>
      <w:r>
        <w:rPr>
          <w:rFonts w:ascii="Arial" w:cs="Arial" w:eastAsia="Arial" w:hAnsi="Arial"/>
          <w:sz w:val="20"/>
          <w:szCs w:val="20"/>
          <w:color w:val="auto"/>
        </w:rPr>
        <w:t>days from the receipt of the original denial notice to appeal the decision. This appeal must be in writing and sent to the Administrator. Prior to such review of the denied claim, the Participant or his or her representative shall be given, free of charge, any new</w:t>
      </w:r>
    </w:p>
    <w:p>
      <w:pPr>
        <w:spacing w:after="0" w:line="223"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4"/>
          </w:cols>
          <w:pgMar w:left="896" w:top="595" w:right="239" w:bottom="1440" w:gutter="0" w:footer="0" w:header="0"/>
        </w:sectPr>
      </w:pPr>
    </w:p>
    <w:bookmarkStart w:id="113" w:name="page114"/>
    <w:bookmarkEnd w:id="113"/>
    <w:p>
      <w:pPr>
        <w:jc w:val="both"/>
        <w:spacing w:after="0" w:line="246" w:lineRule="auto"/>
        <w:rPr>
          <w:sz w:val="20"/>
          <w:szCs w:val="20"/>
          <w:color w:val="auto"/>
        </w:rPr>
      </w:pPr>
      <w:r>
        <w:rPr>
          <w:rFonts w:ascii="Arial" w:cs="Arial" w:eastAsia="Arial" w:hAnsi="Arial"/>
          <w:sz w:val="20"/>
          <w:szCs w:val="20"/>
          <w:color w:val="auto"/>
        </w:rPr>
        <w:t>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appeal is required to be provided, to give the Participant or his or her representative a reasonable opportunity to respond prior to that date.</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Administrator will notify the Participant or his or her representative in writing of its decision within a reasonable period of time, but not later than forty-five (45) days after it receives the appeal, unless special circumstances require an extension of up to forty-five (45) more days, in which case the Participant or his or her representative will be notified in writing of the extension, the special circumstances requiring the extension and the date by which the Administrator expects to render its decision.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Participant or his or her representative shall be given the opportunity to submit issues and written comments to the Administrator, as well as to review and receive, without charge, all relevant documents, records and other information relating to the claim. In considering the appeal, the Administrator shall take into account all comments, documents, records and other information submitted by the Participant or his or her representative relating to the claim, without regard to whether such information was submitted or considered in the initial benefit determination. Additional considerations shall be required in the case of a Disability claim.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Administrator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Administrator obtained the advice of medical or vocational experts in making the initial adverse benefit determination (regardless of whether the advice was relied upon), the Administrator will identify such experts.</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If the appeal is denied, the Administrator will give the Participant or his or her representative written notice in a culturally and linguistically appropriate manner (as described in Section 2560.503-1(o) of the Department of Labor Regulations) that includes:</w:t>
      </w:r>
    </w:p>
    <w:p>
      <w:pPr>
        <w:spacing w:after="0" w:line="144" w:lineRule="exact"/>
        <w:rPr>
          <w:sz w:val="20"/>
          <w:szCs w:val="20"/>
          <w:color w:val="auto"/>
        </w:rPr>
      </w:pPr>
    </w:p>
    <w:p>
      <w:pPr>
        <w:ind w:left="1300" w:hanging="655"/>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9" w:lineRule="exact"/>
        <w:rPr>
          <w:rFonts w:ascii="Arial" w:cs="Arial" w:eastAsia="Arial" w:hAnsi="Arial"/>
          <w:sz w:val="20"/>
          <w:szCs w:val="20"/>
          <w:color w:val="auto"/>
        </w:rPr>
      </w:pPr>
    </w:p>
    <w:p>
      <w:pPr>
        <w:ind w:left="1300" w:hanging="655"/>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References to the specific Plan provision(s) on which the denial was based;</w:t>
      </w:r>
    </w:p>
    <w:p>
      <w:pPr>
        <w:spacing w:after="0" w:line="242" w:lineRule="exact"/>
        <w:rPr>
          <w:rFonts w:ascii="Arial" w:cs="Arial" w:eastAsia="Arial" w:hAnsi="Arial"/>
          <w:sz w:val="20"/>
          <w:szCs w:val="20"/>
          <w:color w:val="auto"/>
        </w:rPr>
      </w:pPr>
    </w:p>
    <w:p>
      <w:pPr>
        <w:jc w:val="both"/>
        <w:ind w:left="80" w:firstLine="565"/>
        <w:spacing w:after="0" w:line="274" w:lineRule="auto"/>
        <w:tabs>
          <w:tab w:leader="none" w:pos="1338"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statement that the Participant or his or her representative is entitled to receive, upon request and free of charge, reasonable access to, and copies of, all documents, records and other information relevant to the Participant’s claim for benefits (whether a document, record, or other information is relevant to a claim for benefits shall be determined by Section 2560.503-1(m)(8) of the Department of Labor Regulations);</w:t>
      </w:r>
    </w:p>
    <w:p>
      <w:pPr>
        <w:spacing w:after="0" w:line="205" w:lineRule="exact"/>
        <w:rPr>
          <w:rFonts w:ascii="Arial" w:cs="Arial" w:eastAsia="Arial" w:hAnsi="Arial"/>
          <w:sz w:val="20"/>
          <w:szCs w:val="20"/>
          <w:color w:val="auto"/>
        </w:rPr>
      </w:pPr>
    </w:p>
    <w:p>
      <w:pPr>
        <w:jc w:val="both"/>
        <w:ind w:firstLine="645"/>
        <w:spacing w:after="0" w:line="278" w:lineRule="auto"/>
        <w:tabs>
          <w:tab w:leader="none" w:pos="1366"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statement of the Participant’s right to bring a civil action under ERISA Section 502(a) which shall describe any applicable contractual limitations period that applies to the Participant’s right to bring such an action, including the calendar date on which the contractual limitations period expires for the claim;</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0"/>
          </w:cols>
          <w:pgMar w:left="900" w:top="595" w:right="239" w:bottom="1440" w:gutter="0" w:footer="0" w:header="0"/>
        </w:sectPr>
      </w:pPr>
    </w:p>
    <w:bookmarkStart w:id="114" w:name="page115"/>
    <w:bookmarkEnd w:id="114"/>
    <w:p>
      <w:pPr>
        <w:ind w:left="1360" w:hanging="715"/>
        <w:spacing w:after="0"/>
        <w:tabs>
          <w:tab w:leader="none" w:pos="1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discussion of the decision, including an explanation of the basis for disagreeing with or not following:</w:t>
      </w:r>
    </w:p>
    <w:p>
      <w:pPr>
        <w:spacing w:after="0" w:line="242" w:lineRule="exact"/>
        <w:rPr>
          <w:rFonts w:ascii="Arial" w:cs="Arial" w:eastAsia="Arial" w:hAnsi="Arial"/>
          <w:sz w:val="20"/>
          <w:szCs w:val="20"/>
          <w:color w:val="auto"/>
        </w:rPr>
      </w:pPr>
    </w:p>
    <w:p>
      <w:pPr>
        <w:ind w:left="640" w:firstLine="653"/>
        <w:spacing w:after="0" w:line="260" w:lineRule="auto"/>
        <w:tabs>
          <w:tab w:leader="none" w:pos="1804"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views presented by the Participant or his or her representative of health care professionals treating the Participant and vocational professionals who evaluated the Participant;</w:t>
      </w:r>
    </w:p>
    <w:p>
      <w:pPr>
        <w:spacing w:after="0" w:line="190" w:lineRule="exact"/>
        <w:rPr>
          <w:rFonts w:ascii="Arial" w:cs="Arial" w:eastAsia="Arial" w:hAnsi="Arial"/>
          <w:sz w:val="20"/>
          <w:szCs w:val="20"/>
          <w:color w:val="auto"/>
        </w:rPr>
      </w:pPr>
    </w:p>
    <w:p>
      <w:pPr>
        <w:jc w:val="both"/>
        <w:ind w:left="640" w:firstLine="653"/>
        <w:spacing w:after="0" w:line="250" w:lineRule="auto"/>
        <w:tabs>
          <w:tab w:leader="none" w:pos="1756"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views of medical or vocational experts whose advice was obtained on behalf of the Plan in connection with the adverse benefit determination, without regard to whether the advice was relied upon in making the benefit determination; and</w:t>
      </w:r>
    </w:p>
    <w:p>
      <w:pPr>
        <w:spacing w:after="0" w:line="199" w:lineRule="exact"/>
        <w:rPr>
          <w:rFonts w:ascii="Arial" w:cs="Arial" w:eastAsia="Arial" w:hAnsi="Arial"/>
          <w:sz w:val="20"/>
          <w:szCs w:val="20"/>
          <w:color w:val="auto"/>
        </w:rPr>
      </w:pPr>
    </w:p>
    <w:p>
      <w:pPr>
        <w:ind w:left="640" w:right="20" w:firstLine="653"/>
        <w:spacing w:after="0" w:line="260" w:lineRule="auto"/>
        <w:tabs>
          <w:tab w:leader="none" w:pos="1818" w:val="left"/>
        </w:tabs>
        <w:numPr>
          <w:ilvl w:val="1"/>
          <w:numId w:val="49"/>
        </w:numPr>
        <w:rPr>
          <w:rFonts w:ascii="Arial" w:cs="Arial" w:eastAsia="Arial" w:hAnsi="Arial"/>
          <w:sz w:val="20"/>
          <w:szCs w:val="20"/>
          <w:color w:val="auto"/>
        </w:rPr>
      </w:pPr>
      <w:r>
        <w:rPr>
          <w:rFonts w:ascii="Arial" w:cs="Arial" w:eastAsia="Arial" w:hAnsi="Arial"/>
          <w:sz w:val="20"/>
          <w:szCs w:val="20"/>
          <w:color w:val="auto"/>
        </w:rPr>
        <w:t>A Disability determination regarding the Participant presented by the Participant or his or her representative to the Plan made by the Social Security Administration.</w:t>
      </w:r>
    </w:p>
    <w:p>
      <w:pPr>
        <w:spacing w:after="0" w:line="203" w:lineRule="exact"/>
        <w:rPr>
          <w:rFonts w:ascii="Arial" w:cs="Arial" w:eastAsia="Arial" w:hAnsi="Arial"/>
          <w:sz w:val="20"/>
          <w:szCs w:val="20"/>
          <w:color w:val="auto"/>
        </w:rPr>
      </w:pPr>
    </w:p>
    <w:p>
      <w:pPr>
        <w:jc w:val="both"/>
        <w:ind w:firstLine="645"/>
        <w:spacing w:after="0" w:line="322" w:lineRule="auto"/>
        <w:tabs>
          <w:tab w:leader="none" w:pos="13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adverse benefit determination is based on a medical necessity or experimental treatment or similar exclusion or limit, either an explanation of the scientific or clinical judgment for the determination, applying the terms of the Plan to the Participant’s medical circumstances, or a statement that such explanation will be provided free of charge upon request; and</w:t>
      </w:r>
    </w:p>
    <w:p>
      <w:pPr>
        <w:spacing w:after="0" w:line="166" w:lineRule="exact"/>
        <w:rPr>
          <w:rFonts w:ascii="Arial" w:cs="Arial" w:eastAsia="Arial" w:hAnsi="Arial"/>
          <w:sz w:val="18"/>
          <w:szCs w:val="18"/>
          <w:color w:val="auto"/>
        </w:rPr>
      </w:pPr>
    </w:p>
    <w:p>
      <w:pPr>
        <w:jc w:val="both"/>
        <w:ind w:firstLine="645"/>
        <w:spacing w:after="0" w:line="278" w:lineRule="auto"/>
        <w:tabs>
          <w:tab w:leader="none" w:pos="1366" w:val="left"/>
        </w:tabs>
        <w:numPr>
          <w:ilvl w:val="0"/>
          <w:numId w:val="49"/>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 Participant or his or her representative must follow the claims review procedures described in this subparagraph (b) and exhaust his or her administrative remedies before taking any further action with respect to a Disability claim. If the Plan fails to strictly adhere to all the requirements of this subparagraph (b), the Participant or his or her representative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(i) de minimis; (ii) non-prejudicial; (iii) attributable to good cause or matters beyond the Plan’s control; (iv) in the context of an ongoing good-faith exchange of information; and (v) not reflective of a pattern or practice of noncompliance. The Participant or his or her representative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Participant or his or her representative with notice of the resubmission.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shall have one year from the date the notice of the denial of the appeal or the Plan’s failure to strictly adhere to all of the requirements of this subparagraph (b) to commence any action seeking judicial review of the denied claim. Failure to bring such an action within that period shall bar the claim.”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0"/>
          </w:cols>
          <w:pgMar w:left="900" w:top="838" w:right="239" w:bottom="1440" w:gutter="0" w:footer="0" w:header="0"/>
        </w:sectPr>
      </w:pPr>
    </w:p>
    <w:bookmarkStart w:id="115" w:name="page116"/>
    <w:bookmarkEnd w:id="115"/>
    <w:p>
      <w:pPr>
        <w:ind w:firstLine="1270"/>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this Declaration of Amendment has been executed on behalf of the Company as of the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first above written.</w:t>
      </w:r>
    </w:p>
    <w:p>
      <w:pPr>
        <w:spacing w:after="0" w:line="200" w:lineRule="exact"/>
        <w:rPr>
          <w:sz w:val="20"/>
          <w:szCs w:val="20"/>
          <w:color w:val="auto"/>
        </w:rPr>
      </w:pPr>
    </w:p>
    <w:p>
      <w:pPr>
        <w:spacing w:after="0" w:line="36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27305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Robert A. Bruggeworth</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President and CEO</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9"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EXHIBIT 21</w:t>
            </w:r>
          </w:p>
        </w:tc>
        <w:tc>
          <w:tcPr>
            <w:tcW w:w="3400" w:type="dxa"/>
            <w:vAlign w:val="bottom"/>
          </w:tcPr>
          <w:p>
            <w:pPr>
              <w:spacing w:after="0"/>
              <w:rPr>
                <w:sz w:val="20"/>
                <w:szCs w:val="20"/>
                <w:color w:val="auto"/>
              </w:rPr>
            </w:pPr>
          </w:p>
        </w:tc>
      </w:tr>
      <w:tr>
        <w:trPr>
          <w:trHeight w:val="689"/>
        </w:trPr>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578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318"/>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LLC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Infrastructure Product Group, Inc.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Holding, Inc.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UK Ltd.</w:t>
            </w:r>
          </w:p>
        </w:tc>
        <w:tc>
          <w:tcPr>
            <w:tcW w:w="34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(UK) Limited</w:t>
            </w:r>
          </w:p>
        </w:tc>
        <w:tc>
          <w:tcPr>
            <w:tcW w:w="34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Netherlands Holding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Netherlands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 Micro Devices, Svenska AB</w:t>
            </w:r>
          </w:p>
        </w:tc>
        <w:tc>
          <w:tcPr>
            <w:tcW w:w="3400" w:type="dxa"/>
            <w:vAlign w:val="bottom"/>
          </w:tcPr>
          <w:p>
            <w:pPr>
              <w:spacing w:after="0"/>
              <w:rPr>
                <w:sz w:val="20"/>
                <w:szCs w:val="20"/>
                <w:color w:val="auto"/>
              </w:rPr>
            </w:pPr>
            <w:r>
              <w:rPr>
                <w:rFonts w:ascii="Arial" w:cs="Arial" w:eastAsia="Arial" w:hAnsi="Arial"/>
                <w:sz w:val="18"/>
                <w:szCs w:val="18"/>
                <w:color w:val="auto"/>
              </w:rPr>
              <w:t>Sweden</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Denmark ApS</w:t>
            </w:r>
          </w:p>
        </w:tc>
        <w:tc>
          <w:tcPr>
            <w:tcW w:w="3400" w:type="dxa"/>
            <w:vAlign w:val="bottom"/>
          </w:tcPr>
          <w:p>
            <w:pPr>
              <w:spacing w:after="0"/>
              <w:rPr>
                <w:sz w:val="20"/>
                <w:szCs w:val="20"/>
                <w:color w:val="auto"/>
              </w:rPr>
            </w:pPr>
            <w:r>
              <w:rPr>
                <w:rFonts w:ascii="Arial" w:cs="Arial" w:eastAsia="Arial" w:hAnsi="Arial"/>
                <w:sz w:val="18"/>
                <w:szCs w:val="18"/>
                <w:color w:val="auto"/>
              </w:rPr>
              <w:t>Denmark</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Finland Oy</w:t>
            </w:r>
          </w:p>
        </w:tc>
        <w:tc>
          <w:tcPr>
            <w:tcW w:w="3400" w:type="dxa"/>
            <w:vAlign w:val="bottom"/>
          </w:tcPr>
          <w:p>
            <w:pPr>
              <w:spacing w:after="0"/>
              <w:rPr>
                <w:sz w:val="20"/>
                <w:szCs w:val="20"/>
                <w:color w:val="auto"/>
              </w:rPr>
            </w:pPr>
            <w:r>
              <w:rPr>
                <w:rFonts w:ascii="Arial" w:cs="Arial" w:eastAsia="Arial" w:hAnsi="Arial"/>
                <w:sz w:val="18"/>
                <w:szCs w:val="18"/>
                <w:color w:val="auto"/>
              </w:rPr>
              <w:t>Finland</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Korea Ltd.</w:t>
            </w:r>
          </w:p>
        </w:tc>
        <w:tc>
          <w:tcPr>
            <w:tcW w:w="3400" w:type="dxa"/>
            <w:vAlign w:val="bottom"/>
          </w:tcPr>
          <w:p>
            <w:pPr>
              <w:spacing w:after="0"/>
              <w:rPr>
                <w:sz w:val="20"/>
                <w:szCs w:val="20"/>
                <w:color w:val="auto"/>
              </w:rPr>
            </w:pPr>
            <w:r>
              <w:rPr>
                <w:rFonts w:ascii="Arial" w:cs="Arial" w:eastAsia="Arial" w:hAnsi="Arial"/>
                <w:sz w:val="18"/>
                <w:szCs w:val="18"/>
                <w:color w:val="auto"/>
              </w:rPr>
              <w:t>Korea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Beijing Co., Ltd.</w:t>
            </w:r>
          </w:p>
        </w:tc>
        <w:tc>
          <w:tcPr>
            <w:tcW w:w="34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Hong Kong Pvt. Limited</w:t>
            </w:r>
          </w:p>
        </w:tc>
        <w:tc>
          <w:tcPr>
            <w:tcW w:w="3400" w:type="dxa"/>
            <w:vAlign w:val="bottom"/>
          </w:tcPr>
          <w:p>
            <w:pPr>
              <w:spacing w:after="0"/>
              <w:rPr>
                <w:sz w:val="20"/>
                <w:szCs w:val="20"/>
                <w:color w:val="auto"/>
              </w:rPr>
            </w:pPr>
            <w:r>
              <w:rPr>
                <w:rFonts w:ascii="Arial" w:cs="Arial" w:eastAsia="Arial" w:hAnsi="Arial"/>
                <w:sz w:val="18"/>
                <w:szCs w:val="18"/>
                <w:color w:val="auto"/>
              </w:rPr>
              <w:t>Hong Kong</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Xemod Incorporated</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Services,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Premier Devices – A Sirenza Company</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Germany Holding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Germany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Radio Frequency Micro Devices (India) Private Limited</w:t>
            </w:r>
          </w:p>
        </w:tc>
        <w:tc>
          <w:tcPr>
            <w:tcW w:w="3400" w:type="dxa"/>
            <w:vAlign w:val="bottom"/>
          </w:tcPr>
          <w:p>
            <w:pPr>
              <w:spacing w:after="0"/>
              <w:rPr>
                <w:sz w:val="20"/>
                <w:szCs w:val="20"/>
                <w:color w:val="auto"/>
              </w:rPr>
            </w:pPr>
            <w:r>
              <w:rPr>
                <w:rFonts w:ascii="Arial" w:cs="Arial" w:eastAsia="Arial" w:hAnsi="Arial"/>
                <w:sz w:val="18"/>
                <w:szCs w:val="18"/>
                <w:color w:val="auto"/>
              </w:rPr>
              <w:t>India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Amalfi Semiconductor,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Amalfi Semiconductor, Ltd.</w:t>
            </w:r>
          </w:p>
        </w:tc>
        <w:tc>
          <w:tcPr>
            <w:tcW w:w="340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Singapore Pte. Ltd.</w:t>
            </w:r>
          </w:p>
        </w:tc>
        <w:tc>
          <w:tcPr>
            <w:tcW w:w="3400" w:type="dxa"/>
            <w:vAlign w:val="bottom"/>
          </w:tcPr>
          <w:p>
            <w:pPr>
              <w:spacing w:after="0"/>
              <w:rPr>
                <w:sz w:val="20"/>
                <w:szCs w:val="20"/>
                <w:color w:val="auto"/>
              </w:rPr>
            </w:pPr>
            <w:r>
              <w:rPr>
                <w:rFonts w:ascii="Arial" w:cs="Arial" w:eastAsia="Arial" w:hAnsi="Arial"/>
                <w:sz w:val="18"/>
                <w:szCs w:val="18"/>
                <w:color w:val="auto"/>
              </w:rPr>
              <w:t>Singapore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Dezhou Co., Ltd.</w:t>
            </w:r>
          </w:p>
        </w:tc>
        <w:tc>
          <w:tcPr>
            <w:tcW w:w="34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US,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Oregon, Inc.</w:t>
            </w:r>
          </w:p>
        </w:tc>
        <w:tc>
          <w:tcPr>
            <w:tcW w:w="3400" w:type="dxa"/>
            <w:vAlign w:val="bottom"/>
          </w:tcPr>
          <w:p>
            <w:pPr>
              <w:spacing w:after="0"/>
              <w:rPr>
                <w:sz w:val="20"/>
                <w:szCs w:val="20"/>
                <w:color w:val="auto"/>
              </w:rPr>
            </w:pPr>
            <w:r>
              <w:rPr>
                <w:rFonts w:ascii="Arial" w:cs="Arial" w:eastAsia="Arial" w:hAnsi="Arial"/>
                <w:sz w:val="18"/>
                <w:szCs w:val="18"/>
                <w:color w:val="auto"/>
              </w:rPr>
              <w:t>Oregon</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Munich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Costa Rica S.R.L.</w:t>
            </w:r>
          </w:p>
        </w:tc>
        <w:tc>
          <w:tcPr>
            <w:tcW w:w="3400" w:type="dxa"/>
            <w:vAlign w:val="bottom"/>
          </w:tcPr>
          <w:p>
            <w:pPr>
              <w:spacing w:after="0"/>
              <w:rPr>
                <w:sz w:val="20"/>
                <w:szCs w:val="20"/>
                <w:color w:val="auto"/>
              </w:rPr>
            </w:pPr>
            <w:r>
              <w:rPr>
                <w:rFonts w:ascii="Arial" w:cs="Arial" w:eastAsia="Arial" w:hAnsi="Arial"/>
                <w:sz w:val="18"/>
                <w:szCs w:val="18"/>
                <w:color w:val="auto"/>
              </w:rPr>
              <w:t>Costa Rica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Asia LLC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Pte. Ltd.</w:t>
            </w:r>
          </w:p>
        </w:tc>
        <w:tc>
          <w:tcPr>
            <w:tcW w:w="3400" w:type="dxa"/>
            <w:vAlign w:val="bottom"/>
          </w:tcPr>
          <w:p>
            <w:pPr>
              <w:spacing w:after="0"/>
              <w:rPr>
                <w:sz w:val="20"/>
                <w:szCs w:val="20"/>
                <w:color w:val="auto"/>
              </w:rPr>
            </w:pPr>
            <w:r>
              <w:rPr>
                <w:rFonts w:ascii="Arial" w:cs="Arial" w:eastAsia="Arial" w:hAnsi="Arial"/>
                <w:sz w:val="18"/>
                <w:szCs w:val="18"/>
                <w:color w:val="auto"/>
              </w:rPr>
              <w:t>Singapore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Malaysia Sdn Bhd</w:t>
            </w:r>
          </w:p>
        </w:tc>
        <w:tc>
          <w:tcPr>
            <w:tcW w:w="3400" w:type="dxa"/>
            <w:vAlign w:val="bottom"/>
          </w:tcPr>
          <w:p>
            <w:pPr>
              <w:spacing w:after="0"/>
              <w:rPr>
                <w:sz w:val="20"/>
                <w:szCs w:val="20"/>
                <w:color w:val="auto"/>
              </w:rPr>
            </w:pPr>
            <w:r>
              <w:rPr>
                <w:rFonts w:ascii="Arial" w:cs="Arial" w:eastAsia="Arial" w:hAnsi="Arial"/>
                <w:sz w:val="18"/>
                <w:szCs w:val="18"/>
                <w:color w:val="auto"/>
              </w:rPr>
              <w:t>Malaysia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Japan YK</w:t>
            </w:r>
          </w:p>
        </w:tc>
        <w:tc>
          <w:tcPr>
            <w:tcW w:w="3400" w:type="dxa"/>
            <w:vAlign w:val="bottom"/>
          </w:tcPr>
          <w:p>
            <w:pPr>
              <w:spacing w:after="0"/>
              <w:rPr>
                <w:sz w:val="20"/>
                <w:szCs w:val="20"/>
                <w:color w:val="auto"/>
              </w:rPr>
            </w:pPr>
            <w:r>
              <w:rPr>
                <w:rFonts w:ascii="Arial" w:cs="Arial" w:eastAsia="Arial" w:hAnsi="Arial"/>
                <w:sz w:val="18"/>
                <w:szCs w:val="18"/>
                <w:color w:val="auto"/>
              </w:rPr>
              <w:t>Japan</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Shanghai Ltd.</w:t>
            </w:r>
          </w:p>
        </w:tc>
        <w:tc>
          <w:tcPr>
            <w:tcW w:w="3400" w:type="dxa"/>
            <w:vAlign w:val="bottom"/>
          </w:tcPr>
          <w:p>
            <w:pPr>
              <w:spacing w:after="0"/>
              <w:rPr>
                <w:sz w:val="20"/>
                <w:szCs w:val="20"/>
                <w:color w:val="auto"/>
              </w:rPr>
            </w:pPr>
            <w:r>
              <w:rPr>
                <w:rFonts w:ascii="Arial" w:cs="Arial" w:eastAsia="Arial" w:hAnsi="Arial"/>
                <w:sz w:val="18"/>
                <w:szCs w:val="18"/>
                <w:color w:val="auto"/>
              </w:rPr>
              <w:t>China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Texas, LLC</w:t>
            </w:r>
          </w:p>
        </w:tc>
        <w:tc>
          <w:tcPr>
            <w:tcW w:w="3400" w:type="dxa"/>
            <w:vAlign w:val="bottom"/>
          </w:tcPr>
          <w:p>
            <w:pPr>
              <w:spacing w:after="0"/>
              <w:rPr>
                <w:sz w:val="20"/>
                <w:szCs w:val="20"/>
                <w:color w:val="auto"/>
              </w:rPr>
            </w:pPr>
            <w:r>
              <w:rPr>
                <w:rFonts w:ascii="Arial" w:cs="Arial" w:eastAsia="Arial" w:hAnsi="Arial"/>
                <w:sz w:val="18"/>
                <w:szCs w:val="18"/>
                <w:color w:val="auto"/>
              </w:rPr>
              <w:t>Texas</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Europe Holding Company</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TriQuint WJ,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WJ Newco LLC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California, Inc.</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Utrecht,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Belgium NV</w:t>
            </w:r>
          </w:p>
        </w:tc>
        <w:tc>
          <w:tcPr>
            <w:tcW w:w="3400" w:type="dxa"/>
            <w:vAlign w:val="bottom"/>
          </w:tcPr>
          <w:p>
            <w:pPr>
              <w:spacing w:after="0"/>
              <w:rPr>
                <w:sz w:val="20"/>
                <w:szCs w:val="20"/>
                <w:color w:val="auto"/>
              </w:rPr>
            </w:pPr>
            <w:r>
              <w:rPr>
                <w:rFonts w:ascii="Arial" w:cs="Arial" w:eastAsia="Arial" w:hAnsi="Arial"/>
                <w:sz w:val="18"/>
                <w:szCs w:val="18"/>
                <w:color w:val="auto"/>
              </w:rPr>
              <w:t>Belgium</w:t>
            </w:r>
          </w:p>
        </w:tc>
      </w:tr>
      <w:tr>
        <w:trPr>
          <w:trHeight w:val="297"/>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Hong Kong Limited</w:t>
            </w:r>
          </w:p>
        </w:tc>
        <w:tc>
          <w:tcPr>
            <w:tcW w:w="3400" w:type="dxa"/>
            <w:vAlign w:val="bottom"/>
          </w:tcPr>
          <w:p>
            <w:pPr>
              <w:spacing w:after="0"/>
              <w:rPr>
                <w:sz w:val="20"/>
                <w:szCs w:val="20"/>
                <w:color w:val="auto"/>
              </w:rPr>
            </w:pPr>
            <w:r>
              <w:rPr>
                <w:rFonts w:ascii="Arial" w:cs="Arial" w:eastAsia="Arial" w:hAnsi="Arial"/>
                <w:sz w:val="18"/>
                <w:szCs w:val="18"/>
                <w:color w:val="auto"/>
              </w:rPr>
              <w:t>Hong Kong</w:t>
            </w:r>
          </w:p>
        </w:tc>
      </w:tr>
    </w:tbl>
    <w:p>
      <w:pPr>
        <w:spacing w:after="0" w:line="377"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1280"/>
          </w:cols>
          <w:pgMar w:left="240" w:top="742" w:right="37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Qorvo, Inc.:</w:t>
      </w: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consent to the incorporation by reference in the registration statements (No. 333-195236 and No. 333-212601) on Form S-4 and (No. 333-201357 and No. 333-201358) on Form S-8 of Qorvo, Inc. of our reports dated May 21, 2018, with respect to the consolidated balance sheets of Qorvo, Inc. as of March 31, 2018 and April 1, 2017, and the related consolidated statements of operations, comprehensive loss, stockholders’ equity, and cash flows for each of the years in the three-year period ended March 31, 2018, and the related notes (collectively, the "consolidated financial statements"), and the effectiveness of internal control over financial reporting as of March 31, 2018, which reports appear in the March 31, 2018 annual report on Form 10-K of Qorvo,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Greensboro,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21, 2018</w:t>
      </w:r>
    </w:p>
    <w:p>
      <w:pPr>
        <w:sectPr>
          <w:pgSz w:w="11900" w:h="16838" w:orient="portrait"/>
          <w:cols w:equalWidth="0" w:num="1">
            <w:col w:w="11420"/>
          </w:cols>
          <w:pgMar w:left="240" w:top="144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21, 2018</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21, 2018</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400" w:hanging="652"/>
        <w:spacing w:after="0" w:line="26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31,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21, 2018</w:t>
      </w:r>
    </w:p>
    <w:p>
      <w:pPr>
        <w:sectPr>
          <w:pgSz w:w="11900" w:h="16838" w:orient="portrait"/>
          <w:cols w:equalWidth="0" w:num="1">
            <w:col w:w="11360"/>
          </w:cols>
          <w:pgMar w:left="240" w:top="576" w:right="29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420" w:hanging="652"/>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31,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21, 2018</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upperLetter"/>
      <w:start w:val="2"/>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9"/>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Roman"/>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2"/>
    </w:lvl>
  </w:abstractNum>
  <w:abstractNum w:abstractNumId="32">
    <w:nsid w:val="2A487CB0"/>
    <w:multiLevelType w:val="hybridMultilevel"/>
    <w:lvl w:ilvl="0">
      <w:lvlJc w:val="left"/>
      <w:lvlText w:val="(%1)"/>
      <w:numFmt w:val="lowerLetter"/>
      <w:start w:val="3"/>
    </w:lvl>
  </w:abstractNum>
  <w:abstractNum w:abstractNumId="33">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725A06FB"/>
    <w:multiLevelType w:val="hybridMultilevel"/>
    <w:lvl w:ilvl="0">
      <w:lvlJc w:val="left"/>
      <w:lvlText w:val="%1"/>
      <w:numFmt w:val="lowerLetter"/>
      <w:start w:val="1"/>
    </w:lvl>
    <w:lvl w:ilvl="1">
      <w:lvlJc w:val="left"/>
      <w:lvlText w:val="(%2)"/>
      <w:numFmt w:val="decimal"/>
      <w:start w:val="2"/>
    </w:lvl>
  </w:abstractNum>
  <w:abstractNum w:abstractNumId="35">
    <w:nsid w:val="2CD89A32"/>
    <w:multiLevelType w:val="hybridMultilevel"/>
    <w:lvl w:ilvl="0">
      <w:lvlJc w:val="left"/>
      <w:lvlText w:val="(%1)"/>
      <w:numFmt w:val="lowerLetter"/>
      <w:start w:val="2"/>
    </w:lvl>
    <w:lvl w:ilvl="1">
      <w:lvlJc w:val="left"/>
      <w:lvlText w:val="%2"/>
      <w:numFmt w:val="decimal"/>
      <w:start w:val="1"/>
    </w:lvl>
  </w:abstractNum>
  <w:abstractNum w:abstractNumId="36">
    <w:nsid w:val="57E4CCAF"/>
    <w:multiLevelType w:val="hybridMultilevel"/>
    <w:lvl w:ilvl="0">
      <w:lvlJc w:val="left"/>
      <w:lvlText w:val="(%1)"/>
      <w:numFmt w:val="lowerLetter"/>
      <w:start w:val="3"/>
    </w:lvl>
  </w:abstractNum>
  <w:abstractNum w:abstractNumId="37">
    <w:nsid w:val="7A6D8D3C"/>
    <w:multiLevelType w:val="hybridMultilevel"/>
    <w:lvl w:ilvl="0">
      <w:lvlJc w:val="left"/>
      <w:lvlText w:val="%1"/>
      <w:numFmt w:val="decimal"/>
      <w:start w:val="21"/>
    </w:lvl>
  </w:abstractNum>
  <w:abstractNum w:abstractNumId="38">
    <w:nsid w:val="4B588F54"/>
    <w:multiLevelType w:val="hybridMultilevel"/>
    <w:lvl w:ilvl="0">
      <w:lvlJc w:val="left"/>
      <w:lvlText w:val="%1"/>
      <w:numFmt w:val="decimal"/>
      <w:start w:val="10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60"/>
    </w:lvl>
    <w:lvl w:ilvl="1">
      <w:lvlJc w:val="left"/>
      <w:lvlText w:val="•"/>
      <w:numFmt w:val="bullet"/>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
      <w:numFmt w:val="bullet"/>
      <w:start w:val="1"/>
    </w:lvl>
    <w:lvl w:ilvl="1">
      <w:lvlJc w:val="left"/>
      <w:lvlText w:val="(%2)"/>
      <w:numFmt w:val="lowerRoman"/>
      <w:start w:val="1"/>
    </w:lvl>
  </w:abstractNum>
  <w:abstractNum w:abstractNumId="46">
    <w:nsid w:val="749ABB43"/>
    <w:multiLevelType w:val="hybridMultilevel"/>
    <w:lvl w:ilvl="0">
      <w:lvlJc w:val="left"/>
      <w:lvlText w:val="(%1)"/>
      <w:numFmt w:val="decimal"/>
      <w:start w:val="180"/>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lvl w:ilvl="1">
      <w:lvlJc w:val="left"/>
      <w:lvlText w:val="(%2)"/>
      <w:numFmt w:val="lowerRoman"/>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90" Type="http://schemas.openxmlformats.org/officeDocument/2006/relationships/image" Target="media/image39.png"/><Relationship Id="rId91" Type="http://schemas.openxmlformats.org/officeDocument/2006/relationships/image" Target="media/image40.png"/><Relationship Id="rId92" Type="http://schemas.openxmlformats.org/officeDocument/2006/relationships/image" Target="media/image41.png"/><Relationship Id="rId93" Type="http://schemas.openxmlformats.org/officeDocument/2006/relationships/image" Target="media/image42.png"/><Relationship Id="rId94" Type="http://schemas.openxmlformats.org/officeDocument/2006/relationships/image" Target="media/image43.png"/><Relationship Id="rId95" Type="http://schemas.openxmlformats.org/officeDocument/2006/relationships/image" Target="media/image44.png"/><Relationship Id="rId46" Type="http://schemas.openxmlformats.org/officeDocument/2006/relationships/hyperlink" Target="http://www.sec.gov/Archives/edgar/data/1604778/000119312514274091/d708439ds4a.htm#rom708439_130" TargetMode="External"/><Relationship Id="rId47" Type="http://schemas.openxmlformats.org/officeDocument/2006/relationships/hyperlink" Target="http://www.sec.gov/Archives/edgar/data/1604778/000119312514274091/d708439ds4a.htm#rom708439_130a" TargetMode="External"/><Relationship Id="rId48" Type="http://schemas.openxmlformats.org/officeDocument/2006/relationships/hyperlink" Target="http://www.sec.gov/Archives/edgar/data/1604778/000160477816000149/exhibit2120151003a.htm" TargetMode="External"/><Relationship Id="rId49" Type="http://schemas.openxmlformats.org/officeDocument/2006/relationships/hyperlink" Target="http://www.sec.gov/Archives/edgar/data/1604778/000160477817000058/qorvo-finalcavendishcaidam.htm" TargetMode="External"/><Relationship Id="rId50" Type="http://schemas.openxmlformats.org/officeDocument/2006/relationships/hyperlink" Target="http://www.sec.gov/Archives/edgar/data/1604778/000160477815000011/exhibit3120141227.htm" TargetMode="External"/><Relationship Id="rId51" Type="http://schemas.openxmlformats.org/officeDocument/2006/relationships/hyperlink" Target="http://www.sec.gov/Archives/edgar/data/1604778/000160477816000159/exhibit31-amendedandrestat.htm" TargetMode="External"/><Relationship Id="rId52" Type="http://schemas.openxmlformats.org/officeDocument/2006/relationships/hyperlink" Target="http://www.sec.gov/Archives/edgar/data/1604778/000160477815000051/exhibit4120150328.htm" TargetMode="External"/><Relationship Id="rId53" Type="http://schemas.openxmlformats.org/officeDocument/2006/relationships/hyperlink" Target="http://www.sec.gov/Archives/edgar/data/1604778/000119312515382223/d35817dex41.htm" TargetMode="External"/><Relationship Id="rId54" Type="http://schemas.openxmlformats.org/officeDocument/2006/relationships/hyperlink" Target="http://www.sec.gov/Archives/edgar/data/1604778/000160477817000031/exhibit10120170401.htm" TargetMode="External"/><Relationship Id="rId55" Type="http://schemas.openxmlformats.org/officeDocument/2006/relationships/hyperlink" Target="http://www.sec.gov/Archives/edgar/data/1604778/000119312515000770/d840258dex992.htm" TargetMode="External"/><Relationship Id="rId56" Type="http://schemas.openxmlformats.org/officeDocument/2006/relationships/hyperlink" Target="http://www.sec.gov/Archives/edgar/data/1604778/000119312515000770/d840258dex993.htm" TargetMode="External"/><Relationship Id="rId57" Type="http://schemas.openxmlformats.org/officeDocument/2006/relationships/hyperlink" Target="http://www.sec.gov/Archives/edgar/data/1604778/000119312515000770/d840258dex994.htm" TargetMode="External"/><Relationship Id="rId58" Type="http://schemas.openxmlformats.org/officeDocument/2006/relationships/hyperlink" Target="http://www.sec.gov/Archives/edgar/data/1604778/000119312515000770/d840258dex995.htm" TargetMode="External"/><Relationship Id="rId59" Type="http://schemas.openxmlformats.org/officeDocument/2006/relationships/hyperlink" Target="http://www.sec.gov/Archives/edgar/data/1604778/000119312515000770/d840258dex996.htm" TargetMode="External"/><Relationship Id="rId60" Type="http://schemas.openxmlformats.org/officeDocument/2006/relationships/hyperlink" Target="http://www.sec.gov/Archives/edgar/data/1604778/000119312515000771/d840388dex991.htm" TargetMode="External"/><Relationship Id="rId61" Type="http://schemas.openxmlformats.org/officeDocument/2006/relationships/hyperlink" Target="http://www.sec.gov/Archives/edgar/data/1604778/000119312515000771/d840388dex992.htm" TargetMode="External"/><Relationship Id="rId62" Type="http://schemas.openxmlformats.org/officeDocument/2006/relationships/hyperlink" Target="http://www.sec.gov/Archives/edgar/data/1604778/000119312515000771/d840388dex993.htm" TargetMode="External"/><Relationship Id="rId63" Type="http://schemas.openxmlformats.org/officeDocument/2006/relationships/hyperlink" Target="http://www.sec.gov/Archives/edgar/data/1604778/000119312515000771/d840388dex994.htm" TargetMode="External"/><Relationship Id="rId64" Type="http://schemas.openxmlformats.org/officeDocument/2006/relationships/hyperlink" Target="http://www.sec.gov/Archives/edgar/data/1604778/000119312515000771/d840388dex995.htm" TargetMode="External"/><Relationship Id="rId65" Type="http://schemas.openxmlformats.org/officeDocument/2006/relationships/hyperlink" Target="http://www.sec.gov/Archives/edgar/data/1604778/000119312515001853/d841781dex101.htm" TargetMode="External"/><Relationship Id="rId66" Type="http://schemas.openxmlformats.org/officeDocument/2006/relationships/hyperlink" Target="http://www.sec.gov/Archives/edgar/data/1604778/000160477815000018/qorvocicagreement2015final1.htm" TargetMode="External"/><Relationship Id="rId67" Type="http://schemas.openxmlformats.org/officeDocument/2006/relationships/hyperlink" Target="http://www.sec.gov/Archives/edgar/data/1604778/000160477815000051/exhibit101420150328.htm" TargetMode="External"/><Relationship Id="rId68" Type="http://schemas.openxmlformats.org/officeDocument/2006/relationships/hyperlink" Target="http://www.sec.gov/Archives/edgar/data/1604778/000160477815000051/exhibit101520150328.htm" TargetMode="External"/><Relationship Id="rId69" Type="http://schemas.openxmlformats.org/officeDocument/2006/relationships/hyperlink" Target="http://www.sec.gov/Archives/edgar/data/1604778/000160477815000051/exhibit101620150328.htm" TargetMode="External"/><Relationship Id="rId70" Type="http://schemas.openxmlformats.org/officeDocument/2006/relationships/hyperlink" Target="http://www.sec.gov/Archives/edgar/data/911160/000091116008000034/employmentagreement.htm" TargetMode="External"/><Relationship Id="rId71" Type="http://schemas.openxmlformats.org/officeDocument/2006/relationships/hyperlink" Target="http://www.sec.gov/Archives/edgar/data/911160/000091116013000003/ex-101wafersupplyagreement.htm" TargetMode="External"/><Relationship Id="rId72" Type="http://schemas.openxmlformats.org/officeDocument/2006/relationships/hyperlink" Target="http://www.sec.gov/Archives/edgar/data/1604778/000160477815000034/creditagreement-qorvoinc20.htm" TargetMode="External"/><Relationship Id="rId73" Type="http://schemas.openxmlformats.org/officeDocument/2006/relationships/hyperlink" Target="http://www.sec.gov/Archives/edgar/data/1604778/000160477815000062/exhibit101creditagreementa.htm" TargetMode="External"/><Relationship Id="rId74" Type="http://schemas.openxmlformats.org/officeDocument/2006/relationships/hyperlink" Target="http://www.sec.gov/Archives/edgar/data/1604778/000160477815000075/ex103-qorvo2012sipoptionag.htm" TargetMode="External"/><Relationship Id="rId75" Type="http://schemas.openxmlformats.org/officeDocument/2006/relationships/hyperlink" Target="http://www.sec.gov/Archives/edgar/data/1604778/000160477815000075/ex104-qorvo2012siprsuagree.htm" TargetMode="External"/><Relationship Id="rId76" Type="http://schemas.openxmlformats.org/officeDocument/2006/relationships/hyperlink" Target="http://www.sec.gov/Archives/edgar/data/1604778/000160477815000075/ex105-qorvo2012siprsuagree.htm" TargetMode="External"/><Relationship Id="rId77" Type="http://schemas.openxmlformats.org/officeDocument/2006/relationships/hyperlink" Target="http://www.sec.gov/Archives/edgar/data/1604778/000160477815000075/ex106-qorvo2012siprsuagree.htm" TargetMode="External"/><Relationship Id="rId78" Type="http://schemas.openxmlformats.org/officeDocument/2006/relationships/hyperlink" Target="http://www.sec.gov/Archives/edgar/data/1604778/000160477815000075/ex108-qorvoseverancebenefi.htm" TargetMode="External"/><Relationship Id="rId79" Type="http://schemas.openxmlformats.org/officeDocument/2006/relationships/hyperlink" Target="http://www.sec.gov/Archives/edgar/data/1604778/000160477815000114/secondamendmenttocreditagr.htm" TargetMode="External"/><Relationship Id="rId80" Type="http://schemas.openxmlformats.org/officeDocument/2006/relationships/hyperlink" Target="http://www.sec.gov/Archives/edgar/data/1604778/000160477816000175/exhibit103020160402.htm" TargetMode="External"/><Relationship Id="rId81" Type="http://schemas.openxmlformats.org/officeDocument/2006/relationships/hyperlink" Target="http://www.sec.gov/Archives/edgar/data/1604778/000160477816000175/exhibit103120160402.htm" TargetMode="External"/><Relationship Id="rId82" Type="http://schemas.openxmlformats.org/officeDocument/2006/relationships/hyperlink" Target="http://www.sec.gov/Archives/edgar/data/1604778/000160477816000175/exhibit103220160402.htm" TargetMode="External"/><Relationship Id="rId83" Type="http://schemas.openxmlformats.org/officeDocument/2006/relationships/hyperlink" Target="http://www.sec.gov/Archives/edgar/data/1604778/000160477816000175/exhibit103320160402.htm" TargetMode="External"/><Relationship Id="rId84" Type="http://schemas.openxmlformats.org/officeDocument/2006/relationships/hyperlink" Target="http://www.sec.gov/Archives/edgar/data/1604778/000160477816000175/exhibit103420160402.htm" TargetMode="External"/><Relationship Id="rId85" Type="http://schemas.openxmlformats.org/officeDocument/2006/relationships/hyperlink" Target="http://www.sec.gov/Archives/edgar/data/1604778/000160477816000193/exhibit10120160702.htm" TargetMode="External"/><Relationship Id="rId86" Type="http://schemas.openxmlformats.org/officeDocument/2006/relationships/hyperlink" Target="http://www.sec.gov/Archives/edgar/data/1604778/000160477816000211/exhibit10120161001.htm" TargetMode="External"/><Relationship Id="rId87" Type="http://schemas.openxmlformats.org/officeDocument/2006/relationships/hyperlink" Target="http://www.sec.gov/Archives/edgar/data/1604778/000160477816000211/exhibit10420161001.htm" TargetMode="External"/><Relationship Id="rId88" Type="http://schemas.openxmlformats.org/officeDocument/2006/relationships/hyperlink" Target="http://www.sec.gov/Archives/edgar/data/1604778/000160477817000025/exhibit10stincentiveplanma.htm" TargetMode="External"/><Relationship Id="rId89" Type="http://schemas.openxmlformats.org/officeDocument/2006/relationships/hyperlink" Target="http://www.sec.gov/Archives/edgar/data/1604778/000160477817000061/exhibit101-2017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2019-12-28T21:51:58Z</dcterms:created>
  <dcterms:modified xsi:type="dcterms:W3CDTF">2019-12-28T21:51:58Z</dcterms:modified>
</cp:coreProperties>
</file>