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3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ind w:left="720" w:right="5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quarterly period ended July 2, 2016</w:t>
      </w:r>
    </w:p>
    <w:p>
      <w:pPr>
        <w:spacing w:after="0" w:line="63" w:lineRule="exact"/>
        <w:rPr>
          <w:sz w:val="24"/>
          <w:szCs w:val="24"/>
          <w:color w:val="auto"/>
        </w:rPr>
      </w:pPr>
    </w:p>
    <w:p>
      <w:pPr>
        <w:ind w:left="6120"/>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56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980"/>
        <w:spacing w:after="0"/>
        <w:rPr>
          <w:sz w:val="20"/>
          <w:szCs w:val="20"/>
          <w:color w:val="auto"/>
        </w:rPr>
      </w:pPr>
      <w:r>
        <w:rPr>
          <w:rFonts w:ascii="Arial" w:cs="Arial" w:eastAsia="Arial" w:hAnsi="Arial"/>
          <w:sz w:val="18"/>
          <w:szCs w:val="18"/>
          <w:b w:val="1"/>
          <w:bCs w:val="1"/>
          <w:color w:val="auto"/>
        </w:rPr>
        <w:t>For the transition period from _____ to _____</w:t>
      </w: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2612390</wp:posOffset>
            </wp:positionH>
            <wp:positionV relativeFrom="paragraph">
              <wp:posOffset>55880</wp:posOffset>
            </wp:positionV>
            <wp:extent cx="204089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4089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40" w:lineRule="exact"/>
        <w:rPr>
          <w:sz w:val="24"/>
          <w:szCs w:val="24"/>
          <w:color w:val="auto"/>
        </w:rPr>
      </w:pPr>
    </w:p>
    <w:tbl>
      <w:tblPr>
        <w:tblLayout w:type="fixed"/>
        <w:tblInd w:w="1720" w:type="dxa"/>
        <w:tblCellMar>
          <w:top w:w="0" w:type="dxa"/>
          <w:left w:w="0" w:type="dxa"/>
          <w:bottom w:w="0" w:type="dxa"/>
          <w:right w:w="0" w:type="dxa"/>
        </w:tblCellMar>
      </w:tblPr>
      <w:tr>
        <w:trPr>
          <w:trHeight w:val="234"/>
        </w:trPr>
        <w:tc>
          <w:tcPr>
            <w:tcW w:w="4320" w:type="dxa"/>
            <w:vAlign w:val="bottom"/>
          </w:tcPr>
          <w:p>
            <w:pPr>
              <w:jc w:val="center"/>
              <w:ind w:right="2050"/>
              <w:spacing w:after="0"/>
              <w:rPr>
                <w:sz w:val="20"/>
                <w:szCs w:val="20"/>
                <w:color w:val="auto"/>
              </w:rPr>
            </w:pPr>
            <w:r>
              <w:rPr>
                <w:rFonts w:ascii="Arial" w:cs="Arial" w:eastAsia="Arial" w:hAnsi="Arial"/>
                <w:sz w:val="18"/>
                <w:szCs w:val="18"/>
                <w:b w:val="1"/>
                <w:bCs w:val="1"/>
                <w:color w:val="auto"/>
                <w:w w:val="93"/>
              </w:rPr>
              <w:t>Delaware</w:t>
            </w:r>
          </w:p>
        </w:tc>
        <w:tc>
          <w:tcPr>
            <w:tcW w:w="3480" w:type="dxa"/>
            <w:vAlign w:val="bottom"/>
          </w:tcPr>
          <w:p>
            <w:pPr>
              <w:jc w:val="center"/>
              <w:ind w:left="2050"/>
              <w:spacing w:after="0"/>
              <w:rPr>
                <w:sz w:val="20"/>
                <w:szCs w:val="20"/>
                <w:color w:val="auto"/>
              </w:rPr>
            </w:pPr>
            <w:r>
              <w:rPr>
                <w:rFonts w:ascii="Arial" w:cs="Arial" w:eastAsia="Arial" w:hAnsi="Arial"/>
                <w:sz w:val="18"/>
                <w:szCs w:val="18"/>
                <w:b w:val="1"/>
                <w:bCs w:val="1"/>
                <w:color w:val="auto"/>
                <w:w w:val="89"/>
              </w:rPr>
              <w:t>46-5288992</w:t>
            </w:r>
          </w:p>
        </w:tc>
      </w:tr>
      <w:tr>
        <w:trPr>
          <w:trHeight w:val="256"/>
        </w:trPr>
        <w:tc>
          <w:tcPr>
            <w:tcW w:w="4320" w:type="dxa"/>
            <w:vAlign w:val="bottom"/>
          </w:tcPr>
          <w:p>
            <w:pPr>
              <w:jc w:val="center"/>
              <w:ind w:right="2050"/>
              <w:spacing w:after="0"/>
              <w:rPr>
                <w:sz w:val="20"/>
                <w:szCs w:val="20"/>
                <w:color w:val="auto"/>
              </w:rPr>
            </w:pPr>
            <w:r>
              <w:rPr>
                <w:rFonts w:ascii="Arial" w:cs="Arial" w:eastAsia="Arial" w:hAnsi="Arial"/>
                <w:sz w:val="18"/>
                <w:szCs w:val="18"/>
                <w:color w:val="auto"/>
                <w:w w:val="93"/>
              </w:rPr>
              <w:t>(State or other jurisdiction of</w:t>
            </w:r>
          </w:p>
        </w:tc>
        <w:tc>
          <w:tcPr>
            <w:tcW w:w="3480" w:type="dxa"/>
            <w:vAlign w:val="bottom"/>
          </w:tcPr>
          <w:p>
            <w:pPr>
              <w:jc w:val="center"/>
              <w:ind w:left="2050"/>
              <w:spacing w:after="0"/>
              <w:rPr>
                <w:sz w:val="20"/>
                <w:szCs w:val="20"/>
                <w:color w:val="auto"/>
              </w:rPr>
            </w:pPr>
            <w:r>
              <w:rPr>
                <w:rFonts w:ascii="Arial" w:cs="Arial" w:eastAsia="Arial" w:hAnsi="Arial"/>
                <w:sz w:val="18"/>
                <w:szCs w:val="18"/>
                <w:color w:val="auto"/>
                <w:w w:val="92"/>
              </w:rPr>
              <w:t>(I.R.S. Employer</w:t>
            </w:r>
          </w:p>
        </w:tc>
      </w:tr>
      <w:tr>
        <w:trPr>
          <w:trHeight w:val="230"/>
        </w:trPr>
        <w:tc>
          <w:tcPr>
            <w:tcW w:w="4320" w:type="dxa"/>
            <w:vAlign w:val="bottom"/>
          </w:tcPr>
          <w:p>
            <w:pPr>
              <w:jc w:val="center"/>
              <w:ind w:right="2050"/>
              <w:spacing w:after="0"/>
              <w:rPr>
                <w:sz w:val="20"/>
                <w:szCs w:val="20"/>
                <w:color w:val="auto"/>
              </w:rPr>
            </w:pPr>
            <w:r>
              <w:rPr>
                <w:rFonts w:ascii="Arial" w:cs="Arial" w:eastAsia="Arial" w:hAnsi="Arial"/>
                <w:sz w:val="18"/>
                <w:szCs w:val="18"/>
                <w:color w:val="auto"/>
                <w:w w:val="93"/>
              </w:rPr>
              <w:t>incorporation or organization)</w:t>
            </w:r>
          </w:p>
        </w:tc>
        <w:tc>
          <w:tcPr>
            <w:tcW w:w="3480" w:type="dxa"/>
            <w:vAlign w:val="bottom"/>
          </w:tcPr>
          <w:p>
            <w:pPr>
              <w:jc w:val="center"/>
              <w:ind w:left="2050"/>
              <w:spacing w:after="0"/>
              <w:rPr>
                <w:sz w:val="20"/>
                <w:szCs w:val="20"/>
                <w:color w:val="auto"/>
              </w:rPr>
            </w:pPr>
            <w:r>
              <w:rPr>
                <w:rFonts w:ascii="Arial" w:cs="Arial" w:eastAsia="Arial" w:hAnsi="Arial"/>
                <w:sz w:val="18"/>
                <w:szCs w:val="18"/>
                <w:color w:val="auto"/>
                <w:w w:val="95"/>
              </w:rPr>
              <w:t>Identification No.)</w:t>
            </w:r>
          </w:p>
        </w:tc>
      </w:tr>
    </w:tbl>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7628 Thorndike Road, Greensboro, North Carolina 27409-9421</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w:t>
      </w:r>
    </w:p>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(Zip Code)</w:t>
      </w: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(336) 664-1233</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(Registrant's telephone number, including area code)</w:t>
      </w:r>
    </w:p>
    <w:p>
      <w:pPr>
        <w:spacing w:after="0" w:line="122"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60" w:lineRule="exact"/>
        <w:rPr>
          <w:sz w:val="24"/>
          <w:szCs w:val="24"/>
          <w:color w:val="auto"/>
        </w:rPr>
      </w:pPr>
    </w:p>
    <w:p>
      <w:pPr>
        <w:ind w:left="2540" w:right="520" w:hanging="4577"/>
        <w:spacing w:after="0" w:line="267" w:lineRule="exact"/>
        <w:tabs>
          <w:tab w:leader="none" w:pos="25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ectPr>
          <w:pgSz w:w="11900" w:h="16838" w:orient="portrait"/>
          <w:cols w:equalWidth="0" w:num="1">
            <w:col w:w="11420"/>
          </w:cols>
          <w:pgMar w:left="240" w:top="229" w:right="239" w:bottom="1440" w:gutter="0" w:footer="0" w:header="0"/>
        </w:sectPr>
      </w:pPr>
    </w:p>
    <w:bookmarkStart w:id="1" w:name="page2"/>
    <w:bookmarkEnd w:id="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96" w:lineRule="exact"/>
        <w:rPr>
          <w:sz w:val="20"/>
          <w:szCs w:val="20"/>
          <w:color w:val="auto"/>
        </w:rPr>
      </w:pPr>
    </w:p>
    <w:p>
      <w:pPr>
        <w:ind w:right="1039"/>
        <w:spacing w:after="0" w:line="28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July 27, 2016, there were 127,896,371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180" w:type="dxa"/>
            <w:vAlign w:val="bottom"/>
            <w:gridSpan w:val="19"/>
          </w:tcPr>
          <w:p>
            <w:pPr>
              <w:spacing w:after="0"/>
              <w:rPr>
                <w:rFonts w:ascii="Arial" w:cs="Arial" w:eastAsia="Arial" w:hAnsi="Arial"/>
                <w:sz w:val="14"/>
                <w:szCs w:val="14"/>
                <w:color w:val="0000EE"/>
              </w:rPr>
            </w:pPr>
            <w:hyperlink w:anchor="page3">
              <w:r>
                <w:rPr>
                  <w:rFonts w:ascii="Arial" w:cs="Arial" w:eastAsia="Arial" w:hAnsi="Arial"/>
                  <w:sz w:val="14"/>
                  <w:szCs w:val="14"/>
                  <w:color w:val="0000EE"/>
                </w:rPr>
                <w:t>Table of Contents</w:t>
              </w:r>
            </w:hyperlink>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66"/>
        </w:trPr>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20" w:type="dxa"/>
            <w:vAlign w:val="bottom"/>
            <w:gridSpan w:val="7"/>
          </w:tcPr>
          <w:p>
            <w:pPr>
              <w:jc w:val="center"/>
              <w:ind w:right="2900"/>
              <w:spacing w:after="0"/>
              <w:rPr>
                <w:sz w:val="20"/>
                <w:szCs w:val="20"/>
                <w:color w:val="auto"/>
              </w:rPr>
            </w:pPr>
            <w:r>
              <w:rPr>
                <w:rFonts w:ascii="Arial" w:cs="Arial" w:eastAsia="Arial" w:hAnsi="Arial"/>
                <w:sz w:val="18"/>
                <w:szCs w:val="18"/>
                <w:b w:val="1"/>
                <w:bCs w:val="1"/>
                <w:color w:val="auto"/>
                <w:w w:val="99"/>
              </w:rPr>
              <w:t>QORVO, INC. AND SUBSIDIARIES</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40" w:type="dxa"/>
            <w:vAlign w:val="bottom"/>
            <w:gridSpan w:val="6"/>
          </w:tcPr>
          <w:p>
            <w:pPr>
              <w:jc w:val="center"/>
              <w:ind w:right="4100"/>
              <w:spacing w:after="0"/>
              <w:rPr>
                <w:sz w:val="20"/>
                <w:szCs w:val="20"/>
                <w:color w:val="auto"/>
              </w:rPr>
            </w:pPr>
            <w:r>
              <w:rPr>
                <w:rFonts w:ascii="Arial" w:cs="Arial" w:eastAsia="Arial" w:hAnsi="Arial"/>
                <w:sz w:val="18"/>
                <w:szCs w:val="18"/>
                <w:b w:val="1"/>
                <w:bCs w:val="1"/>
                <w:color w:val="auto"/>
              </w:rPr>
              <w:t>INDEX</w:t>
            </w: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7"/>
        </w:trPr>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20" w:type="dxa"/>
            <w:vAlign w:val="bottom"/>
            <w:gridSpan w:val="3"/>
          </w:tcPr>
          <w:p>
            <w:pPr>
              <w:jc w:val="right"/>
              <w:ind w:right="90"/>
              <w:spacing w:after="0"/>
              <w:rPr>
                <w:sz w:val="20"/>
                <w:szCs w:val="20"/>
                <w:color w:val="auto"/>
              </w:rPr>
            </w:pPr>
            <w:r>
              <w:rPr>
                <w:rFonts w:ascii="Arial" w:cs="Arial" w:eastAsia="Arial" w:hAnsi="Arial"/>
                <w:sz w:val="18"/>
                <w:szCs w:val="18"/>
                <w:b w:val="1"/>
                <w:bCs w:val="1"/>
                <w:color w:val="auto"/>
              </w:rPr>
              <w:t>Page</w:t>
            </w:r>
          </w:p>
        </w:tc>
      </w:tr>
      <w:tr>
        <w:trPr>
          <w:trHeight w:val="230"/>
        </w:trPr>
        <w:tc>
          <w:tcPr>
            <w:tcW w:w="60" w:type="dxa"/>
            <w:vAlign w:val="bottom"/>
          </w:tcPr>
          <w:p>
            <w:pPr>
              <w:spacing w:after="0"/>
              <w:rPr>
                <w:sz w:val="19"/>
                <w:szCs w:val="19"/>
                <w:color w:val="auto"/>
              </w:rPr>
            </w:pPr>
          </w:p>
        </w:tc>
        <w:tc>
          <w:tcPr>
            <w:tcW w:w="10120" w:type="dxa"/>
            <w:vAlign w:val="bottom"/>
            <w:gridSpan w:val="18"/>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PART I — FINANCIAL INFORMATION</w:t>
              </w:r>
            </w:hyperlink>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547"/>
        </w:trPr>
        <w:tc>
          <w:tcPr>
            <w:tcW w:w="60" w:type="dxa"/>
            <w:vAlign w:val="bottom"/>
          </w:tcPr>
          <w:p>
            <w:pPr>
              <w:spacing w:after="0"/>
              <w:rPr>
                <w:sz w:val="24"/>
                <w:szCs w:val="24"/>
                <w:color w:val="auto"/>
              </w:rPr>
            </w:pPr>
          </w:p>
        </w:tc>
        <w:tc>
          <w:tcPr>
            <w:tcW w:w="3220" w:type="dxa"/>
            <w:vAlign w:val="bottom"/>
            <w:tcBorders>
              <w:top w:val="single" w:sz="8" w:color="0000FF"/>
            </w:tcBorders>
            <w:gridSpan w:val="10"/>
          </w:tcPr>
          <w:p>
            <w:pPr>
              <w:spacing w:after="0"/>
              <w:rPr>
                <w:rFonts w:ascii="Arial" w:cs="Arial" w:eastAsia="Arial" w:hAnsi="Arial"/>
                <w:sz w:val="18"/>
                <w:szCs w:val="18"/>
                <w:b w:val="1"/>
                <w:bCs w:val="1"/>
                <w:color w:val="0000FF"/>
                <w:w w:val="90"/>
              </w:rPr>
            </w:pPr>
            <w:hyperlink w:anchor="page4">
              <w:r>
                <w:rPr>
                  <w:rFonts w:ascii="Arial" w:cs="Arial" w:eastAsia="Arial" w:hAnsi="Arial"/>
                  <w:sz w:val="18"/>
                  <w:szCs w:val="18"/>
                  <w:b w:val="1"/>
                  <w:bCs w:val="1"/>
                  <w:color w:val="0000FF"/>
                  <w:w w:val="90"/>
                </w:rPr>
                <w:t xml:space="preserve">Item 1. Financial Statements </w:t>
              </w:r>
            </w:hyperlink>
            <w:r>
              <w:rPr>
                <w:rFonts w:ascii="Arial" w:cs="Arial" w:eastAsia="Arial" w:hAnsi="Arial"/>
                <w:sz w:val="18"/>
                <w:szCs w:val="18"/>
                <w:b w:val="1"/>
                <w:bCs w:val="1"/>
                <w:color w:val="0000FF"/>
                <w:w w:val="90"/>
              </w:rPr>
              <w:t>(Unaudited).</w:t>
            </w:r>
          </w:p>
        </w:tc>
        <w:tc>
          <w:tcPr>
            <w:tcW w:w="6900" w:type="dxa"/>
            <w:vAlign w:val="bottom"/>
            <w:gridSpan w:val="8"/>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560" w:type="dxa"/>
            <w:vAlign w:val="bottom"/>
            <w:tcBorders>
              <w:bottom w:val="single" w:sz="8" w:color="0000EE"/>
            </w:tcBorders>
            <w:gridSpan w:val="12"/>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as of July 2, 2016 and April 2, 2016</w:t>
              </w:r>
            </w:hyperlink>
          </w:p>
        </w:tc>
        <w:tc>
          <w:tcPr>
            <w:tcW w:w="4440" w:type="dxa"/>
            <w:vAlign w:val="bottom"/>
            <w:gridSpan w:val="5"/>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for the three months ended July 2, 2016 and June 27, 2015</w:t>
              </w:r>
            </w:hyperlink>
          </w:p>
        </w:tc>
        <w:tc>
          <w:tcPr>
            <w:tcW w:w="122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gridSpan w:val="3"/>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3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(Loss) Income for the three months ended July 2, 2016 and June 27, 2015</w:t>
              </w:r>
            </w:hyperlink>
          </w:p>
        </w:tc>
        <w:tc>
          <w:tcPr>
            <w:tcW w:w="66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for the three months ended July 2, 2016 and June 27, 2015</w:t>
              </w:r>
            </w:hyperlink>
          </w:p>
        </w:tc>
        <w:tc>
          <w:tcPr>
            <w:tcW w:w="1220" w:type="dxa"/>
            <w:vAlign w:val="bottom"/>
            <w:gridSpan w:val="3"/>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6</w:t>
              </w:r>
            </w:hyperlink>
          </w:p>
        </w:tc>
      </w:tr>
      <w:tr>
        <w:trPr>
          <w:trHeight w:val="250"/>
        </w:trPr>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960" w:type="dxa"/>
            <w:vAlign w:val="bottom"/>
            <w:tcBorders>
              <w:top w:val="single" w:sz="8" w:color="0000EE"/>
            </w:tcBorders>
            <w:gridSpan w:val="15"/>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2040" w:type="dxa"/>
            <w:vAlign w:val="bottom"/>
            <w:gridSpan w:val="2"/>
          </w:tcPr>
          <w:p>
            <w:pPr>
              <w:spacing w:after="0"/>
              <w:rPr>
                <w:sz w:val="21"/>
                <w:szCs w:val="21"/>
                <w:color w:val="auto"/>
              </w:rPr>
            </w:pPr>
          </w:p>
        </w:tc>
        <w:tc>
          <w:tcPr>
            <w:tcW w:w="112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r>
      <w:tr>
        <w:trPr>
          <w:trHeight w:val="20"/>
        </w:trPr>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7440" w:type="dxa"/>
            <w:vAlign w:val="bottom"/>
            <w:gridSpan w:val="14"/>
          </w:tcPr>
          <w:p>
            <w:pPr>
              <w:spacing w:after="0"/>
              <w:rPr>
                <w:rFonts w:ascii="Arial" w:cs="Arial" w:eastAsia="Arial" w:hAnsi="Arial"/>
                <w:sz w:val="18"/>
                <w:szCs w:val="18"/>
                <w:b w:val="1"/>
                <w:bCs w:val="1"/>
                <w:color w:val="0000FF"/>
                <w:w w:val="89"/>
              </w:rPr>
            </w:pPr>
            <w:hyperlink w:anchor="page27">
              <w:r>
                <w:rPr>
                  <w:rFonts w:ascii="Arial" w:cs="Arial" w:eastAsia="Arial" w:hAnsi="Arial"/>
                  <w:sz w:val="18"/>
                  <w:szCs w:val="18"/>
                  <w:b w:val="1"/>
                  <w:bCs w:val="1"/>
                  <w:color w:val="0000FF"/>
                  <w:w w:val="89"/>
                </w:rPr>
                <w:t>Item 2. Management's Discussion and Analysis of Financial Condition and Results of Operations.</w:t>
              </w:r>
            </w:hyperlink>
          </w:p>
        </w:tc>
        <w:tc>
          <w:tcPr>
            <w:tcW w:w="2680" w:type="dxa"/>
            <w:vAlign w:val="bottom"/>
            <w:gridSpan w:val="4"/>
          </w:tcPr>
          <w:p>
            <w:pPr>
              <w:spacing w:after="0"/>
              <w:rPr>
                <w:sz w:val="24"/>
                <w:szCs w:val="24"/>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5280" w:type="dxa"/>
            <w:vAlign w:val="bottom"/>
            <w:gridSpan w:val="12"/>
          </w:tcPr>
          <w:p>
            <w:pPr>
              <w:spacing w:after="0"/>
              <w:rPr>
                <w:rFonts w:ascii="Arial" w:cs="Arial" w:eastAsia="Arial" w:hAnsi="Arial"/>
                <w:sz w:val="18"/>
                <w:szCs w:val="18"/>
                <w:b w:val="1"/>
                <w:bCs w:val="1"/>
                <w:color w:val="0000FF"/>
                <w:w w:val="91"/>
              </w:rPr>
            </w:pPr>
            <w:hyperlink w:anchor="page35">
              <w:r>
                <w:rPr>
                  <w:rFonts w:ascii="Arial" w:cs="Arial" w:eastAsia="Arial" w:hAnsi="Arial"/>
                  <w:sz w:val="18"/>
                  <w:szCs w:val="18"/>
                  <w:b w:val="1"/>
                  <w:bCs w:val="1"/>
                  <w:color w:val="0000FF"/>
                  <w:w w:val="91"/>
                </w:rPr>
                <w:t>Item 3. Quantitative and Qualitative Disclosures About Market Risk.</w:t>
              </w:r>
            </w:hyperlink>
          </w:p>
        </w:tc>
        <w:tc>
          <w:tcPr>
            <w:tcW w:w="2160" w:type="dxa"/>
            <w:vAlign w:val="bottom"/>
            <w:gridSpan w:val="2"/>
          </w:tcPr>
          <w:p>
            <w:pPr>
              <w:spacing w:after="0"/>
              <w:rPr>
                <w:sz w:val="21"/>
                <w:szCs w:val="21"/>
                <w:color w:val="auto"/>
              </w:rPr>
            </w:pPr>
          </w:p>
        </w:tc>
        <w:tc>
          <w:tcPr>
            <w:tcW w:w="2680" w:type="dxa"/>
            <w:vAlign w:val="bottom"/>
            <w:gridSpan w:val="4"/>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360" w:type="dxa"/>
            <w:vAlign w:val="bottom"/>
            <w:gridSpan w:val="4"/>
            <w:shd w:val="clear" w:color="auto" w:fill="0000FF"/>
          </w:tcPr>
          <w:p>
            <w:pPr>
              <w:spacing w:after="0" w:line="20" w:lineRule="exact"/>
              <w:rPr>
                <w:sz w:val="1"/>
                <w:szCs w:val="1"/>
                <w:color w:val="auto"/>
              </w:rPr>
            </w:pPr>
          </w:p>
        </w:tc>
        <w:tc>
          <w:tcPr>
            <w:tcW w:w="4840" w:type="dxa"/>
            <w:vAlign w:val="bottom"/>
            <w:gridSpan w:val="6"/>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2520" w:type="dxa"/>
            <w:vAlign w:val="bottom"/>
            <w:gridSpan w:val="7"/>
          </w:tcPr>
          <w:p>
            <w:pPr>
              <w:spacing w:after="0"/>
              <w:rPr>
                <w:rFonts w:ascii="Arial" w:cs="Arial" w:eastAsia="Arial" w:hAnsi="Arial"/>
                <w:sz w:val="18"/>
                <w:szCs w:val="18"/>
                <w:b w:val="1"/>
                <w:bCs w:val="1"/>
                <w:color w:val="0000FF"/>
                <w:w w:val="88"/>
              </w:rPr>
            </w:pPr>
            <w:hyperlink w:anchor="page35">
              <w:r>
                <w:rPr>
                  <w:rFonts w:ascii="Arial" w:cs="Arial" w:eastAsia="Arial" w:hAnsi="Arial"/>
                  <w:sz w:val="18"/>
                  <w:szCs w:val="18"/>
                  <w:b w:val="1"/>
                  <w:bCs w:val="1"/>
                  <w:color w:val="0000FF"/>
                  <w:w w:val="88"/>
                </w:rPr>
                <w:t>Item 4. Controls and Procedures.</w:t>
              </w:r>
            </w:hyperlink>
          </w:p>
        </w:tc>
        <w:tc>
          <w:tcPr>
            <w:tcW w:w="2760" w:type="dxa"/>
            <w:vAlign w:val="bottom"/>
            <w:gridSpan w:val="5"/>
          </w:tcPr>
          <w:p>
            <w:pPr>
              <w:spacing w:after="0"/>
              <w:rPr>
                <w:sz w:val="21"/>
                <w:szCs w:val="21"/>
                <w:color w:val="auto"/>
              </w:rPr>
            </w:pPr>
          </w:p>
        </w:tc>
        <w:tc>
          <w:tcPr>
            <w:tcW w:w="4840" w:type="dxa"/>
            <w:vAlign w:val="bottom"/>
            <w:gridSpan w:val="6"/>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0" w:type="dxa"/>
            <w:vAlign w:val="bottom"/>
            <w:gridSpan w:val="1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0120" w:type="dxa"/>
            <w:vAlign w:val="bottom"/>
            <w:gridSpan w:val="18"/>
          </w:tcPr>
          <w:p>
            <w:pPr>
              <w:spacing w:after="0"/>
              <w:rPr>
                <w:rFonts w:ascii="Arial" w:cs="Arial" w:eastAsia="Arial" w:hAnsi="Arial"/>
                <w:sz w:val="18"/>
                <w:szCs w:val="18"/>
                <w:b w:val="1"/>
                <w:bCs w:val="1"/>
                <w:color w:val="0000FF"/>
              </w:rPr>
            </w:pPr>
            <w:hyperlink w:anchor="page35">
              <w:r>
                <w:rPr>
                  <w:rFonts w:ascii="Arial" w:cs="Arial" w:eastAsia="Arial" w:hAnsi="Arial"/>
                  <w:sz w:val="18"/>
                  <w:szCs w:val="18"/>
                  <w:b w:val="1"/>
                  <w:bCs w:val="1"/>
                  <w:color w:val="0000FF"/>
                </w:rPr>
                <w:t>PART II — OTHER INFORMATION</w:t>
              </w:r>
            </w:hyperlink>
          </w:p>
        </w:tc>
        <w:tc>
          <w:tcPr>
            <w:tcW w:w="1220" w:type="dxa"/>
            <w:vAlign w:val="bottom"/>
            <w:gridSpan w:val="3"/>
          </w:tcPr>
          <w:p>
            <w:pPr>
              <w:jc w:val="right"/>
              <w:spacing w:after="0"/>
              <w:rPr>
                <w:rFonts w:ascii="Arial" w:cs="Arial" w:eastAsia="Arial" w:hAnsi="Arial"/>
                <w:sz w:val="18"/>
                <w:szCs w:val="18"/>
                <w:color w:val="0000FF"/>
              </w:rPr>
            </w:pPr>
            <w:hyperlink w:anchor="page35">
              <w:r>
                <w:rPr>
                  <w:rFonts w:ascii="Arial" w:cs="Arial" w:eastAsia="Arial" w:hAnsi="Arial"/>
                  <w:sz w:val="18"/>
                  <w:szCs w:val="18"/>
                  <w:color w:val="0000FF"/>
                </w:rPr>
                <w:t>34</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7200" w:type="dxa"/>
            <w:vAlign w:val="bottom"/>
            <w:gridSpan w:val="1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2920" w:type="dxa"/>
            <w:vAlign w:val="bottom"/>
            <w:gridSpan w:val="8"/>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1A. Risk Factors.</w:t>
              </w:r>
            </w:hyperlink>
          </w:p>
        </w:tc>
        <w:tc>
          <w:tcPr>
            <w:tcW w:w="7200" w:type="dxa"/>
            <w:vAlign w:val="bottom"/>
            <w:gridSpan w:val="10"/>
          </w:tcPr>
          <w:p>
            <w:pPr>
              <w:spacing w:after="0"/>
              <w:rPr>
                <w:sz w:val="24"/>
                <w:szCs w:val="24"/>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20" w:type="dxa"/>
            <w:vAlign w:val="bottom"/>
            <w:gridSpan w:val="1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700" w:type="dxa"/>
            <w:vAlign w:val="bottom"/>
            <w:gridSpan w:val="6"/>
          </w:tcPr>
          <w:p>
            <w:pPr>
              <w:spacing w:after="0"/>
              <w:rPr>
                <w:rFonts w:ascii="Arial" w:cs="Arial" w:eastAsia="Arial" w:hAnsi="Arial"/>
                <w:sz w:val="18"/>
                <w:szCs w:val="18"/>
                <w:b w:val="1"/>
                <w:bCs w:val="1"/>
                <w:color w:val="0000FF"/>
              </w:rPr>
            </w:pPr>
            <w:hyperlink w:anchor="page36">
              <w:r>
                <w:rPr>
                  <w:rFonts w:ascii="Arial" w:cs="Arial" w:eastAsia="Arial" w:hAnsi="Arial"/>
                  <w:sz w:val="18"/>
                  <w:szCs w:val="18"/>
                  <w:b w:val="1"/>
                  <w:bCs w:val="1"/>
                  <w:color w:val="0000FF"/>
                </w:rPr>
                <w:t>Item 6. Exhibits.</w:t>
              </w:r>
            </w:hyperlink>
          </w:p>
        </w:tc>
        <w:tc>
          <w:tcPr>
            <w:tcW w:w="8420" w:type="dxa"/>
            <w:vAlign w:val="bottom"/>
            <w:gridSpan w:val="12"/>
          </w:tcPr>
          <w:p>
            <w:pPr>
              <w:spacing w:after="0"/>
              <w:rPr>
                <w:sz w:val="21"/>
                <w:szCs w:val="21"/>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6">
              <w:r>
                <w:rPr>
                  <w:rFonts w:ascii="Arial" w:cs="Arial" w:eastAsia="Arial" w:hAnsi="Arial"/>
                  <w:sz w:val="18"/>
                  <w:szCs w:val="18"/>
                  <w:color w:val="0000FF"/>
                </w:rPr>
                <w:t>35</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740" w:type="dxa"/>
            <w:vAlign w:val="bottom"/>
            <w:gridSpan w:val="1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60" w:type="dxa"/>
            <w:vAlign w:val="bottom"/>
          </w:tcPr>
          <w:p>
            <w:pPr>
              <w:spacing w:after="0"/>
              <w:rPr>
                <w:sz w:val="24"/>
                <w:szCs w:val="24"/>
                <w:color w:val="auto"/>
              </w:rPr>
            </w:pPr>
          </w:p>
        </w:tc>
        <w:tc>
          <w:tcPr>
            <w:tcW w:w="1140" w:type="dxa"/>
            <w:vAlign w:val="bottom"/>
            <w:gridSpan w:val="3"/>
          </w:tcPr>
          <w:p>
            <w:pPr>
              <w:spacing w:after="0"/>
              <w:rPr>
                <w:rFonts w:ascii="Arial" w:cs="Arial" w:eastAsia="Arial" w:hAnsi="Arial"/>
                <w:sz w:val="18"/>
                <w:szCs w:val="18"/>
                <w:b w:val="1"/>
                <w:bCs w:val="1"/>
                <w:color w:val="0000FF"/>
                <w:w w:val="94"/>
              </w:rPr>
            </w:pPr>
            <w:hyperlink w:anchor="page37">
              <w:r>
                <w:rPr>
                  <w:rFonts w:ascii="Arial" w:cs="Arial" w:eastAsia="Arial" w:hAnsi="Arial"/>
                  <w:sz w:val="18"/>
                  <w:szCs w:val="18"/>
                  <w:b w:val="1"/>
                  <w:bCs w:val="1"/>
                  <w:color w:val="0000FF"/>
                  <w:w w:val="94"/>
                </w:rPr>
                <w:t>SIGNATURES</w:t>
              </w:r>
            </w:hyperlink>
          </w:p>
        </w:tc>
        <w:tc>
          <w:tcPr>
            <w:tcW w:w="100" w:type="dxa"/>
            <w:vAlign w:val="bottom"/>
          </w:tcPr>
          <w:p>
            <w:pPr>
              <w:spacing w:after="0"/>
              <w:rPr>
                <w:sz w:val="24"/>
                <w:szCs w:val="24"/>
                <w:color w:val="auto"/>
              </w:rPr>
            </w:pPr>
          </w:p>
        </w:tc>
        <w:tc>
          <w:tcPr>
            <w:tcW w:w="8880" w:type="dxa"/>
            <w:vAlign w:val="bottom"/>
            <w:gridSpan w:val="14"/>
          </w:tcPr>
          <w:p>
            <w:pPr>
              <w:spacing w:after="0"/>
              <w:rPr>
                <w:sz w:val="24"/>
                <w:szCs w:val="24"/>
                <w:color w:val="auto"/>
              </w:rPr>
            </w:pPr>
          </w:p>
        </w:tc>
        <w:tc>
          <w:tcPr>
            <w:tcW w:w="1220" w:type="dxa"/>
            <w:vAlign w:val="bottom"/>
            <w:gridSpan w:val="3"/>
          </w:tcPr>
          <w:p>
            <w:pPr>
              <w:jc w:val="right"/>
              <w:spacing w:after="0"/>
              <w:rPr>
                <w:rFonts w:ascii="Arial" w:cs="Arial" w:eastAsia="Arial" w:hAnsi="Arial"/>
                <w:sz w:val="18"/>
                <w:szCs w:val="18"/>
                <w:color w:val="0000FF"/>
              </w:rPr>
            </w:pPr>
            <w:hyperlink w:anchor="page37">
              <w:r>
                <w:rPr>
                  <w:rFonts w:ascii="Arial" w:cs="Arial" w:eastAsia="Arial" w:hAnsi="Arial"/>
                  <w:sz w:val="18"/>
                  <w:szCs w:val="18"/>
                  <w:color w:val="0000FF"/>
                </w:rPr>
                <w:t>36</w:t>
              </w:r>
            </w:hyperlink>
          </w:p>
        </w:tc>
      </w:tr>
      <w:tr>
        <w:trPr>
          <w:trHeight w:val="20"/>
        </w:trPr>
        <w:tc>
          <w:tcPr>
            <w:tcW w:w="60" w:type="dxa"/>
            <w:vAlign w:val="bottom"/>
            <w:tcBorders>
              <w:right w:val="single" w:sz="8" w:color="0000FF"/>
            </w:tcBorders>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740" w:type="dxa"/>
            <w:vAlign w:val="bottom"/>
            <w:gridSpan w:val="1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120" w:type="dxa"/>
            <w:vAlign w:val="bottom"/>
            <w:gridSpan w:val="18"/>
          </w:tcPr>
          <w:p>
            <w:pPr>
              <w:spacing w:after="0"/>
              <w:rPr>
                <w:rFonts w:ascii="Arial" w:cs="Arial" w:eastAsia="Arial" w:hAnsi="Arial"/>
                <w:sz w:val="18"/>
                <w:szCs w:val="18"/>
                <w:b w:val="1"/>
                <w:bCs w:val="1"/>
                <w:color w:val="0000FF"/>
              </w:rPr>
            </w:pPr>
            <w:hyperlink w:anchor="page38">
              <w:r>
                <w:rPr>
                  <w:rFonts w:ascii="Arial" w:cs="Arial" w:eastAsia="Arial" w:hAnsi="Arial"/>
                  <w:sz w:val="18"/>
                  <w:szCs w:val="18"/>
                  <w:b w:val="1"/>
                  <w:bCs w:val="1"/>
                  <w:color w:val="0000FF"/>
                </w:rPr>
                <w:t>EXHIBIT INDEX</w:t>
              </w:r>
            </w:hyperlink>
          </w:p>
        </w:tc>
        <w:tc>
          <w:tcPr>
            <w:tcW w:w="1220" w:type="dxa"/>
            <w:vAlign w:val="bottom"/>
            <w:gridSpan w:val="3"/>
          </w:tcPr>
          <w:p>
            <w:pPr>
              <w:jc w:val="right"/>
              <w:spacing w:after="0"/>
              <w:rPr>
                <w:rFonts w:ascii="Arial" w:cs="Arial" w:eastAsia="Arial" w:hAnsi="Arial"/>
                <w:sz w:val="18"/>
                <w:szCs w:val="18"/>
                <w:color w:val="0000FF"/>
              </w:rPr>
            </w:pPr>
            <w:hyperlink w:anchor="page38">
              <w:r>
                <w:rPr>
                  <w:rFonts w:ascii="Arial" w:cs="Arial" w:eastAsia="Arial" w:hAnsi="Arial"/>
                  <w:sz w:val="18"/>
                  <w:szCs w:val="18"/>
                  <w:color w:val="0000FF"/>
                </w:rPr>
                <w:t>37</w:t>
              </w:r>
            </w:hyperlink>
          </w:p>
        </w:tc>
      </w:tr>
      <w:tr>
        <w:trPr>
          <w:trHeight w:val="507"/>
        </w:trPr>
        <w:tc>
          <w:tcPr>
            <w:tcW w:w="60" w:type="dxa"/>
            <w:vAlign w:val="bottom"/>
          </w:tcPr>
          <w:p>
            <w:pPr>
              <w:spacing w:after="0"/>
              <w:rPr>
                <w:sz w:val="24"/>
                <w:szCs w:val="24"/>
                <w:color w:val="auto"/>
              </w:rPr>
            </w:pPr>
          </w:p>
        </w:tc>
        <w:tc>
          <w:tcPr>
            <w:tcW w:w="1380" w:type="dxa"/>
            <w:vAlign w:val="bottom"/>
            <w:tcBorders>
              <w:top w:val="single" w:sz="8" w:color="0000FF"/>
            </w:tcBorders>
            <w:gridSpan w:val="5"/>
          </w:tcPr>
          <w:p>
            <w:pPr>
              <w:spacing w:after="0"/>
              <w:rPr>
                <w:sz w:val="24"/>
                <w:szCs w:val="24"/>
                <w:color w:val="auto"/>
              </w:rPr>
            </w:pPr>
          </w:p>
        </w:tc>
        <w:tc>
          <w:tcPr>
            <w:tcW w:w="6060" w:type="dxa"/>
            <w:vAlign w:val="bottom"/>
            <w:gridSpan w:val="9"/>
          </w:tcPr>
          <w:p>
            <w:pPr>
              <w:jc w:val="center"/>
              <w:ind w:left="2390"/>
              <w:spacing w:after="0"/>
              <w:rPr>
                <w:sz w:val="20"/>
                <w:szCs w:val="20"/>
                <w:color w:val="auto"/>
              </w:rPr>
            </w:pPr>
            <w:r>
              <w:rPr>
                <w:rFonts w:ascii="Arial" w:cs="Arial" w:eastAsia="Arial" w:hAnsi="Arial"/>
                <w:sz w:val="18"/>
                <w:szCs w:val="18"/>
                <w:color w:val="auto"/>
                <w:w w:val="99"/>
              </w:rPr>
              <w:t>2</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2016</w:t>
            </w:r>
          </w:p>
        </w:tc>
        <w:tc>
          <w:tcPr>
            <w:tcW w:w="280" w:type="dxa"/>
            <w:vAlign w:val="bottom"/>
          </w:tcPr>
          <w:p>
            <w:pPr>
              <w:spacing w:after="0"/>
              <w:rPr>
                <w:sz w:val="16"/>
                <w:szCs w:val="16"/>
                <w:color w:val="auto"/>
              </w:rPr>
            </w:pPr>
          </w:p>
        </w:tc>
        <w:tc>
          <w:tcPr>
            <w:tcW w:w="1420" w:type="dxa"/>
            <w:vAlign w:val="bottom"/>
          </w:tcPr>
          <w:p>
            <w:pPr>
              <w:jc w:val="right"/>
              <w:ind w:right="371"/>
              <w:spacing w:after="0"/>
              <w:rPr>
                <w:sz w:val="20"/>
                <w:szCs w:val="20"/>
                <w:color w:val="auto"/>
              </w:rPr>
            </w:pPr>
            <w:r>
              <w:rPr>
                <w:rFonts w:ascii="Arial" w:cs="Arial" w:eastAsia="Arial" w:hAnsi="Arial"/>
                <w:sz w:val="14"/>
                <w:szCs w:val="14"/>
                <w:b w:val="1"/>
                <w:bCs w:val="1"/>
                <w:color w:val="auto"/>
              </w:rPr>
              <w:t>April 2, 2016</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18"/>
                <w:szCs w:val="18"/>
                <w:i w:val="1"/>
                <w:iCs w:val="1"/>
                <w:color w:val="auto"/>
              </w:rPr>
              <w:t>(Note 7)</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433,034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425,881</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8"/>
                <w:szCs w:val="18"/>
                <w:i w:val="1"/>
                <w:iCs w:val="1"/>
                <w:color w:val="auto"/>
              </w:rPr>
              <w:t>(Note 7)</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13,873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186,808</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receivable, less allowance of $171 and $143 as of July 2, 2016 and April 2, 2016,</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400,679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316,356</w:t>
            </w:r>
          </w:p>
        </w:tc>
      </w:tr>
      <w:tr>
        <w:trPr>
          <w:trHeight w:val="243"/>
        </w:trPr>
        <w:tc>
          <w:tcPr>
            <w:tcW w:w="7900" w:type="dxa"/>
            <w:vAlign w:val="bottom"/>
          </w:tcPr>
          <w:p>
            <w:pPr>
              <w:ind w:left="36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8"/>
                <w:szCs w:val="18"/>
                <w:i w:val="1"/>
                <w:iCs w:val="1"/>
                <w:color w:val="auto"/>
              </w:rPr>
              <w:t>(Note 3)</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455,771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427,551</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68,329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63,850</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Other receivables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69,871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47,380</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43,863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41,384</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1,485,420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1,509,210</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Property and equipment, net of accumulated depreciation of $779,610 at July 2, 2016 and $751,898 at April</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2, 2016</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1,160,953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1,046,888</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8"/>
                <w:szCs w:val="18"/>
                <w:i w:val="1"/>
                <w:iCs w:val="1"/>
                <w:color w:val="auto"/>
              </w:rPr>
              <w:t>(Note 4)</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2,174,639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2,135,697</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Intangible assets, net of accumulated amortization of $882,291 at July 2, 2016 and $763,640 at April 2,</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2016 </w:t>
            </w:r>
            <w:r>
              <w:rPr>
                <w:rFonts w:ascii="Arial" w:cs="Arial" w:eastAsia="Arial" w:hAnsi="Arial"/>
                <w:sz w:val="18"/>
                <w:szCs w:val="18"/>
                <w:i w:val="1"/>
                <w:iCs w:val="1"/>
                <w:color w:val="auto"/>
              </w:rPr>
              <w:t>(Note 4)</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1,775,937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1,812,515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Long-term investments </w:t>
            </w:r>
            <w:r>
              <w:rPr>
                <w:rFonts w:ascii="Arial" w:cs="Arial" w:eastAsia="Arial" w:hAnsi="Arial"/>
                <w:sz w:val="18"/>
                <w:szCs w:val="18"/>
                <w:i w:val="1"/>
                <w:iCs w:val="1"/>
                <w:color w:val="auto"/>
              </w:rPr>
              <w:t>(Note 7)</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26,050</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65,038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66,459</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6,687,987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6,596,819</w:t>
            </w:r>
          </w:p>
        </w:tc>
      </w:tr>
      <w:tr>
        <w:trPr>
          <w:trHeight w:val="67"/>
        </w:trPr>
        <w:tc>
          <w:tcPr>
            <w:tcW w:w="79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r>
      <w:tr>
        <w:trPr>
          <w:trHeight w:val="231"/>
        </w:trPr>
        <w:tc>
          <w:tcPr>
            <w:tcW w:w="790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263,478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205,364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142,509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137,889</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14,346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30,548</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420,333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373,801</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8"/>
                <w:szCs w:val="18"/>
                <w:i w:val="1"/>
                <w:iCs w:val="1"/>
                <w:color w:val="auto"/>
              </w:rPr>
              <w:t>(Note 5)</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988,372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988,130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Deferred tax liabilities </w:t>
            </w:r>
            <w:r>
              <w:rPr>
                <w:rFonts w:ascii="Arial" w:cs="Arial" w:eastAsia="Arial" w:hAnsi="Arial"/>
                <w:sz w:val="18"/>
                <w:szCs w:val="18"/>
                <w:i w:val="1"/>
                <w:iCs w:val="1"/>
                <w:color w:val="auto"/>
              </w:rPr>
              <w:t>(Note 6)</w:t>
            </w:r>
          </w:p>
        </w:tc>
        <w:tc>
          <w:tcPr>
            <w:tcW w:w="30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163,644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152,160</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82,062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83,056</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1,654,411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1,597,147</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Preferred stock, $.0001 par value; 5,000 shares authorized; no shares issued and outstanding</w:t>
            </w:r>
          </w:p>
        </w:tc>
        <w:tc>
          <w:tcPr>
            <w:tcW w:w="3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Common stock and additional paid-in capital, $.0001 par value; 405,000 shares authorized; 127,817</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and 127,386 shares issued and outstanding at July 2, 2016 and April 2, 2016,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5,483,200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5,442,613</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Accumulated other comprehensive loss, net of tax</w:t>
            </w: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(3,133)</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(445,483)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(439,808)</w:t>
            </w:r>
          </w:p>
        </w:tc>
      </w:tr>
      <w:tr>
        <w:trPr>
          <w:trHeight w:val="237"/>
        </w:trPr>
        <w:tc>
          <w:tcPr>
            <w:tcW w:w="7900" w:type="dxa"/>
            <w:vAlign w:val="bottom"/>
          </w:tcPr>
          <w:p>
            <w:pPr>
              <w:ind w:left="18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5,033,576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4,999,672</w:t>
            </w:r>
          </w:p>
        </w:tc>
      </w:tr>
      <w:tr>
        <w:trPr>
          <w:trHeight w:val="27"/>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6,687,987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6,596,819</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2, 2016</w:t>
            </w:r>
          </w:p>
        </w:tc>
        <w:tc>
          <w:tcPr>
            <w:tcW w:w="260" w:type="dxa"/>
            <w:vAlign w:val="bottom"/>
          </w:tcPr>
          <w:p>
            <w:pPr>
              <w:spacing w:after="0"/>
              <w:rPr>
                <w:sz w:val="22"/>
                <w:szCs w:val="22"/>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27, 2015</w:t>
            </w:r>
          </w:p>
        </w:tc>
        <w:tc>
          <w:tcPr>
            <w:tcW w:w="0" w:type="dxa"/>
            <w:vAlign w:val="bottom"/>
          </w:tcPr>
          <w:p>
            <w:pPr>
              <w:spacing w:after="0"/>
              <w:rPr>
                <w:sz w:val="1"/>
                <w:szCs w:val="1"/>
                <w:color w:val="auto"/>
              </w:rPr>
            </w:pP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698,537</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673,641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422,062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394,124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276,475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279,517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117,137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117,210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Marketing and selling</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109,036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109,645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36,083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10,002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17,914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270,734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280,852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5,741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8"/>
                <w:szCs w:val="18"/>
                <w:i w:val="1"/>
                <w:iCs w:val="1"/>
                <w:color w:val="auto"/>
              </w:rPr>
              <w:t>(Note 5)</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4,119</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18"/>
        </w:trPr>
        <w:tc>
          <w:tcPr>
            <w:tcW w:w="79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2,628</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Income tax benefit (expense) </w:t>
            </w:r>
            <w:r>
              <w:rPr>
                <w:rFonts w:ascii="Arial" w:cs="Arial" w:eastAsia="Arial" w:hAnsi="Arial"/>
                <w:sz w:val="18"/>
                <w:szCs w:val="18"/>
                <w:i w:val="1"/>
                <w:iCs w:val="1"/>
                <w:color w:val="auto"/>
              </w:rPr>
              <w:t>(Note 6)</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Net (loss) income per share </w:t>
            </w:r>
            <w:r>
              <w:rPr>
                <w:rFonts w:ascii="Arial" w:cs="Arial" w:eastAsia="Arial" w:hAnsi="Arial"/>
                <w:sz w:val="18"/>
                <w:szCs w:val="18"/>
                <w:i w:val="1"/>
                <w:iCs w:val="1"/>
                <w:color w:val="auto"/>
              </w:rPr>
              <w:t>(Note 2):</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0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7"/>
        </w:trPr>
        <w:tc>
          <w:tcPr>
            <w:tcW w:w="79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 xml:space="preserve">Weighted average shares of common stock outstanding </w:t>
            </w:r>
            <w:r>
              <w:rPr>
                <w:rFonts w:ascii="Arial" w:cs="Arial" w:eastAsia="Arial" w:hAnsi="Arial"/>
                <w:sz w:val="18"/>
                <w:szCs w:val="18"/>
                <w:i w:val="1"/>
                <w:iCs w:val="1"/>
                <w:color w:val="auto"/>
              </w:rPr>
              <w:t>(Note 2):</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127,541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149,322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127,541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154,461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2, 2016</w:t>
            </w:r>
          </w:p>
        </w:tc>
        <w:tc>
          <w:tcPr>
            <w:tcW w:w="240" w:type="dxa"/>
            <w:vAlign w:val="bottom"/>
          </w:tcPr>
          <w:p>
            <w:pPr>
              <w:spacing w:after="0"/>
              <w:rPr>
                <w:sz w:val="22"/>
                <w:szCs w:val="22"/>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27, 2015</w:t>
            </w:r>
          </w:p>
        </w:tc>
      </w:tr>
      <w:tr>
        <w:trPr>
          <w:trHeight w:val="27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r>
      <w:tr>
        <w:trPr>
          <w:trHeight w:val="223"/>
        </w:trPr>
        <w:tc>
          <w:tcPr>
            <w:tcW w:w="8000" w:type="dxa"/>
            <w:vAlign w:val="bottom"/>
          </w:tcPr>
          <w:p>
            <w:pPr>
              <w:ind w:left="4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41"/>
        </w:trPr>
        <w:tc>
          <w:tcPr>
            <w:tcW w:w="8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812</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9"/>
        </w:trPr>
        <w:tc>
          <w:tcPr>
            <w:tcW w:w="8000" w:type="dxa"/>
            <w:vAlign w:val="bottom"/>
          </w:tcPr>
          <w:p>
            <w:pPr>
              <w:ind w:left="180"/>
              <w:spacing w:after="0"/>
              <w:rPr>
                <w:sz w:val="20"/>
                <w:szCs w:val="20"/>
                <w:color w:val="auto"/>
              </w:rPr>
            </w:pPr>
            <w:r>
              <w:rPr>
                <w:rFonts w:ascii="Arial" w:cs="Arial" w:eastAsia="Arial" w:hAnsi="Arial"/>
                <w:sz w:val="18"/>
                <w:szCs w:val="18"/>
                <w:color w:val="auto"/>
                <w:w w:val="94"/>
              </w:rPr>
              <w:t>Foreign currency translation adjustment, including intra-entity foreign currency transactions that are of a</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00" w:type="dxa"/>
            <w:vAlign w:val="bottom"/>
          </w:tcPr>
          <w:p>
            <w:pPr>
              <w:ind w:left="340"/>
              <w:spacing w:after="0"/>
              <w:rPr>
                <w:sz w:val="20"/>
                <w:szCs w:val="20"/>
                <w:color w:val="auto"/>
              </w:rPr>
            </w:pPr>
            <w:r>
              <w:rPr>
                <w:rFonts w:ascii="Arial" w:cs="Arial" w:eastAsia="Arial" w:hAnsi="Arial"/>
                <w:sz w:val="18"/>
                <w:szCs w:val="18"/>
                <w:color w:val="auto"/>
              </w:rPr>
              <w:t>long-term-investment nature</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Reclassification adjustments,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120"/>
              <w:spacing w:after="0"/>
              <w:rPr>
                <w:sz w:val="20"/>
                <w:szCs w:val="20"/>
                <w:color w:val="auto"/>
              </w:rPr>
            </w:pPr>
            <w:r>
              <w:rPr>
                <w:rFonts w:ascii="Arial" w:cs="Arial" w:eastAsia="Arial" w:hAnsi="Arial"/>
                <w:sz w:val="18"/>
                <w:szCs w:val="18"/>
                <w:color w:val="auto"/>
              </w:rPr>
              <w:t>Recognized gain on marketable securities</w:t>
            </w:r>
          </w:p>
        </w:tc>
        <w:tc>
          <w:tcPr>
            <w:tcW w:w="280" w:type="dxa"/>
            <w:vAlign w:val="bottom"/>
          </w:tcPr>
          <w:p>
            <w:pPr>
              <w:spacing w:after="0"/>
              <w:rPr>
                <w:sz w:val="21"/>
                <w:szCs w:val="21"/>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(1,928)</w:t>
            </w:r>
          </w:p>
        </w:tc>
        <w:tc>
          <w:tcPr>
            <w:tcW w:w="100" w:type="dxa"/>
            <w:vAlign w:val="bottom"/>
          </w:tcPr>
          <w:p>
            <w:pPr>
              <w:spacing w:after="0"/>
              <w:rPr>
                <w:sz w:val="21"/>
                <w:szCs w:val="21"/>
                <w:color w:val="auto"/>
              </w:rPr>
            </w:pPr>
          </w:p>
        </w:tc>
      </w:tr>
      <w:tr>
        <w:trPr>
          <w:trHeight w:val="27"/>
        </w:trPr>
        <w:tc>
          <w:tcPr>
            <w:tcW w:w="8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Amortization of pension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0"/>
                <w:szCs w:val="20"/>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(loss)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8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July 2, 2016</w:t>
            </w:r>
          </w:p>
        </w:tc>
        <w:tc>
          <w:tcPr>
            <w:tcW w:w="280" w:type="dxa"/>
            <w:vAlign w:val="bottom"/>
          </w:tcPr>
          <w:p>
            <w:pPr>
              <w:spacing w:after="0"/>
              <w:rPr>
                <w:sz w:val="22"/>
                <w:szCs w:val="22"/>
                <w:color w:val="auto"/>
              </w:rPr>
            </w:pPr>
          </w:p>
        </w:tc>
        <w:tc>
          <w:tcPr>
            <w:tcW w:w="142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27, 2015</w:t>
            </w:r>
          </w:p>
        </w:tc>
        <w:tc>
          <w:tcPr>
            <w:tcW w:w="0" w:type="dxa"/>
            <w:vAlign w:val="bottom"/>
          </w:tcPr>
          <w:p>
            <w:pPr>
              <w:spacing w:after="0"/>
              <w:rPr>
                <w:sz w:val="1"/>
                <w:szCs w:val="1"/>
                <w:color w:val="auto"/>
              </w:rPr>
            </w:pPr>
          </w:p>
        </w:tc>
      </w:tr>
      <w:tr>
        <w:trPr>
          <w:trHeight w:val="250"/>
        </w:trPr>
        <w:tc>
          <w:tcPr>
            <w:tcW w:w="8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(5,675)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46,352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42,738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and other non-cash items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119,735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123,121</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3,849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Loss (income) on investments and other assets, net</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(3,551)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30,594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48,170</w:t>
            </w:r>
          </w:p>
        </w:tc>
        <w:tc>
          <w:tcPr>
            <w:tcW w:w="0" w:type="dxa"/>
            <w:vAlign w:val="bottom"/>
          </w:tcPr>
          <w:p>
            <w:pPr>
              <w:spacing w:after="0"/>
              <w:rPr>
                <w:sz w:val="1"/>
                <w:szCs w:val="1"/>
                <w:color w:val="auto"/>
              </w:rPr>
            </w:pPr>
          </w:p>
        </w:tc>
      </w:tr>
      <w:tr>
        <w:trPr>
          <w:trHeight w:val="243"/>
        </w:trPr>
        <w:tc>
          <w:tcPr>
            <w:tcW w:w="8000" w:type="dxa"/>
            <w:vAlign w:val="bottom"/>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(54,245)</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(30,270)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(21,606)</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and non-current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23,010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22,631</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 (recoverable) / payable</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(5,630)</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(6,557)</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59,389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141,432</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(89,395)</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 xml:space="preserve">Purchase of a business </w:t>
            </w:r>
            <w:r>
              <w:rPr>
                <w:rFonts w:ascii="Arial" w:cs="Arial" w:eastAsia="Arial" w:hAnsi="Arial"/>
                <w:sz w:val="18"/>
                <w:szCs w:val="18"/>
                <w:i w:val="1"/>
                <w:iCs w:val="1"/>
                <w:color w:val="auto"/>
              </w:rPr>
              <w:t>(Note 4)</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(117,498)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Purchase of available-for-sale securities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(86,145)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172,920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100,263</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(75,001)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(75,137)</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the issuance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25,962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18,386</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Repurchase of common stock, including transaction costs</w:t>
            </w:r>
          </w:p>
        </w:tc>
        <w:tc>
          <w:tcPr>
            <w:tcW w:w="30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(50,009)</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(7,504)</w:t>
            </w:r>
          </w:p>
        </w:tc>
        <w:tc>
          <w:tcPr>
            <w:tcW w:w="0" w:type="dxa"/>
            <w:vAlign w:val="bottom"/>
          </w:tcPr>
          <w:p>
            <w:pPr>
              <w:spacing w:after="0"/>
              <w:rPr>
                <w:sz w:val="1"/>
                <w:szCs w:val="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Restricted cash associated with financing activities</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financing</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23,154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(40,473)</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0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3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7,153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25,788</w:t>
            </w:r>
          </w:p>
        </w:tc>
        <w:tc>
          <w:tcPr>
            <w:tcW w:w="0" w:type="dxa"/>
            <w:vAlign w:val="bottom"/>
          </w:tcPr>
          <w:p>
            <w:pPr>
              <w:spacing w:after="0"/>
              <w:rPr>
                <w:sz w:val="1"/>
                <w:szCs w:val="1"/>
                <w:color w:val="auto"/>
              </w:rPr>
            </w:pPr>
          </w:p>
        </w:tc>
      </w:tr>
      <w:tr>
        <w:trPr>
          <w:trHeight w:val="243"/>
        </w:trPr>
        <w:tc>
          <w:tcPr>
            <w:tcW w:w="800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the period</w:t>
            </w:r>
          </w:p>
        </w:tc>
        <w:tc>
          <w:tcPr>
            <w:tcW w:w="30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425,881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299,814</w:t>
            </w:r>
          </w:p>
        </w:tc>
        <w:tc>
          <w:tcPr>
            <w:tcW w:w="0" w:type="dxa"/>
            <w:vAlign w:val="bottom"/>
          </w:tcPr>
          <w:p>
            <w:pPr>
              <w:spacing w:after="0"/>
              <w:rPr>
                <w:sz w:val="1"/>
                <w:szCs w:val="1"/>
                <w:color w:val="auto"/>
              </w:rPr>
            </w:pPr>
          </w:p>
        </w:tc>
      </w:tr>
      <w:tr>
        <w:trPr>
          <w:trHeight w:val="27"/>
        </w:trPr>
        <w:tc>
          <w:tcPr>
            <w:tcW w:w="8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the period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433,034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325,602</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Non-cash investing information: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 adjustments included in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6,599</w:t>
            </w:r>
          </w:p>
        </w:tc>
        <w:tc>
          <w:tcPr>
            <w:tcW w:w="0" w:type="dxa"/>
            <w:vAlign w:val="bottom"/>
          </w:tcPr>
          <w:p>
            <w:pPr>
              <w:spacing w:after="0"/>
              <w:rPr>
                <w:sz w:val="1"/>
                <w:szCs w:val="1"/>
                <w:color w:val="auto"/>
              </w:rPr>
            </w:pPr>
          </w:p>
        </w:tc>
      </w:tr>
      <w:tr>
        <w:trPr>
          <w:trHeight w:val="251"/>
        </w:trPr>
        <w:tc>
          <w:tcPr>
            <w:tcW w:w="8300" w:type="dxa"/>
            <w:vAlign w:val="bottom"/>
            <w:gridSpan w:val="2"/>
          </w:tcPr>
          <w:p>
            <w:pPr>
              <w:ind w:left="3260"/>
              <w:spacing w:after="0"/>
              <w:rPr>
                <w:sz w:val="20"/>
                <w:szCs w:val="20"/>
                <w:color w:val="auto"/>
              </w:rPr>
            </w:pPr>
            <w:r>
              <w:rPr>
                <w:rFonts w:ascii="Arial" w:cs="Arial" w:eastAsia="Arial" w:hAnsi="Arial"/>
                <w:sz w:val="16"/>
                <w:szCs w:val="16"/>
                <w:color w:val="auto"/>
                <w:w w:val="92"/>
              </w:rPr>
              <w:t>See accompanying Notes to Condensed Consolidated Financial Statements.</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2"/>
        </w:trPr>
        <w:tc>
          <w:tcPr>
            <w:tcW w:w="8000" w:type="dxa"/>
            <w:vAlign w:val="bottom"/>
          </w:tcPr>
          <w:p>
            <w:pPr>
              <w:ind w:left="566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ind w:right="5680"/>
        <w:spacing w:after="0" w:line="261" w:lineRule="auto"/>
        <w:rPr>
          <w:sz w:val="20"/>
          <w:szCs w:val="20"/>
          <w:color w:val="auto"/>
        </w:rPr>
      </w:pPr>
      <w:r>
        <w:rPr>
          <w:rFonts w:ascii="Arial" w:cs="Arial" w:eastAsia="Arial" w:hAnsi="Arial"/>
          <w:sz w:val="18"/>
          <w:szCs w:val="18"/>
          <w:b w:val="1"/>
          <w:bCs w:val="1"/>
          <w:i w:val="1"/>
          <w:iCs w:val="1"/>
          <w:color w:val="auto"/>
        </w:rPr>
        <w:t xml:space="preserve">NOTES TO CONDENSED CONSOLIDATED FINANCIAL STATEMENTS </w:t>
      </w:r>
      <w:r>
        <w:rPr>
          <w:rFonts w:ascii="Arial" w:cs="Arial" w:eastAsia="Arial" w:hAnsi="Arial"/>
          <w:sz w:val="18"/>
          <w:szCs w:val="18"/>
          <w:color w:val="auto"/>
        </w:rPr>
        <w:t>(Unaudited)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The preparation of these financial statements requires management to make estimates and assumptions, which could differ materially from actual results. In addition, certain information or footnote disclosures normally included in financial statements prepared in accordance with accounting principles generally accepted in the United States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April 2, 2016.</w:t>
      </w:r>
    </w:p>
    <w:p>
      <w:pPr>
        <w:spacing w:after="0" w:line="17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February 22, 2014, RF Micro Devices, Inc. (“RFMD”) entered into an Agreement and Plan of Merger and Reorganization as subsequently amended on July 15, 2014 (the "Merger Agreement"), with TriQuint Semiconductor, Inc. ("TriQuint") providing for the combination of RFMD and TriQuint in a merger of equals (the "Business Combination") under a new holding company named Qorvo, Inc. The transactions contemplated by the Merger Agreement were consummated on January 1, 2015.</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The first fiscal quarter of each year ends on the Saturday closest to June 30, the second fiscal quarter of each year ends on the Saturday closest to September 30 and the third fiscal quarter of each year ends on the Saturday closest to December 31. Fiscal 2017 is a 52-week year and fiscal 2016 was a 53-week year, however, the first quarters of both fiscal years 2017 and 2016 included 13 weeks.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NET (LOSS) INCOME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income per share (in thousands,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7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4"/>
        </w:trPr>
        <w:tc>
          <w:tcPr>
            <w:tcW w:w="7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2016</w:t>
            </w:r>
          </w:p>
        </w:tc>
        <w:tc>
          <w:tcPr>
            <w:tcW w:w="260" w:type="dxa"/>
            <w:vAlign w:val="bottom"/>
          </w:tcPr>
          <w:p>
            <w:pPr>
              <w:spacing w:after="0"/>
              <w:rPr>
                <w:sz w:val="22"/>
                <w:szCs w:val="22"/>
                <w:color w:val="auto"/>
              </w:rPr>
            </w:pPr>
          </w:p>
        </w:tc>
        <w:tc>
          <w:tcPr>
            <w:tcW w:w="1400" w:type="dxa"/>
            <w:vAlign w:val="bottom"/>
          </w:tcPr>
          <w:p>
            <w:pPr>
              <w:jc w:val="right"/>
              <w:ind w:right="333"/>
              <w:spacing w:after="0"/>
              <w:rPr>
                <w:sz w:val="20"/>
                <w:szCs w:val="20"/>
                <w:color w:val="auto"/>
              </w:rPr>
            </w:pPr>
            <w:r>
              <w:rPr>
                <w:rFonts w:ascii="Arial" w:cs="Arial" w:eastAsia="Arial" w:hAnsi="Arial"/>
                <w:sz w:val="14"/>
                <w:szCs w:val="14"/>
                <w:b w:val="1"/>
                <w:bCs w:val="1"/>
                <w:color w:val="auto"/>
              </w:rPr>
              <w:t>June 27, 2015</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8"/>
              </w:rPr>
              <w:t>Numerator for basic and diluted net (loss) income per share — net (loss) income available to</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(5,675)</w:t>
            </w:r>
          </w:p>
        </w:tc>
        <w:tc>
          <w:tcPr>
            <w:tcW w:w="120" w:type="dxa"/>
            <w:vAlign w:val="bottom"/>
          </w:tcPr>
          <w:p>
            <w:pPr>
              <w:spacing w:after="0"/>
              <w:rPr>
                <w:sz w:val="19"/>
                <w:szCs w:val="19"/>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right"/>
              <w:ind w:right="33"/>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77"/>
        </w:trPr>
        <w:tc>
          <w:tcPr>
            <w:tcW w:w="76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common stockholders</w:t>
            </w:r>
          </w:p>
        </w:tc>
        <w:tc>
          <w:tcPr>
            <w:tcW w:w="300" w:type="dxa"/>
            <w:vAlign w:val="bottom"/>
            <w:tcBorders>
              <w:bottom w:val="single" w:sz="8" w:color="auto"/>
            </w:tcBorders>
            <w:vMerge w:val="continue"/>
          </w:tcPr>
          <w:p>
            <w:pPr>
              <w:spacing w:after="0"/>
              <w:rPr>
                <w:sz w:val="24"/>
                <w:szCs w:val="24"/>
                <w:color w:val="auto"/>
              </w:rPr>
            </w:pPr>
          </w:p>
        </w:tc>
        <w:tc>
          <w:tcPr>
            <w:tcW w:w="13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4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Denominator:</w:t>
            </w:r>
          </w:p>
        </w:tc>
        <w:tc>
          <w:tcPr>
            <w:tcW w:w="3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Denominator for basic net (loss) income per share — weighted average shares</w:t>
            </w:r>
          </w:p>
        </w:tc>
        <w:tc>
          <w:tcPr>
            <w:tcW w:w="3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127,541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149,322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3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Stock-based awards</w:t>
            </w:r>
          </w:p>
        </w:tc>
        <w:tc>
          <w:tcPr>
            <w:tcW w:w="30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5,139</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Denominator for diluted net (loss) income per share — adjusted weighted average shares and assumed</w:t>
            </w:r>
          </w:p>
        </w:tc>
        <w:tc>
          <w:tcPr>
            <w:tcW w:w="30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127,541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154,461</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conversions</w:t>
            </w:r>
          </w:p>
        </w:tc>
        <w:tc>
          <w:tcPr>
            <w:tcW w:w="3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color w:val="auto"/>
              </w:rPr>
              <w:t>Basic net (loss) income per share</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60" w:type="dxa"/>
            <w:vAlign w:val="bottom"/>
            <w:vMerge w:val="continue"/>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67"/>
        </w:trPr>
        <w:tc>
          <w:tcPr>
            <w:tcW w:w="766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net (loss) income per share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the computation of diluted net loss per share for the three months ended July 2, 2016, approximately 5.1 million outstanding shares were excluded because the effect of their inclusion would have been anti-dilutive. In the computation of diluted net income per share for the three months ended June 27, 2015, less than 0.1 million shares were excluded because the exercise price of the options was greater than the average market price of the underlying common stock and the effect of their inclusion would have been anti-dilutive.</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Inventories are stated at the lower of cost or market based on standard costs which approximates actual average costs. The components of inventories, net of reserves, are as follows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July 2, 2016</w:t>
            </w:r>
          </w:p>
        </w:tc>
        <w:tc>
          <w:tcPr>
            <w:tcW w:w="180" w:type="dxa"/>
            <w:vAlign w:val="bottom"/>
          </w:tcPr>
          <w:p>
            <w:pPr>
              <w:spacing w:after="0"/>
              <w:rPr>
                <w:sz w:val="16"/>
                <w:szCs w:val="16"/>
                <w:color w:val="auto"/>
              </w:rPr>
            </w:pPr>
          </w:p>
        </w:tc>
        <w:tc>
          <w:tcPr>
            <w:tcW w:w="1120" w:type="dxa"/>
            <w:vAlign w:val="bottom"/>
          </w:tcPr>
          <w:p>
            <w:pPr>
              <w:jc w:val="right"/>
              <w:ind w:right="174"/>
              <w:spacing w:after="0"/>
              <w:rPr>
                <w:sz w:val="20"/>
                <w:szCs w:val="20"/>
                <w:color w:val="auto"/>
              </w:rPr>
            </w:pPr>
            <w:r>
              <w:rPr>
                <w:rFonts w:ascii="Arial" w:cs="Arial" w:eastAsia="Arial" w:hAnsi="Arial"/>
                <w:sz w:val="14"/>
                <w:szCs w:val="14"/>
                <w:b w:val="1"/>
                <w:bCs w:val="1"/>
                <w:color w:val="auto"/>
              </w:rPr>
              <w:t>April 2, 2016</w:t>
            </w:r>
          </w:p>
        </w:tc>
      </w:tr>
      <w:tr>
        <w:trPr>
          <w:trHeight w:val="250"/>
        </w:trPr>
        <w:tc>
          <w:tcPr>
            <w:tcW w:w="6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102,910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89,928</w:t>
            </w:r>
          </w:p>
        </w:tc>
      </w:tr>
      <w:tr>
        <w:trPr>
          <w:trHeight w:val="243"/>
        </w:trPr>
        <w:tc>
          <w:tcPr>
            <w:tcW w:w="638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241,276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228,626</w:t>
            </w:r>
          </w:p>
        </w:tc>
      </w:tr>
      <w:tr>
        <w:trPr>
          <w:trHeight w:val="27"/>
        </w:trPr>
        <w:tc>
          <w:tcPr>
            <w:tcW w:w="6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111,585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108,997</w:t>
            </w:r>
          </w:p>
        </w:tc>
      </w:tr>
      <w:tr>
        <w:trPr>
          <w:trHeight w:val="237"/>
        </w:trPr>
        <w:tc>
          <w:tcPr>
            <w:tcW w:w="6380" w:type="dxa"/>
            <w:vAlign w:val="bottom"/>
          </w:tcPr>
          <w:p>
            <w:pPr>
              <w:ind w:left="38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455,771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427,551</w:t>
            </w:r>
          </w:p>
        </w:tc>
      </w:tr>
      <w:tr>
        <w:trPr>
          <w:trHeight w:val="27"/>
        </w:trPr>
        <w:tc>
          <w:tcPr>
            <w:tcW w:w="6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three months ended July 2, 2016 are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Mobile Products</w:t>
            </w: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Infrastructure and</w:t>
            </w:r>
          </w:p>
        </w:tc>
        <w:tc>
          <w:tcPr>
            <w:tcW w:w="320" w:type="dxa"/>
            <w:vAlign w:val="bottom"/>
          </w:tcPr>
          <w:p>
            <w:pPr>
              <w:spacing w:after="0"/>
              <w:rPr>
                <w:sz w:val="14"/>
                <w:szCs w:val="1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Defense Products</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Balance as of April 2,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1,751,503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384,194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2,135,697</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Goodwill resulting from GreenPeak</w:t>
            </w:r>
          </w:p>
        </w:tc>
        <w:tc>
          <w:tcPr>
            <w:tcW w:w="14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39,124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39,124</w:t>
            </w: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57"/>
        </w:trPr>
        <w:tc>
          <w:tcPr>
            <w:tcW w:w="5000" w:type="dxa"/>
            <w:vAlign w:val="bottom"/>
          </w:tcPr>
          <w:p>
            <w:pPr>
              <w:ind w:left="40"/>
              <w:spacing w:after="0"/>
              <w:rPr>
                <w:sz w:val="20"/>
                <w:szCs w:val="20"/>
                <w:color w:val="auto"/>
              </w:rPr>
            </w:pPr>
            <w:r>
              <w:rPr>
                <w:rFonts w:ascii="Arial" w:cs="Arial" w:eastAsia="Arial" w:hAnsi="Arial"/>
                <w:sz w:val="18"/>
                <w:szCs w:val="18"/>
                <w:color w:val="auto"/>
              </w:rPr>
              <w:t>Balance at July 2, 2016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1,751,503</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423,136</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2,174,639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On April 29, 2016, the Company completed the acquisition of GreenPeak Technologies ("GreenPeak"), a leader in ultra-low power, short range radio frequency ("RF") communication technology for a purchase price of $118.7 million. The acquisition expanded the Company's customer offering to include highly integrated RF solutions and systems-on-a-chip ("SoCs") for the connected home and the rapidly growing Internet of Things ("IoT"). The acquisition resulted in initial goodwill of $39.1 million and an increase in intangible assets of $82.1 million. The more significant intangibles assets acquired included developed technology of $74.2 million (being amortized over 7 years) and customer relationships of $5.6 million (being amortized over 3 years).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regarding the gross carrying amounts and accumulated amortization of intangibles assets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1013"/>
              <w:spacing w:after="0"/>
              <w:rPr>
                <w:sz w:val="20"/>
                <w:szCs w:val="20"/>
                <w:color w:val="auto"/>
              </w:rPr>
            </w:pPr>
            <w:r>
              <w:rPr>
                <w:rFonts w:ascii="Arial" w:cs="Arial" w:eastAsia="Arial" w:hAnsi="Arial"/>
                <w:sz w:val="14"/>
                <w:szCs w:val="14"/>
                <w:b w:val="1"/>
                <w:bCs w:val="1"/>
                <w:color w:val="auto"/>
              </w:rPr>
              <w:t>July 2, 2016</w:t>
            </w: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953"/>
              <w:spacing w:after="0"/>
              <w:rPr>
                <w:sz w:val="20"/>
                <w:szCs w:val="20"/>
                <w:color w:val="auto"/>
              </w:rPr>
            </w:pPr>
            <w:r>
              <w:rPr>
                <w:rFonts w:ascii="Arial" w:cs="Arial" w:eastAsia="Arial" w:hAnsi="Arial"/>
                <w:sz w:val="14"/>
                <w:szCs w:val="14"/>
                <w:b w:val="1"/>
                <w:bCs w:val="1"/>
                <w:color w:val="auto"/>
              </w:rPr>
              <w:t>April 2, 2016</w:t>
            </w:r>
          </w:p>
        </w:tc>
        <w:tc>
          <w:tcPr>
            <w:tcW w:w="0" w:type="dxa"/>
            <w:vAlign w:val="bottom"/>
          </w:tcPr>
          <w:p>
            <w:pPr>
              <w:spacing w:after="0"/>
              <w:rPr>
                <w:sz w:val="1"/>
                <w:szCs w:val="1"/>
                <w:color w:val="auto"/>
              </w:rPr>
            </w:pPr>
          </w:p>
        </w:tc>
      </w:tr>
      <w:tr>
        <w:trPr>
          <w:trHeight w:val="152"/>
        </w:trPr>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jc w:val="center"/>
              <w:ind w:right="236"/>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2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3"/>
                <w:szCs w:val="13"/>
                <w:color w:val="auto"/>
              </w:rPr>
            </w:pPr>
          </w:p>
        </w:tc>
        <w:tc>
          <w:tcPr>
            <w:tcW w:w="1160" w:type="dxa"/>
            <w:vAlign w:val="bottom"/>
          </w:tcPr>
          <w:p>
            <w:pPr>
              <w:jc w:val="center"/>
              <w:ind w:right="236"/>
              <w:spacing w:after="0" w:line="153" w:lineRule="exact"/>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3"/>
                <w:szCs w:val="13"/>
                <w:color w:val="auto"/>
              </w:rPr>
            </w:pPr>
          </w:p>
        </w:tc>
        <w:tc>
          <w:tcPr>
            <w:tcW w:w="12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center"/>
              <w:ind w:right="236"/>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Amortization</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Intangible Assets: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380"/>
              <w:spacing w:after="0"/>
              <w:rPr>
                <w:sz w:val="20"/>
                <w:szCs w:val="20"/>
                <w:color w:val="auto"/>
              </w:rPr>
            </w:pPr>
            <w:r>
              <w:rPr>
                <w:rFonts w:ascii="Arial" w:cs="Arial" w:eastAsia="Arial" w:hAnsi="Arial"/>
                <w:sz w:val="18"/>
                <w:szCs w:val="18"/>
                <w:color w:val="auto"/>
                <w:w w:val="93"/>
              </w:rPr>
              <w:t>In-process research and 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267,000</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N/A</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267,000</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Technology licenses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13,346</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11,172</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12,446</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11,021</w:t>
            </w:r>
          </w:p>
        </w:tc>
        <w:tc>
          <w:tcPr>
            <w:tcW w:w="0" w:type="dxa"/>
            <w:vAlign w:val="bottom"/>
          </w:tcPr>
          <w:p>
            <w:pPr>
              <w:spacing w:after="0"/>
              <w:rPr>
                <w:sz w:val="1"/>
                <w:szCs w:val="1"/>
                <w:color w:val="auto"/>
              </w:rPr>
            </w:pPr>
          </w:p>
        </w:tc>
      </w:tr>
      <w:tr>
        <w:trPr>
          <w:trHeight w:val="243"/>
        </w:trPr>
        <w:tc>
          <w:tcPr>
            <w:tcW w:w="3240" w:type="dxa"/>
            <w:vAlign w:val="bottom"/>
          </w:tcPr>
          <w:p>
            <w:pPr>
              <w:ind w:left="38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1,272,725</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447,072</w:t>
            </w:r>
          </w:p>
        </w:tc>
        <w:tc>
          <w:tcPr>
            <w:tcW w:w="3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1,267,103</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377,357</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Developed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989,335</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323,989</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915,163</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277,736</w:t>
            </w:r>
          </w:p>
        </w:tc>
        <w:tc>
          <w:tcPr>
            <w:tcW w:w="0" w:type="dxa"/>
            <w:vAlign w:val="bottom"/>
          </w:tcPr>
          <w:p>
            <w:pPr>
              <w:spacing w:after="0"/>
              <w:rPr>
                <w:sz w:val="1"/>
                <w:szCs w:val="1"/>
                <w:color w:val="auto"/>
              </w:rPr>
            </w:pPr>
          </w:p>
        </w:tc>
      </w:tr>
      <w:tr>
        <w:trPr>
          <w:trHeight w:val="243"/>
        </w:trPr>
        <w:tc>
          <w:tcPr>
            <w:tcW w:w="3240" w:type="dxa"/>
            <w:vAlign w:val="bottom"/>
          </w:tcPr>
          <w:p>
            <w:pPr>
              <w:ind w:left="380"/>
              <w:spacing w:after="0"/>
              <w:rPr>
                <w:sz w:val="20"/>
                <w:szCs w:val="20"/>
                <w:color w:val="auto"/>
              </w:rPr>
            </w:pPr>
            <w:r>
              <w:rPr>
                <w:rFonts w:ascii="Arial" w:cs="Arial" w:eastAsia="Arial" w:hAnsi="Arial"/>
                <w:sz w:val="18"/>
                <w:szCs w:val="18"/>
                <w:color w:val="auto"/>
              </w:rPr>
              <w:t>Wafer supply agreement</w:t>
            </w:r>
          </w:p>
        </w:tc>
        <w:tc>
          <w:tcPr>
            <w:tcW w:w="28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20,443</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20,443</w:t>
            </w:r>
          </w:p>
        </w:tc>
        <w:tc>
          <w:tcPr>
            <w:tcW w:w="3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20,443</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20,443</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Trade names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29,353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14,529</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29,000</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12,083</w:t>
            </w:r>
          </w:p>
        </w:tc>
        <w:tc>
          <w:tcPr>
            <w:tcW w:w="0" w:type="dxa"/>
            <w:vAlign w:val="bottom"/>
          </w:tcPr>
          <w:p>
            <w:pPr>
              <w:spacing w:after="0"/>
              <w:rPr>
                <w:sz w:val="1"/>
                <w:szCs w:val="1"/>
                <w:color w:val="auto"/>
              </w:rPr>
            </w:pPr>
          </w:p>
        </w:tc>
      </w:tr>
      <w:tr>
        <w:trPr>
          <w:trHeight w:val="243"/>
        </w:trPr>
        <w:tc>
          <w:tcPr>
            <w:tcW w:w="3240" w:type="dxa"/>
            <w:vAlign w:val="bottom"/>
          </w:tcPr>
          <w:p>
            <w:pPr>
              <w:ind w:left="360"/>
              <w:spacing w:after="0"/>
              <w:rPr>
                <w:sz w:val="20"/>
                <w:szCs w:val="20"/>
                <w:color w:val="auto"/>
              </w:rPr>
            </w:pPr>
            <w:r>
              <w:rPr>
                <w:rFonts w:ascii="Arial" w:cs="Arial" w:eastAsia="Arial" w:hAnsi="Arial"/>
                <w:sz w:val="18"/>
                <w:szCs w:val="18"/>
                <w:color w:val="auto"/>
              </w:rPr>
              <w:t>Backlog</w:t>
            </w:r>
          </w:p>
        </w:tc>
        <w:tc>
          <w:tcPr>
            <w:tcW w:w="28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65,000</w:t>
            </w:r>
          </w:p>
        </w:tc>
        <w:tc>
          <w:tcPr>
            <w:tcW w:w="26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65,000</w:t>
            </w:r>
          </w:p>
        </w:tc>
        <w:tc>
          <w:tcPr>
            <w:tcW w:w="3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65,000</w:t>
            </w: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shd w:val="clear" w:color="auto" w:fill="CCEEFF"/>
              </w:rPr>
              <w:t>Non-compete agreement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1,026</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2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2,658,228</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882,291</w:t>
            </w:r>
          </w:p>
        </w:tc>
        <w:tc>
          <w:tcPr>
            <w:tcW w:w="3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2,576,155</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763,640</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33"/>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21" w:right="39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Total intangible assets amortization expense was $119.4 million for the three months ended July 2, 2016 and $123.2 million for the three months ended June 27, 2015.</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provides the Company's estimated amortization expense for intangible assets based on current amortization periods for the periods indicated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6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Year</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3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120" w:type="dxa"/>
            <w:vAlign w:val="bottom"/>
          </w:tcPr>
          <w:p>
            <w:pPr>
              <w:spacing w:after="0"/>
              <w:rPr>
                <w:sz w:val="16"/>
                <w:szCs w:val="16"/>
                <w:color w:val="auto"/>
              </w:rPr>
            </w:pPr>
          </w:p>
        </w:tc>
        <w:tc>
          <w:tcPr>
            <w:tcW w:w="674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Expense</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1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505,502</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gridSpan w:val="2"/>
          </w:tcPr>
          <w:p>
            <w:pPr>
              <w:ind w:left="114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542,634</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455,402</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gridSpan w:val="2"/>
          </w:tcPr>
          <w:p>
            <w:pPr>
              <w:ind w:left="114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206,986</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144,066</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5. DEBT</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60" w:type="dxa"/>
            <w:vAlign w:val="bottom"/>
            <w:gridSpan w:val="2"/>
          </w:tcPr>
          <w:p>
            <w:pPr>
              <w:spacing w:after="0"/>
              <w:rPr>
                <w:sz w:val="20"/>
                <w:szCs w:val="20"/>
                <w:color w:val="auto"/>
              </w:rPr>
            </w:pPr>
            <w:r>
              <w:rPr>
                <w:rFonts w:ascii="Arial" w:cs="Arial" w:eastAsia="Arial" w:hAnsi="Arial"/>
                <w:sz w:val="18"/>
                <w:szCs w:val="18"/>
                <w:color w:val="auto"/>
              </w:rPr>
              <w:t>Debt at July 2, 2016 and April 2, 2016 is as follows (in thousands):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20" w:type="dxa"/>
            <w:vAlign w:val="bottom"/>
            <w:tcBorders>
              <w:bottom w:val="single" w:sz="8" w:color="CCEEFF"/>
            </w:tcBorders>
          </w:tcPr>
          <w:p>
            <w:pPr>
              <w:spacing w:after="0"/>
              <w:rPr>
                <w:sz w:val="24"/>
                <w:szCs w:val="24"/>
                <w:color w:val="auto"/>
              </w:rPr>
            </w:pPr>
          </w:p>
        </w:tc>
        <w:tc>
          <w:tcPr>
            <w:tcW w:w="674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July 2, 2016</w:t>
            </w: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April 2, 2016</w:t>
            </w: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6.75% Senior Notes due 2023</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450,000</w:t>
            </w:r>
          </w:p>
        </w:tc>
        <w:tc>
          <w:tcPr>
            <w:tcW w:w="740" w:type="dxa"/>
            <w:vAlign w:val="bottom"/>
            <w:tcBorders>
              <w:bottom w:val="single" w:sz="8" w:color="CCEEFF"/>
            </w:tcBorders>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43"/>
        </w:trPr>
        <w:tc>
          <w:tcPr>
            <w:tcW w:w="7860" w:type="dxa"/>
            <w:vAlign w:val="bottom"/>
            <w:gridSpan w:val="2"/>
          </w:tcPr>
          <w:p>
            <w:pPr>
              <w:ind w:left="40"/>
              <w:spacing w:after="0"/>
              <w:rPr>
                <w:sz w:val="20"/>
                <w:szCs w:val="20"/>
                <w:color w:val="auto"/>
              </w:rPr>
            </w:pPr>
            <w:r>
              <w:rPr>
                <w:rFonts w:ascii="Arial" w:cs="Arial" w:eastAsia="Arial" w:hAnsi="Arial"/>
                <w:sz w:val="18"/>
                <w:szCs w:val="18"/>
                <w:color w:val="auto"/>
              </w:rPr>
              <w:t>7.00% Senior Notes due 2025</w:t>
            </w:r>
          </w:p>
        </w:tc>
        <w:tc>
          <w:tcPr>
            <w:tcW w:w="320" w:type="dxa"/>
            <w:vAlign w:val="bottom"/>
          </w:tcPr>
          <w:p>
            <w:pPr>
              <w:spacing w:after="0"/>
              <w:rPr>
                <w:sz w:val="21"/>
                <w:szCs w:val="21"/>
                <w:color w:val="auto"/>
              </w:rPr>
            </w:pPr>
          </w:p>
        </w:tc>
        <w:tc>
          <w:tcPr>
            <w:tcW w:w="1400" w:type="dxa"/>
            <w:vAlign w:val="bottom"/>
            <w:gridSpan w:val="2"/>
          </w:tcPr>
          <w:p>
            <w:pPr>
              <w:jc w:val="right"/>
              <w:ind w:right="28"/>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550,000</w:t>
            </w:r>
          </w:p>
        </w:tc>
        <w:tc>
          <w:tcPr>
            <w:tcW w:w="0" w:type="dxa"/>
            <w:vAlign w:val="bottom"/>
          </w:tcPr>
          <w:p>
            <w:pPr>
              <w:spacing w:after="0"/>
              <w:rPr>
                <w:sz w:val="1"/>
                <w:szCs w:val="1"/>
                <w:color w:val="auto"/>
              </w:rPr>
            </w:pPr>
          </w:p>
        </w:tc>
      </w:tr>
      <w:tr>
        <w:trPr>
          <w:trHeight w:val="27"/>
        </w:trPr>
        <w:tc>
          <w:tcPr>
            <w:tcW w:w="786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issuance costs</w:t>
            </w:r>
          </w:p>
        </w:tc>
        <w:tc>
          <w:tcPr>
            <w:tcW w:w="3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(11,628)</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(11,870)</w:t>
            </w:r>
          </w:p>
        </w:tc>
        <w:tc>
          <w:tcPr>
            <w:tcW w:w="0" w:type="dxa"/>
            <w:vAlign w:val="bottom"/>
          </w:tcPr>
          <w:p>
            <w:pPr>
              <w:spacing w:after="0"/>
              <w:rPr>
                <w:sz w:val="1"/>
                <w:szCs w:val="1"/>
                <w:color w:val="auto"/>
              </w:rPr>
            </w:pPr>
          </w:p>
        </w:tc>
      </w:tr>
      <w:tr>
        <w:trPr>
          <w:trHeight w:val="257"/>
        </w:trPr>
        <w:tc>
          <w:tcPr>
            <w:tcW w:w="7860" w:type="dxa"/>
            <w:vAlign w:val="bottom"/>
            <w:gridSpan w:val="2"/>
          </w:tcPr>
          <w:p>
            <w:pPr>
              <w:ind w:left="380"/>
              <w:spacing w:after="0"/>
              <w:rPr>
                <w:sz w:val="20"/>
                <w:szCs w:val="20"/>
                <w:color w:val="auto"/>
              </w:rPr>
            </w:pPr>
            <w:r>
              <w:rPr>
                <w:rFonts w:ascii="Arial" w:cs="Arial" w:eastAsia="Arial" w:hAnsi="Arial"/>
                <w:sz w:val="18"/>
                <w:szCs w:val="18"/>
                <w:color w:val="auto"/>
              </w:rPr>
              <w:t>Total long-term debt</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988,372</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988,130</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On November 19, 2015, the Company completed an offering of $450.0 million aggregate principal amount of its 6.75% senior notes due December 1, 2023 (the “2023 Notes”) and $550.0 million aggregate principal amount of its 7.00% senior notes due December 1, 2025 (the “2025 Notes” and, together with the 2023 Notes, the “Notes”). The Notes were sold in the United States to qualified institutional buyers pursuant to Rule 144A under the Securities Act of 1933, as amended (the “Securities Act”), and outside the United States pursuant to Regulation S under the Securities Act. The carrying value of issuance costs related to the Notes is $11.6 million as of July 2, 2016 and $11.9 million as of April 2, 2016, and is presented on the Condensed Consolidated Balance Sheet as a direct deduction of Long-term debt.</w:t>
      </w:r>
    </w:p>
    <w:p>
      <w:pPr>
        <w:spacing w:after="0" w:line="1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Notes were issued pursuant to an indenture, dated as of November 19, 2015 (the “Indenture”), by and among the Company, the Company’s domestic subsidiaries that guarantee the Company’s obligations under its revolving credit facility, as guarantors (the “Guarantors”), and MUFG Union Bank, N.A., as trustee. The Company has used and intends to continue to use the net proceeds of the offering of the Notes for general corporate purposes, including share repurchases and merger and acquisition activity.</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Interest is payable on the 2023 Notes at a rate of 6.75% per annum and on the 2025 Notes at a rate of 7.00% per annum. During the three months ended July 2, 2016, the Company recognized $17.5 million of interest expense related to the Notes which was offset by $3.0 million of interest capitalized to property and equipment. Interest on both series of Notes is payable semi-annually on June 1 and December 1 of each year, and commenced on June 1, 2016. Interest paid on the Notes during the three months ended July 2, 2016 was $36.7 million.</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any time prior to December 1, 2018, the Company may redeem all or part of the 2023 Notes, at a redemption price equal to their principal amount, plus a “make whole” premium as of the redemption date, and accrued and unpaid interest. In addition, at any time prior to December 1, 2018, the Company may redeem up to 35% of the original aggregate principal amount of the 2023 Notes with the proceeds of one or more equity offerings, at a redemption price equal to 106.75%, plus accrued and unpaid interest. Furthermore, at any time on or after December 1, 2018, the Company may redeem the 2023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At any time prior to December 1, 2020, the Company may redeem all or part of the 2025 Notes, at a redemption price equal to their principal amount, plus a “make whole” premium as of the redemption date, and accrued and unpaid interest. In addition, at any time prior to December 1, 2018, the Company may redeem up to 35% of the original aggregate principal amount of the 2025 Notes with the proceeds of one or more equity offerings, at a redemption price equal to 107.00%, plus accrued and unpaid interest. Furthermore, at any time on or after December 1, 2020, the Company may redeem the 2025 Notes, in whole or in part, at once or over time, at the specified redemption prices set forth in the Indenture plus accrued and unpaid interest thereon to the redemption date (subject to the rights of holders of record on the relevant record date to receive interest due on the relevant interest payment date).</w:t>
      </w:r>
    </w:p>
    <w:p>
      <w:pPr>
        <w:spacing w:after="0" w:line="16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Indenture contains customary events of default, including, among other things, payment default, exchange default, failure to provide certain notices thereunder and certain provisions related to bankruptcy events. The Indenture also contains customary negative covenants.</w:t>
      </w:r>
    </w:p>
    <w:p>
      <w:pPr>
        <w:spacing w:after="0" w:line="147"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Notes have not been registered under the Securities Act, or any state securities laws, and, unless so registered, may not be offered or sold in the United States absent registration or an applicable exemption from the registration requirements of the Securities Act and applicable state securities laws.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connection with the offering of the Notes, the Company entered into a Registration Rights Agreement, dated as of November 19, 2015 (the “Registration Rights Agreement”), with the Guarantors party thereto, on the one hand, and Merrill Lynch, Pierce, Fenner &amp; Smith Incorporated, as representative of the initial purchasers of the Notes, on the other hand.</w:t>
      </w:r>
    </w:p>
    <w:p>
      <w:pPr>
        <w:spacing w:after="0" w:line="1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Registration Rights Agreement, the Company and the Guarantors have agreed to use their commercially reasonable efforts to (i) file with the SEC a registration statement (the “Exchange Offer Registration Statement”) relating to the registered exchange offer (the “Exchange Offer”) to exchange the Notes for a new series of the Company’s exchange notes having terms substantially identical in all material respects to, and in the same aggregate principal amount, as the Notes, (ii) cause the Exchange Offer Registration Statement to be declared effective by the SEC; and (iii) cause the Exchange Offer to be consummated no later than the 360</w:t>
      </w:r>
      <w:r>
        <w:rPr>
          <w:rFonts w:ascii="Arial" w:cs="Arial" w:eastAsia="Arial" w:hAnsi="Arial"/>
          <w:sz w:val="18"/>
          <w:szCs w:val="18"/>
          <w:color w:val="auto"/>
          <w:vertAlign w:val="superscript"/>
        </w:rPr>
        <w:t>th</w:t>
      </w:r>
      <w:r>
        <w:rPr>
          <w:rFonts w:ascii="Arial" w:cs="Arial" w:eastAsia="Arial" w:hAnsi="Arial"/>
          <w:sz w:val="18"/>
          <w:szCs w:val="18"/>
          <w:color w:val="auto"/>
        </w:rPr>
        <w:t xml:space="preserve"> day after November 19, 2015 (or if such 360th day is not a business day, the next succeeding business day). The Company and the Guarantors have also agreed to use their commercially reasonable efforts to cause the Exchange Offer Registration Statement to be effective continuously and keep the Exchange Offer open for a period of not less than the minimum period required under applicable federal and state securities laws to consummate the Exchange Offer.</w:t>
      </w:r>
    </w:p>
    <w:p>
      <w:pPr>
        <w:spacing w:after="0" w:line="19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certain circumstances, the Company and the Guarantors have agreed to use their commercially reasonable efforts to (i) file a shelf registration statement relating to the resale of the Notes as promptly as practicable, and (ii) cause the shelf registration statement to be declared effective by the SEC as promptly as practicable. The Company and the Guarantors have also agreed to use their commercially reasonable efforts to keep the shelf registration statement continuously effective until one year after its effective date (or such shorter period that will terminate when all the Notes covered thereby have been sold pursuant thereto).</w:t>
      </w:r>
    </w:p>
    <w:p>
      <w:pPr>
        <w:spacing w:after="0" w:line="188" w:lineRule="exact"/>
        <w:rPr>
          <w:sz w:val="20"/>
          <w:szCs w:val="20"/>
          <w:color w:val="auto"/>
        </w:rPr>
      </w:pPr>
    </w:p>
    <w:p>
      <w:pPr>
        <w:jc w:val="both"/>
        <w:ind w:right="500"/>
        <w:spacing w:after="0" w:line="312" w:lineRule="auto"/>
        <w:rPr>
          <w:sz w:val="20"/>
          <w:szCs w:val="20"/>
          <w:color w:val="auto"/>
        </w:rPr>
      </w:pPr>
      <w:r>
        <w:rPr>
          <w:rFonts w:ascii="Arial" w:cs="Arial" w:eastAsia="Arial" w:hAnsi="Arial"/>
          <w:sz w:val="16"/>
          <w:szCs w:val="16"/>
          <w:color w:val="auto"/>
        </w:rPr>
        <w:t>If the Company fails to meet any of these targets, the annual interest rate on the Notes would increase by 0.25% during the 90-day period following the default, and would increase by an additional 0.25% for each subsequent 90-day period during which the default continues, up to a maximum additional interest rate of 1.00% per year. If the Company cures the default, the interest rate on the Notes would revert to the original level.</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ind w:right="340"/>
        <w:spacing w:after="0" w:line="312" w:lineRule="auto"/>
        <w:rPr>
          <w:sz w:val="20"/>
          <w:szCs w:val="20"/>
          <w:color w:val="auto"/>
        </w:rPr>
      </w:pPr>
      <w:r>
        <w:rPr>
          <w:rFonts w:ascii="Arial" w:cs="Arial" w:eastAsia="Arial" w:hAnsi="Arial"/>
          <w:sz w:val="16"/>
          <w:szCs w:val="16"/>
          <w:color w:val="auto"/>
        </w:rPr>
        <w:t>The 2023 Notes and the 2025 Notes are traded over the counter and their fair values as of July 2, 2016, of $469.1 million and $581.6 million, respectively (compared to carrying values of $450.0 million and $550.0 million, respectively) were estimated based upon the values of their last trade at the end of the period. The fair values of the 2023 Notes and the 2025 Notes were $465.8 million and $581.6 million, respectively as of April 2,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On April 7, 2015, the Company and the Guarantors entered into a five-year unsecured senior credit facility with Bank of America, N.A., as administrative agent (in such capacity, the “Administrative Agent”), swing line lender, and L/C issuer, and a syndicate of lenders (the “Credit Agreement”). The Credit Agreement includes a $300.0 million revolving credit facility, which includes a $25.0 million sublimit for the issuance of standby letters of credit and a $10.0 million sublimit for swing line loans. The Company may request, at any time and from time to time, that the revolving credit facility be increased by an amount not to exceed $150.0 million. The revolving credit facility is available to finance working capital, capital expenditures and other corporate purposes. The Company’s obligations under the Credit Agreement are jointly and severally guaranteed by the Guarantors. During the three months ended July 2, 2016, there were no borrowings under the revolving credit facility. The Company had no outstanding amounts under the Credit Agreement as of July 2, 2016 and April 2, 2016.</w:t>
      </w:r>
    </w:p>
    <w:p>
      <w:pPr>
        <w:spacing w:after="0" w:line="19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At the Company’s option, loans under the Credit Agreement will bear interest at (i) the Applicable Rate (as defined in the Credit Agreement) plus the Eurodollar Rate (as defined in the Credit Agreement) or (ii) the Applicable Rate plus a rate equal to the highest of (a) the federal funds rate plus 0.50%, (b) the prime rate of the Administrative Agent, or (c) the Eurodollar Base Rate plus 1.0% (the “Base Rate”). All swing line loans will bear interest at a rate equal to the Applicable Rate plus the Base Rate. The Eurodollar Base Rate is the rate per annum equal to the London Interbank Offered Rate, as published by Bloomberg, for dollar deposits for interest periods of one, two, three or six months, as selected by the Company. The Applicable Rate for Eurodollar Rate loans ranges from 1.50% per annum to 2.00% per annum. The Applicable Rate for Base Rate loans ranges from 0.50% per annum to 1.00% per annum. Interest for Eurodollar Rate loans will be payable at the end of each applicable interest period or at three-month intervals, if such interest period exceeds three months. Interest for Base Rate loans will be payable quarterly in arrears. The Company will pay a letter of credit fee equal to the Applicable Rate multiplied by the daily amount available to be drawn under any letter of credit, a fronting fee, and any customary documentary and processing charges for any letter of credit issued under the Credit Agreement.</w:t>
      </w:r>
    </w:p>
    <w:p>
      <w:pPr>
        <w:spacing w:after="0" w:line="17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Credit Agreement contains various conditions, covenants and representations with which the Company must be in compliance in order to borrow funds and to avoid an event of default, including financial covenants that the Company must maintain. On November 12, 2015, the Credit Agreement was amended to increase the size of certain of the negative covenant baskets and the threshold for certain negative covenant incurrence-based permissions and to raise the consolidated leverage ratio test from 2.50 to 1.00 to 3.00 to 1.00 as of the end of any fiscal quarter. The Company must also maintain a consolidated interest coverage ratio of not less than 3.00 to 1.00 as of the end of any fiscal quarter.</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Credit Agreement also contains customary events of default, and the occurrence of an event of default will increase the applicable rate of interest by</w:t>
      </w:r>
    </w:p>
    <w:p>
      <w:pPr>
        <w:spacing w:after="0" w:line="46"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2.00% and could result in the termination of commitments under the revolving credit facility, the declaration that all outstanding loans are due and payable in whole or in part and the requirement of cash collateral deposits in respect of outstanding letters of credit. Outstanding amounts are due in full on the maturity date of April 7, 2020 (with amounts borrowed under the swing line option due in full no later than ten business days after such loan is made).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jc w:val="both"/>
        <w:ind w:right="380"/>
        <w:spacing w:after="0" w:line="255" w:lineRule="auto"/>
        <w:rPr>
          <w:sz w:val="20"/>
          <w:szCs w:val="20"/>
          <w:color w:val="auto"/>
        </w:rPr>
      </w:pPr>
      <w:r>
        <w:rPr>
          <w:rFonts w:ascii="Arial" w:cs="Arial" w:eastAsia="Arial" w:hAnsi="Arial"/>
          <w:sz w:val="18"/>
          <w:szCs w:val="18"/>
          <w:color w:val="auto"/>
        </w:rPr>
        <w:t>The Company’s provision for income taxes for the three months ended July 2, 2016 and June 27, 2015 has been calculated by applying an estimate of the annual effective tax rate for the full fiscal year to “ordinary” income or loss (pre-tax income or loss excluding unusual or infrequently occurring discrete items) for the three months ended July 2, 2016 and June 27, 2015.</w:t>
      </w:r>
    </w:p>
    <w:p>
      <w:pPr>
        <w:spacing w:after="0" w:line="19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Company’s income tax benefit was $4.0 million for the three months ended July 2, 2016, and income tax expense was $0.6 million for the three months ended June 27, 2015. The Company’s effective tax rate was 41.3% for the three months ended July 2, 2016 and 22.5% for the three months ended June 27, 2015. The Company's effective tax rate for both the first quarter of fiscal 2017 and the first quarter of fiscal 2016 differed from the statutory rate primarily due to tax rate differences in foreign jurisdictions, state income taxes, domestic tax credits generated, and changes in unrecognized tax benefits.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Taxes</w:t>
      </w:r>
    </w:p>
    <w:p>
      <w:pPr>
        <w:spacing w:after="0" w:line="2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8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Company has domestic federal and state tax net operating loss (“NOLs”) carry-forwards that expire in fiscal years 2017 to 2035 if unused. The use of the NOLs that were acquired in prior year acquisitions is subject to certain annual limitations under Internal Revenue Code Section 382 and similar state income tax provisions.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2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Company’s gross unrecognized tax benefits increased from $69.1 million as of the end of fiscal 2016 to $72.8 million as of the end of the first quarter of fiscal 2017, due to a $3.7 million increase related to tax positions taken with respect to the current fiscal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 AND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cash equivalents and available-for-sale securities as of July 2, 2016 and April 2, 2016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91440</wp:posOffset>
            </wp:positionV>
            <wp:extent cx="3319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4"/>
                <w:szCs w:val="14"/>
                <w:color w:val="auto"/>
              </w:rPr>
            </w:pPr>
          </w:p>
        </w:tc>
        <w:tc>
          <w:tcPr>
            <w:tcW w:w="13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w w:val="99"/>
              </w:rPr>
              <w:t>Estimated Fair</w:t>
            </w:r>
          </w:p>
        </w:tc>
        <w:tc>
          <w:tcPr>
            <w:tcW w:w="0" w:type="dxa"/>
            <w:vAlign w:val="bottom"/>
          </w:tcPr>
          <w:p>
            <w:pPr>
              <w:spacing w:after="0"/>
              <w:rPr>
                <w:sz w:val="1"/>
                <w:szCs w:val="1"/>
                <w:color w:val="auto"/>
              </w:rPr>
            </w:pPr>
          </w:p>
        </w:tc>
      </w:tr>
      <w:tr>
        <w:trPr>
          <w:trHeight w:val="149"/>
        </w:trPr>
        <w:tc>
          <w:tcPr>
            <w:tcW w:w="6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6"/>
                <w:szCs w:val="16"/>
                <w:color w:val="auto"/>
              </w:rPr>
            </w:pPr>
          </w:p>
        </w:tc>
        <w:tc>
          <w:tcPr>
            <w:tcW w:w="1300" w:type="dxa"/>
            <w:vAlign w:val="bottom"/>
          </w:tcPr>
          <w:p>
            <w:pPr>
              <w:jc w:val="right"/>
              <w:ind w:right="47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30"/>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July 2, 2016</w:t>
            </w:r>
          </w:p>
        </w:tc>
        <w:tc>
          <w:tcPr>
            <w:tcW w:w="2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Corporate debt</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13,873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13,873</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57,798</w:t>
            </w: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73,821</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73,421</w:t>
            </w:r>
          </w:p>
        </w:tc>
        <w:tc>
          <w:tcPr>
            <w:tcW w:w="0" w:type="dxa"/>
            <w:vAlign w:val="bottom"/>
          </w:tcPr>
          <w:p>
            <w:pPr>
              <w:spacing w:after="0"/>
              <w:rPr>
                <w:sz w:val="1"/>
                <w:szCs w:val="1"/>
                <w:color w:val="auto"/>
              </w:rPr>
            </w:pPr>
          </w:p>
        </w:tc>
      </w:tr>
      <w:tr>
        <w:trPr>
          <w:trHeight w:val="67"/>
        </w:trPr>
        <w:tc>
          <w:tcPr>
            <w:tcW w:w="6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April 2, 2016</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U.S. government/agency securities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149,874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66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149,892</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Auction rate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Corporate debt</w:t>
            </w: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45,510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45,510</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146,779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146,779</w:t>
            </w:r>
          </w:p>
        </w:tc>
        <w:tc>
          <w:tcPr>
            <w:tcW w:w="0" w:type="dxa"/>
            <w:vAlign w:val="bottom"/>
          </w:tcPr>
          <w:p>
            <w:pPr>
              <w:spacing w:after="0"/>
              <w:rPr>
                <w:sz w:val="1"/>
                <w:szCs w:val="1"/>
                <w:color w:val="auto"/>
              </w:rPr>
            </w:pPr>
          </w:p>
        </w:tc>
      </w:tr>
      <w:tr>
        <w:trPr>
          <w:trHeight w:val="237"/>
        </w:trPr>
        <w:tc>
          <w:tcPr>
            <w:tcW w:w="616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344,313</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343,981</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estimated fair value of available-for-sale securities was based on the prevailing market values on July 2, 2016 and April 2, 2016. The Company determines the cost of an investment sold based on the specific identification method.</w:t>
      </w:r>
    </w:p>
    <w:p>
      <w:pPr>
        <w:spacing w:after="0" w:line="17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There were no gross realized gains and no gross realized losses recognized on available-for-sale securities for the three months ended July 2, 2016. There were $4.0 million of gross realized gains and no gross realized losses recognized on available-for-sale securities for the three months ended June 27, 2015.</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There were no unrealized losses on available-for-sale securities in a continuous loss position for fewer than 12 months as of July 2, 2016, and as of April 2, 2016, such unrealized losses were insignificant. Unrealized losses on available-for-sale securities in a continuous loss position for 12 months or greater were $0.4 million as of July 2, 2016 and $0.4 million as of April 2, 2016.</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available-for-sale securities in an unrealized loss position at July 2, 2016 was $1.8 million, with $0.4 million in unrealized losses.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aggregate amount of available-for-sale securities in an unrealized loss position at April 2, 2016 was $55.6 million, with $0.4 million in unrealized losses.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22" w:right="25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expected maturity distribution of cash equivalents and available-for-sale debt securities is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b w:val="1"/>
                <w:bCs w:val="1"/>
                <w:color w:val="auto"/>
              </w:rPr>
              <w:t>July 2, 2016</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697"/>
              <w:spacing w:after="0"/>
              <w:rPr>
                <w:sz w:val="20"/>
                <w:szCs w:val="20"/>
                <w:color w:val="auto"/>
              </w:rPr>
            </w:pPr>
            <w:r>
              <w:rPr>
                <w:rFonts w:ascii="Arial" w:cs="Arial" w:eastAsia="Arial" w:hAnsi="Arial"/>
                <w:sz w:val="14"/>
                <w:szCs w:val="14"/>
                <w:b w:val="1"/>
                <w:bCs w:val="1"/>
                <w:color w:val="auto"/>
              </w:rPr>
              <w:t>April 2, 2016</w:t>
            </w:r>
          </w:p>
        </w:tc>
        <w:tc>
          <w:tcPr>
            <w:tcW w:w="0" w:type="dxa"/>
            <w:vAlign w:val="bottom"/>
          </w:tcPr>
          <w:p>
            <w:pPr>
              <w:spacing w:after="0"/>
              <w:rPr>
                <w:sz w:val="1"/>
                <w:szCs w:val="1"/>
                <w:color w:val="auto"/>
              </w:rPr>
            </w:pPr>
          </w:p>
        </w:tc>
      </w:tr>
      <w:tr>
        <w:trPr>
          <w:trHeight w:val="152"/>
        </w:trPr>
        <w:tc>
          <w:tcPr>
            <w:tcW w:w="6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10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Estimated</w:t>
            </w:r>
          </w:p>
        </w:tc>
        <w:tc>
          <w:tcPr>
            <w:tcW w:w="260" w:type="dxa"/>
            <w:vAlign w:val="bottom"/>
          </w:tcPr>
          <w:p>
            <w:pPr>
              <w:spacing w:after="0"/>
              <w:rPr>
                <w:sz w:val="13"/>
                <w:szCs w:val="13"/>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3"/>
                <w:szCs w:val="13"/>
                <w:color w:val="auto"/>
              </w:rPr>
            </w:pPr>
          </w:p>
        </w:tc>
        <w:tc>
          <w:tcPr>
            <w:tcW w:w="960" w:type="dxa"/>
            <w:vAlign w:val="bottom"/>
          </w:tcPr>
          <w:p>
            <w:pPr>
              <w:jc w:val="right"/>
              <w:ind w:right="177"/>
              <w:spacing w:after="0" w:line="153"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92"/>
        </w:trPr>
        <w:tc>
          <w:tcPr>
            <w:tcW w:w="6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177"/>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50"/>
        </w:trPr>
        <w:tc>
          <w:tcPr>
            <w:tcW w:w="6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one year</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71,671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71,671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342,163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342,181</w:t>
            </w:r>
          </w:p>
        </w:tc>
        <w:tc>
          <w:tcPr>
            <w:tcW w:w="0" w:type="dxa"/>
            <w:vAlign w:val="bottom"/>
          </w:tcPr>
          <w:p>
            <w:pPr>
              <w:spacing w:after="0"/>
              <w:rPr>
                <w:sz w:val="1"/>
                <w:szCs w:val="1"/>
                <w:color w:val="auto"/>
              </w:rPr>
            </w:pPr>
          </w:p>
        </w:tc>
      </w:tr>
      <w:tr>
        <w:trPr>
          <w:trHeight w:val="243"/>
        </w:trPr>
        <w:tc>
          <w:tcPr>
            <w:tcW w:w="6500" w:type="dxa"/>
            <w:vAlign w:val="bottom"/>
          </w:tcPr>
          <w:p>
            <w:pPr>
              <w:ind w:left="40"/>
              <w:spacing w:after="0"/>
              <w:rPr>
                <w:sz w:val="20"/>
                <w:szCs w:val="20"/>
                <w:color w:val="auto"/>
              </w:rPr>
            </w:pPr>
            <w:r>
              <w:rPr>
                <w:rFonts w:ascii="Arial" w:cs="Arial" w:eastAsia="Arial" w:hAnsi="Arial"/>
                <w:sz w:val="18"/>
                <w:szCs w:val="18"/>
                <w:color w:val="auto"/>
              </w:rPr>
              <w:t>Due after ten years</w:t>
            </w:r>
          </w:p>
        </w:tc>
        <w:tc>
          <w:tcPr>
            <w:tcW w:w="28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2,150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7"/>
              <w:spacing w:after="0"/>
              <w:rPr>
                <w:sz w:val="20"/>
                <w:szCs w:val="20"/>
                <w:color w:val="auto"/>
              </w:rPr>
            </w:pPr>
            <w:r>
              <w:rPr>
                <w:rFonts w:ascii="Arial" w:cs="Arial" w:eastAsia="Arial" w:hAnsi="Arial"/>
                <w:sz w:val="18"/>
                <w:szCs w:val="18"/>
                <w:color w:val="auto"/>
              </w:rPr>
              <w:t>2,150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6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investments in debt securities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73,821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73,421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344,313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343,981</w:t>
            </w:r>
          </w:p>
        </w:tc>
        <w:tc>
          <w:tcPr>
            <w:tcW w:w="0" w:type="dxa"/>
            <w:vAlign w:val="bottom"/>
          </w:tcPr>
          <w:p>
            <w:pPr>
              <w:spacing w:after="0"/>
              <w:rPr>
                <w:sz w:val="1"/>
                <w:szCs w:val="1"/>
                <w:color w:val="auto"/>
              </w:rPr>
            </w:pP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During the quarter, our investments in commercial paper and U.S. government treasury bills matured and a portion of the proceeds was used for the GreenPeak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On August 4, 2015, the Company invested $25.0 million to acquire shares of Series F Preferred Stock of Cavendish Kinetics Limited, a private limited company incorporated in England and Wales. This investment was accounted for as a cost method investment and classified in "Long-term investments" on the Company's Condensed Consolidated Balance Sheet. No impairment was recognized on the Company's cost-method investment during the three months ended July 2, 2016.</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 quarterly basis, the Company measures the fair value of its marketable securities, which are comprised of U.S. government/agency securities, corporate debt, auction rate securities (ARS), and money market funds. Marketable securities are reported at fair value in "Cash and cash equivalents", "Short-term investments" and "Long-term investments" on the Company’s Condensed Consolidated Balance Sheet. The related unrealized gains and losses are included in "Accumulated other comprehensive loss," a component of stockholders’ equity, net of tax.</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the financial assets measured at fair value on a recurring basis was determined using the following levels of inputs as of July 2, 2016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April 2, 2016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00" w:type="dxa"/>
            <w:vAlign w:val="bottom"/>
            <w:vMerge w:val="restart"/>
          </w:tcPr>
          <w:p>
            <w:pPr>
              <w:jc w:val="center"/>
              <w:ind w:right="113"/>
              <w:spacing w:after="0"/>
              <w:rPr>
                <w:sz w:val="20"/>
                <w:szCs w:val="20"/>
                <w:color w:val="auto"/>
              </w:rPr>
            </w:pPr>
            <w:r>
              <w:rPr>
                <w:rFonts w:ascii="Arial" w:cs="Arial" w:eastAsia="Arial" w:hAnsi="Arial"/>
                <w:sz w:val="14"/>
                <w:szCs w:val="14"/>
                <w:b w:val="1"/>
                <w:bCs w:val="1"/>
                <w:color w:val="auto"/>
                <w:w w:val="93"/>
              </w:rPr>
              <w:t>Significant Other</w:t>
            </w: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2"/>
                <w:szCs w:val="12"/>
                <w:color w:val="auto"/>
              </w:rPr>
            </w:pPr>
          </w:p>
        </w:tc>
        <w:tc>
          <w:tcPr>
            <w:tcW w:w="1500" w:type="dxa"/>
            <w:vAlign w:val="bottom"/>
          </w:tcPr>
          <w:p>
            <w:pPr>
              <w:jc w:val="center"/>
              <w:ind w:right="113"/>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0" w:type="dxa"/>
            <w:vAlign w:val="bottom"/>
          </w:tcPr>
          <w:p>
            <w:pPr>
              <w:spacing w:after="0"/>
              <w:rPr>
                <w:sz w:val="1"/>
                <w:szCs w:val="1"/>
                <w:color w:val="auto"/>
              </w:rPr>
            </w:pPr>
          </w:p>
        </w:tc>
      </w:tr>
      <w:tr>
        <w:trPr>
          <w:trHeight w:val="192"/>
        </w:trPr>
        <w:tc>
          <w:tcPr>
            <w:tcW w:w="6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0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(Level 2)</w:t>
            </w:r>
          </w:p>
        </w:tc>
        <w:tc>
          <w:tcPr>
            <w:tcW w:w="0" w:type="dxa"/>
            <w:vAlign w:val="bottom"/>
          </w:tcPr>
          <w:p>
            <w:pPr>
              <w:spacing w:after="0"/>
              <w:rPr>
                <w:sz w:val="1"/>
                <w:szCs w:val="1"/>
                <w:color w:val="auto"/>
              </w:rPr>
            </w:pPr>
          </w:p>
        </w:tc>
      </w:tr>
      <w:tr>
        <w:trPr>
          <w:trHeight w:val="250"/>
        </w:trPr>
        <w:tc>
          <w:tcPr>
            <w:tcW w:w="6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July 2, 2016</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140"/>
              <w:spacing w:after="0"/>
              <w:rPr>
                <w:sz w:val="20"/>
                <w:szCs w:val="20"/>
                <w:color w:val="auto"/>
              </w:rPr>
            </w:pPr>
            <w:r>
              <w:rPr>
                <w:rFonts w:ascii="Arial" w:cs="Arial" w:eastAsia="Arial" w:hAnsi="Arial"/>
                <w:sz w:val="18"/>
                <w:szCs w:val="18"/>
                <w:b w:val="1"/>
                <w:bCs w:val="1"/>
                <w:color w:val="auto"/>
              </w:rPr>
              <w:t>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1,750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 xml:space="preserve">Corporate debt </w:t>
            </w:r>
            <w:r>
              <w:rPr>
                <w:rFonts w:ascii="Arial" w:cs="Arial" w:eastAsia="Arial" w:hAnsi="Arial"/>
                <w:sz w:val="14"/>
                <w:szCs w:val="14"/>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13,873</w:t>
            </w: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Arial" w:cs="Arial" w:eastAsia="Arial" w:hAnsi="Arial"/>
                <w:sz w:val="18"/>
                <w:szCs w:val="18"/>
                <w:color w:val="auto"/>
              </w:rPr>
              <w:t>Money market funds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57,798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57,798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available-for-sale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57,798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15,623</w:t>
            </w:r>
          </w:p>
        </w:tc>
        <w:tc>
          <w:tcPr>
            <w:tcW w:w="0" w:type="dxa"/>
            <w:vAlign w:val="bottom"/>
          </w:tcPr>
          <w:p>
            <w:pPr>
              <w:spacing w:after="0"/>
              <w:rPr>
                <w:sz w:val="1"/>
                <w:szCs w:val="1"/>
                <w:color w:val="auto"/>
              </w:rPr>
            </w:pPr>
          </w:p>
        </w:tc>
      </w:tr>
      <w:tr>
        <w:trPr>
          <w:trHeight w:val="237"/>
        </w:trPr>
        <w:tc>
          <w:tcPr>
            <w:tcW w:w="6120" w:type="dxa"/>
            <w:vAlign w:val="bottom"/>
          </w:tcPr>
          <w:p>
            <w:pPr>
              <w:ind w:left="56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(3)</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7,169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80,590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64,967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15,623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(3)</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7,169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7,169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7,169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6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6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40"/>
              <w:spacing w:after="0"/>
              <w:rPr>
                <w:sz w:val="20"/>
                <w:szCs w:val="20"/>
                <w:color w:val="auto"/>
              </w:rPr>
            </w:pPr>
            <w:r>
              <w:rPr>
                <w:rFonts w:ascii="Arial" w:cs="Arial" w:eastAsia="Arial" w:hAnsi="Arial"/>
                <w:sz w:val="18"/>
                <w:szCs w:val="18"/>
                <w:b w:val="1"/>
                <w:bCs w:val="1"/>
                <w:color w:val="auto"/>
              </w:rPr>
              <w:t>April 2, 2016</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340"/>
              <w:spacing w:after="0"/>
              <w:rPr>
                <w:sz w:val="20"/>
                <w:szCs w:val="20"/>
                <w:color w:val="auto"/>
              </w:rPr>
            </w:pPr>
            <w:r>
              <w:rPr>
                <w:rFonts w:ascii="Arial" w:cs="Arial" w:eastAsia="Arial" w:hAnsi="Arial"/>
                <w:sz w:val="18"/>
                <w:szCs w:val="18"/>
                <w:color w:val="auto"/>
              </w:rPr>
              <w:t>Available-for-sale securities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U.S. government/agency securities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149,892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149,892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Arial" w:cs="Arial" w:eastAsia="Arial" w:hAnsi="Arial"/>
                <w:sz w:val="18"/>
                <w:szCs w:val="18"/>
                <w:color w:val="auto"/>
              </w:rPr>
              <w:t xml:space="preserve">Auction rate securities </w:t>
            </w:r>
            <w:r>
              <w:rPr>
                <w:rFonts w:ascii="Arial" w:cs="Arial" w:eastAsia="Arial" w:hAnsi="Arial"/>
                <w:sz w:val="14"/>
                <w:szCs w:val="14"/>
                <w:color w:val="auto"/>
              </w:rPr>
              <w:t>(1)</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1,800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 xml:space="preserve">Corporate debt </w:t>
            </w:r>
            <w:r>
              <w:rPr>
                <w:rFonts w:ascii="Arial" w:cs="Arial" w:eastAsia="Arial" w:hAnsi="Arial"/>
                <w:sz w:val="14"/>
                <w:szCs w:val="14"/>
                <w:color w:val="auto"/>
              </w:rPr>
              <w:t>(2)</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45,510</w:t>
            </w:r>
          </w:p>
        </w:tc>
        <w:tc>
          <w:tcPr>
            <w:tcW w:w="0" w:type="dxa"/>
            <w:vAlign w:val="bottom"/>
          </w:tcPr>
          <w:p>
            <w:pPr>
              <w:spacing w:after="0"/>
              <w:rPr>
                <w:sz w:val="1"/>
                <w:szCs w:val="1"/>
                <w:color w:val="auto"/>
              </w:rPr>
            </w:pPr>
          </w:p>
        </w:tc>
      </w:tr>
      <w:tr>
        <w:trPr>
          <w:trHeight w:val="243"/>
        </w:trPr>
        <w:tc>
          <w:tcPr>
            <w:tcW w:w="6120" w:type="dxa"/>
            <w:vAlign w:val="bottom"/>
          </w:tcPr>
          <w:p>
            <w:pPr>
              <w:ind w:left="780"/>
              <w:spacing w:after="0"/>
              <w:rPr>
                <w:sz w:val="20"/>
                <w:szCs w:val="20"/>
                <w:color w:val="auto"/>
              </w:rPr>
            </w:pPr>
            <w:r>
              <w:rPr>
                <w:rFonts w:ascii="Arial" w:cs="Arial" w:eastAsia="Arial" w:hAnsi="Arial"/>
                <w:sz w:val="18"/>
                <w:szCs w:val="18"/>
                <w:color w:val="auto"/>
              </w:rPr>
              <w:t>Money market funds</w:t>
            </w:r>
          </w:p>
        </w:tc>
        <w:tc>
          <w:tcPr>
            <w:tcW w:w="3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146,779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146,779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available-for-sale securities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343,981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296,671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47,310</w:t>
            </w:r>
          </w:p>
        </w:tc>
        <w:tc>
          <w:tcPr>
            <w:tcW w:w="0" w:type="dxa"/>
            <w:vAlign w:val="bottom"/>
          </w:tcPr>
          <w:p>
            <w:pPr>
              <w:spacing w:after="0"/>
              <w:rPr>
                <w:sz w:val="1"/>
                <w:szCs w:val="1"/>
                <w:color w:val="auto"/>
              </w:rPr>
            </w:pPr>
          </w:p>
        </w:tc>
      </w:tr>
      <w:tr>
        <w:trPr>
          <w:trHeight w:val="237"/>
        </w:trPr>
        <w:tc>
          <w:tcPr>
            <w:tcW w:w="6120" w:type="dxa"/>
            <w:vAlign w:val="bottom"/>
          </w:tcPr>
          <w:p>
            <w:pPr>
              <w:ind w:left="56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14"/>
                <w:szCs w:val="14"/>
                <w:color w:val="auto"/>
              </w:rPr>
              <w:t>(3)</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2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b w:val="1"/>
                <w:bCs w:val="1"/>
                <w:color w:val="auto"/>
              </w:rPr>
              <w:t>Total assets measured at fair value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350,449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303,139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47,310</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612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 xml:space="preserve">Deferred compensation plan obligation </w:t>
            </w:r>
            <w:r>
              <w:rPr>
                <w:rFonts w:ascii="Arial" w:cs="Arial" w:eastAsia="Arial" w:hAnsi="Arial"/>
                <w:sz w:val="14"/>
                <w:szCs w:val="14"/>
                <w:color w:val="auto"/>
              </w:rPr>
              <w:t>(3)</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120" w:type="dxa"/>
            <w:vAlign w:val="bottom"/>
          </w:tcPr>
          <w:p>
            <w:pPr>
              <w:ind w:left="780"/>
              <w:spacing w:after="0"/>
              <w:rPr>
                <w:sz w:val="20"/>
                <w:szCs w:val="20"/>
                <w:color w:val="auto"/>
              </w:rPr>
            </w:pPr>
            <w:r>
              <w:rPr>
                <w:rFonts w:ascii="Arial" w:cs="Arial" w:eastAsia="Arial" w:hAnsi="Arial"/>
                <w:sz w:val="18"/>
                <w:szCs w:val="18"/>
                <w:b w:val="1"/>
                <w:bCs w:val="1"/>
                <w:color w:val="auto"/>
              </w:rPr>
              <w:t>Total liabilities measured at fair value</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6,468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firstLine="8"/>
        <w:spacing w:after="0" w:line="255" w:lineRule="auto"/>
        <w:tabs>
          <w:tab w:leader="none" w:pos="230" w:val="left"/>
        </w:tabs>
        <w:numPr>
          <w:ilvl w:val="0"/>
          <w:numId w:val="3"/>
        </w:numPr>
        <w:rPr>
          <w:rFonts w:ascii="Arial" w:cs="Arial" w:eastAsia="Arial" w:hAnsi="Arial"/>
          <w:sz w:val="16"/>
          <w:szCs w:val="16"/>
          <w:color w:val="auto"/>
        </w:rPr>
      </w:pPr>
      <w:r>
        <w:rPr>
          <w:rFonts w:ascii="Arial" w:cs="Arial" w:eastAsia="Arial" w:hAnsi="Arial"/>
          <w:sz w:val="16"/>
          <w:szCs w:val="16"/>
          <w:color w:val="auto"/>
        </w:rPr>
        <w:t>ARS are debt instruments with interest rates that reset through periodic short-term auctions. The Company’s Level 2 ARS are valued based on quoted prices for identical or similar instruments in markets that are not active.</w:t>
      </w:r>
    </w:p>
    <w:p>
      <w:pPr>
        <w:spacing w:after="0" w:line="1" w:lineRule="exact"/>
        <w:rPr>
          <w:rFonts w:ascii="Arial" w:cs="Arial" w:eastAsia="Arial" w:hAnsi="Arial"/>
          <w:sz w:val="16"/>
          <w:szCs w:val="16"/>
          <w:color w:val="auto"/>
        </w:rPr>
      </w:pPr>
    </w:p>
    <w:p>
      <w:pPr>
        <w:ind w:left="240" w:hanging="232"/>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Corporate debt includes corporate bonds and commercial paper that are valued using observable market prices for identical securities that are traded in less active markets.</w:t>
      </w:r>
    </w:p>
    <w:p>
      <w:pPr>
        <w:spacing w:after="0" w:line="28" w:lineRule="exact"/>
        <w:rPr>
          <w:rFonts w:ascii="Arial" w:cs="Arial" w:eastAsia="Arial" w:hAnsi="Arial"/>
          <w:sz w:val="14"/>
          <w:szCs w:val="14"/>
          <w:color w:val="auto"/>
        </w:rPr>
      </w:pPr>
    </w:p>
    <w:p>
      <w:pPr>
        <w:ind w:left="240" w:hanging="232"/>
        <w:spacing w:after="0"/>
        <w:tabs>
          <w:tab w:leader="none" w:pos="24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Company's non-qualified deferred compensation plan provides eligible employees and members of the Board of Directors with the opportunity to defer a specified</w:t>
      </w:r>
    </w:p>
    <w:p>
      <w:pPr>
        <w:spacing w:after="0" w:line="16" w:lineRule="exact"/>
        <w:rPr>
          <w:rFonts w:ascii="Arial" w:cs="Arial" w:eastAsia="Arial" w:hAnsi="Arial"/>
          <w:sz w:val="15"/>
          <w:szCs w:val="15"/>
          <w:color w:val="auto"/>
        </w:rPr>
      </w:pPr>
    </w:p>
    <w:p>
      <w:pPr>
        <w:ind w:right="60"/>
        <w:spacing w:after="0" w:line="252" w:lineRule="auto"/>
        <w:rPr>
          <w:rFonts w:ascii="Arial" w:cs="Arial" w:eastAsia="Arial" w:hAnsi="Arial"/>
          <w:sz w:val="15"/>
          <w:szCs w:val="15"/>
          <w:color w:val="auto"/>
        </w:rPr>
      </w:pPr>
      <w:r>
        <w:rPr>
          <w:rFonts w:ascii="Arial" w:cs="Arial" w:eastAsia="Arial" w:hAnsi="Arial"/>
          <w:sz w:val="16"/>
          <w:szCs w:val="16"/>
          <w:color w:val="auto"/>
        </w:rPr>
        <w:t>percentage of their cash compensation. The Company includes the assets deferred by the participants in the “Other current assets” and “Other non-current assets” line items of its Condensed Consolidated Balance Sheets and the Company's obligation to deliver the deferred compensation in the "Other current liabilities" and “Other long-term liabilities” line items of its Condensed Consolidated Balance Sheets.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carrying values of cash and cash equivalents, accounts receivable, accounts payable and other accrued liabilities approximate fair values because of the relatively short-term maturities of these instruments. See Note 5 for the fair value of the Company's long-term debt.</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122" w:right="27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REPURCHASES</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February 5, 2015, the Company announced that its Board of Directors authorized the repurchase of up to $200.0 million of the Company's outstanding common stock, exclusive of related fees, commissions or other expenses. On August 11, 2015, the Company announced the completion of this $200.0 million share repurchase program having repurchased on the open market approximately 2.4 million shares at an average price of $63.14 during fiscal 2016 (of which approximately 0.6 million shares at an average price of $83.10 were repurchased during the first quarter of fiscal 2016).</w:t>
      </w:r>
    </w:p>
    <w:p>
      <w:pPr>
        <w:spacing w:after="0" w:line="17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On August 11, 2015, the Company announced that its Board of Directors authorized a new share repurchase program to repurchase up to $400.0 million of the Company's outstanding common stock. On September 10, 2015, the Company announced the completion of this $400.0 million share repurchase program having repurchased approximately 7.3 million shares at an average price of $54.75 on the open market during the second quarter of fiscal 2016.</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November 5, 2015, the Company announced that its Board of Directors authorized a new share repurchase program to repurchase up to $1.0 billion of the Company's outstanding stock through November 4, 2016. Under the share repurchase program, share repurchases will be made in accordance with applicable securities laws on the open market or in privately negotiated transactions. The extent to which the Company repurchases its shares, the number of shares and the timing of any repurchases will depend on general market conditions, regulatory requirements, alternative investment opportunities and other considerations. The program does not require the Company to repurchase a minimum number of shares, and may be modified, suspended or terminated at any time without prior notice. During fiscal 2016, the Company repurchased approximately 14.6 million shares of common stock pursuant to this authorization for approximately $750.0 million.</w:t>
      </w:r>
    </w:p>
    <w:p>
      <w:pPr>
        <w:spacing w:after="0" w:line="18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part of the $1.0 billion share repurchase program described above, on February 16, 2016, the Company entered into variable maturity accelerated share repurchase ("ASR") agreements (a $250.0 million collared agreement and a $250.0 million uncollared agreement) with Bank of America, N.A. For the upfront payment of $500.0 million, the Company received 3.1 million shares of our common stock under the collared agreement (representing 50% of the shares the Company would have repurchased assuming an average share price of $40.78) and 4.9 million shares of our common stock under the uncollared agreement (representing 80% of the shares the Company would have repurchased assuming an average share price of $40.78). On March 10, 2016, the Company received an additional 2.0 million shares of our common stock under the collared agreement. Final settlements of the ASR agreements were completed during the first quarter of fiscal 2017 with an additional 0.4 million shares received resulting in a total of 10.4 million shares of our common stock repurchased under the ASR agreements.</w:t>
      </w:r>
    </w:p>
    <w:p>
      <w:pPr>
        <w:spacing w:after="0" w:line="1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shares were retired in the periods they were delivered, and the upfront payment was accounted for as a reduction to stockholders' equity in the Company's Consolidated Balance Sheet in the period the payment was made. The Company reflected each ASR as a repurchase of common stock in the period delivered for purposes of calculating earnings per share.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Effective</w:t>
      </w:r>
    </w:p>
    <w:p>
      <w:pPr>
        <w:spacing w:after="0" w:line="225"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Standards Update ("ASU") 2016-13, </w:t>
      </w:r>
      <w:r>
        <w:rPr>
          <w:rFonts w:ascii="Arial" w:cs="Arial" w:eastAsia="Arial" w:hAnsi="Arial"/>
          <w:sz w:val="17"/>
          <w:szCs w:val="17"/>
          <w:i w:val="1"/>
          <w:iCs w:val="1"/>
          <w:color w:val="auto"/>
        </w:rPr>
        <w:t>"Financial Instruments - 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(Topic 326): Measurement of Credit Losses on Financial Instruments." </w:t>
      </w:r>
      <w:r>
        <w:rPr>
          <w:rFonts w:ascii="Arial" w:cs="Arial" w:eastAsia="Arial" w:hAnsi="Arial"/>
          <w:sz w:val="17"/>
          <w:szCs w:val="17"/>
          <w:color w:val="auto"/>
        </w:rPr>
        <w:t>The new guidance introduces an approach based on current expected losses</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life of the exposure to estimate credit losses on certain types of financial instruments. It also modifies the impairment model for available-for-sale debt securities and provides for a simplified accounting model for purchased financial assets with credit deterioration since their origination. The new standard will become effective for the Company beginning in the first quarter of fiscal year 2021. The Company is currently evaluating the effects the new guidance will have on its consolidated financial statements.</w:t>
      </w:r>
    </w:p>
    <w:p>
      <w:pPr>
        <w:spacing w:after="0" w:line="178"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Improvements to Employee Share-Based Payment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w:t>
      </w:r>
      <w:r>
        <w:rPr>
          <w:rFonts w:ascii="Arial" w:cs="Arial" w:eastAsia="Arial" w:hAnsi="Arial"/>
          <w:sz w:val="18"/>
          <w:szCs w:val="18"/>
          <w:color w:val="auto"/>
        </w:rPr>
        <w:t>The new guidance will simplify certain aspects of accounting for share-based payment transactions, including income tax consequences,</w:t>
      </w:r>
      <w:r>
        <w:rPr>
          <w:rFonts w:ascii="Arial" w:cs="Arial" w:eastAsia="Arial" w:hAnsi="Arial"/>
          <w:sz w:val="18"/>
          <w:szCs w:val="18"/>
          <w:i w:val="1"/>
          <w:iCs w:val="1"/>
          <w:color w:val="auto"/>
        </w:rPr>
        <w:t xml:space="preserve"> </w:t>
      </w:r>
      <w:r>
        <w:rPr>
          <w:rFonts w:ascii="Arial" w:cs="Arial" w:eastAsia="Arial" w:hAnsi="Arial"/>
          <w:sz w:val="18"/>
          <w:szCs w:val="18"/>
          <w:color w:val="auto"/>
        </w:rPr>
        <w:t>forfeitures, classification of awards on the balance sheet and presentation on the statement of cash flows. The new standard will become effective for the Company beginning in the first quarter of fiscal 2018. The Company is currently evaluating the effects this new guidance will have on its consolidated financial statements.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new standard will revise the current guidance for lessees, lessors and sale-leaseback transactions. Under the new guidance, substantially all lessees will now recognize a right-of-use asset and a lease liability for all of their leases with terms greater than 12 months even if the lease is an operating lease. Consistent with current GAAP, the recognition, measurement, and presentation of expenses and cash flow arising from a lease by a lessee primarily will depend on its classification as a finance or operating lease. The new guidance becomes effective for the Company in the first quarter of fiscal 2020. The Company is currently evaluating the effects this new guidance will have on its consolidated financial statements.</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Measurements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Financial Liabilities." </w:t>
      </w:r>
      <w:r>
        <w:rPr>
          <w:rFonts w:ascii="Arial" w:cs="Arial" w:eastAsia="Arial" w:hAnsi="Arial"/>
          <w:sz w:val="18"/>
          <w:szCs w:val="18"/>
          <w:color w:val="auto"/>
        </w:rPr>
        <w:t>This new standard will affect the accounting for equity investments, financial liabilities measured under the fair value option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 and disclosure requirements for financial instruments. In addition, the FASB clarified guidance related to the assessment of valuation allowances when recognizing deferred tax assets related to unrealized losses on available-for-sale debt securities. The new standard is effective for the Company beginning in the first quarter of fiscal 2019. The Company is currently evaluating the effects this new standard will have on its consolidated financial statements.</w:t>
      </w:r>
    </w:p>
    <w:p>
      <w:pPr>
        <w:spacing w:after="0" w:line="19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xml:space="preserve"> Entities that measure their inventory other than pursuant to the last-in, last-out and retail inventory methods will measure their inventory at the lower of cost or net realized value. Net realized value is the estimated selling price in the ordinary course of business less reasonably predictable costs to completion, transportation, or disposal. Currently, inventory is required to be measured at the lower of cost or market where market could be the replacement cost, net realizable value, or net realizable value less an approximated normal profit margin. The Company will adopt the provisions of this standard in the first quarter of fiscal 2018, and is currently evaluating the impact on its consolidated financial statements.</w:t>
      </w:r>
    </w:p>
    <w:p>
      <w:pPr>
        <w:spacing w:after="0" w:line="19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that amends existing guidance on revenue recognition. The new guidance is based on principles that an entity will recognize revenue to depict the transfer of goods and services to customers at an amount the entity expects to be entitled to in exchange for those goods and services. The guidance requires additional disclosures regarding the nature, amount, timing, and uncertainty of cash flows and both qualitative and quantitative information about contracts with customers and applied significant judgments. The FASB has issued several amendments to the new guidance. In August 2015, they delayed the effective date for adoption by one year. In March 2016, additional guidance was issued that clarifies the principal versus agent considerations within the new revenue standard. In April, 2016, additional guidance was issued that clarifies the identification of distinct performance obligations in a contract as well as clarifies the accounting for licenses of intellectual property. In May 2016, additional guidance was issued related to transition, collectibility, non-cash consideration and the presentation of sales and other similar taxes. The new amended guidance will become effective for the Company in the first quarter of fiscal 2019, using one of two retrospective methods of adoption. The Company has not determined which method it will adopt and is evaluating the effects the new guidance will have on its consolidated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Recently Adopted</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April 2015, the FASB issued ASU 2015-05</w:t>
      </w:r>
      <w:r>
        <w:rPr>
          <w:rFonts w:ascii="Arial" w:cs="Arial" w:eastAsia="Arial" w:hAnsi="Arial"/>
          <w:sz w:val="17"/>
          <w:szCs w:val="17"/>
          <w:i w:val="1"/>
          <w:iCs w:val="1"/>
          <w:color w:val="auto"/>
        </w:rPr>
        <w:t>, "Intangibles - Goodwill and Other - Internal-Use Software (Subtopic 350-40): Customer's Accounting for Fees</w:t>
      </w:r>
      <w:r>
        <w:rPr>
          <w:rFonts w:ascii="Arial" w:cs="Arial" w:eastAsia="Arial" w:hAnsi="Arial"/>
          <w:sz w:val="17"/>
          <w:szCs w:val="17"/>
          <w:color w:val="auto"/>
        </w:rPr>
        <w:t xml:space="preserve"> </w:t>
      </w:r>
      <w:r>
        <w:rPr>
          <w:rFonts w:ascii="Arial" w:cs="Arial" w:eastAsia="Arial" w:hAnsi="Arial"/>
          <w:sz w:val="17"/>
          <w:szCs w:val="17"/>
          <w:i w:val="1"/>
          <w:iCs w:val="1"/>
          <w:color w:val="auto"/>
        </w:rPr>
        <w:t>Paid in a Cloud Computing Arrangement</w:t>
      </w:r>
      <w:r>
        <w:rPr>
          <w:rFonts w:ascii="Arial" w:cs="Arial" w:eastAsia="Arial" w:hAnsi="Arial"/>
          <w:sz w:val="17"/>
          <w:szCs w:val="17"/>
          <w:color w:val="auto"/>
        </w:rPr>
        <w:t>" which provided additional guidance to customers about whether a cloud computing arrangement includes a</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license. Under this guidance, if a cloud computing arrangement contains a software license, customers should account for the license element of the arrangement in a manner consistent with the acquisition of other software licenses. If the arrangement does not contain a software license, customers should account for the arrangement as a service contract. The Company adopted the provisions of this standard in the first quarter of fiscal 2017, and there was no impact on its condensed consolidated financial statements.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September 2015, the FASB issued ASU No. 2015-16, "</w:t>
      </w:r>
      <w:r>
        <w:rPr>
          <w:rFonts w:ascii="Arial" w:cs="Arial" w:eastAsia="Arial" w:hAnsi="Arial"/>
          <w:sz w:val="18"/>
          <w:szCs w:val="18"/>
          <w:i w:val="1"/>
          <w:iCs w:val="1"/>
          <w:color w:val="auto"/>
        </w:rPr>
        <w:t>Business Combinations (Topic 805): Simplifying the Accounting for Measurement-Period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Adjustments." </w:t>
      </w:r>
      <w:r>
        <w:rPr>
          <w:rFonts w:ascii="Arial" w:cs="Arial" w:eastAsia="Arial" w:hAnsi="Arial"/>
          <w:sz w:val="18"/>
          <w:szCs w:val="18"/>
          <w:color w:val="auto"/>
        </w:rPr>
        <w:t>This standard requires an acquirer in a business combination to recognize adjustments to provisional amounts that are identified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period in the reporting period in which the adjustment amounts are determined. The effect on earnings of changes in depreciation, amortization or other income effects, as a result of the change in provisional amounts, are to be included in the same period’s financial statements, calculated as if the accounting had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been completed at the acquisition date. The amendments in this update became effective for the Company beginning in the first quarter of fiscal 2017 and will be applied prospectively to adjustments to provisional amounts that occur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 INFORMATION</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Company’s operating segments as of July 2, 2016 are Mobile Products (MP) and Infrastructure and Defense Products (IDP) based on the organizational structure and information reviewed by the Company's Chief Executive Officer, who is the Company's chief operating decision maker (or CODM), and these segments are managed separately based on the end markets and applications they support. The CODM allocates resources and assesses the performance of each operating segment primarily based on non-GAAP operating income (loss) and non-GAAP operating income (loss) as a percentage of revenue.</w:t>
      </w:r>
    </w:p>
    <w:p>
      <w:pPr>
        <w:spacing w:after="0" w:line="1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MP is a leading global supplier of RF solutions that perform various functions in the increasingly complex cellular radio front end section of smartphones and other cellular devices. These RF solutions are required in fourth generation (“4G”) data-centric devices operating under Long-Term Evolution (“LTE”) 4G networks, as well as third generation (“3G”) and second generation mobile devices. These solutions include complete RF front end modules that combine high-performance filters, power amplifiers (“PAs”), low noise amplifiers (“LNAs”) and switches, PA modules, transmit modules, antenna control solutions, antenna switch modules, diversity receive modules and envelope tracking power management devices. MP supplies its broad portfolio of RF solutions into a variety of mobile devices, including smartphones, notebook computers, wearables, tablets and cellular-based applications for the IoT.</w:t>
      </w:r>
    </w:p>
    <w:p>
      <w:pPr>
        <w:spacing w:after="0" w:line="16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IDP is a leading global supplier of RF solutions that support diverse global applications, including ubiquitous high-speed network connectivity to the cloud, data center communications, rapid internet connectivity throughout the home and workplace, and upgraded military capabilities across the globe. These RF solutions enhance performance and reduce complexity in cellular base stations, optical long haul, data center and metro networks, WiFi networks, cable networks, and emerging fifth generation (“5G”) wireless networks. Products include high power gallium arsenide (“GaAs”) and gallium nitride (“GaN”) PAs, LNAs, switches, RF filter solutions, CMOS system-on-a-chip (“SoC”) solutions and various multichip and hybrid assemblies. IDP market-leading RF solutions for defense and aerospace upgrade communications and radar systems for air, land and sea. IDP RF solutions for the IoT enable the connected car and an array of industrial applications, and serve the home automation market with SoC solutions based on ZigBee and Bluetooth Smart technologies. During the first quarter of fiscal 2017, the Company acquired GreenPeak, a leader in ultra-low power, short range RF communication technology. The acquisition expanded the Company's customer offering to include highly integrated RF solutions and SoCs for the connected home and the rapidly growing IoT.</w:t>
      </w:r>
    </w:p>
    <w:p>
      <w:pPr>
        <w:spacing w:after="0" w:line="16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“All other” category includes operating expenses such as stock-based compensation, amortization of intangible assets, acquisition and integration related costs, acquired inventory step-up and revaluation, intellectual property rights (IPR) litigation costs, restructuring and disposal costs, start-up costs, gain (loss) on assets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and other income, or taxes to operating segments. Except as discussed above regarding the “All other” category, the Company’s accounting policies for segment reporting are the same as for the Company as a whole.</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22" w:right="27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details of the Company’s reportable segments and a reconciliation of the “All other” category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w w:val="91"/>
              </w:rPr>
              <w:t>July 2,</w:t>
            </w:r>
          </w:p>
        </w:tc>
        <w:tc>
          <w:tcPr>
            <w:tcW w:w="340" w:type="dxa"/>
            <w:vAlign w:val="bottom"/>
          </w:tcPr>
          <w:p>
            <w:pPr>
              <w:spacing w:after="0"/>
              <w:rPr>
                <w:sz w:val="13"/>
                <w:szCs w:val="13"/>
                <w:color w:val="auto"/>
              </w:rPr>
            </w:pPr>
          </w:p>
        </w:tc>
        <w:tc>
          <w:tcPr>
            <w:tcW w:w="1360" w:type="dxa"/>
            <w:vAlign w:val="bottom"/>
          </w:tcPr>
          <w:p>
            <w:pPr>
              <w:jc w:val="center"/>
              <w:ind w:right="293"/>
              <w:spacing w:after="0" w:line="153" w:lineRule="exact"/>
              <w:rPr>
                <w:sz w:val="20"/>
                <w:szCs w:val="20"/>
                <w:color w:val="auto"/>
              </w:rPr>
            </w:pPr>
            <w:r>
              <w:rPr>
                <w:rFonts w:ascii="Arial" w:cs="Arial" w:eastAsia="Arial" w:hAnsi="Arial"/>
                <w:sz w:val="14"/>
                <w:szCs w:val="14"/>
                <w:b w:val="1"/>
                <w:bCs w:val="1"/>
                <w:color w:val="auto"/>
                <w:w w:val="89"/>
              </w:rPr>
              <w:t>June 27,</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MP</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547,077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550,886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IDP</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150,490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121,785</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All other (1)</w:t>
            </w:r>
          </w:p>
        </w:tc>
        <w:tc>
          <w:tcPr>
            <w:tcW w:w="3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698,537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673,641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0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9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132,977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173,742</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IDP</w:t>
            </w:r>
          </w:p>
        </w:tc>
        <w:tc>
          <w:tcPr>
            <w:tcW w:w="3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34,651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14,073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 other</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(161,887)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(189,150)</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38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5,741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(Loss) income before income taxes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7"/>
        </w:trPr>
        <w:tc>
          <w:tcPr>
            <w:tcW w:w="7900" w:type="dxa"/>
            <w:vAlign w:val="bottom"/>
            <w:vMerge w:val="restart"/>
          </w:tcPr>
          <w:p>
            <w:pPr>
              <w:spacing w:after="0"/>
              <w:rPr>
                <w:sz w:val="20"/>
                <w:szCs w:val="20"/>
                <w:color w:val="auto"/>
              </w:rPr>
            </w:pPr>
            <w:r>
              <w:rPr>
                <w:rFonts w:ascii="Arial" w:cs="Arial" w:eastAsia="Arial" w:hAnsi="Arial"/>
                <w:sz w:val="16"/>
                <w:szCs w:val="16"/>
                <w:color w:val="auto"/>
              </w:rPr>
              <w:t>(1) "All other" revenue relates to royalty income that is not allocated to MP or IDP.</w:t>
            </w: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9"/>
        </w:trPr>
        <w:tc>
          <w:tcPr>
            <w:tcW w:w="79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9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4"/>
          </w:tcPr>
          <w:p>
            <w:pPr>
              <w:jc w:val="right"/>
              <w:ind w:right="10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40" w:type="dxa"/>
            <w:vAlign w:val="bottom"/>
            <w:gridSpan w:val="2"/>
          </w:tcPr>
          <w:p>
            <w:pPr>
              <w:jc w:val="center"/>
              <w:ind w:right="520"/>
              <w:spacing w:after="0" w:line="153" w:lineRule="exact"/>
              <w:rPr>
                <w:sz w:val="20"/>
                <w:szCs w:val="20"/>
                <w:color w:val="auto"/>
              </w:rPr>
            </w:pPr>
            <w:r>
              <w:rPr>
                <w:rFonts w:ascii="Arial" w:cs="Arial" w:eastAsia="Arial" w:hAnsi="Arial"/>
                <w:sz w:val="14"/>
                <w:szCs w:val="14"/>
                <w:b w:val="1"/>
                <w:bCs w:val="1"/>
                <w:color w:val="auto"/>
                <w:w w:val="91"/>
              </w:rPr>
              <w:t>July 2,</w:t>
            </w:r>
          </w:p>
        </w:tc>
        <w:tc>
          <w:tcPr>
            <w:tcW w:w="340" w:type="dxa"/>
            <w:vAlign w:val="bottom"/>
          </w:tcPr>
          <w:p>
            <w:pPr>
              <w:spacing w:after="0"/>
              <w:rPr>
                <w:sz w:val="13"/>
                <w:szCs w:val="13"/>
                <w:color w:val="auto"/>
              </w:rPr>
            </w:pPr>
          </w:p>
        </w:tc>
        <w:tc>
          <w:tcPr>
            <w:tcW w:w="1360" w:type="dxa"/>
            <w:vAlign w:val="bottom"/>
          </w:tcPr>
          <w:p>
            <w:pPr>
              <w:jc w:val="center"/>
              <w:ind w:right="293"/>
              <w:spacing w:after="0" w:line="153" w:lineRule="exact"/>
              <w:rPr>
                <w:sz w:val="20"/>
                <w:szCs w:val="20"/>
                <w:color w:val="auto"/>
              </w:rPr>
            </w:pPr>
            <w:r>
              <w:rPr>
                <w:rFonts w:ascii="Arial" w:cs="Arial" w:eastAsia="Arial" w:hAnsi="Arial"/>
                <w:sz w:val="14"/>
                <w:szCs w:val="14"/>
                <w:b w:val="1"/>
                <w:bCs w:val="1"/>
                <w:color w:val="auto"/>
                <w:w w:val="89"/>
              </w:rPr>
              <w:t>June 27,</w:t>
            </w:r>
          </w:p>
        </w:tc>
        <w:tc>
          <w:tcPr>
            <w:tcW w:w="0" w:type="dxa"/>
            <w:vAlign w:val="bottom"/>
          </w:tcPr>
          <w:p>
            <w:pPr>
              <w:spacing w:after="0"/>
              <w:rPr>
                <w:sz w:val="1"/>
                <w:szCs w:val="1"/>
                <w:color w:val="auto"/>
              </w:rPr>
            </w:pPr>
          </w:p>
        </w:tc>
      </w:tr>
      <w:tr>
        <w:trPr>
          <w:trHeight w:val="192"/>
        </w:trPr>
        <w:tc>
          <w:tcPr>
            <w:tcW w:w="79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31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of “All other” category:</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(30,594)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(48,170)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(123,202)</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Acquisition and integration related costs</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(10,415)</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Acquired inventory step-up and revaluation</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Restructuring and disposal costs</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IPR litigation costs</w:t>
            </w:r>
          </w:p>
        </w:tc>
        <w:tc>
          <w:tcPr>
            <w:tcW w:w="3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Start-up costs</w:t>
            </w:r>
          </w:p>
        </w:tc>
        <w:tc>
          <w:tcPr>
            <w:tcW w:w="3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(3,710)</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(including gain (loss) on assets and other miscellaneous corporate overhead)</w:t>
            </w:r>
          </w:p>
        </w:tc>
        <w:tc>
          <w:tcPr>
            <w:tcW w:w="3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 for “All other”</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(161,887)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(189,150)</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5620"/>
              <w:spacing w:after="0"/>
              <w:rPr>
                <w:sz w:val="20"/>
                <w:szCs w:val="20"/>
                <w:color w:val="auto"/>
              </w:rPr>
            </w:pPr>
            <w:r>
              <w:rPr>
                <w:rFonts w:ascii="Arial" w:cs="Arial" w:eastAsia="Arial" w:hAnsi="Arial"/>
                <w:sz w:val="18"/>
                <w:szCs w:val="18"/>
                <w:color w:val="auto"/>
              </w:rPr>
              <w:t>18</w:t>
            </w: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0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9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CONDENSED CONSOLIDATING FINANCIAL INFORMATION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discussed in Note 5, the Notes were issued pursuant to the Indenture by and among the Company, the Company's domestic subsidiaries that guarantee the Company's obligations under its revolving credit facility, as guarantors, and MUFG Union Bank, N.A., as trustee. The Notes are fully and unconditionally guaranteed on a joint and several basis by each guarantor subsidiary, each of which is 100% owned, directly or indirectly, by Qorvo, Inc. (the "Parent Company"). A guarantor subsidiary’s guarantee can be released in certain customary circumstances.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Rule 3-10 of Regulation S-X, the following presents the condensed consolidating financial information separately for:</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Parent Company, the issuer of the Notes;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guarantor subsidiaries, on a combined basis, as specified in the Indenture;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non-guarantor subsidiaries, on a combined basis;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consolidating entries and eliminations representing adjustments to (a) eliminate intercompany transactions between or among the Parent Company, the guarantor subsidiaries and the non-guarantor subsidiaries, (b) eliminate intercompany profit in inventory, (c) eliminate the investments in the Company’s subsidiaries and (d) record consolidating entries;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on a consolidated basis.</w:t>
      </w:r>
    </w:p>
    <w:p>
      <w:pPr>
        <w:spacing w:after="0" w:line="21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Each entity in the condensed consolidating financial information follows the same accounting policies as described in the consolidated financial statements, except for the use by the Parent Company and guarantor subsidiaries of the equity method of accounting to reflect ownership interests in subsidiaries that are eliminated upon consolidation. The financial information may not necessarily be indicative of the financial position, results of operations, comprehensive income (loss), and cash flows, had the Parent Company, guarantor or non-guarantor subsidiaries operated as independent entities.</w:t>
      </w: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121" w:right="3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88"/>
              </w:rPr>
              <w:t>Condensed Consolidating Balance Sheet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July 2, 2016</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Parent Company</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24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2940" w:type="dxa"/>
            <w:vAlign w:val="bottom"/>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150,131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433,034</w:t>
            </w:r>
          </w:p>
        </w:tc>
        <w:tc>
          <w:tcPr>
            <w:tcW w:w="0" w:type="dxa"/>
            <w:vAlign w:val="bottom"/>
          </w:tcPr>
          <w:p>
            <w:pPr>
              <w:spacing w:after="0"/>
              <w:rPr>
                <w:sz w:val="1"/>
                <w:szCs w:val="1"/>
                <w:color w:val="auto"/>
              </w:rPr>
            </w:pPr>
          </w:p>
        </w:tc>
      </w:tr>
      <w:tr>
        <w:trPr>
          <w:trHeight w:val="243"/>
        </w:trPr>
        <w:tc>
          <w:tcPr>
            <w:tcW w:w="2940" w:type="dxa"/>
            <w:vAlign w:val="bottom"/>
          </w:tcPr>
          <w:p>
            <w:pPr>
              <w:ind w:left="36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13,873</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less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allowance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75,532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325,147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400,679</w:t>
            </w:r>
          </w:p>
        </w:tc>
        <w:tc>
          <w:tcPr>
            <w:tcW w:w="0" w:type="dxa"/>
            <w:vAlign w:val="bottom"/>
          </w:tcPr>
          <w:p>
            <w:pPr>
              <w:spacing w:after="0"/>
              <w:rPr>
                <w:sz w:val="1"/>
                <w:szCs w:val="1"/>
                <w:color w:val="auto"/>
              </w:rPr>
            </w:pPr>
          </w:p>
        </w:tc>
      </w:tr>
      <w:tr>
        <w:trPr>
          <w:trHeight w:val="229"/>
        </w:trPr>
        <w:tc>
          <w:tcPr>
            <w:tcW w:w="2940" w:type="dxa"/>
            <w:vAlign w:val="bottom"/>
          </w:tcPr>
          <w:p>
            <w:pPr>
              <w:ind w:left="360"/>
              <w:spacing w:after="0"/>
              <w:rPr>
                <w:sz w:val="20"/>
                <w:szCs w:val="20"/>
                <w:color w:val="auto"/>
              </w:rPr>
            </w:pPr>
            <w:r>
              <w:rPr>
                <w:rFonts w:ascii="Arial" w:cs="Arial" w:eastAsia="Arial" w:hAnsi="Arial"/>
                <w:sz w:val="18"/>
                <w:szCs w:val="18"/>
                <w:color w:val="auto"/>
                <w:w w:val="94"/>
              </w:rPr>
              <w:t>Intercompany accounts and notes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360"/>
              <w:spacing w:after="0"/>
              <w:rPr>
                <w:sz w:val="20"/>
                <w:szCs w:val="20"/>
                <w:color w:val="auto"/>
              </w:rPr>
            </w:pPr>
            <w:r>
              <w:rPr>
                <w:rFonts w:ascii="Arial" w:cs="Arial" w:eastAsia="Arial" w:hAnsi="Arial"/>
                <w:sz w:val="18"/>
                <w:szCs w:val="18"/>
                <w:color w:val="auto"/>
              </w:rPr>
              <w:t>receivable</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617,320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134,392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(751,712)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439,544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(102,035)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455,771</w:t>
            </w:r>
          </w:p>
        </w:tc>
        <w:tc>
          <w:tcPr>
            <w:tcW w:w="0" w:type="dxa"/>
            <w:vAlign w:val="bottom"/>
          </w:tcPr>
          <w:p>
            <w:pPr>
              <w:spacing w:after="0"/>
              <w:rPr>
                <w:sz w:val="1"/>
                <w:szCs w:val="1"/>
                <w:color w:val="auto"/>
              </w:rPr>
            </w:pPr>
          </w:p>
        </w:tc>
      </w:tr>
      <w:tr>
        <w:trPr>
          <w:trHeight w:val="243"/>
        </w:trPr>
        <w:tc>
          <w:tcPr>
            <w:tcW w:w="294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68,329</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69,871</w:t>
            </w:r>
          </w:p>
        </w:tc>
        <w:tc>
          <w:tcPr>
            <w:tcW w:w="0" w:type="dxa"/>
            <w:vAlign w:val="bottom"/>
          </w:tcPr>
          <w:p>
            <w:pPr>
              <w:spacing w:after="0"/>
              <w:rPr>
                <w:sz w:val="1"/>
                <w:szCs w:val="1"/>
                <w:color w:val="auto"/>
              </w:rPr>
            </w:pPr>
          </w:p>
        </w:tc>
      </w:tr>
      <w:tr>
        <w:trPr>
          <w:trHeight w:val="243"/>
        </w:trPr>
        <w:tc>
          <w:tcPr>
            <w:tcW w:w="2940" w:type="dxa"/>
            <w:vAlign w:val="bottom"/>
          </w:tcPr>
          <w:p>
            <w:pPr>
              <w:ind w:left="36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43,863</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1,080,850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1,258,317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(853,747)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1,485,420</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883,197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277,756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1,160,953</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1,953,102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221,537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2,174,639</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741,188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1,068,586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1,775,937</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w w:val="94"/>
              </w:rPr>
              <w:t>Long-term intercompany accounts and</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notes receivable</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424,333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131,713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(556,046)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6,137,196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(7,801,913)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38,619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25,396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65,038</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6,138,219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6,812,006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2,983,305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(9,245,543)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6,687,987</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99,265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166,091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263,478</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Intercompany accounts and notes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payable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134,392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617,320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(751,712)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103,492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142,509</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14,346</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5,931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337,346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830,646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(753,590)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420,333</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988,372</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204,465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62,813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163,644</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Long-term intercompany accounts and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213,974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131,713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210,359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(556,046)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48,183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82,062</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1,104,643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707,403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1,152,001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(1,309,636)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1,654,411</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5,033,576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6,104,603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1,831,304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(7,935,907)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5,033,576</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w:t>
            </w:r>
          </w:p>
        </w:tc>
        <w:tc>
          <w:tcPr>
            <w:tcW w:w="2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6,138,219</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6,812,006</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2,983,305</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(9,245,543)</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6,687,987</w:t>
            </w: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240" w:top="121" w:right="1379" w:bottom="1440" w:gutter="0" w:footer="0" w:header="0"/>
        </w:sectPr>
      </w:pP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0280"/>
          </w:cols>
          <w:pgMar w:left="240" w:top="121" w:right="137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8"/>
          </w:tcPr>
          <w:p>
            <w:pPr>
              <w:jc w:val="center"/>
              <w:ind w:right="300"/>
              <w:spacing w:after="0"/>
              <w:rPr>
                <w:sz w:val="20"/>
                <w:szCs w:val="20"/>
                <w:color w:val="auto"/>
              </w:rPr>
            </w:pPr>
            <w:r>
              <w:rPr>
                <w:rFonts w:ascii="Arial" w:cs="Arial" w:eastAsia="Arial" w:hAnsi="Arial"/>
                <w:sz w:val="16"/>
                <w:szCs w:val="16"/>
                <w:b w:val="1"/>
                <w:bCs w:val="1"/>
                <w:color w:val="auto"/>
                <w:w w:val="88"/>
              </w:rPr>
              <w:t>Condensed Consolidating Balance Sheet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April 2, 2016</w:t>
            </w: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Parent Company</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w w:val="97"/>
              </w:rPr>
              <w:t>Guarantor</w:t>
            </w:r>
          </w:p>
        </w:tc>
        <w:tc>
          <w:tcPr>
            <w:tcW w:w="124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2"/>
                <w:szCs w:val="12"/>
                <w:color w:val="auto"/>
              </w:rPr>
            </w:pPr>
          </w:p>
        </w:tc>
        <w:tc>
          <w:tcPr>
            <w:tcW w:w="100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2940" w:type="dxa"/>
            <w:vAlign w:val="bottom"/>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425,881</w:t>
            </w:r>
          </w:p>
        </w:tc>
        <w:tc>
          <w:tcPr>
            <w:tcW w:w="0" w:type="dxa"/>
            <w:vAlign w:val="bottom"/>
          </w:tcPr>
          <w:p>
            <w:pPr>
              <w:spacing w:after="0"/>
              <w:rPr>
                <w:sz w:val="1"/>
                <w:szCs w:val="1"/>
                <w:color w:val="auto"/>
              </w:rPr>
            </w:pPr>
          </w:p>
        </w:tc>
      </w:tr>
      <w:tr>
        <w:trPr>
          <w:trHeight w:val="243"/>
        </w:trPr>
        <w:tc>
          <w:tcPr>
            <w:tcW w:w="294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186,808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186,808</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2"/>
              </w:rPr>
              <w:t>Accounts receivable, less allowance</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203,488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112,868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316,356</w:t>
            </w:r>
          </w:p>
        </w:tc>
        <w:tc>
          <w:tcPr>
            <w:tcW w:w="0" w:type="dxa"/>
            <w:vAlign w:val="bottom"/>
          </w:tcPr>
          <w:p>
            <w:pPr>
              <w:spacing w:after="0"/>
              <w:rPr>
                <w:sz w:val="1"/>
                <w:szCs w:val="1"/>
                <w:color w:val="auto"/>
              </w:rPr>
            </w:pPr>
          </w:p>
        </w:tc>
      </w:tr>
      <w:tr>
        <w:trPr>
          <w:trHeight w:val="229"/>
        </w:trPr>
        <w:tc>
          <w:tcPr>
            <w:tcW w:w="2940" w:type="dxa"/>
            <w:vAlign w:val="bottom"/>
          </w:tcPr>
          <w:p>
            <w:pPr>
              <w:ind w:left="260"/>
              <w:spacing w:after="0"/>
              <w:rPr>
                <w:sz w:val="20"/>
                <w:szCs w:val="20"/>
                <w:color w:val="auto"/>
              </w:rPr>
            </w:pPr>
            <w:r>
              <w:rPr>
                <w:rFonts w:ascii="Arial" w:cs="Arial" w:eastAsia="Arial" w:hAnsi="Arial"/>
                <w:sz w:val="18"/>
                <w:szCs w:val="18"/>
                <w:color w:val="auto"/>
                <w:w w:val="98"/>
              </w:rPr>
              <w:t>Intercompany accounts and notes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60"/>
              <w:spacing w:after="0"/>
              <w:rPr>
                <w:sz w:val="20"/>
                <w:szCs w:val="20"/>
                <w:color w:val="auto"/>
              </w:rPr>
            </w:pPr>
            <w:r>
              <w:rPr>
                <w:rFonts w:ascii="Arial" w:cs="Arial" w:eastAsia="Arial" w:hAnsi="Arial"/>
                <w:sz w:val="18"/>
                <w:szCs w:val="18"/>
                <w:color w:val="auto"/>
              </w:rPr>
              <w:t>receivable</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532,508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404,330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(936,838)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427,551</w:t>
            </w:r>
          </w:p>
        </w:tc>
        <w:tc>
          <w:tcPr>
            <w:tcW w:w="0" w:type="dxa"/>
            <w:vAlign w:val="bottom"/>
          </w:tcPr>
          <w:p>
            <w:pPr>
              <w:spacing w:after="0"/>
              <w:rPr>
                <w:sz w:val="1"/>
                <w:szCs w:val="1"/>
                <w:color w:val="auto"/>
              </w:rPr>
            </w:pPr>
          </w:p>
        </w:tc>
      </w:tr>
      <w:tr>
        <w:trPr>
          <w:trHeight w:val="243"/>
        </w:trPr>
        <w:tc>
          <w:tcPr>
            <w:tcW w:w="294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56,151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63,850</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47,380</w:t>
            </w:r>
          </w:p>
        </w:tc>
        <w:tc>
          <w:tcPr>
            <w:tcW w:w="0" w:type="dxa"/>
            <w:vAlign w:val="bottom"/>
          </w:tcPr>
          <w:p>
            <w:pPr>
              <w:spacing w:after="0"/>
              <w:rPr>
                <w:sz w:val="1"/>
                <w:szCs w:val="1"/>
                <w:color w:val="auto"/>
              </w:rPr>
            </w:pPr>
          </w:p>
        </w:tc>
      </w:tr>
      <w:tr>
        <w:trPr>
          <w:trHeight w:val="243"/>
        </w:trPr>
        <w:tc>
          <w:tcPr>
            <w:tcW w:w="2940" w:type="dxa"/>
            <w:vAlign w:val="bottom"/>
          </w:tcPr>
          <w:p>
            <w:pPr>
              <w:ind w:left="260"/>
              <w:spacing w:after="0"/>
              <w:rPr>
                <w:sz w:val="20"/>
                <w:szCs w:val="20"/>
                <w:color w:val="auto"/>
              </w:rPr>
            </w:pPr>
            <w:r>
              <w:rPr>
                <w:rFonts w:ascii="Arial" w:cs="Arial" w:eastAsia="Arial" w:hAnsi="Arial"/>
                <w:sz w:val="18"/>
                <w:szCs w:val="18"/>
                <w:color w:val="auto"/>
              </w:rPr>
              <w:t>Other current assets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40,866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41,384</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1,464,114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1,066,356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(1,021,260)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1,509,210</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807,586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239,495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1,046,888</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1,868,816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266,881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2,135,697</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786,314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1,026,201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1,812,515</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26,050</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w w:val="94"/>
              </w:rPr>
              <w:t>Long-term intercompany accounts and</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notes receivable</w:t>
            </w:r>
          </w:p>
        </w:tc>
        <w:tc>
          <w:tcPr>
            <w:tcW w:w="24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564,397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267,823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(832,220)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in subsidiaries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6,151,119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1,645,846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(7,796,965)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66,459</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6,152,210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7,202,601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2,892,646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(9,650,638)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6,596,819</w:t>
            </w:r>
          </w:p>
        </w:tc>
        <w:tc>
          <w:tcPr>
            <w:tcW w:w="0" w:type="dxa"/>
            <w:vAlign w:val="bottom"/>
          </w:tcPr>
          <w:p>
            <w:pPr>
              <w:spacing w:after="0"/>
              <w:rPr>
                <w:sz w:val="1"/>
                <w:szCs w:val="1"/>
                <w:color w:val="auto"/>
              </w:rPr>
            </w:pPr>
          </w:p>
        </w:tc>
      </w:tr>
      <w:tr>
        <w:trPr>
          <w:trHeight w:val="20"/>
        </w:trPr>
        <w:tc>
          <w:tcPr>
            <w:tcW w:w="2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 AND</w:t>
            </w: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9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141,792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66,508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(2,936)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205,364</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4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8"/>
              </w:rPr>
              <w:t>Intercompany accounts and notes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payable</w:t>
            </w:r>
          </w:p>
        </w:tc>
        <w:tc>
          <w:tcPr>
            <w:tcW w:w="2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404,330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532,508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(936,838)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25,445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93,609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137,889</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30,548</w:t>
            </w:r>
          </w:p>
        </w:tc>
        <w:tc>
          <w:tcPr>
            <w:tcW w:w="0" w:type="dxa"/>
            <w:vAlign w:val="bottom"/>
          </w:tcPr>
          <w:p>
            <w:pPr>
              <w:spacing w:after="0"/>
              <w:rPr>
                <w:sz w:val="1"/>
                <w:szCs w:val="1"/>
                <w:color w:val="auto"/>
              </w:rPr>
            </w:pPr>
          </w:p>
        </w:tc>
      </w:tr>
      <w:tr>
        <w:trPr>
          <w:trHeight w:val="237"/>
        </w:trPr>
        <w:tc>
          <w:tcPr>
            <w:tcW w:w="294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25,445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659,853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628,277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(939,774)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373,801</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988,130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988,130</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(93,340)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195,462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50,038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152,160</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Long-term intercompany accounts and</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payable</w:t>
            </w:r>
          </w:p>
        </w:tc>
        <w:tc>
          <w:tcPr>
            <w:tcW w:w="2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232,303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267,823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(832,220)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39,288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43,768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83,056</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1,152,538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1,162,426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1,054,177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(1,771,994)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1,597,147</w:t>
            </w: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4,999,672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6,040,175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1,838,469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(7,878,644)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4,999,672</w:t>
            </w:r>
          </w:p>
        </w:tc>
        <w:tc>
          <w:tcPr>
            <w:tcW w:w="0" w:type="dxa"/>
            <w:vAlign w:val="bottom"/>
          </w:tcPr>
          <w:p>
            <w:pPr>
              <w:spacing w:after="0"/>
              <w:rPr>
                <w:sz w:val="1"/>
                <w:szCs w:val="1"/>
                <w:color w:val="auto"/>
              </w:rPr>
            </w:pPr>
          </w:p>
        </w:tc>
      </w:tr>
      <w:tr>
        <w:trPr>
          <w:trHeight w:val="27"/>
        </w:trPr>
        <w:tc>
          <w:tcPr>
            <w:tcW w:w="2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w:t>
            </w:r>
          </w:p>
        </w:tc>
        <w:tc>
          <w:tcPr>
            <w:tcW w:w="24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6,152,210</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7,202,601</w:t>
            </w:r>
          </w:p>
        </w:tc>
        <w:tc>
          <w:tcPr>
            <w:tcW w:w="10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2,892,646</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(9,650,638)</w:t>
            </w:r>
          </w:p>
        </w:tc>
        <w:tc>
          <w:tcPr>
            <w:tcW w:w="12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6,596,819</w:t>
            </w:r>
          </w:p>
        </w:tc>
        <w:tc>
          <w:tcPr>
            <w:tcW w:w="0" w:type="dxa"/>
            <w:vAlign w:val="bottom"/>
          </w:tcPr>
          <w:p>
            <w:pPr>
              <w:spacing w:after="0"/>
              <w:rPr>
                <w:sz w:val="1"/>
                <w:szCs w:val="1"/>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6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40" w:type="dxa"/>
            <w:vAlign w:val="bottom"/>
            <w:gridSpan w:val="13"/>
          </w:tcPr>
          <w:p>
            <w:pPr>
              <w:jc w:val="center"/>
              <w:ind w:right="1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(Loss) Income</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2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2"/>
              </w:rPr>
              <w:t>Three Months Ended July 2, 2016</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Guarantor</w:t>
            </w:r>
          </w:p>
        </w:tc>
        <w:tc>
          <w:tcPr>
            <w:tcW w:w="126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BFE4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BFE4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Subsidiaries</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BFE4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404,978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732,494</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(438,935)</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698,537</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344,567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479,042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(401,547)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422,062</w:t>
            </w:r>
          </w:p>
        </w:tc>
        <w:tc>
          <w:tcPr>
            <w:tcW w:w="0" w:type="dxa"/>
            <w:vAlign w:val="bottom"/>
          </w:tcPr>
          <w:p>
            <w:pPr>
              <w:spacing w:after="0"/>
              <w:rPr>
                <w:sz w:val="1"/>
                <w:szCs w:val="1"/>
                <w:color w:val="auto"/>
              </w:rPr>
            </w:pPr>
          </w:p>
        </w:tc>
      </w:tr>
      <w:tr>
        <w:trPr>
          <w:trHeight w:val="27"/>
        </w:trPr>
        <w:tc>
          <w:tcPr>
            <w:tcW w:w="296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60,411</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253,452</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(37,388)</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276,475</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11,669</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9,840</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98,487</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(2,859)</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117,137</w:t>
            </w:r>
          </w:p>
        </w:tc>
        <w:tc>
          <w:tcPr>
            <w:tcW w:w="0" w:type="dxa"/>
            <w:vAlign w:val="bottom"/>
          </w:tcPr>
          <w:p>
            <w:pPr>
              <w:spacing w:after="0"/>
              <w:rPr>
                <w:sz w:val="1"/>
                <w:szCs w:val="1"/>
                <w:color w:val="auto"/>
              </w:rPr>
            </w:pPr>
          </w:p>
        </w:tc>
      </w:tr>
      <w:tr>
        <w:trPr>
          <w:trHeight w:val="243"/>
        </w:trPr>
        <w:tc>
          <w:tcPr>
            <w:tcW w:w="2960" w:type="dxa"/>
            <w:vAlign w:val="bottom"/>
          </w:tcPr>
          <w:p>
            <w:pPr>
              <w:ind w:left="260"/>
              <w:spacing w:after="0"/>
              <w:rPr>
                <w:sz w:val="20"/>
                <w:szCs w:val="20"/>
                <w:color w:val="auto"/>
              </w:rPr>
            </w:pPr>
            <w:r>
              <w:rPr>
                <w:rFonts w:ascii="Arial" w:cs="Arial" w:eastAsia="Arial" w:hAnsi="Arial"/>
                <w:sz w:val="18"/>
                <w:szCs w:val="18"/>
                <w:color w:val="auto"/>
              </w:rPr>
              <w:t>Marketing and selling</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25,534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86,612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109,036</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12,867</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2,099</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19,926</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34,559</w:t>
            </w:r>
          </w:p>
        </w:tc>
        <w:tc>
          <w:tcPr>
            <w:tcW w:w="0" w:type="dxa"/>
            <w:vAlign w:val="bottom"/>
          </w:tcPr>
          <w:p>
            <w:pPr>
              <w:spacing w:after="0"/>
              <w:rPr>
                <w:sz w:val="1"/>
                <w:szCs w:val="1"/>
                <w:color w:val="auto"/>
              </w:rPr>
            </w:pPr>
          </w:p>
        </w:tc>
      </w:tr>
      <w:tr>
        <w:trPr>
          <w:trHeight w:val="243"/>
        </w:trPr>
        <w:tc>
          <w:tcPr>
            <w:tcW w:w="2960" w:type="dxa"/>
            <w:vAlign w:val="bottom"/>
          </w:tcPr>
          <w:p>
            <w:pPr>
              <w:ind w:left="260"/>
              <w:spacing w:after="0"/>
              <w:rPr>
                <w:sz w:val="20"/>
                <w:szCs w:val="20"/>
                <w:color w:val="auto"/>
              </w:rPr>
            </w:pPr>
            <w:r>
              <w:rPr>
                <w:rFonts w:ascii="Arial" w:cs="Arial" w:eastAsia="Arial" w:hAnsi="Arial"/>
                <w:sz w:val="18"/>
                <w:szCs w:val="18"/>
                <w:color w:val="auto"/>
              </w:rPr>
              <w:t>Other operating expense</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4,093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10,002</w:t>
            </w:r>
          </w:p>
        </w:tc>
        <w:tc>
          <w:tcPr>
            <w:tcW w:w="0" w:type="dxa"/>
            <w:vAlign w:val="bottom"/>
          </w:tcPr>
          <w:p>
            <w:pPr>
              <w:spacing w:after="0"/>
              <w:rPr>
                <w:sz w:val="1"/>
                <w:szCs w:val="1"/>
                <w:color w:val="auto"/>
              </w:rPr>
            </w:pPr>
          </w:p>
        </w:tc>
      </w:tr>
      <w:tr>
        <w:trPr>
          <w:trHeight w:val="27"/>
        </w:trPr>
        <w:tc>
          <w:tcPr>
            <w:tcW w:w="296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30,594</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41,566</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210,966</w:t>
            </w:r>
          </w:p>
        </w:tc>
        <w:tc>
          <w:tcPr>
            <w:tcW w:w="1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(12,392)</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270,734</w:t>
            </w:r>
          </w:p>
        </w:tc>
        <w:tc>
          <w:tcPr>
            <w:tcW w:w="0" w:type="dxa"/>
            <w:vAlign w:val="bottom"/>
          </w:tcPr>
          <w:p>
            <w:pPr>
              <w:spacing w:after="0"/>
              <w:rPr>
                <w:sz w:val="1"/>
                <w:szCs w:val="1"/>
                <w:color w:val="auto"/>
              </w:rPr>
            </w:pPr>
          </w:p>
        </w:tc>
      </w:tr>
      <w:tr>
        <w:trPr>
          <w:trHeight w:val="237"/>
        </w:trPr>
        <w:tc>
          <w:tcPr>
            <w:tcW w:w="29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18,845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42,486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(24,996)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(14,768)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(1,578)</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1,977</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(15,187)</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Other (expense) income</w:t>
            </w:r>
          </w:p>
        </w:tc>
        <w:tc>
          <w:tcPr>
            <w:tcW w:w="12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(945)</w:t>
            </w:r>
          </w:p>
        </w:tc>
        <w:tc>
          <w:tcPr>
            <w:tcW w:w="10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766</w:t>
            </w:r>
          </w:p>
        </w:tc>
        <w:tc>
          <w:tcPr>
            <w:tcW w:w="1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7"/>
        </w:trPr>
        <w:tc>
          <w:tcPr>
            <w:tcW w:w="2960" w:type="dxa"/>
            <w:vAlign w:val="bottom"/>
          </w:tcPr>
          <w:p>
            <w:pPr>
              <w:ind w:left="20"/>
              <w:spacing w:after="0"/>
              <w:rPr>
                <w:sz w:val="20"/>
                <w:szCs w:val="20"/>
                <w:color w:val="auto"/>
              </w:rPr>
            </w:pPr>
            <w:r>
              <w:rPr>
                <w:rFonts w:ascii="Arial" w:cs="Arial" w:eastAsia="Arial" w:hAnsi="Arial"/>
                <w:sz w:val="18"/>
                <w:szCs w:val="18"/>
                <w:color w:val="auto"/>
              </w:rPr>
              <w:t>(Loss) income before income taxes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(45,362)</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19,188</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40,530</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(24,024)</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(9,668)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Income tax benefit (expense)</w:t>
            </w: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10,295</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(27,087)</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20,785</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3,993</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Income in subsidiaries</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29,392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(29,392)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(loss) income</w:t>
            </w:r>
          </w:p>
        </w:tc>
        <w:tc>
          <w:tcPr>
            <w:tcW w:w="12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(5,675)</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(7,899)</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61,315</w:t>
            </w:r>
          </w:p>
        </w:tc>
        <w:tc>
          <w:tcPr>
            <w:tcW w:w="1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(53,416)</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Comprehensive (loss) income</w:t>
            </w:r>
          </w:p>
        </w:tc>
        <w:tc>
          <w:tcPr>
            <w:tcW w:w="12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(6,683)</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(7,827)</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60,235</w:t>
            </w:r>
          </w:p>
        </w:tc>
        <w:tc>
          <w:tcPr>
            <w:tcW w:w="1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(52,408)</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(6,683)</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tbl>
      <w:tblPr>
        <w:tblLayout w:type="fixed"/>
        <w:tblInd w:w="1160" w:type="dxa"/>
        <w:tblCellMar>
          <w:top w:w="0" w:type="dxa"/>
          <w:left w:w="0" w:type="dxa"/>
          <w:bottom w:w="0" w:type="dxa"/>
          <w:right w:w="0" w:type="dxa"/>
        </w:tblCellMar>
      </w:tblPr>
      <w:tr>
        <w:trPr>
          <w:trHeight w:val="210"/>
        </w:trPr>
        <w:tc>
          <w:tcPr>
            <w:tcW w:w="2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40" w:type="dxa"/>
            <w:vAlign w:val="bottom"/>
            <w:gridSpan w:val="13"/>
          </w:tcPr>
          <w:p>
            <w:pPr>
              <w:jc w:val="center"/>
              <w:ind w:right="11"/>
              <w:spacing w:after="0"/>
              <w:rPr>
                <w:sz w:val="20"/>
                <w:szCs w:val="20"/>
                <w:color w:val="auto"/>
              </w:rPr>
            </w:pPr>
            <w:r>
              <w:rPr>
                <w:rFonts w:ascii="Arial" w:cs="Arial" w:eastAsia="Arial" w:hAnsi="Arial"/>
                <w:sz w:val="16"/>
                <w:szCs w:val="16"/>
                <w:b w:val="1"/>
                <w:bCs w:val="1"/>
                <w:color w:val="auto"/>
                <w:w w:val="90"/>
              </w:rPr>
              <w:t>Condensed Consolidating Statement of Operations and Comprehensive Income (Loss)</w:t>
            </w:r>
          </w:p>
        </w:tc>
        <w:tc>
          <w:tcPr>
            <w:tcW w:w="0" w:type="dxa"/>
            <w:vAlign w:val="bottom"/>
          </w:tcPr>
          <w:p>
            <w:pPr>
              <w:spacing w:after="0"/>
              <w:rPr>
                <w:sz w:val="1"/>
                <w:szCs w:val="1"/>
                <w:color w:val="auto"/>
              </w:rPr>
            </w:pPr>
          </w:p>
        </w:tc>
      </w:tr>
      <w:tr>
        <w:trPr>
          <w:trHeight w:val="270"/>
        </w:trPr>
        <w:tc>
          <w:tcPr>
            <w:tcW w:w="2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20" w:type="dxa"/>
            <w:vAlign w:val="bottom"/>
            <w:gridSpan w:val="8"/>
          </w:tcPr>
          <w:p>
            <w:pPr>
              <w:jc w:val="center"/>
              <w:ind w:right="240"/>
              <w:spacing w:after="0"/>
              <w:rPr>
                <w:sz w:val="20"/>
                <w:szCs w:val="20"/>
                <w:color w:val="auto"/>
              </w:rPr>
            </w:pPr>
            <w:r>
              <w:rPr>
                <w:rFonts w:ascii="Arial" w:cs="Arial" w:eastAsia="Arial" w:hAnsi="Arial"/>
                <w:sz w:val="16"/>
                <w:szCs w:val="16"/>
                <w:b w:val="1"/>
                <w:bCs w:val="1"/>
                <w:color w:val="auto"/>
                <w:w w:val="92"/>
              </w:rPr>
              <w:t>Three Months Ended June 27, 2015</w:t>
            </w:r>
          </w:p>
        </w:tc>
        <w:tc>
          <w:tcPr>
            <w:tcW w:w="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29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96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thousands)</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auto"/>
              </w:rPr>
              <w:t>Guarantor</w:t>
            </w:r>
          </w:p>
        </w:tc>
        <w:tc>
          <w:tcPr>
            <w:tcW w:w="126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BFE4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BFE4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Subsidiaries</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Borders>
              <w:bottom w:val="single" w:sz="8" w:color="BFE4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BFE4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725,762</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566,828</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(618,949)</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673,641</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547,523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463,940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(617,339)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394,124</w:t>
            </w:r>
          </w:p>
        </w:tc>
        <w:tc>
          <w:tcPr>
            <w:tcW w:w="0" w:type="dxa"/>
            <w:vAlign w:val="bottom"/>
          </w:tcPr>
          <w:p>
            <w:pPr>
              <w:spacing w:after="0"/>
              <w:rPr>
                <w:sz w:val="1"/>
                <w:szCs w:val="1"/>
                <w:color w:val="auto"/>
              </w:rPr>
            </w:pPr>
          </w:p>
        </w:tc>
      </w:tr>
      <w:tr>
        <w:trPr>
          <w:trHeight w:val="27"/>
        </w:trPr>
        <w:tc>
          <w:tcPr>
            <w:tcW w:w="296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6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178,239</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102,888</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279,517</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Research and development</w:t>
            </w: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21,473</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43,670</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60,011</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(7,944)</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117,210</w:t>
            </w:r>
          </w:p>
        </w:tc>
        <w:tc>
          <w:tcPr>
            <w:tcW w:w="0" w:type="dxa"/>
            <w:vAlign w:val="bottom"/>
          </w:tcPr>
          <w:p>
            <w:pPr>
              <w:spacing w:after="0"/>
              <w:rPr>
                <w:sz w:val="1"/>
                <w:szCs w:val="1"/>
                <w:color w:val="auto"/>
              </w:rPr>
            </w:pPr>
          </w:p>
        </w:tc>
      </w:tr>
      <w:tr>
        <w:trPr>
          <w:trHeight w:val="243"/>
        </w:trPr>
        <w:tc>
          <w:tcPr>
            <w:tcW w:w="2960" w:type="dxa"/>
            <w:vAlign w:val="bottom"/>
          </w:tcPr>
          <w:p>
            <w:pPr>
              <w:ind w:left="260"/>
              <w:spacing w:after="0"/>
              <w:rPr>
                <w:sz w:val="20"/>
                <w:szCs w:val="20"/>
                <w:color w:val="auto"/>
              </w:rPr>
            </w:pPr>
            <w:r>
              <w:rPr>
                <w:rFonts w:ascii="Arial" w:cs="Arial" w:eastAsia="Arial" w:hAnsi="Arial"/>
                <w:sz w:val="18"/>
                <w:szCs w:val="18"/>
                <w:color w:val="auto"/>
              </w:rPr>
              <w:t>Marketing and selling</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20,087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33,508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62,859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109,645</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6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6,610</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22,556</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9,179</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36,083</w:t>
            </w:r>
          </w:p>
        </w:tc>
        <w:tc>
          <w:tcPr>
            <w:tcW w:w="0" w:type="dxa"/>
            <w:vAlign w:val="bottom"/>
          </w:tcPr>
          <w:p>
            <w:pPr>
              <w:spacing w:after="0"/>
              <w:rPr>
                <w:sz w:val="1"/>
                <w:szCs w:val="1"/>
                <w:color w:val="auto"/>
              </w:rPr>
            </w:pPr>
          </w:p>
        </w:tc>
      </w:tr>
      <w:tr>
        <w:trPr>
          <w:trHeight w:val="243"/>
        </w:trPr>
        <w:tc>
          <w:tcPr>
            <w:tcW w:w="2960" w:type="dxa"/>
            <w:vAlign w:val="bottom"/>
          </w:tcPr>
          <w:p>
            <w:pPr>
              <w:ind w:left="260"/>
              <w:spacing w:after="0"/>
              <w:rPr>
                <w:sz w:val="20"/>
                <w:szCs w:val="20"/>
                <w:color w:val="auto"/>
              </w:rPr>
            </w:pPr>
            <w:r>
              <w:rPr>
                <w:rFonts w:ascii="Arial" w:cs="Arial" w:eastAsia="Arial" w:hAnsi="Arial"/>
                <w:sz w:val="18"/>
                <w:szCs w:val="18"/>
                <w:color w:val="auto"/>
              </w:rPr>
              <w:t>Other operating expense</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15,428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17,914</w:t>
            </w:r>
          </w:p>
        </w:tc>
        <w:tc>
          <w:tcPr>
            <w:tcW w:w="0" w:type="dxa"/>
            <w:vAlign w:val="bottom"/>
          </w:tcPr>
          <w:p>
            <w:pPr>
              <w:spacing w:after="0"/>
              <w:rPr>
                <w:sz w:val="1"/>
                <w:szCs w:val="1"/>
                <w:color w:val="auto"/>
              </w:rPr>
            </w:pPr>
          </w:p>
        </w:tc>
      </w:tr>
      <w:tr>
        <w:trPr>
          <w:trHeight w:val="27"/>
        </w:trPr>
        <w:tc>
          <w:tcPr>
            <w:tcW w:w="296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48,170</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115,162</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134,535</w:t>
            </w:r>
          </w:p>
        </w:tc>
        <w:tc>
          <w:tcPr>
            <w:tcW w:w="1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(17,015)</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BFE4FF"/>
            </w:tcBorders>
            <w:shd w:val="clear" w:color="auto" w:fill="BFE4FF"/>
          </w:tcPr>
          <w:p>
            <w:pPr>
              <w:spacing w:after="0"/>
              <w:rPr>
                <w:sz w:val="22"/>
                <w:szCs w:val="22"/>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280,852</w:t>
            </w:r>
          </w:p>
        </w:tc>
        <w:tc>
          <w:tcPr>
            <w:tcW w:w="0" w:type="dxa"/>
            <w:vAlign w:val="bottom"/>
          </w:tcPr>
          <w:p>
            <w:pPr>
              <w:spacing w:after="0"/>
              <w:rPr>
                <w:sz w:val="1"/>
                <w:szCs w:val="1"/>
                <w:color w:val="auto"/>
              </w:rPr>
            </w:pPr>
          </w:p>
        </w:tc>
      </w:tr>
      <w:tr>
        <w:trPr>
          <w:trHeight w:val="237"/>
        </w:trPr>
        <w:tc>
          <w:tcPr>
            <w:tcW w:w="2960" w:type="dxa"/>
            <w:vAlign w:val="bottom"/>
          </w:tcPr>
          <w:p>
            <w:pPr>
              <w:ind w:left="20"/>
              <w:spacing w:after="0"/>
              <w:rPr>
                <w:sz w:val="20"/>
                <w:szCs w:val="20"/>
                <w:color w:val="auto"/>
              </w:rPr>
            </w:pPr>
            <w:r>
              <w:rPr>
                <w:rFonts w:ascii="Arial" w:cs="Arial" w:eastAsia="Arial" w:hAnsi="Arial"/>
                <w:sz w:val="18"/>
                <w:szCs w:val="18"/>
                <w:color w:val="auto"/>
              </w:rPr>
              <w:t>(Loss) income from operations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63,077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(31,647)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15,405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897</w:t>
            </w:r>
          </w:p>
        </w:tc>
        <w:tc>
          <w:tcPr>
            <w:tcW w:w="12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Other income (expense)</w:t>
            </w:r>
          </w:p>
        </w:tc>
        <w:tc>
          <w:tcPr>
            <w:tcW w:w="12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gridSpan w:val="2"/>
            <w:shd w:val="clear" w:color="auto" w:fill="BFE4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4,517</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BFE4FF"/>
            </w:tcBorders>
            <w:shd w:val="clear" w:color="auto" w:fill="BFE4FF"/>
          </w:tcPr>
          <w:p>
            <w:pPr>
              <w:spacing w:after="0"/>
              <w:rPr>
                <w:sz w:val="23"/>
                <w:szCs w:val="23"/>
                <w:color w:val="auto"/>
              </w:rPr>
            </w:pPr>
          </w:p>
        </w:tc>
        <w:tc>
          <w:tcPr>
            <w:tcW w:w="14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1"/>
              <w:spacing w:after="0"/>
              <w:rPr>
                <w:sz w:val="20"/>
                <w:szCs w:val="20"/>
                <w:color w:val="auto"/>
              </w:rPr>
            </w:pPr>
            <w:r>
              <w:rPr>
                <w:rFonts w:ascii="Arial" w:cs="Arial" w:eastAsia="Arial" w:hAnsi="Arial"/>
                <w:sz w:val="18"/>
                <w:szCs w:val="18"/>
                <w:color w:val="auto"/>
              </w:rPr>
              <w:t>4,119</w:t>
            </w:r>
          </w:p>
        </w:tc>
        <w:tc>
          <w:tcPr>
            <w:tcW w:w="0" w:type="dxa"/>
            <w:vAlign w:val="bottom"/>
          </w:tcPr>
          <w:p>
            <w:pPr>
              <w:spacing w:after="0"/>
              <w:rPr>
                <w:sz w:val="1"/>
                <w:szCs w:val="1"/>
                <w:color w:val="auto"/>
              </w:rPr>
            </w:pPr>
          </w:p>
        </w:tc>
      </w:tr>
      <w:tr>
        <w:trPr>
          <w:trHeight w:val="237"/>
        </w:trPr>
        <w:tc>
          <w:tcPr>
            <w:tcW w:w="29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(48,170)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67,230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(31,838)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15,406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Income tax (expense) benefit</w:t>
            </w: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rPr>
              <w:t>16,083</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(11,888)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(4,787)</w:t>
            </w:r>
          </w:p>
        </w:tc>
        <w:tc>
          <w:tcPr>
            <w:tcW w:w="100" w:type="dxa"/>
            <w:vAlign w:val="bottom"/>
            <w:tcBorders>
              <w:bottom w:val="single" w:sz="8" w:color="BFE4FF"/>
            </w:tcBorders>
            <w:shd w:val="clear" w:color="auto" w:fill="BFE4FF"/>
          </w:tcPr>
          <w:p>
            <w:pPr>
              <w:spacing w:after="0"/>
              <w:rPr>
                <w:sz w:val="21"/>
                <w:szCs w:val="21"/>
                <w:color w:val="auto"/>
              </w:rPr>
            </w:pPr>
          </w:p>
        </w:tc>
        <w:tc>
          <w:tcPr>
            <w:tcW w:w="14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43"/>
        </w:trPr>
        <w:tc>
          <w:tcPr>
            <w:tcW w:w="2960" w:type="dxa"/>
            <w:vAlign w:val="bottom"/>
          </w:tcPr>
          <w:p>
            <w:pPr>
              <w:ind w:left="20"/>
              <w:spacing w:after="0"/>
              <w:rPr>
                <w:sz w:val="20"/>
                <w:szCs w:val="20"/>
                <w:color w:val="auto"/>
              </w:rPr>
            </w:pPr>
            <w:r>
              <w:rPr>
                <w:rFonts w:ascii="Arial" w:cs="Arial" w:eastAsia="Arial" w:hAnsi="Arial"/>
                <w:sz w:val="18"/>
                <w:szCs w:val="18"/>
                <w:color w:val="auto"/>
              </w:rPr>
              <w:t>Income in subsidiaries</w:t>
            </w: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34,123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(34,123)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96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2,036</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55,342</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(36,625)</w:t>
            </w:r>
          </w:p>
        </w:tc>
        <w:tc>
          <w:tcPr>
            <w:tcW w:w="1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(18,717)</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96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ind w:right="12"/>
              <w:spacing w:after="0"/>
              <w:rPr>
                <w:sz w:val="20"/>
                <w:szCs w:val="20"/>
                <w:color w:val="auto"/>
              </w:rPr>
            </w:pPr>
            <w:r>
              <w:rPr>
                <w:rFonts w:ascii="Arial" w:cs="Arial" w:eastAsia="Arial" w:hAnsi="Arial"/>
                <w:sz w:val="18"/>
                <w:szCs w:val="18"/>
                <w:color w:val="auto"/>
              </w:rPr>
              <w:t>53,889</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(36,467)</w:t>
            </w:r>
          </w:p>
        </w:tc>
        <w:tc>
          <w:tcPr>
            <w:tcW w:w="10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(17,422)</w:t>
            </w:r>
          </w:p>
        </w:tc>
        <w:tc>
          <w:tcPr>
            <w:tcW w:w="120" w:type="dxa"/>
            <w:vAlign w:val="bottom"/>
            <w:tcBorders>
              <w:bottom w:val="single" w:sz="8" w:color="BFE4FF"/>
            </w:tcBorders>
            <w:shd w:val="clear" w:color="auto" w:fill="BFE4FF"/>
          </w:tcPr>
          <w:p>
            <w:pPr>
              <w:spacing w:after="0"/>
              <w:rPr>
                <w:sz w:val="22"/>
                <w:szCs w:val="22"/>
                <w:color w:val="auto"/>
              </w:rPr>
            </w:pPr>
          </w:p>
        </w:tc>
        <w:tc>
          <w:tcPr>
            <w:tcW w:w="1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632"/>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p>
      <w:pPr>
        <w:jc w:val="center"/>
        <w:ind w:left="2900"/>
        <w:spacing w:after="0"/>
        <w:rPr>
          <w:sz w:val="20"/>
          <w:szCs w:val="20"/>
          <w:color w:val="auto"/>
        </w:rPr>
      </w:pPr>
      <w:r>
        <w:rPr>
          <w:rFonts w:ascii="Arial" w:cs="Arial" w:eastAsia="Arial" w:hAnsi="Arial"/>
          <w:sz w:val="14"/>
          <w:szCs w:val="14"/>
          <w:b w:val="1"/>
          <w:bCs w:val="1"/>
          <w:color w:val="auto"/>
        </w:rPr>
        <w:t>Condensed Consolidating Statement of Cash Flows</w:t>
      </w:r>
    </w:p>
    <w:p>
      <w:pPr>
        <w:spacing w:after="0" w:line="109" w:lineRule="exact"/>
        <w:rPr>
          <w:sz w:val="20"/>
          <w:szCs w:val="20"/>
          <w:color w:val="auto"/>
        </w:rPr>
      </w:pPr>
    </w:p>
    <w:p>
      <w:pPr>
        <w:jc w:val="center"/>
        <w:ind w:left="2900"/>
        <w:spacing w:after="0"/>
        <w:rPr>
          <w:sz w:val="20"/>
          <w:szCs w:val="20"/>
          <w:color w:val="auto"/>
        </w:rPr>
      </w:pPr>
      <w:r>
        <w:rPr>
          <w:rFonts w:ascii="Arial" w:cs="Arial" w:eastAsia="Arial" w:hAnsi="Arial"/>
          <w:sz w:val="16"/>
          <w:szCs w:val="16"/>
          <w:b w:val="1"/>
          <w:bCs w:val="1"/>
          <w:color w:val="auto"/>
        </w:rPr>
        <w:t>Three Months Ended July 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37465</wp:posOffset>
            </wp:positionV>
            <wp:extent cx="3978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sectPr>
      </w:pP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6"/>
          <w:szCs w:val="16"/>
          <w:i w:val="1"/>
          <w:iCs w:val="1"/>
          <w:color w:val="auto"/>
        </w:rPr>
        <w:t>(in thousands)</w:t>
      </w:r>
    </w:p>
    <w:p>
      <w:pPr>
        <w:spacing w:after="0" w:line="6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Net cash provided by (used in)</w:t>
      </w:r>
    </w:p>
    <w:p>
      <w:pPr>
        <w:spacing w:after="0" w:line="46"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operating activities</w:t>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320" w:type="dxa"/>
            <w:vAlign w:val="bottom"/>
          </w:tcPr>
          <w:p>
            <w:pPr>
              <w:jc w:val="right"/>
              <w:ind w:right="139"/>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(23,150)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(137,694)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220,233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59,389</w:t>
            </w:r>
          </w:p>
        </w:tc>
        <w:tc>
          <w:tcPr>
            <w:tcW w:w="0" w:type="dxa"/>
            <w:vAlign w:val="bottom"/>
          </w:tcPr>
          <w:p>
            <w:pPr>
              <w:spacing w:after="0"/>
              <w:rPr>
                <w:sz w:val="1"/>
                <w:szCs w:val="1"/>
                <w:color w:val="auto"/>
              </w:rPr>
            </w:pPr>
          </w:p>
        </w:tc>
      </w:tr>
      <w:tr>
        <w:trPr>
          <w:trHeight w:val="27"/>
        </w:trPr>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-316865</wp:posOffset>
            </wp:positionV>
            <wp:extent cx="579755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7550" cy="30861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3400" w:space="620"/>
            <w:col w:w="6260"/>
          </w:cols>
          <w:pgMar w:left="240" w:top="121" w:right="1379" w:bottom="1440" w:gutter="0" w:footer="0" w:header="0"/>
          <w:type w:val="continuous"/>
        </w:sectPr>
      </w:pPr>
    </w:p>
    <w:tbl>
      <w:tblPr>
        <w:tblLayout w:type="fixed"/>
        <w:tblInd w:w="1160" w:type="dxa"/>
        <w:tblCellMar>
          <w:top w:w="0" w:type="dxa"/>
          <w:left w:w="0" w:type="dxa"/>
          <w:bottom w:w="0" w:type="dxa"/>
          <w:right w:w="0" w:type="dxa"/>
        </w:tblCellMar>
      </w:tblPr>
      <w:tr>
        <w:trPr>
          <w:trHeight w:val="270"/>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Purchase of property and equipment</w:t>
            </w:r>
          </w:p>
        </w:tc>
        <w:tc>
          <w:tcPr>
            <w:tcW w:w="340" w:type="dxa"/>
            <w:vAlign w:val="bottom"/>
            <w:shd w:val="clear" w:color="auto" w:fill="CCEEFF"/>
          </w:tcPr>
          <w:p>
            <w:pPr>
              <w:spacing w:after="0"/>
              <w:rPr>
                <w:sz w:val="23"/>
                <w:szCs w:val="23"/>
                <w:color w:val="auto"/>
              </w:rPr>
            </w:pP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(24,139)</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(130,440)</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Purchase of a business</w:t>
            </w:r>
          </w:p>
        </w:tc>
        <w:tc>
          <w:tcPr>
            <w:tcW w:w="340" w:type="dxa"/>
            <w:vAlign w:val="bottom"/>
          </w:tcPr>
          <w:p>
            <w:pPr>
              <w:spacing w:after="0"/>
              <w:rPr>
                <w:sz w:val="21"/>
                <w:szCs w:val="21"/>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(117,498)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(117,498)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Proceeds from sale of property and</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equipment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Proceeds from maturities of</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available-for-sale securities</w:t>
            </w:r>
          </w:p>
        </w:tc>
        <w:tc>
          <w:tcPr>
            <w:tcW w:w="340" w:type="dxa"/>
            <w:vAlign w:val="bottom"/>
          </w:tcPr>
          <w:p>
            <w:pPr>
              <w:spacing w:after="0"/>
              <w:rPr>
                <w:sz w:val="20"/>
                <w:szCs w:val="20"/>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172,920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172,920</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66,636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(141,637)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(75,001)</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Proceeds from the issuance of</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3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25,962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25,962</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withholding paid on behalf of</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employees for restricted stock units</w:t>
            </w:r>
          </w:p>
        </w:tc>
        <w:tc>
          <w:tcPr>
            <w:tcW w:w="3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Restricted cash associated with</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0"/>
                <w:szCs w:val="20"/>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Net transactions with related parties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23,150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23,154</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Effect of exchange rate changes on</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w w:val="97"/>
              </w:rPr>
              <w:t>Net increase (decrease) in cash and</w:t>
            </w:r>
          </w:p>
        </w:tc>
        <w:tc>
          <w:tcPr>
            <w:tcW w:w="3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40" w:type="dxa"/>
            <w:vAlign w:val="bottom"/>
          </w:tcPr>
          <w:p>
            <w:pPr>
              <w:spacing w:after="0"/>
              <w:rPr>
                <w:sz w:val="20"/>
                <w:szCs w:val="20"/>
                <w:color w:val="auto"/>
              </w:rPr>
            </w:pP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(70,502)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77,655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7,153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the period</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220,633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205,248</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425,881</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20"/>
              <w:spacing w:after="0"/>
              <w:rPr>
                <w:sz w:val="20"/>
                <w:szCs w:val="20"/>
                <w:color w:val="auto"/>
              </w:rPr>
            </w:pPr>
            <w:r>
              <w:rPr>
                <w:rFonts w:ascii="Arial" w:cs="Arial" w:eastAsia="Arial" w:hAnsi="Arial"/>
                <w:sz w:val="18"/>
                <w:szCs w:val="18"/>
                <w:color w:val="auto"/>
                <w:w w:val="93"/>
              </w:rPr>
              <w:t>Cash and cash equivalents at the end</w:t>
            </w:r>
          </w:p>
        </w:tc>
        <w:tc>
          <w:tcPr>
            <w:tcW w:w="3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vMerge w:val="continue"/>
          </w:tcPr>
          <w:p>
            <w:pPr>
              <w:spacing w:after="0"/>
              <w:rPr>
                <w:sz w:val="18"/>
                <w:szCs w:val="18"/>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gridSpan w:val="3"/>
            <w:vMerge w:val="restart"/>
          </w:tcPr>
          <w:p>
            <w:pPr>
              <w:ind w:left="560"/>
              <w:spacing w:after="0"/>
              <w:rPr>
                <w:sz w:val="20"/>
                <w:szCs w:val="20"/>
                <w:color w:val="auto"/>
              </w:rPr>
            </w:pPr>
            <w:r>
              <w:rPr>
                <w:rFonts w:ascii="Arial" w:cs="Arial" w:eastAsia="Arial" w:hAnsi="Arial"/>
                <w:sz w:val="18"/>
                <w:szCs w:val="18"/>
                <w:color w:val="auto"/>
              </w:rPr>
              <w:t>—   $</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150,131</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282,903</w:t>
            </w:r>
          </w:p>
        </w:tc>
        <w:tc>
          <w:tcPr>
            <w:tcW w:w="100" w:type="dxa"/>
            <w:vAlign w:val="bottom"/>
          </w:tcPr>
          <w:p>
            <w:pPr>
              <w:spacing w:after="0"/>
              <w:rPr>
                <w:sz w:val="18"/>
                <w:szCs w:val="18"/>
                <w:color w:val="auto"/>
              </w:rPr>
            </w:pP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gridSpan w:val="3"/>
            <w:vMerge w:val="restart"/>
          </w:tcPr>
          <w:p>
            <w:pPr>
              <w:ind w:left="380"/>
              <w:spacing w:after="0"/>
              <w:rPr>
                <w:sz w:val="20"/>
                <w:szCs w:val="20"/>
                <w:color w:val="auto"/>
              </w:rPr>
            </w:pPr>
            <w:r>
              <w:rPr>
                <w:rFonts w:ascii="Arial" w:cs="Arial" w:eastAsia="Arial" w:hAnsi="Arial"/>
                <w:sz w:val="18"/>
                <w:szCs w:val="18"/>
                <w:color w:val="auto"/>
              </w:rPr>
              <w:t>—  $</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433,034</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of the period</w:t>
            </w:r>
          </w:p>
        </w:tc>
        <w:tc>
          <w:tcPr>
            <w:tcW w:w="340" w:type="dxa"/>
            <w:vAlign w:val="bottom"/>
            <w:vMerge w:val="continue"/>
          </w:tcPr>
          <w:p>
            <w:pPr>
              <w:spacing w:after="0"/>
              <w:rPr>
                <w:sz w:val="20"/>
                <w:szCs w:val="20"/>
                <w:color w:val="auto"/>
              </w:rPr>
            </w:pPr>
          </w:p>
        </w:tc>
        <w:tc>
          <w:tcPr>
            <w:tcW w:w="1160" w:type="dxa"/>
            <w:vAlign w:val="bottom"/>
            <w:gridSpan w:val="3"/>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9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14" w:lineRule="exact"/>
        <w:rPr>
          <w:sz w:val="20"/>
          <w:szCs w:val="20"/>
          <w:color w:val="auto"/>
        </w:rPr>
      </w:pPr>
    </w:p>
    <w:p>
      <w:pPr>
        <w:jc w:val="center"/>
        <w:ind w:left="2900"/>
        <w:spacing w:after="0"/>
        <w:rPr>
          <w:sz w:val="20"/>
          <w:szCs w:val="20"/>
          <w:color w:val="auto"/>
        </w:rPr>
      </w:pPr>
      <w:r>
        <w:rPr>
          <w:rFonts w:ascii="Arial" w:cs="Arial" w:eastAsia="Arial" w:hAnsi="Arial"/>
          <w:sz w:val="14"/>
          <w:szCs w:val="14"/>
          <w:b w:val="1"/>
          <w:bCs w:val="1"/>
          <w:color w:val="auto"/>
        </w:rPr>
        <w:t>Condensed Consolidating Statement of Cash Flows</w:t>
      </w:r>
    </w:p>
    <w:p>
      <w:pPr>
        <w:spacing w:after="0" w:line="109" w:lineRule="exact"/>
        <w:rPr>
          <w:sz w:val="20"/>
          <w:szCs w:val="20"/>
          <w:color w:val="auto"/>
        </w:rPr>
      </w:pPr>
    </w:p>
    <w:p>
      <w:pPr>
        <w:jc w:val="center"/>
        <w:ind w:left="2900"/>
        <w:spacing w:after="0"/>
        <w:rPr>
          <w:sz w:val="20"/>
          <w:szCs w:val="20"/>
          <w:color w:val="auto"/>
        </w:rPr>
      </w:pPr>
      <w:r>
        <w:rPr>
          <w:rFonts w:ascii="Arial" w:cs="Arial" w:eastAsia="Arial" w:hAnsi="Arial"/>
          <w:sz w:val="16"/>
          <w:szCs w:val="16"/>
          <w:b w:val="1"/>
          <w:bCs w:val="1"/>
          <w:color w:val="auto"/>
        </w:rPr>
        <w:t>Three Months Ended June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37465</wp:posOffset>
            </wp:positionV>
            <wp:extent cx="39789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ectPr>
          <w:pgSz w:w="11900" w:h="16838" w:orient="portrait"/>
          <w:cols w:equalWidth="0" w:num="1">
            <w:col w:w="10280"/>
          </w:cols>
          <w:pgMar w:left="240" w:top="121" w:right="1379" w:bottom="1440" w:gutter="0" w:footer="0" w:header="0"/>
        </w:sectPr>
      </w:pP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6"/>
          <w:szCs w:val="16"/>
          <w:i w:val="1"/>
          <w:iCs w:val="1"/>
          <w:color w:val="auto"/>
        </w:rPr>
        <w:t>(in thousands)</w:t>
      </w:r>
    </w:p>
    <w:p>
      <w:pPr>
        <w:spacing w:after="0" w:line="68" w:lineRule="exact"/>
        <w:rPr>
          <w:sz w:val="20"/>
          <w:szCs w:val="20"/>
          <w:color w:val="auto"/>
        </w:rPr>
      </w:pPr>
    </w:p>
    <w:p>
      <w:pPr>
        <w:ind w:left="1180"/>
        <w:spacing w:after="0" w:line="277" w:lineRule="auto"/>
        <w:rPr>
          <w:sz w:val="20"/>
          <w:szCs w:val="20"/>
          <w:color w:val="auto"/>
        </w:rPr>
      </w:pPr>
      <w:r>
        <w:rPr>
          <w:rFonts w:ascii="Arial" w:cs="Arial" w:eastAsia="Arial" w:hAnsi="Arial"/>
          <w:sz w:val="18"/>
          <w:szCs w:val="18"/>
          <w:color w:val="auto"/>
        </w:rPr>
        <w:t>Net cash provided by operating activities</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Parent Company</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2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140" w:type="dxa"/>
            <w:vAlign w:val="bottom"/>
            <w:vMerge w:val="restart"/>
          </w:tcPr>
          <w:p>
            <w:pPr>
              <w:spacing w:after="0"/>
              <w:rPr>
                <w:sz w:val="14"/>
                <w:szCs w:val="14"/>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92"/>
        </w:trPr>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8"/>
              </w:rPr>
              <w:t>Subsidiaries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5"/>
        </w:trPr>
        <w:tc>
          <w:tcPr>
            <w:tcW w:w="340" w:type="dxa"/>
            <w:vAlign w:val="bottom"/>
          </w:tcPr>
          <w:p>
            <w:pPr>
              <w:jc w:val="right"/>
              <w:ind w:right="159"/>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40,462</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2"/>
              <w:spacing w:after="0"/>
              <w:rPr>
                <w:sz w:val="20"/>
                <w:szCs w:val="20"/>
                <w:color w:val="auto"/>
              </w:rPr>
            </w:pPr>
            <w:r>
              <w:rPr>
                <w:rFonts w:ascii="Arial" w:cs="Arial" w:eastAsia="Arial" w:hAnsi="Arial"/>
                <w:sz w:val="18"/>
                <w:szCs w:val="18"/>
                <w:color w:val="auto"/>
              </w:rPr>
              <w:t>94,864</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6,106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ind w:left="76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141,432</w:t>
            </w:r>
          </w:p>
        </w:tc>
        <w:tc>
          <w:tcPr>
            <w:tcW w:w="0" w:type="dxa"/>
            <w:vAlign w:val="bottom"/>
          </w:tcPr>
          <w:p>
            <w:pPr>
              <w:spacing w:after="0"/>
              <w:rPr>
                <w:sz w:val="1"/>
                <w:szCs w:val="1"/>
                <w:color w:val="auto"/>
              </w:rPr>
            </w:pPr>
          </w:p>
        </w:tc>
      </w:tr>
      <w:tr>
        <w:trPr>
          <w:trHeight w:val="27"/>
        </w:trPr>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-1818005</wp:posOffset>
            </wp:positionH>
            <wp:positionV relativeFrom="paragraph">
              <wp:posOffset>-316865</wp:posOffset>
            </wp:positionV>
            <wp:extent cx="5797550" cy="3086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7550" cy="308610"/>
                    </a:xfrm>
                    <a:prstGeom prst="rect">
                      <a:avLst/>
                    </a:prstGeom>
                    <a:noFill/>
                  </pic:spPr>
                </pic:pic>
              </a:graphicData>
            </a:graphic>
          </wp:anchor>
        </w:drawing>
      </w:r>
    </w:p>
    <w:p>
      <w:pPr>
        <w:spacing w:after="0" w:line="269" w:lineRule="exact"/>
        <w:rPr>
          <w:sz w:val="20"/>
          <w:szCs w:val="20"/>
          <w:color w:val="auto"/>
        </w:rPr>
      </w:pPr>
    </w:p>
    <w:p>
      <w:pPr>
        <w:sectPr>
          <w:pgSz w:w="11900" w:h="16838" w:orient="portrait"/>
          <w:cols w:equalWidth="0" w:num="2">
            <w:col w:w="3440" w:space="580"/>
            <w:col w:w="6260"/>
          </w:cols>
          <w:pgMar w:left="240" w:top="121" w:right="1379" w:bottom="1440" w:gutter="0" w:footer="0" w:header="0"/>
          <w:type w:val="continuous"/>
        </w:sectPr>
      </w:pPr>
    </w:p>
    <w:tbl>
      <w:tblPr>
        <w:tblLayout w:type="fixed"/>
        <w:tblInd w:w="1160" w:type="dxa"/>
        <w:tblCellMar>
          <w:top w:w="0" w:type="dxa"/>
          <w:left w:w="0" w:type="dxa"/>
          <w:bottom w:w="0" w:type="dxa"/>
          <w:right w:w="0" w:type="dxa"/>
        </w:tblCellMar>
      </w:tblPr>
      <w:tr>
        <w:trPr>
          <w:trHeight w:val="270"/>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1"/>
              </w:rPr>
              <w:t>Purchase of property and equipment</w:t>
            </w:r>
          </w:p>
        </w:tc>
        <w:tc>
          <w:tcPr>
            <w:tcW w:w="32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(71,602)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(89,395)</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w w:val="94"/>
              </w:rPr>
              <w:t>Proceeds from sale of property and</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equipment</w:t>
            </w:r>
          </w:p>
        </w:tc>
        <w:tc>
          <w:tcPr>
            <w:tcW w:w="32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available-for-sale</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(86,145)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(86,145)</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w w:val="94"/>
              </w:rPr>
              <w:t>Proceeds from maturities and sales</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of available-for-sale securities</w:t>
            </w:r>
          </w:p>
        </w:tc>
        <w:tc>
          <w:tcPr>
            <w:tcW w:w="32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100,263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100,263</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cash used in investing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(57,344)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(75,137)</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Proceeds from the issuance of</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320" w:type="dxa"/>
            <w:vAlign w:val="bottom"/>
          </w:tcPr>
          <w:p>
            <w:pPr>
              <w:spacing w:after="0"/>
              <w:rPr>
                <w:sz w:val="20"/>
                <w:szCs w:val="20"/>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18,386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18,386</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including transaction costs</w:t>
            </w:r>
          </w:p>
        </w:tc>
        <w:tc>
          <w:tcPr>
            <w:tcW w:w="3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(50,009)</w:t>
            </w:r>
          </w:p>
        </w:tc>
        <w:tc>
          <w:tcPr>
            <w:tcW w:w="0" w:type="dxa"/>
            <w:vAlign w:val="bottom"/>
          </w:tcPr>
          <w:p>
            <w:pPr>
              <w:spacing w:after="0"/>
              <w:rPr>
                <w:sz w:val="1"/>
                <w:szCs w:val="1"/>
                <w:color w:val="auto"/>
              </w:rPr>
            </w:pPr>
          </w:p>
        </w:tc>
      </w:tr>
      <w:tr>
        <w:trPr>
          <w:trHeight w:val="229"/>
        </w:trPr>
        <w:tc>
          <w:tcPr>
            <w:tcW w:w="2860" w:type="dxa"/>
            <w:vAlign w:val="bottom"/>
          </w:tcPr>
          <w:p>
            <w:pPr>
              <w:ind w:left="180"/>
              <w:spacing w:after="0"/>
              <w:rPr>
                <w:sz w:val="20"/>
                <w:szCs w:val="20"/>
                <w:color w:val="auto"/>
              </w:rPr>
            </w:pPr>
            <w:r>
              <w:rPr>
                <w:rFonts w:ascii="Arial" w:cs="Arial" w:eastAsia="Arial" w:hAnsi="Arial"/>
                <w:sz w:val="18"/>
                <w:szCs w:val="18"/>
                <w:color w:val="auto"/>
              </w:rPr>
              <w:t>Tax withholding paid on behalf of</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180"/>
              <w:spacing w:after="0"/>
              <w:rPr>
                <w:sz w:val="20"/>
                <w:szCs w:val="20"/>
                <w:color w:val="auto"/>
              </w:rPr>
            </w:pPr>
            <w:r>
              <w:rPr>
                <w:rFonts w:ascii="Arial" w:cs="Arial" w:eastAsia="Arial" w:hAnsi="Arial"/>
                <w:sz w:val="18"/>
                <w:szCs w:val="18"/>
                <w:color w:val="auto"/>
                <w:w w:val="94"/>
              </w:rPr>
              <w:t>employees for restricted stock units</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(7,504)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10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(7,504)</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associated with</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860" w:type="dxa"/>
            <w:vAlign w:val="bottom"/>
          </w:tcPr>
          <w:p>
            <w:pPr>
              <w:ind w:left="180"/>
              <w:spacing w:after="0"/>
              <w:rPr>
                <w:sz w:val="20"/>
                <w:szCs w:val="20"/>
                <w:color w:val="auto"/>
              </w:rPr>
            </w:pPr>
            <w:r>
              <w:rPr>
                <w:rFonts w:ascii="Arial" w:cs="Arial" w:eastAsia="Arial" w:hAnsi="Arial"/>
                <w:sz w:val="18"/>
                <w:szCs w:val="18"/>
                <w:color w:val="auto"/>
              </w:rPr>
              <w:t>Other financing</w:t>
            </w:r>
          </w:p>
        </w:tc>
        <w:tc>
          <w:tcPr>
            <w:tcW w:w="320" w:type="dxa"/>
            <w:vAlign w:val="bottom"/>
          </w:tcPr>
          <w:p>
            <w:pPr>
              <w:spacing w:after="0"/>
              <w:rPr>
                <w:sz w:val="21"/>
                <w:szCs w:val="21"/>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Net transactions with related parties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rPr>
              <w:t>Net cash (used in) provided by</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(40,462)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(40,473)</w:t>
            </w:r>
          </w:p>
        </w:tc>
        <w:tc>
          <w:tcPr>
            <w:tcW w:w="0" w:type="dxa"/>
            <w:vAlign w:val="bottom"/>
          </w:tcPr>
          <w:p>
            <w:pPr>
              <w:spacing w:after="0"/>
              <w:rPr>
                <w:sz w:val="1"/>
                <w:szCs w:val="1"/>
                <w:color w:val="auto"/>
              </w:rPr>
            </w:pPr>
          </w:p>
        </w:tc>
      </w:tr>
      <w:tr>
        <w:trPr>
          <w:trHeight w:val="27"/>
        </w:trPr>
        <w:tc>
          <w:tcPr>
            <w:tcW w:w="2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Effect of exchange rate changes on</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w w:val="97"/>
              </w:rPr>
              <w:t>Net increase (decrease) in cash and</w:t>
            </w: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20" w:type="dxa"/>
            <w:vAlign w:val="bottom"/>
          </w:tcPr>
          <w:p>
            <w:pPr>
              <w:spacing w:after="0"/>
              <w:rPr>
                <w:sz w:val="20"/>
                <w:szCs w:val="20"/>
                <w:color w:val="auto"/>
              </w:rPr>
            </w:pPr>
          </w:p>
        </w:tc>
        <w:tc>
          <w:tcPr>
            <w:tcW w:w="118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37,168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(11,380)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25,788</w:t>
            </w:r>
          </w:p>
        </w:tc>
        <w:tc>
          <w:tcPr>
            <w:tcW w:w="0" w:type="dxa"/>
            <w:vAlign w:val="bottom"/>
          </w:tcPr>
          <w:p>
            <w:pPr>
              <w:spacing w:after="0"/>
              <w:rPr>
                <w:sz w:val="1"/>
                <w:szCs w:val="1"/>
                <w:color w:val="auto"/>
              </w:rPr>
            </w:pPr>
          </w:p>
        </w:tc>
      </w:tr>
      <w:tr>
        <w:trPr>
          <w:trHeight w:val="27"/>
        </w:trPr>
        <w:tc>
          <w:tcPr>
            <w:tcW w:w="2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the</w:t>
            </w: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the period</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154,332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145,482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299,814</w:t>
            </w:r>
          </w:p>
        </w:tc>
        <w:tc>
          <w:tcPr>
            <w:tcW w:w="0" w:type="dxa"/>
            <w:vAlign w:val="bottom"/>
          </w:tcPr>
          <w:p>
            <w:pPr>
              <w:spacing w:after="0"/>
              <w:rPr>
                <w:sz w:val="1"/>
                <w:szCs w:val="1"/>
                <w:color w:val="auto"/>
              </w:rPr>
            </w:pPr>
          </w:p>
        </w:tc>
      </w:tr>
      <w:tr>
        <w:trPr>
          <w:trHeight w:val="20"/>
        </w:trPr>
        <w:tc>
          <w:tcPr>
            <w:tcW w:w="2860" w:type="dxa"/>
            <w:vAlign w:val="bottom"/>
            <w:vMerge w:val="restart"/>
          </w:tcPr>
          <w:p>
            <w:pPr>
              <w:ind w:left="20"/>
              <w:spacing w:after="0"/>
              <w:rPr>
                <w:sz w:val="20"/>
                <w:szCs w:val="20"/>
                <w:color w:val="auto"/>
              </w:rPr>
            </w:pPr>
            <w:r>
              <w:rPr>
                <w:rFonts w:ascii="Arial" w:cs="Arial" w:eastAsia="Arial" w:hAnsi="Arial"/>
                <w:sz w:val="18"/>
                <w:szCs w:val="18"/>
                <w:color w:val="auto"/>
                <w:w w:val="93"/>
              </w:rPr>
              <w:t>Cash and cash equivalents at the end</w:t>
            </w: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vMerge w:val="continue"/>
          </w:tcPr>
          <w:p>
            <w:pPr>
              <w:spacing w:after="0"/>
              <w:rPr>
                <w:sz w:val="18"/>
                <w:szCs w:val="18"/>
                <w:color w:val="auto"/>
              </w:rPr>
            </w:pP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3"/>
            <w:vMerge w:val="restart"/>
          </w:tcPr>
          <w:p>
            <w:pPr>
              <w:ind w:left="580"/>
              <w:spacing w:after="0"/>
              <w:rPr>
                <w:sz w:val="20"/>
                <w:szCs w:val="20"/>
                <w:color w:val="auto"/>
              </w:rPr>
            </w:pPr>
            <w:r>
              <w:rPr>
                <w:rFonts w:ascii="Arial" w:cs="Arial" w:eastAsia="Arial" w:hAnsi="Arial"/>
                <w:sz w:val="18"/>
                <w:szCs w:val="18"/>
                <w:color w:val="auto"/>
              </w:rPr>
              <w:t>—   $</w:t>
            </w: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191,500</w:t>
            </w:r>
          </w:p>
        </w:tc>
        <w:tc>
          <w:tcPr>
            <w:tcW w:w="100" w:type="dxa"/>
            <w:vAlign w:val="bottom"/>
          </w:tcPr>
          <w:p>
            <w:pPr>
              <w:spacing w:after="0"/>
              <w:rPr>
                <w:sz w:val="18"/>
                <w:szCs w:val="18"/>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ind w:right="10"/>
              <w:spacing w:after="0"/>
              <w:rPr>
                <w:sz w:val="20"/>
                <w:szCs w:val="20"/>
                <w:color w:val="auto"/>
              </w:rPr>
            </w:pPr>
            <w:r>
              <w:rPr>
                <w:rFonts w:ascii="Arial" w:cs="Arial" w:eastAsia="Arial" w:hAnsi="Arial"/>
                <w:sz w:val="18"/>
                <w:szCs w:val="18"/>
                <w:color w:val="auto"/>
              </w:rPr>
              <w:t>134,102</w:t>
            </w:r>
          </w:p>
        </w:tc>
        <w:tc>
          <w:tcPr>
            <w:tcW w:w="100" w:type="dxa"/>
            <w:vAlign w:val="bottom"/>
          </w:tcPr>
          <w:p>
            <w:pPr>
              <w:spacing w:after="0"/>
              <w:rPr>
                <w:sz w:val="18"/>
                <w:szCs w:val="18"/>
                <w:color w:val="auto"/>
              </w:rPr>
            </w:pP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gridSpan w:val="3"/>
            <w:vMerge w:val="restart"/>
          </w:tcPr>
          <w:p>
            <w:pPr>
              <w:ind w:left="380"/>
              <w:spacing w:after="0"/>
              <w:rPr>
                <w:sz w:val="20"/>
                <w:szCs w:val="20"/>
                <w:color w:val="auto"/>
              </w:rPr>
            </w:pPr>
            <w:r>
              <w:rPr>
                <w:rFonts w:ascii="Arial" w:cs="Arial" w:eastAsia="Arial" w:hAnsi="Arial"/>
                <w:sz w:val="18"/>
                <w:szCs w:val="18"/>
                <w:color w:val="auto"/>
              </w:rPr>
              <w:t>—  $</w:t>
            </w:r>
          </w:p>
        </w:tc>
        <w:tc>
          <w:tcPr>
            <w:tcW w:w="860" w:type="dxa"/>
            <w:vAlign w:val="bottom"/>
            <w:vMerge w:val="restart"/>
          </w:tcPr>
          <w:p>
            <w:pPr>
              <w:jc w:val="right"/>
              <w:ind w:right="10"/>
              <w:spacing w:after="0"/>
              <w:rPr>
                <w:sz w:val="20"/>
                <w:szCs w:val="20"/>
                <w:color w:val="auto"/>
              </w:rPr>
            </w:pPr>
            <w:r>
              <w:rPr>
                <w:rFonts w:ascii="Arial" w:cs="Arial" w:eastAsia="Arial" w:hAnsi="Arial"/>
                <w:sz w:val="18"/>
                <w:szCs w:val="18"/>
                <w:color w:val="auto"/>
              </w:rPr>
              <w:t>325,602</w:t>
            </w:r>
          </w:p>
        </w:tc>
        <w:tc>
          <w:tcPr>
            <w:tcW w:w="0" w:type="dxa"/>
            <w:vAlign w:val="bottom"/>
          </w:tcPr>
          <w:p>
            <w:pPr>
              <w:spacing w:after="0"/>
              <w:rPr>
                <w:sz w:val="1"/>
                <w:szCs w:val="1"/>
                <w:color w:val="auto"/>
              </w:rPr>
            </w:pPr>
          </w:p>
        </w:tc>
      </w:tr>
      <w:tr>
        <w:trPr>
          <w:trHeight w:val="237"/>
        </w:trPr>
        <w:tc>
          <w:tcPr>
            <w:tcW w:w="2860" w:type="dxa"/>
            <w:vAlign w:val="bottom"/>
          </w:tcPr>
          <w:p>
            <w:pPr>
              <w:ind w:left="20"/>
              <w:spacing w:after="0"/>
              <w:rPr>
                <w:sz w:val="20"/>
                <w:szCs w:val="20"/>
                <w:color w:val="auto"/>
              </w:rPr>
            </w:pPr>
            <w:r>
              <w:rPr>
                <w:rFonts w:ascii="Arial" w:cs="Arial" w:eastAsia="Arial" w:hAnsi="Arial"/>
                <w:sz w:val="18"/>
                <w:szCs w:val="18"/>
                <w:color w:val="auto"/>
              </w:rPr>
              <w:t>of the period</w:t>
            </w:r>
          </w:p>
        </w:tc>
        <w:tc>
          <w:tcPr>
            <w:tcW w:w="320" w:type="dxa"/>
            <w:vAlign w:val="bottom"/>
            <w:vMerge w:val="continue"/>
          </w:tcPr>
          <w:p>
            <w:pPr>
              <w:spacing w:after="0"/>
              <w:rPr>
                <w:sz w:val="20"/>
                <w:szCs w:val="20"/>
                <w:color w:val="auto"/>
              </w:rPr>
            </w:pPr>
          </w:p>
        </w:tc>
        <w:tc>
          <w:tcPr>
            <w:tcW w:w="1180" w:type="dxa"/>
            <w:vAlign w:val="bottom"/>
            <w:gridSpan w:val="3"/>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vMerge w:val="continue"/>
          </w:tcPr>
          <w:p>
            <w:pPr>
              <w:spacing w:after="0"/>
              <w:rPr>
                <w:sz w:val="20"/>
                <w:szCs w:val="20"/>
                <w:color w:val="auto"/>
              </w:rPr>
            </w:pPr>
          </w:p>
        </w:tc>
        <w:tc>
          <w:tcPr>
            <w:tcW w:w="1040" w:type="dxa"/>
            <w:vAlign w:val="bottom"/>
            <w:gridSpan w:val="3"/>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59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80"/>
          </w:cols>
          <w:pgMar w:left="240" w:top="121" w:right="137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and Section 21E of the Securities Exchange Act of 1934, as amended, that relate to our plans, objectives, estimates and goals. Statements expressing expectations regarding our future and projections relating to products, sales, revenues and earnings are typical of such statements and are made under the Private Securities Litigation Reform Act of 1995. Words such as “expect,” “anticipate,” “intend,” “plan,” “believe,” and “estimate,” and variations of such words and similar expressions, identify such forward-looking statements. Our business is subject to numerous risks and uncertainties, including, but not limited to the factors listed below:</w:t>
      </w:r>
    </w:p>
    <w:p>
      <w:pPr>
        <w:spacing w:after="0" w:line="158" w:lineRule="exact"/>
        <w:rPr>
          <w:sz w:val="20"/>
          <w:szCs w:val="20"/>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business and economic conditions, including downturns in the semiconductor industry and the overall economy;</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accurately predict market requirements and evolving industry standards in a timely manner;</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accurately predict customer demand and thereby avoid the possibility of obsolete inventory, which would reduce our profit margins;</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customers’ and distributors’ ability to manage the inventory they hold and forecast their demand;</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successfully integrate acquired businesses, operations, product technologies and personnel as well as achieve expected synergies;</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achieve cost savings and improve yields and margins on our new and existing products;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respond to possible downward pressure on the average selling prices of our products caused by our customers or our competitors;</w:t>
      </w:r>
    </w:p>
    <w:p>
      <w:pPr>
        <w:spacing w:after="0" w:line="248" w:lineRule="exact"/>
        <w:rPr>
          <w:rFonts w:ascii="Arial" w:cs="Arial" w:eastAsia="Arial" w:hAnsi="Arial"/>
          <w:sz w:val="16"/>
          <w:szCs w:val="16"/>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utilize our capacity efficiently, or to acquire or source additional capacity, in response to customer demand;</w:t>
      </w:r>
    </w:p>
    <w:p>
      <w:pPr>
        <w:spacing w:after="0" w:line="225" w:lineRule="exact"/>
        <w:rPr>
          <w:rFonts w:ascii="Arial" w:cs="Arial" w:eastAsia="Arial" w:hAnsi="Arial"/>
          <w:sz w:val="18"/>
          <w:szCs w:val="18"/>
          <w:color w:val="auto"/>
        </w:rPr>
      </w:pPr>
    </w:p>
    <w:p>
      <w:pPr>
        <w:ind w:left="74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of one or more of our customers to access their traditional sources of credit, which could lead them to reduce their level of purchases or seek credit or other accommodations from us;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ability to continue to improve our product designs, develop new products in response to new technologies, and achieve design wins;</w:t>
      </w:r>
    </w:p>
    <w:p>
      <w:pPr>
        <w:spacing w:after="0" w:line="236" w:lineRule="exact"/>
        <w:rPr>
          <w:rFonts w:ascii="Arial" w:cs="Arial" w:eastAsia="Arial" w:hAnsi="Arial"/>
          <w:sz w:val="17"/>
          <w:szCs w:val="17"/>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a limited number of customers for a substantial portion of our revenue;</w:t>
      </w:r>
    </w:p>
    <w:p>
      <w:pPr>
        <w:spacing w:after="0" w:line="225" w:lineRule="exact"/>
        <w:rPr>
          <w:rFonts w:ascii="Arial" w:cs="Arial" w:eastAsia="Arial" w:hAnsi="Arial"/>
          <w:sz w:val="18"/>
          <w:szCs w:val="18"/>
          <w:color w:val="auto"/>
        </w:rPr>
      </w:pPr>
    </w:p>
    <w:p>
      <w:pPr>
        <w:ind w:left="740" w:right="8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the U.S. government and on U.S government sponsored programs (principally for defense and aerospace applications) for a portion of our revenue;</w:t>
      </w:r>
    </w:p>
    <w:p>
      <w:pPr>
        <w:spacing w:after="0" w:line="170" w:lineRule="exact"/>
        <w:rPr>
          <w:rFonts w:ascii="Arial" w:cs="Arial" w:eastAsia="Arial" w:hAnsi="Arial"/>
          <w:sz w:val="18"/>
          <w:szCs w:val="18"/>
          <w:color w:val="auto"/>
        </w:rPr>
      </w:pPr>
    </w:p>
    <w:p>
      <w:pPr>
        <w:ind w:left="740" w:right="52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bring new products to market in response to market shifts and to use technological innovation to shorten time-to-market for our products;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risks associated with our wafer fabrication facilities, our assembly facilities and our test and tape and reel facilities;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variability in manufacturing yields;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variability in raw material costs and availability of raw materials;</w:t>
      </w:r>
    </w:p>
    <w:p>
      <w:pPr>
        <w:spacing w:after="0" w:line="225" w:lineRule="exact"/>
        <w:rPr>
          <w:rFonts w:ascii="Arial" w:cs="Arial" w:eastAsia="Arial" w:hAnsi="Arial"/>
          <w:sz w:val="18"/>
          <w:szCs w:val="18"/>
          <w:color w:val="auto"/>
        </w:rPr>
      </w:pPr>
    </w:p>
    <w:p>
      <w:pPr>
        <w:ind w:left="740" w:right="420" w:hanging="408"/>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third parties, including wafer foundries, wafer starting material suppliers, passive component manufacturers, assembly and packaging suppliers and test and tape and reel suppliers;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manage platform provider and customer relationships;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1" w:right="25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74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procure, commercialize and enforce intellectual property rights (IPR) and to operate our business without infringing on the unlicensed IPR of others;</w:t>
      </w:r>
    </w:p>
    <w:p>
      <w:pPr>
        <w:spacing w:after="0" w:line="170" w:lineRule="exact"/>
        <w:rPr>
          <w:rFonts w:ascii="Arial" w:cs="Arial" w:eastAsia="Arial" w:hAnsi="Arial"/>
          <w:sz w:val="18"/>
          <w:szCs w:val="18"/>
          <w:color w:val="auto"/>
        </w:rPr>
      </w:pPr>
    </w:p>
    <w:p>
      <w:pPr>
        <w:ind w:left="740" w:right="22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associated with security breaches and other similar disruptions, which could compromise our information and expose us to liability and could cause our business and reputation to suffer;</w:t>
      </w:r>
    </w:p>
    <w:p>
      <w:pPr>
        <w:spacing w:after="0" w:line="170" w:lineRule="exact"/>
        <w:rPr>
          <w:rFonts w:ascii="Arial" w:cs="Arial" w:eastAsia="Arial" w:hAnsi="Arial"/>
          <w:sz w:val="18"/>
          <w:szCs w:val="18"/>
          <w:color w:val="auto"/>
        </w:rPr>
      </w:pPr>
    </w:p>
    <w:p>
      <w:pPr>
        <w:ind w:left="740" w:right="70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fluctuations, tariffs, trade barriers, tax and export license requirements and health and security issues associated with our foreign operations;</w:t>
      </w:r>
    </w:p>
    <w:p>
      <w:pPr>
        <w:spacing w:after="0" w:line="170"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future decision to repatriate non-U.S. earnings for which we have not previously provided for U.S. taxes;</w:t>
      </w:r>
    </w:p>
    <w:p>
      <w:pPr>
        <w:spacing w:after="0" w:line="225" w:lineRule="exact"/>
        <w:rPr>
          <w:rFonts w:ascii="Arial" w:cs="Arial" w:eastAsia="Arial" w:hAnsi="Arial"/>
          <w:sz w:val="18"/>
          <w:szCs w:val="18"/>
          <w:color w:val="auto"/>
        </w:rPr>
      </w:pPr>
    </w:p>
    <w:p>
      <w:pPr>
        <w:ind w:left="740" w:hanging="408"/>
        <w:spacing w:after="0"/>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skilled personnel and develop leaders for key business units and functions; and</w:t>
      </w:r>
    </w:p>
    <w:p>
      <w:pPr>
        <w:spacing w:after="0" w:line="225" w:lineRule="exact"/>
        <w:rPr>
          <w:rFonts w:ascii="Arial" w:cs="Arial" w:eastAsia="Arial" w:hAnsi="Arial"/>
          <w:sz w:val="18"/>
          <w:szCs w:val="18"/>
          <w:color w:val="auto"/>
        </w:rPr>
      </w:pPr>
    </w:p>
    <w:p>
      <w:pPr>
        <w:ind w:left="740" w:right="120" w:hanging="408"/>
        <w:spacing w:after="0" w:line="277" w:lineRule="auto"/>
        <w:tabs>
          <w:tab w:leader="none" w:pos="7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realize the anticipated benefits of the Business Combination, including difficulty in integrating the businesses of RFMD and TriQuint or not realizing the expected amount and timing of cost savings and operating synergies.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and other risks and uncertainties, which are described in more detail in our most recent Annual Report on Form 10-K and in other reports and statements that we file with the SEC, could cause the actual results and developments to be materially different from those expressed or implied by any of these forward-looking statements. Forward-looking statements speak only as of the date they were made, and we undertake no obligation to update or revise such statements, except as required by the federal securities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are a leading provider of technologies and solutions that address the growing demand for always-on, high reliability, broadband data connectivity. We combine one of the industry’s broadest portfolios of radio frequency (“RF”) solutions and semiconductor technologies with deep systems-level expertise and scale manufacturing capabilities to enable a diverse set of cutting-edge customer products, including smartphones, tablets, wearables, broadband customer premise equipment, home automation, in-vehicle infotainment, data center and military radar and communications. Our products are helping to drive the ongoing, rapid transformation of how people around the world interact with their communities, access and use data, and transact commerce.</w:t>
      </w:r>
    </w:p>
    <w:p>
      <w:pPr>
        <w:spacing w:after="0" w:line="15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more than 7,600 global employees dedicated to delivering solutions for everything that connects the world. We have world-class ISO-certified manufacturing facilities, and our Richardson, Texas facility is a U.S. Department of Defense- accredited ‘Trusted Source’ (Category 1A) for gallium arsenide ("GaAs"), gallium nitride ("GaN") and bulk acoustic wave (“BAW”) technologies, products and services. Our design and manufacturing expertise encompasses many semiconductor process technologies, which we source both internally and through external suppliers. We operate worldwide with design, sales and manufacturing facilities located throughout Asia, Europe and North America. Our primary manufacturing facilities are located in North Carolina, Oregon, Texas and Florida, and our primary assembly and test facilities are located in China, Costa Rica and Texas.</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design, develop, manufacture and market our products to leading U.S. and international original equipment manufacturers ("OEMs") and original design manufacturers ("ODMs") in the following operating segments:</w:t>
      </w:r>
    </w:p>
    <w:p>
      <w:pPr>
        <w:spacing w:after="0" w:line="170" w:lineRule="exact"/>
        <w:rPr>
          <w:sz w:val="20"/>
          <w:szCs w:val="20"/>
          <w:color w:val="auto"/>
        </w:rPr>
      </w:pPr>
    </w:p>
    <w:p>
      <w:pPr>
        <w:ind w:left="340" w:right="100" w:hanging="332"/>
        <w:spacing w:after="0" w:line="276"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Mobile Products (MP) </w:t>
      </w:r>
      <w:r>
        <w:rPr>
          <w:rFonts w:ascii="Arial" w:cs="Arial" w:eastAsia="Arial" w:hAnsi="Arial"/>
          <w:sz w:val="17"/>
          <w:szCs w:val="17"/>
          <w:color w:val="auto"/>
        </w:rPr>
        <w:t>- MP is a leading global supplier of RF solutions that perform various functions in the increasingly complex cellular radio front</w:t>
      </w:r>
      <w:r>
        <w:rPr>
          <w:rFonts w:ascii="Arial" w:cs="Arial" w:eastAsia="Arial" w:hAnsi="Arial"/>
          <w:sz w:val="17"/>
          <w:szCs w:val="17"/>
          <w:i w:val="1"/>
          <w:iCs w:val="1"/>
          <w:color w:val="auto"/>
        </w:rPr>
        <w:t xml:space="preserve"> </w:t>
      </w:r>
      <w:r>
        <w:rPr>
          <w:rFonts w:ascii="Arial" w:cs="Arial" w:eastAsia="Arial" w:hAnsi="Arial"/>
          <w:sz w:val="17"/>
          <w:szCs w:val="17"/>
          <w:color w:val="auto"/>
        </w:rPr>
        <w:t>end section of smartphones and other cellular devices. These RF solutions are required in fourth generation (“4G”) data-centric devices operating under Long-Term Evolution 4G networks, as well as third generation and second generation mobile devices. Our solutions include complete RF front end modules that combine high-performance filters, power amplifiers ("PAs"), low noise amplifiers ("LNAs") and switches, PA modules, transmit modules, antenna control solutions, antenna switch modules, diversity receive modules and envelope tracking power</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121" w:right="29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75" w:lineRule="exact"/>
        <w:rPr>
          <w:sz w:val="20"/>
          <w:szCs w:val="20"/>
          <w:color w:val="auto"/>
        </w:rPr>
      </w:pPr>
    </w:p>
    <w:p>
      <w:pPr>
        <w:ind w:left="340" w:right="440"/>
        <w:spacing w:after="0" w:line="324" w:lineRule="auto"/>
        <w:rPr>
          <w:sz w:val="20"/>
          <w:szCs w:val="20"/>
          <w:color w:val="auto"/>
        </w:rPr>
      </w:pPr>
      <w:r>
        <w:rPr>
          <w:rFonts w:ascii="Arial" w:cs="Arial" w:eastAsia="Arial" w:hAnsi="Arial"/>
          <w:sz w:val="18"/>
          <w:szCs w:val="18"/>
          <w:color w:val="auto"/>
        </w:rPr>
        <w:t>management devices. MP supplies its broad portfolio of RF solutions into a variety of mobile devices, including smartphones, notebook computers, wearables, tablets, and cellular-based applications for the Internet of Things (“IoT”).</w:t>
      </w:r>
    </w:p>
    <w:p>
      <w:pPr>
        <w:spacing w:after="0" w:line="143" w:lineRule="exact"/>
        <w:rPr>
          <w:sz w:val="20"/>
          <w:szCs w:val="20"/>
          <w:color w:val="auto"/>
        </w:rPr>
      </w:pPr>
    </w:p>
    <w:p>
      <w:pPr>
        <w:ind w:left="340" w:hanging="332"/>
        <w:spacing w:after="0" w:line="270" w:lineRule="auto"/>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Infrastructure and Defense Products (IDP) </w:t>
      </w:r>
      <w:r>
        <w:rPr>
          <w:rFonts w:ascii="Arial" w:cs="Arial" w:eastAsia="Arial" w:hAnsi="Arial"/>
          <w:sz w:val="17"/>
          <w:szCs w:val="17"/>
          <w:color w:val="auto"/>
        </w:rPr>
        <w:t>- IDP is a leading global supplier of RF solutions that support diverse global applications,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ubiquitous high-speed network connectivity to the cloud, data center communications, rapid internet connectivity throughout the home and workplace, and upgraded military capabilities across the globe. Qorvo’s RF solutions enhance performance and reduce complexity in cellular base stations, optical long haul, data center and metro networks, WiFi networks, cable networks, and emerging fifth generation ("5G") wireless networks. Our IDP products include high power GaAs and GaN PAs, LNAs, switches, RF filter solutions, CMOS system-on-a-chip ("SoC") solutions and various multichip and hybrid assemblies. Our market-leading RF solutions for defense and aerospace upgrade communications and radar systems for air, land and sea. Our RF solutions for the IoT enable the connected car and an array of industrial applications, and we serve the home automation market with SoC solutions based on ZigBee and Bluetooth Smart technologies. During the first quarter of fiscal 2017, we acquired GreenPeak Technologies ("GreenPeak"), a leader in ultra-low power, short range RF communication technology. The acquisition expanded our customer offering to include highly integrated RF solutions and SoCs for the connected home and the rapidly growing IoT.</w:t>
      </w:r>
    </w:p>
    <w:p>
      <w:pPr>
        <w:spacing w:after="0" w:line="178" w:lineRule="exact"/>
        <w:rPr>
          <w:sz w:val="20"/>
          <w:szCs w:val="20"/>
          <w:color w:val="auto"/>
        </w:rPr>
      </w:pPr>
    </w:p>
    <w:p>
      <w:pPr>
        <w:ind w:left="80"/>
        <w:spacing w:after="0" w:line="257" w:lineRule="auto"/>
        <w:rPr>
          <w:sz w:val="20"/>
          <w:szCs w:val="20"/>
          <w:color w:val="auto"/>
        </w:rPr>
      </w:pPr>
      <w:r>
        <w:rPr>
          <w:rFonts w:ascii="Arial" w:cs="Arial" w:eastAsia="Arial" w:hAnsi="Arial"/>
          <w:sz w:val="18"/>
          <w:szCs w:val="18"/>
          <w:color w:val="auto"/>
        </w:rPr>
        <w:t>As of July 2, 2016, our reportable segments are MP and IDP. These business segments are based on the organizational structure and information reviewed by our Chief Executive Officer, who is our chief operating decision maker (or CODM), and these segments are managed separately based on the end markets and applications they support. The CODM allocates resources and evaluates the performance of each operating segment primarily based on operating income and operating income as a percentage of revenue (see Note 10 of the Notes to Condensed Consolidated Financial Statements in Part I, Item 1 of this report for additional information regarding our operating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2017 FINANCIAL HIGHLIGHTS:</w:t>
      </w:r>
    </w:p>
    <w:p>
      <w:pPr>
        <w:spacing w:after="0" w:line="22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first quarter of fiscal 2017, we acquired GreenPeak, a leader in ultra-low power, short-range RF communication technology.</w:t>
      </w:r>
    </w:p>
    <w:p>
      <w:pPr>
        <w:spacing w:after="0" w:line="225" w:lineRule="exact"/>
        <w:rPr>
          <w:rFonts w:ascii="Arial" w:cs="Arial" w:eastAsia="Arial" w:hAnsi="Arial"/>
          <w:sz w:val="18"/>
          <w:szCs w:val="18"/>
          <w:color w:val="auto"/>
        </w:rPr>
      </w:pPr>
    </w:p>
    <w:p>
      <w:pPr>
        <w:ind w:left="280" w:right="60"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revenue increased 3.7% as compared to the first quarter of fiscal 2016, due to improved global demand for our wireless infrastructure and WiFi products, as well as the inclusion of GreenPeak revenue in the three months ended July 2, 2016.</w:t>
      </w:r>
    </w:p>
    <w:p>
      <w:pPr>
        <w:spacing w:after="0" w:line="170" w:lineRule="exact"/>
        <w:rPr>
          <w:rFonts w:ascii="Arial" w:cs="Arial" w:eastAsia="Arial" w:hAnsi="Arial"/>
          <w:sz w:val="18"/>
          <w:szCs w:val="18"/>
          <w:color w:val="auto"/>
        </w:rPr>
      </w:pPr>
    </w:p>
    <w:p>
      <w:pPr>
        <w:ind w:left="280" w:right="220"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Gross margin for the quarter was 39.6% as compared to 41.5% for the first quarter of fiscal 2016. Although revenue increased, we experienced average selling price erosion and an unfavorable change in product mix towards lower margin products.</w:t>
      </w:r>
    </w:p>
    <w:p>
      <w:pPr>
        <w:spacing w:after="0" w:line="170" w:lineRule="exact"/>
        <w:rPr>
          <w:rFonts w:ascii="Arial" w:cs="Arial" w:eastAsia="Arial" w:hAnsi="Arial"/>
          <w:sz w:val="18"/>
          <w:szCs w:val="18"/>
          <w:color w:val="auto"/>
        </w:rPr>
      </w:pPr>
    </w:p>
    <w:p>
      <w:pPr>
        <w:ind w:left="280" w:right="340" w:hanging="272"/>
        <w:spacing w:after="0" w:line="312" w:lineRule="auto"/>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Operating income was $5.7 million for the first quarter of fiscal 2017 as compared to operating loss of $1.3 million for the first quarter of fiscal 2016. This improvement was primarily due to lower stock-based compensation expenses and lower integration and restructuring costs. These increases in operating income were partially offset by decreased gross margin and higher personnel expenses primarily driven by increased headcount.</w:t>
      </w:r>
    </w:p>
    <w:p>
      <w:pPr>
        <w:spacing w:after="0" w:line="146" w:lineRule="exact"/>
        <w:rPr>
          <w:rFonts w:ascii="Arial" w:cs="Arial" w:eastAsia="Arial" w:hAnsi="Arial"/>
          <w:sz w:val="16"/>
          <w:szCs w:val="16"/>
          <w:color w:val="auto"/>
        </w:rPr>
      </w:pPr>
    </w:p>
    <w:p>
      <w:pPr>
        <w:ind w:left="280" w:hanging="272"/>
        <w:spacing w:after="0"/>
        <w:tabs>
          <w:tab w:leader="none" w:pos="2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Diluted loss per share for the first quarter of fiscal 2017 was $0.04 as compared to diluted earnings per share of $0.01 for the first quarter of fiscal 2016.</w:t>
      </w:r>
    </w:p>
    <w:p>
      <w:pPr>
        <w:spacing w:after="0" w:line="248" w:lineRule="exact"/>
        <w:rPr>
          <w:rFonts w:ascii="Arial" w:cs="Arial" w:eastAsia="Arial" w:hAnsi="Arial"/>
          <w:sz w:val="16"/>
          <w:szCs w:val="16"/>
          <w:color w:val="auto"/>
        </w:rPr>
      </w:pPr>
    </w:p>
    <w:p>
      <w:pPr>
        <w:ind w:left="280" w:right="320" w:hanging="272"/>
        <w:spacing w:after="0" w:line="264"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flow from operations was $59.4 million for the first quarter of fiscal 2017 as compared to $141.4 million for the first quarter of fiscal 2016. This year-over-year decrease was primarily attributable to lower profitability and an increase in accounts receivable, which was related to the timing of shipments.</w:t>
      </w:r>
    </w:p>
    <w:p>
      <w:pPr>
        <w:spacing w:after="0" w:line="181" w:lineRule="exact"/>
        <w:rPr>
          <w:rFonts w:ascii="Arial" w:cs="Arial" w:eastAsia="Arial" w:hAnsi="Arial"/>
          <w:sz w:val="18"/>
          <w:szCs w:val="18"/>
          <w:color w:val="auto"/>
        </w:rPr>
      </w:pPr>
    </w:p>
    <w:p>
      <w:pPr>
        <w:ind w:left="280" w:right="200" w:hanging="272"/>
        <w:spacing w:after="0" w:line="286" w:lineRule="auto"/>
        <w:tabs>
          <w:tab w:leader="none" w:pos="280" w:val="left"/>
        </w:tabs>
        <w:numPr>
          <w:ilvl w:val="0"/>
          <w:numId w:val="9"/>
        </w:numPr>
        <w:rPr>
          <w:rFonts w:ascii="Arial" w:cs="Arial" w:eastAsia="Arial" w:hAnsi="Arial"/>
          <w:sz w:val="17"/>
          <w:szCs w:val="17"/>
          <w:color w:val="auto"/>
        </w:rPr>
      </w:pPr>
      <w:r>
        <w:rPr>
          <w:rFonts w:ascii="Arial" w:cs="Arial" w:eastAsia="Arial" w:hAnsi="Arial"/>
          <w:sz w:val="17"/>
          <w:szCs w:val="17"/>
          <w:color w:val="auto"/>
        </w:rPr>
        <w:t>Capital expenditures were $130.4 million for the first quarter of fiscal 2017 as compared to $89.4 million for the first quarter of fiscal 2016. This year-over-year increase was primarily related to projects for increasing premium filter capacity, projects for manufacturing cost savings initiatives, as well as the purchase of a wafer fabrication facility (including equipment), which we currently plan to use to expand our BAW filter capacity.</w:t>
      </w:r>
    </w:p>
    <w:p>
      <w:pPr>
        <w:spacing w:after="0" w:line="165" w:lineRule="exact"/>
        <w:rPr>
          <w:rFonts w:ascii="Arial" w:cs="Arial" w:eastAsia="Arial" w:hAnsi="Arial"/>
          <w:sz w:val="17"/>
          <w:szCs w:val="17"/>
          <w:color w:val="auto"/>
        </w:rPr>
      </w:pPr>
    </w:p>
    <w:p>
      <w:pPr>
        <w:ind w:left="280" w:right="700" w:hanging="272"/>
        <w:spacing w:after="0" w:line="277"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first quarter of fiscal 2017, we recorded merger-related expenses, integration costs and restructuring expenses totaling $7.5 million as compared to $13.3 million in the first quarter of fiscal 2016.</w:t>
      </w:r>
    </w:p>
    <w:p>
      <w:pPr>
        <w:spacing w:after="0" w:line="170" w:lineRule="exact"/>
        <w:rPr>
          <w:rFonts w:ascii="Arial" w:cs="Arial" w:eastAsia="Arial" w:hAnsi="Arial"/>
          <w:sz w:val="18"/>
          <w:szCs w:val="18"/>
          <w:color w:val="auto"/>
        </w:rPr>
      </w:pPr>
    </w:p>
    <w:p>
      <w:pPr>
        <w:ind w:left="280" w:right="60" w:hanging="272"/>
        <w:spacing w:after="0" w:line="264" w:lineRule="auto"/>
        <w:tabs>
          <w:tab w:leader="none" w:pos="2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During the first quarter of fiscal 2017, we recorded interest expense of $17.5 million (which was offset by $3.0 million of capitalized interest) on the $1.0 billion of senior notes that were issued in the third quarter of fiscal 2016. Interest paid on these notes during the three months ended July 2, 2016 was $36.7 million.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2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presents a summary of our results of operations for the three months ended July 2, 2016 and June 27, 2015 (in thousands, except percentages):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960"/>
              <w:spacing w:after="0"/>
              <w:rPr>
                <w:sz w:val="20"/>
                <w:szCs w:val="20"/>
                <w:color w:val="auto"/>
              </w:rPr>
            </w:pPr>
            <w:r>
              <w:rPr>
                <w:rFonts w:ascii="Arial" w:cs="Arial" w:eastAsia="Arial" w:hAnsi="Arial"/>
                <w:sz w:val="14"/>
                <w:szCs w:val="14"/>
                <w:b w:val="1"/>
                <w:bCs w:val="1"/>
                <w:color w:val="auto"/>
              </w:rPr>
              <w:t>Three Months Ended</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52"/>
        </w:trPr>
        <w:tc>
          <w:tcPr>
            <w:tcW w:w="3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July 2,</w:t>
            </w:r>
          </w:p>
        </w:tc>
        <w:tc>
          <w:tcPr>
            <w:tcW w:w="1280" w:type="dxa"/>
            <w:vAlign w:val="bottom"/>
            <w:gridSpan w:val="2"/>
          </w:tcPr>
          <w:p>
            <w:pPr>
              <w:ind w:left="440"/>
              <w:spacing w:after="0" w:line="153"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1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June 27,</w:t>
            </w:r>
          </w:p>
        </w:tc>
        <w:tc>
          <w:tcPr>
            <w:tcW w:w="1500" w:type="dxa"/>
            <w:vAlign w:val="bottom"/>
            <w:gridSpan w:val="3"/>
          </w:tcPr>
          <w:p>
            <w:pPr>
              <w:jc w:val="right"/>
              <w:ind w:right="740"/>
              <w:spacing w:after="0" w:line="153" w:lineRule="exact"/>
              <w:rPr>
                <w:sz w:val="20"/>
                <w:szCs w:val="20"/>
                <w:color w:val="auto"/>
              </w:rPr>
            </w:pPr>
            <w:r>
              <w:rPr>
                <w:rFonts w:ascii="Arial" w:cs="Arial" w:eastAsia="Arial" w:hAnsi="Arial"/>
                <w:sz w:val="14"/>
                <w:szCs w:val="14"/>
                <w:b w:val="1"/>
                <w:bCs w:val="1"/>
                <w:color w:val="auto"/>
              </w:rPr>
              <w:t>% of</w:t>
            </w: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Increase</w:t>
            </w:r>
          </w:p>
        </w:tc>
        <w:tc>
          <w:tcPr>
            <w:tcW w:w="134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Percentage</w:t>
            </w:r>
          </w:p>
        </w:tc>
      </w:tr>
      <w:tr>
        <w:trPr>
          <w:trHeight w:val="192"/>
        </w:trPr>
        <w:tc>
          <w:tcPr>
            <w:tcW w:w="3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11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4"/>
              </w:rPr>
              <w:t>(Decrease)</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Change</w:t>
            </w: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698,537</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673,641</w:t>
            </w:r>
          </w:p>
        </w:tc>
        <w:tc>
          <w:tcPr>
            <w:tcW w:w="100" w:type="dxa"/>
            <w:vAlign w:val="bottom"/>
          </w:tcPr>
          <w:p>
            <w:pPr>
              <w:spacing w:after="0"/>
              <w:rPr>
                <w:sz w:val="21"/>
                <w:szCs w:val="21"/>
                <w:color w:val="auto"/>
              </w:rPr>
            </w:pP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100.0 %  $</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24,896</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422,062</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60.4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394,124</w:t>
            </w:r>
          </w:p>
        </w:tc>
        <w:tc>
          <w:tcPr>
            <w:tcW w:w="1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27,938</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7.1</w:t>
            </w:r>
          </w:p>
        </w:tc>
      </w:tr>
      <w:tr>
        <w:trPr>
          <w:trHeight w:val="237"/>
        </w:trPr>
        <w:tc>
          <w:tcPr>
            <w:tcW w:w="324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276,475</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279,517</w:t>
            </w:r>
          </w:p>
        </w:tc>
        <w:tc>
          <w:tcPr>
            <w:tcW w:w="100" w:type="dxa"/>
            <w:vAlign w:val="bottom"/>
          </w:tcPr>
          <w:p>
            <w:pPr>
              <w:spacing w:after="0"/>
              <w:rPr>
                <w:sz w:val="20"/>
                <w:szCs w:val="20"/>
                <w:color w:val="auto"/>
              </w:rPr>
            </w:pPr>
          </w:p>
        </w:tc>
        <w:tc>
          <w:tcPr>
            <w:tcW w:w="122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(3,042)</w:t>
            </w:r>
          </w:p>
        </w:tc>
        <w:tc>
          <w:tcPr>
            <w:tcW w:w="100" w:type="dxa"/>
            <w:vAlign w:val="bottom"/>
          </w:tcPr>
          <w:p>
            <w:pPr>
              <w:spacing w:after="0"/>
              <w:rPr>
                <w:sz w:val="20"/>
                <w:szCs w:val="20"/>
                <w:color w:val="auto"/>
              </w:rPr>
            </w:pP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(1.1)</w:t>
            </w: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117,137</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117,210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(0.1)</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Marketing and selling</w:t>
            </w:r>
          </w:p>
        </w:tc>
        <w:tc>
          <w:tcPr>
            <w:tcW w:w="28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109,036</w:t>
            </w:r>
          </w:p>
        </w:tc>
        <w:tc>
          <w:tcPr>
            <w:tcW w:w="10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109,645</w:t>
            </w:r>
          </w:p>
        </w:tc>
        <w:tc>
          <w:tcPr>
            <w:tcW w:w="100" w:type="dxa"/>
            <w:vAlign w:val="bottom"/>
          </w:tcPr>
          <w:p>
            <w:pPr>
              <w:spacing w:after="0"/>
              <w:rPr>
                <w:sz w:val="21"/>
                <w:szCs w:val="21"/>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(0.6)</w:t>
            </w:r>
          </w:p>
        </w:tc>
      </w:tr>
      <w:tr>
        <w:trPr>
          <w:trHeight w:val="27"/>
        </w:trPr>
        <w:tc>
          <w:tcPr>
            <w:tcW w:w="3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34,559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36,083</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(4.2)</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Other operating expense</w:t>
            </w:r>
          </w:p>
        </w:tc>
        <w:tc>
          <w:tcPr>
            <w:tcW w:w="28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10,002</w:t>
            </w:r>
          </w:p>
        </w:tc>
        <w:tc>
          <w:tcPr>
            <w:tcW w:w="100" w:type="dxa"/>
            <w:vAlign w:val="bottom"/>
          </w:tcPr>
          <w:p>
            <w:pPr>
              <w:spacing w:after="0"/>
              <w:rPr>
                <w:sz w:val="21"/>
                <w:szCs w:val="21"/>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5"/>
              <w:spacing w:after="0"/>
              <w:rPr>
                <w:sz w:val="20"/>
                <w:szCs w:val="20"/>
                <w:color w:val="auto"/>
              </w:rPr>
            </w:pPr>
            <w:r>
              <w:rPr>
                <w:rFonts w:ascii="Arial" w:cs="Arial" w:eastAsia="Arial" w:hAnsi="Arial"/>
                <w:sz w:val="18"/>
                <w:szCs w:val="18"/>
                <w:color w:val="auto"/>
              </w:rPr>
              <w:t>17,914</w:t>
            </w:r>
          </w:p>
        </w:tc>
        <w:tc>
          <w:tcPr>
            <w:tcW w:w="100" w:type="dxa"/>
            <w:vAlign w:val="bottom"/>
          </w:tcPr>
          <w:p>
            <w:pPr>
              <w:spacing w:after="0"/>
              <w:rPr>
                <w:sz w:val="21"/>
                <w:szCs w:val="21"/>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(7,912)</w:t>
            </w:r>
          </w:p>
        </w:tc>
        <w:tc>
          <w:tcPr>
            <w:tcW w:w="100" w:type="dxa"/>
            <w:vAlign w:val="bottom"/>
          </w:tcPr>
          <w:p>
            <w:pPr>
              <w:spacing w:after="0"/>
              <w:rPr>
                <w:sz w:val="21"/>
                <w:szCs w:val="21"/>
                <w:color w:val="auto"/>
              </w:rPr>
            </w:pPr>
          </w:p>
        </w:tc>
        <w:tc>
          <w:tcPr>
            <w:tcW w:w="1340" w:type="dxa"/>
            <w:vAlign w:val="bottom"/>
          </w:tcPr>
          <w:p>
            <w:pPr>
              <w:jc w:val="right"/>
              <w:ind w:right="94"/>
              <w:spacing w:after="0"/>
              <w:rPr>
                <w:sz w:val="20"/>
                <w:szCs w:val="20"/>
                <w:color w:val="auto"/>
              </w:rPr>
            </w:pPr>
            <w:r>
              <w:rPr>
                <w:rFonts w:ascii="Arial" w:cs="Arial" w:eastAsia="Arial" w:hAnsi="Arial"/>
                <w:sz w:val="18"/>
                <w:szCs w:val="18"/>
                <w:color w:val="auto"/>
              </w:rPr>
              <w:t>(44.2)</w:t>
            </w:r>
          </w:p>
        </w:tc>
      </w:tr>
      <w:tr>
        <w:trPr>
          <w:trHeight w:val="27"/>
        </w:trPr>
        <w:tc>
          <w:tcPr>
            <w:tcW w:w="32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r>
      <w:tr>
        <w:trPr>
          <w:trHeight w:val="257"/>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5,741</w:t>
            </w: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7,076</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530.0</w:t>
            </w:r>
          </w:p>
        </w:tc>
      </w:tr>
      <w:tr>
        <w:trPr>
          <w:trHeight w:val="20"/>
        </w:trPr>
        <w:tc>
          <w:tcPr>
            <w:tcW w:w="3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Revenue increased for the three months ended July 2, 2016, as compared to the three months ended June 27, 2015, due to improved global demand for our wireless infrastructure and WiFi products, as well as the inclusion of GreenPeak revenue in the three months ended July 2, 2016.</w:t>
      </w:r>
    </w:p>
    <w:p>
      <w:pPr>
        <w:spacing w:after="0" w:line="147" w:lineRule="exact"/>
        <w:rPr>
          <w:sz w:val="20"/>
          <w:szCs w:val="20"/>
          <w:color w:val="auto"/>
        </w:rPr>
      </w:pPr>
    </w:p>
    <w:p>
      <w:pPr>
        <w:ind w:left="60" w:right="380"/>
        <w:spacing w:after="0" w:line="277" w:lineRule="auto"/>
        <w:rPr>
          <w:sz w:val="20"/>
          <w:szCs w:val="20"/>
          <w:color w:val="auto"/>
        </w:rPr>
      </w:pPr>
      <w:r>
        <w:rPr>
          <w:rFonts w:ascii="Arial" w:cs="Arial" w:eastAsia="Arial" w:hAnsi="Arial"/>
          <w:sz w:val="18"/>
          <w:szCs w:val="18"/>
          <w:color w:val="auto"/>
        </w:rPr>
        <w:t>Gross margin for the quarter was 39.6% as compared to 41.5% for the first quarter of fiscal 2016. Although revenue increased, we experienced average selling price erosion and an unfavorable change in product mix towards lower margin products.</w:t>
      </w:r>
    </w:p>
    <w:p>
      <w:pPr>
        <w:spacing w:after="0" w:line="170" w:lineRule="exact"/>
        <w:rPr>
          <w:sz w:val="20"/>
          <w:szCs w:val="20"/>
          <w:color w:val="auto"/>
        </w:rPr>
      </w:pPr>
    </w:p>
    <w:p>
      <w:pPr>
        <w:ind w:left="60"/>
        <w:spacing w:after="0" w:line="286" w:lineRule="auto"/>
        <w:rPr>
          <w:sz w:val="20"/>
          <w:szCs w:val="20"/>
          <w:color w:val="auto"/>
        </w:rPr>
      </w:pPr>
      <w:r>
        <w:rPr>
          <w:rFonts w:ascii="Arial" w:cs="Arial" w:eastAsia="Arial" w:hAnsi="Arial"/>
          <w:sz w:val="17"/>
          <w:szCs w:val="17"/>
          <w:color w:val="auto"/>
        </w:rPr>
        <w:t>Operating income increased for the three months ended July 2, 2016, primarily due to lower stock-based compensation expenses and lower integration and restructuring costs. This increase in operating income was partially offset by decreased gross margin for the three months ended July 2, 2016 as compared to the three months ended June 27, 2015, and higher personnel expenses primarily driven by increased headcount.</w:t>
      </w:r>
    </w:p>
    <w:p>
      <w:pPr>
        <w:spacing w:after="0" w:line="16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Stock-based compensation expenses included in operating expenses for the three months ended June 27, 2015 included post-combination service award expense related to the Business Combination. As the requisite service periods roll-off, the stock-based compensation expense associated with the Business Combination will continue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Research and development expenses were relatively flat for the three months ended July 2, 2016 as compared to the three months ended June 27, 2015. Increased headcount and related personnel expenses primarily associated with the design and development of high-performance filter based products as well as expenses associated with the GreenPeak acquisition in the three months ended July 2, 2016 were offset by lower stock-based compensation expense.</w:t>
      </w:r>
    </w:p>
    <w:p>
      <w:pPr>
        <w:spacing w:after="0" w:line="14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Marketing and selling expenses decreased slightly for the three months ended July 2, 2016 as compared to the three months ended June 27, 2015, with lower stock-based compensation expense being partially offset by expenses associated with the GreenPeak acquisition in the three months ended July 2, 2016.</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General and administrative expenses decreased for the three months ended July 2, 2016 as compared to the three months ended June 27, 2015, due to lower stock-based compensation expense, partially offset by higher personnel expenses.</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Other operating expense decreased for the three months ended July 2, 2016 as compared to the three months ended June 27, 2015, primarily due to lower integration and restructuring costs associated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40"/>
          </w:cols>
          <w:pgMar w:left="240" w:top="121" w:right="31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Product Revenue, Operating Income and Operating Income as a Percentage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July 2,</w:t>
            </w:r>
          </w:p>
        </w:tc>
        <w:tc>
          <w:tcPr>
            <w:tcW w:w="3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280" w:type="dxa"/>
            <w:vAlign w:val="bottom"/>
          </w:tcPr>
          <w:p>
            <w:pPr>
              <w:spacing w:after="0"/>
              <w:rPr>
                <w:sz w:val="13"/>
                <w:szCs w:val="13"/>
                <w:color w:val="auto"/>
              </w:rPr>
            </w:pPr>
          </w:p>
        </w:tc>
        <w:tc>
          <w:tcPr>
            <w:tcW w:w="118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Decrease</w:t>
            </w:r>
          </w:p>
        </w:tc>
        <w:tc>
          <w:tcPr>
            <w:tcW w:w="100" w:type="dxa"/>
            <w:vAlign w:val="bottom"/>
            <w:vMerge w:val="restart"/>
          </w:tcPr>
          <w:p>
            <w:pPr>
              <w:spacing w:after="0"/>
              <w:rPr>
                <w:sz w:val="13"/>
                <w:szCs w:val="13"/>
                <w:color w:val="auto"/>
              </w:rPr>
            </w:pPr>
          </w:p>
        </w:tc>
        <w:tc>
          <w:tcPr>
            <w:tcW w:w="1600" w:type="dxa"/>
            <w:vAlign w:val="bottom"/>
          </w:tcPr>
          <w:p>
            <w:pPr>
              <w:jc w:val="right"/>
              <w:ind w:right="379"/>
              <w:spacing w:after="0" w:line="15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 except percentages)</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7"/>
              <w:spacing w:after="0"/>
              <w:rPr>
                <w:sz w:val="20"/>
                <w:szCs w:val="20"/>
                <w:color w:val="auto"/>
              </w:rPr>
            </w:pPr>
            <w:r>
              <w:rPr>
                <w:rFonts w:ascii="Arial" w:cs="Arial" w:eastAsia="Arial" w:hAnsi="Arial"/>
                <w:sz w:val="18"/>
                <w:szCs w:val="18"/>
                <w:color w:val="auto"/>
              </w:rPr>
              <w:t>547,077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9"/>
              <w:spacing w:after="0"/>
              <w:rPr>
                <w:sz w:val="20"/>
                <w:szCs w:val="20"/>
                <w:color w:val="auto"/>
              </w:rPr>
            </w:pPr>
            <w:r>
              <w:rPr>
                <w:rFonts w:ascii="Arial" w:cs="Arial" w:eastAsia="Arial" w:hAnsi="Arial"/>
                <w:sz w:val="18"/>
                <w:szCs w:val="18"/>
                <w:color w:val="auto"/>
              </w:rPr>
              <w:t>550,886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(3,809)</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132,977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173,742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(40,765)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43"/>
        </w:trPr>
        <w:tc>
          <w:tcPr>
            <w:tcW w:w="4940" w:type="dxa"/>
            <w:vAlign w:val="bottom"/>
            <w:gridSpan w:val="2"/>
          </w:tcPr>
          <w:p>
            <w:pPr>
              <w:ind w:left="40"/>
              <w:spacing w:after="0"/>
              <w:rPr>
                <w:sz w:val="20"/>
                <w:szCs w:val="20"/>
                <w:color w:val="auto"/>
              </w:rPr>
            </w:pPr>
            <w:r>
              <w:rPr>
                <w:rFonts w:ascii="Arial" w:cs="Arial" w:eastAsia="Arial" w:hAnsi="Arial"/>
                <w:sz w:val="18"/>
                <w:szCs w:val="18"/>
                <w:color w:val="auto"/>
              </w:rPr>
              <w:t>Operating income as a % of revenue</w:t>
            </w: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MP revenue was relatively flat for the three months ended July 2, 2016 as compared to the three months ended June 27, 2015. The decrease in MP operating income as a percentage of revenue for the three months ended July 2, 2016 as compared to the three months ended June 27, 2015 was primarily due to lower gross margin resulting from average selling price erosion, an unfavorable change in product mix towards lower margin products and increased personnel expenses primarily related to the design and development of high-performance filter based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July 2,</w:t>
            </w:r>
          </w:p>
        </w:tc>
        <w:tc>
          <w:tcPr>
            <w:tcW w:w="3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June 27,</w:t>
            </w:r>
          </w:p>
        </w:tc>
        <w:tc>
          <w:tcPr>
            <w:tcW w:w="280" w:type="dxa"/>
            <w:vAlign w:val="bottom"/>
          </w:tcPr>
          <w:p>
            <w:pPr>
              <w:spacing w:after="0"/>
              <w:rPr>
                <w:sz w:val="13"/>
                <w:szCs w:val="13"/>
                <w:color w:val="auto"/>
              </w:rPr>
            </w:pPr>
          </w:p>
        </w:tc>
        <w:tc>
          <w:tcPr>
            <w:tcW w:w="12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Increase</w:t>
            </w:r>
          </w:p>
        </w:tc>
        <w:tc>
          <w:tcPr>
            <w:tcW w:w="154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92"/>
        </w:trPr>
        <w:tc>
          <w:tcPr>
            <w:tcW w:w="5020" w:type="dxa"/>
            <w:vAlign w:val="bottom"/>
          </w:tcPr>
          <w:p>
            <w:pPr>
              <w:ind w:left="40"/>
              <w:spacing w:after="0"/>
              <w:rPr>
                <w:sz w:val="20"/>
                <w:szCs w:val="20"/>
                <w:color w:val="auto"/>
              </w:rPr>
            </w:pPr>
            <w:r>
              <w:rPr>
                <w:rFonts w:ascii="Arial" w:cs="Arial" w:eastAsia="Arial" w:hAnsi="Arial"/>
                <w:sz w:val="14"/>
                <w:szCs w:val="14"/>
                <w:color w:val="auto"/>
              </w:rPr>
              <w:t>(In thousands, except percentages)</w:t>
            </w:r>
          </w:p>
        </w:tc>
        <w:tc>
          <w:tcPr>
            <w:tcW w:w="340" w:type="dxa"/>
            <w:vAlign w:val="bottom"/>
          </w:tcPr>
          <w:p>
            <w:pPr>
              <w:spacing w:after="0"/>
              <w:rPr>
                <w:sz w:val="16"/>
                <w:szCs w:val="16"/>
                <w:color w:val="auto"/>
              </w:rPr>
            </w:pPr>
          </w:p>
        </w:tc>
        <w:tc>
          <w:tcPr>
            <w:tcW w:w="1200" w:type="dxa"/>
            <w:vAlign w:val="bottom"/>
          </w:tcPr>
          <w:p>
            <w:pPr>
              <w:jc w:val="right"/>
              <w:ind w:right="537"/>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ind w:right="539"/>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40" w:type="dxa"/>
            <w:vAlign w:val="bottom"/>
          </w:tcPr>
          <w:p>
            <w:pPr>
              <w:jc w:val="right"/>
              <w:ind w:right="45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3"/>
        </w:trPr>
        <w:tc>
          <w:tcPr>
            <w:tcW w:w="5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rPr>
              <w:t>150,490</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121,785</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28,705</w:t>
            </w:r>
          </w:p>
        </w:tc>
        <w:tc>
          <w:tcPr>
            <w:tcW w:w="100" w:type="dxa"/>
            <w:vAlign w:val="bottom"/>
          </w:tcPr>
          <w:p>
            <w:pPr>
              <w:spacing w:after="0"/>
              <w:rPr>
                <w:sz w:val="21"/>
                <w:szCs w:val="21"/>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34,651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14,073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20,578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43"/>
        </w:trPr>
        <w:tc>
          <w:tcPr>
            <w:tcW w:w="5020" w:type="dxa"/>
            <w:vAlign w:val="bottom"/>
          </w:tcPr>
          <w:p>
            <w:pPr>
              <w:ind w:left="40"/>
              <w:spacing w:after="0"/>
              <w:rPr>
                <w:sz w:val="20"/>
                <w:szCs w:val="20"/>
                <w:color w:val="auto"/>
              </w:rPr>
            </w:pPr>
            <w:r>
              <w:rPr>
                <w:rFonts w:ascii="Arial" w:cs="Arial" w:eastAsia="Arial" w:hAnsi="Arial"/>
                <w:sz w:val="18"/>
                <w:szCs w:val="18"/>
                <w:color w:val="auto"/>
              </w:rPr>
              <w:t>Operating income as a % of revenue</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Revenue increased for the three months ended July 2, 2016 as compared to the three months ended June 27, 2015, due to improved global demand for our wireless infrastructure and WiFi products, as well as the inclusion of GreenPeak revenue in the three months ended July 2, 2016.</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increase in IDP operating income as a percentage of revenue for the three months ended July 2, 2016 as compared to the three months ended June 27, 2015 was primarily due to increased revenue, favorable product mix, favorable factory utilization, and the non-recurrence of unfavorable inventory adjustments recorded in the first quarter of fiscal 2016.</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See Note 10 to the Condensed Consolidated Financial Statements for a reconciliation of segment operating income to the consolidated operating income (loss) for the three months ended July 2, 2016 and June 27,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AND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360" w:type="dxa"/>
            <w:vAlign w:val="bottom"/>
            <w:tcBorders>
              <w:bottom w:val="single" w:sz="8" w:color="auto"/>
            </w:tcBorders>
          </w:tcPr>
          <w:p>
            <w:pPr>
              <w:spacing w:after="0"/>
              <w:rPr>
                <w:sz w:val="16"/>
                <w:szCs w:val="16"/>
                <w:color w:val="auto"/>
              </w:rPr>
            </w:pPr>
          </w:p>
        </w:tc>
      </w:tr>
      <w:tr>
        <w:trPr>
          <w:trHeight w:val="152"/>
        </w:trPr>
        <w:tc>
          <w:tcPr>
            <w:tcW w:w="6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ind w:left="642"/>
              <w:spacing w:after="0" w:line="153" w:lineRule="exact"/>
              <w:rPr>
                <w:sz w:val="20"/>
                <w:szCs w:val="20"/>
                <w:color w:val="auto"/>
              </w:rPr>
            </w:pPr>
            <w:r>
              <w:rPr>
                <w:rFonts w:ascii="Arial" w:cs="Arial" w:eastAsia="Arial" w:hAnsi="Arial"/>
                <w:sz w:val="14"/>
                <w:szCs w:val="14"/>
                <w:b w:val="1"/>
                <w:bCs w:val="1"/>
                <w:color w:val="auto"/>
                <w:w w:val="96"/>
              </w:rPr>
              <w:t>July 2,</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60" w:type="dxa"/>
            <w:vAlign w:val="bottom"/>
          </w:tcPr>
          <w:p>
            <w:pPr>
              <w:jc w:val="right"/>
              <w:ind w:right="696"/>
              <w:spacing w:after="0" w:line="153" w:lineRule="exact"/>
              <w:rPr>
                <w:sz w:val="20"/>
                <w:szCs w:val="20"/>
                <w:color w:val="auto"/>
              </w:rPr>
            </w:pPr>
            <w:r>
              <w:rPr>
                <w:rFonts w:ascii="Arial" w:cs="Arial" w:eastAsia="Arial" w:hAnsi="Arial"/>
                <w:sz w:val="14"/>
                <w:szCs w:val="14"/>
                <w:b w:val="1"/>
                <w:bCs w:val="1"/>
                <w:color w:val="auto"/>
                <w:w w:val="99"/>
              </w:rPr>
              <w:t>June 27,</w:t>
            </w:r>
          </w:p>
        </w:tc>
      </w:tr>
      <w:tr>
        <w:trPr>
          <w:trHeight w:val="192"/>
        </w:trPr>
        <w:tc>
          <w:tcPr>
            <w:tcW w:w="6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796"/>
              <w:spacing w:after="0"/>
              <w:rPr>
                <w:sz w:val="20"/>
                <w:szCs w:val="20"/>
                <w:color w:val="auto"/>
              </w:rPr>
            </w:pPr>
            <w:r>
              <w:rPr>
                <w:rFonts w:ascii="Arial" w:cs="Arial" w:eastAsia="Arial" w:hAnsi="Arial"/>
                <w:sz w:val="14"/>
                <w:szCs w:val="14"/>
                <w:b w:val="1"/>
                <w:bCs w:val="1"/>
                <w:color w:val="auto"/>
              </w:rPr>
              <w:t>2015</w:t>
            </w: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300" w:type="dxa"/>
            <w:vAlign w:val="bottom"/>
            <w:tcBorders>
              <w:bottom w:val="single" w:sz="8" w:color="CCEEFF"/>
            </w:tcBorders>
            <w:shd w:val="clear" w:color="auto" w:fill="CCEEFF"/>
          </w:tcPr>
          <w:p>
            <w:pPr>
              <w:jc w:val="right"/>
              <w:ind w:right="110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Interest income</w:t>
            </w:r>
          </w:p>
        </w:tc>
        <w:tc>
          <w:tcPr>
            <w:tcW w:w="1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392</w:t>
            </w: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 income</w:t>
            </w:r>
          </w:p>
        </w:tc>
        <w:tc>
          <w:tcPr>
            <w:tcW w:w="1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4,119</w:t>
            </w:r>
          </w:p>
        </w:tc>
      </w:tr>
      <w:tr>
        <w:trPr>
          <w:trHeight w:val="243"/>
        </w:trPr>
        <w:tc>
          <w:tcPr>
            <w:tcW w:w="6580" w:type="dxa"/>
            <w:vAlign w:val="bottom"/>
            <w:gridSpan w:val="2"/>
          </w:tcPr>
          <w:p>
            <w:pPr>
              <w:ind w:left="40"/>
              <w:spacing w:after="0"/>
              <w:rPr>
                <w:sz w:val="20"/>
                <w:szCs w:val="20"/>
                <w:color w:val="auto"/>
              </w:rPr>
            </w:pPr>
            <w:r>
              <w:rPr>
                <w:rFonts w:ascii="Arial" w:cs="Arial" w:eastAsia="Arial" w:hAnsi="Arial"/>
                <w:sz w:val="18"/>
                <w:szCs w:val="18"/>
                <w:color w:val="auto"/>
              </w:rPr>
              <w:t>Income tax benefit (expense)</w:t>
            </w:r>
          </w:p>
        </w:tc>
        <w:tc>
          <w:tcPr>
            <w:tcW w:w="1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3,993</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320"/>
        <w:spacing w:after="0" w:line="323" w:lineRule="auto"/>
        <w:rPr>
          <w:sz w:val="20"/>
          <w:szCs w:val="20"/>
          <w:color w:val="auto"/>
        </w:rPr>
      </w:pPr>
      <w:r>
        <w:rPr>
          <w:rFonts w:ascii="Arial" w:cs="Arial" w:eastAsia="Arial" w:hAnsi="Arial"/>
          <w:sz w:val="16"/>
          <w:szCs w:val="16"/>
          <w:color w:val="auto"/>
        </w:rPr>
        <w:t>During the first quarter of fiscal 2017, we recorded interest expense of $17.5 million related to the $1.0 billion of senior notes that were issued in the third quarter of fiscal 2016. Interest expense in the preceding table for the three months ended July 2, 2016 is net of capitalized interest of $3.0 million.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fiscal 2016, we sold equity securities and recognized a gain of approximately $4.0 million.</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provision for income taxes for the three months ended July 2, 2016 and June 27, 2015 has been calculated by applying an estimate of the annual effective tax rate for the full fiscal year to “ordinary” income or loss (pre-tax income or loss excluding unusual or infrequently occurring discrete items) for the three months ended July 2, 2016 and June 27, 2015.</w:t>
      </w:r>
    </w:p>
    <w:p>
      <w:pPr>
        <w:spacing w:after="0" w:line="19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For the three months ended July 2, 2016, we had an income tax benefit of $4.0 million, which was comprised primarily of tax benefit related to international operations generating pre-tax book losses offset by a tax expense related to domestic and international operations generating pre-tax book income. For the three months ended June 27, 2015, income tax expense was $0.6 million, which was comprised primarily of tax expense related to domestic and international operations generating pre-tax book income offset by a tax benefit related to international operations generating pre-tax book losses.</w:t>
      </w:r>
    </w:p>
    <w:p>
      <w:pPr>
        <w:spacing w:after="0" w:line="1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have funded our operations to date through revenue from product sales, sales of equity and debt securities, bank borrowings and capital equipment leases. As of July 2, 2016, we had working capital of approximately $1,065.1 million, including $433.0 million in cash and cash equivalents, compared to working capital of approximately $1,135.4 million at April 2, 2016, including $425.9 million in cash and cash equivalents.</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total cash, cash equivalents and short-term investments were $446.9 million as of July 2, 2016. This balance includes approximately $282.9 million held by our foreign subsidiaries. If the undistributed earnings of our foreign subsidiaries are needed in the U.S., we may be required to accrue and pay U.S. taxes to repatriate. However, under our current plans, we expect to permanently reinvest the undistributed earnings of our foreign subsidiaries and do not expect to repatriate them to the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ind w:right="740"/>
        <w:spacing w:after="0" w:line="261" w:lineRule="auto"/>
        <w:rPr>
          <w:sz w:val="20"/>
          <w:szCs w:val="20"/>
          <w:color w:val="auto"/>
        </w:rPr>
      </w:pPr>
      <w:r>
        <w:rPr>
          <w:rFonts w:ascii="Arial" w:cs="Arial" w:eastAsia="Arial" w:hAnsi="Arial"/>
          <w:sz w:val="18"/>
          <w:szCs w:val="18"/>
          <w:color w:val="auto"/>
        </w:rPr>
        <w:t>On November 5, 2015, we announced that our Board of Directors authorized a new share repurchase program to repurchase up to $1.0 billion of our outstanding stock through November 4, 2016.</w:t>
      </w:r>
    </w:p>
    <w:p>
      <w:pPr>
        <w:spacing w:after="0" w:line="18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February 16, 2016, we entered into variable maturity accelerated share repurchase ("ASR") agreements (a $250.0 million collared agreement and a $250.0 million uncollared agreement) with Bank of America, N.A. These agreements are part of our $1.0 billion share repurchase program described above. For the upfront payment of $500.0 million, we received 3.1 million shares of our common stock under the collared agreement (representing 50% of the shares we would have repurchased assuming an average share price of $40.78) and 4.9 million shares of our common stock under the uncollared agreement (representing 80% of the shares we would have repurchased assuming an average share price of $40.78). On March 10, 2016, we received an additional 2.0 million shares of our common stock under the collared agreement. Final settlements of the ASR agreements were completed during the first quarter of fiscal 2017 with an additional 0.4 million shares received resulting in a total of 10.4 million shares of our common stock repurchased under the ASR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As of July 2, 2016, a total of $250.0 million remains authorized under this program for future repurchases.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Operating activities for the three months ended July 2, 2016 generated cash of $59.4 million, compared to $141.4 million for the three months ended June 27, 2015. This year-over-year decrease was primarily attributable to lower profitability and an increase in accounts receivable, which was related to the timing of shipments (with more shipments towards the end of the quarter in the first quarter of fiscal 2017).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Net cash used in investing activities was $75.0 million and $75.1 million for the three months ended July 2, 2016 and June 27, 2015, respectively. During the three months ended July 2, 2016, cash used for the acquisition of GreenPeak and increased capital expenditures (primarily related to the purchase of a wafer fabrication facility (including equipment), projects for increasing premium filter capacity and projects for manufacturing cost savings initiatives) were offset by higher net proceeds from available-for-sale securities.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Net cash provided by financing activities was $23.2 million for the three months ended July 2, 2016, compared to net cash used in financing activities of $40.5 million for the three months ended June 27, 2015. During the three months ended June 27, 2015, we repurchased 0.6 million shares of our common stock at an average price of $83.10 on the open market.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Credit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On April 7, 2015, we and certain of our material domestic subsidiaries (the “Guarantors”) entered into a five-year unsecured senior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with Bank of America, N.A., as administrative agent, swing line lender, and L/C issuer, and a syndicate of lenders (the “Credit Agreement”). The Credit Agreement includes a $300.0 million revolving credit facility, which includes a $25.0 million sublimit for the issuance of standby letters of credit and a $10.0 million sublimit for swing line loans. We may request, at any time and from time to time, that the revolving credit facility be increased by an amount not to exceed $150.0 million. The revolving credit facility is available to finance working capital, capital expenditures and other corporate purposes. Our obligations under the Credit Agreement are jointly and severally guaranteed by the Guarantors. We had no outstanding amounts under the Credit Agreement as of July 2, 2016.</w:t>
      </w:r>
    </w:p>
    <w:p>
      <w:pPr>
        <w:spacing w:after="0" w:line="18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Credit Agreement contains various conditions, covenants and representations with which we must be in compliance in order to borrow funds and to avoid an event of default, including financial covenants that we must maintain. On November 12, 2015, the Credit Agreement was amended to increase the size of certain of the negative covenant baskets and the threshold for certain negative covenant incurrence-based permissions and to raise the consolidated leverage ratio test from 2.50 to 1.00 to 3.00 to 1.00 as of the end of any fiscal quarter. We must also maintain a consolidated interest coverage ratio of not less than 3.00 to 1.00 as of the end of any fiscal quarter. At July 2, 2016, we were in full compliance with these covenants.</w:t>
      </w:r>
    </w:p>
    <w:p>
      <w:pPr>
        <w:spacing w:after="0" w:line="17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u w:val="single" w:color="auto"/>
          <w:color w:val="auto"/>
        </w:rPr>
        <w:t>Notes Offering</w:t>
      </w:r>
      <w:r>
        <w:rPr>
          <w:rFonts w:ascii="Arial" w:cs="Arial" w:eastAsia="Arial" w:hAnsi="Arial"/>
          <w:sz w:val="17"/>
          <w:szCs w:val="17"/>
          <w:i w:val="1"/>
          <w:iCs w:val="1"/>
          <w:color w:val="auto"/>
        </w:rPr>
        <w:t xml:space="preserve"> </w:t>
      </w:r>
      <w:r>
        <w:rPr>
          <w:rFonts w:ascii="Arial" w:cs="Arial" w:eastAsia="Arial" w:hAnsi="Arial"/>
          <w:sz w:val="17"/>
          <w:szCs w:val="17"/>
          <w:color w:val="auto"/>
        </w:rPr>
        <w:t>On November 19, 2015, we completed an offering of $450.0 million aggregate principal amount of 6.75% senior notes due December 1, 2023</w:t>
      </w:r>
      <w:r>
        <w:rPr>
          <w:rFonts w:ascii="Arial" w:cs="Arial" w:eastAsia="Arial" w:hAnsi="Arial"/>
          <w:sz w:val="17"/>
          <w:szCs w:val="17"/>
          <w:i w:val="1"/>
          <w:iCs w:val="1"/>
          <w:color w:val="auto"/>
        </w:rPr>
        <w:t xml:space="preserve"> </w:t>
      </w:r>
      <w:r>
        <w:rPr>
          <w:rFonts w:ascii="Arial" w:cs="Arial" w:eastAsia="Arial" w:hAnsi="Arial"/>
          <w:sz w:val="17"/>
          <w:szCs w:val="17"/>
          <w:color w:val="auto"/>
        </w:rPr>
        <w:t>and $550.0 million aggregate principal amount of 7.00% senior notes due December 1, 2025 (collectively the ”Notes”). The Notes are senior unsecured obligations and are guaranteed, jointly and severally, by our domestic subsidiaries that guarantee our obligations under our revolving credit facility. Interest on both series of the Notes is payable semi-annually on June 1 and December 1 of each year and commenced on June 1, 2016.</w:t>
      </w:r>
    </w:p>
    <w:p>
      <w:pPr>
        <w:spacing w:after="0" w:line="17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 indenture governing the Notes contains customary events of default, including among other things, payment default, exchange default, failure to provide certain notices thereunder and certain provisions related to bankruptcy events. The indenture also contains customary negative covenants.</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 connection with the offering of the Notes, we entered into a Registration Rights Agreement, dated as of November 19, 2015 (see Note 5 of the Notes to Condensed Consolidated Financial Statements).</w:t>
      </w:r>
    </w:p>
    <w:p>
      <w:pPr>
        <w:spacing w:after="0" w:line="17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Notes have not been registered under the Securities Act, or any state securities laws, and, unless so registered, may not be offered or sold in the United States absent registration or an applicable exemption from such registration requirements of the Securities Act and applicable state securities laws.</w:t>
      </w:r>
    </w:p>
    <w:p>
      <w:pPr>
        <w:spacing w:after="0" w:line="124"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i w:val="1"/>
          <w:iCs w:val="1"/>
          <w:u w:val="single" w:color="auto"/>
          <w:color w:val="auto"/>
        </w:rPr>
        <w:t>Capital Commitments</w:t>
      </w:r>
      <w:r>
        <w:rPr>
          <w:rFonts w:ascii="Arial" w:cs="Arial" w:eastAsia="Arial" w:hAnsi="Arial"/>
          <w:sz w:val="16"/>
          <w:szCs w:val="16"/>
          <w:i w:val="1"/>
          <w:iCs w:val="1"/>
          <w:color w:val="auto"/>
        </w:rPr>
        <w:t xml:space="preserve"> </w:t>
      </w:r>
      <w:r>
        <w:rPr>
          <w:rFonts w:ascii="Arial" w:cs="Arial" w:eastAsia="Arial" w:hAnsi="Arial"/>
          <w:sz w:val="16"/>
          <w:szCs w:val="16"/>
          <w:color w:val="auto"/>
        </w:rPr>
        <w:t>At July 2, 2016, we had capital commitments of approximately $101.7 million primarily related to constructing a new office and design</w:t>
      </w:r>
      <w:r>
        <w:rPr>
          <w:rFonts w:ascii="Arial" w:cs="Arial" w:eastAsia="Arial" w:hAnsi="Arial"/>
          <w:sz w:val="16"/>
          <w:szCs w:val="16"/>
          <w:i w:val="1"/>
          <w:iCs w:val="1"/>
          <w:color w:val="auto"/>
        </w:rPr>
        <w:t xml:space="preserve"> </w:t>
      </w:r>
      <w:r>
        <w:rPr>
          <w:rFonts w:ascii="Arial" w:cs="Arial" w:eastAsia="Arial" w:hAnsi="Arial"/>
          <w:sz w:val="16"/>
          <w:szCs w:val="16"/>
          <w:color w:val="auto"/>
        </w:rPr>
        <w:t>center, projects increasing manufacturing capacity, equipment replacements and equipment for process improvements and general corporate purposes.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u w:val="single" w:color="auto"/>
          <w:color w:val="auto"/>
        </w:rPr>
        <w:t>Future Sources of Funding</w:t>
      </w:r>
      <w:r>
        <w:rPr>
          <w:rFonts w:ascii="Arial" w:cs="Arial" w:eastAsia="Arial" w:hAnsi="Arial"/>
          <w:sz w:val="18"/>
          <w:szCs w:val="18"/>
          <w:i w:val="1"/>
          <w:iCs w:val="1"/>
          <w:color w:val="auto"/>
        </w:rPr>
        <w:t xml:space="preserve"> </w:t>
      </w:r>
      <w:r>
        <w:rPr>
          <w:rFonts w:ascii="Arial" w:cs="Arial" w:eastAsia="Arial" w:hAnsi="Arial"/>
          <w:sz w:val="18"/>
          <w:szCs w:val="18"/>
          <w:color w:val="auto"/>
        </w:rPr>
        <w:t>Our future capital requirements may differ materially from those currently anticipated and will depend on many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limited to, market acceptance of and demand for our products, acquisition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opportunities, technological advances and our relationships with suppliers and customers. Based on current and projected levels of cash flow from operations, coupled with our existing cash and cash equivalents and our revolving credit facility, we believe that we have sufficient liquidity to meet both our short-term and long-term cash requirements. However, if there is a significant decrease in demand for our products, or in the event that growth is faster than we had anticipated, operating cash flows may be insufficient to meet our needs. If existing resources and cash from operations are not sufficient to meet our future requirements or if we perceive conditions to be favorable, we may seek additional debt or equity financing. We cannot be sure that any additional equity or debt financing will not be dilutive to holders of our common stock. Further, we cannot be sure that additional equity or debt financing, if required, will be available on favorable terms, if at all.</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These</w:t>
      </w:r>
      <w:r>
        <w:rPr>
          <w:rFonts w:ascii="Arial" w:cs="Arial" w:eastAsia="Arial" w:hAnsi="Arial"/>
          <w:sz w:val="18"/>
          <w:szCs w:val="18"/>
          <w:i w:val="1"/>
          <w:iCs w:val="1"/>
          <w:color w:val="auto"/>
        </w:rPr>
        <w:t xml:space="preserve"> </w:t>
      </w:r>
      <w:r>
        <w:rPr>
          <w:rFonts w:ascii="Arial" w:cs="Arial" w:eastAsia="Arial" w:hAnsi="Arial"/>
          <w:sz w:val="18"/>
          <w:szCs w:val="18"/>
          <w:color w:val="auto"/>
        </w:rPr>
        <w:t>actions, when finally concluded and determined, will not, in the opinion of management, have a material adverse effect on our consolidated financial position or results of operations.</w:t>
      </w:r>
    </w:p>
    <w:p>
      <w:pPr>
        <w:spacing w:after="0" w:line="18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have been no material changes to our market risk exposures during the first quarter of fiscal 2017. For a discussion of our exposure to market risk, refer to Item 7A, “Quantitative and Qualitative Disclosures About Market Risk,” contained in Qorvo's Annual Report on Form 10-K for the fiscal year ended April 2,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w:t>
      </w:r>
    </w:p>
    <w:p>
      <w:pPr>
        <w:spacing w:after="0" w:line="18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connection with the preparation of this Quarterly Report on Form 10-Q, we carried out an evaluation under the supervision of and with the participation of our management, including our Chief Executive Officer and Chief Financial Officer, as of July 2, 2016, of the effectiveness of the design and operation of our disclosure controls and procedures, as such term is defined in Rules 13a-15(e) and 15d-15(e) under the Exchange Act. Based upon this evaluation, our Chief Executive Officer and Chief Financial Officer, concluded that our disclosure controls and procedures were not effective as of July 2, 2016, as we cannot conclude that the material weakness in internal control over financial reporting related to accounting for income taxes described in Part II, Item 9A of the Annual Report on Form 10-K for the fiscal year ended April 2, 2016 has been fully remediated as of the date of this Quarterly Report on Form 10-Q.</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Update on Remediation Plan</w:t>
      </w:r>
    </w:p>
    <w:p>
      <w:pPr>
        <w:spacing w:after="0" w:line="22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During the quarter ended July 2, 2016, we made substantial progress toward remediating the material weakness that existed in accounting for income taxes as of April 2, 2016. Our remediation plan is subject to ongoing senior management review, as well as Audit Committee oversight. As part of such plan, as of the date of this Quarterly Report on Form 10-Q:</w:t>
      </w:r>
    </w:p>
    <w:p>
      <w:pPr>
        <w:spacing w:after="0" w:line="181" w:lineRule="exact"/>
        <w:rPr>
          <w:sz w:val="20"/>
          <w:szCs w:val="20"/>
          <w:color w:val="auto"/>
        </w:rPr>
      </w:pPr>
    </w:p>
    <w:p>
      <w:pPr>
        <w:ind w:left="660" w:right="14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filled two open positions within the tax department and identified potential candidates for an additional open position. We will continue to evaluate the structure of our tax organization and add resources as needed.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implemented a single income tax provision model in conjunction with completing our move to a single integrated ERP system.</w:t>
      </w:r>
    </w:p>
    <w:p>
      <w:pPr>
        <w:spacing w:after="0" w:line="20" w:lineRule="exact"/>
        <w:rPr>
          <w:rFonts w:ascii="Arial" w:cs="Arial" w:eastAsia="Arial" w:hAnsi="Arial"/>
          <w:sz w:val="17"/>
          <w:szCs w:val="17"/>
          <w:color w:val="auto"/>
        </w:rPr>
      </w:pPr>
    </w:p>
    <w:p>
      <w:pPr>
        <w:ind w:left="660" w:right="420" w:hanging="328"/>
        <w:spacing w:after="0" w:line="261"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With the assistance of a qualified outside party, we are finalizing design of a review and assessment of our internal controls over accounting for income taxes and the tax provision process.</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believes that the remediation steps completed to date have significantly improved our internal control over the accounting for income taxes. However, the Company expects to continue to further strengthen internal controls over accounting for income taxes and make additional improvements in the tax provision process during the remainder of fiscal 2017. Until these remediation steps are fully implemented and tested, the material weakness described above will continue to exist.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Other than the remediation steps described above, no change in our internal control over financial reporting (as defined in Rules 13a-15(f) and 15d-15(f) under the Exchange Act) occurred during the quarter ended July 2, 2016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2" w:right="25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the other information set forth in this report and in our other reports and statements that we file with the SEC, including our quarterly reports on Form 10-Q, careful consideration should be given to the factors discussed in Part I, Item 1A., “Risk Factors” in Qorvo's Annual Report on Form 10-K for the fiscal year ended April 2, 2016, which could materially affect our business, financial condition or future results. The risks described in Qorvo's Annual Report on Form 10-K are not the only risks that we face. Additional risks and uncertainties not currently known to us or that we currently deem to be immaterial also may materially adversely affect our business, financial condition and/or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p>
      <w:pPr>
        <w:ind w:left="720" w:right="420" w:hanging="359"/>
        <w:spacing w:after="0" w:line="277" w:lineRule="auto"/>
        <w:rPr>
          <w:sz w:val="20"/>
          <w:szCs w:val="20"/>
          <w:color w:val="auto"/>
        </w:rPr>
      </w:pPr>
      <w:r>
        <w:rPr>
          <w:rFonts w:ascii="Arial" w:cs="Arial" w:eastAsia="Arial" w:hAnsi="Arial"/>
          <w:sz w:val="18"/>
          <w:szCs w:val="18"/>
          <w:color w:val="auto"/>
        </w:rPr>
        <w:t>3.1 Amended and Restated Bylaws of Qorvo, Inc., effective as of May 13, 2016 (incorporated by reference to Exhibit 3.1 to the Current Report on Form 8-K filed with the SEC on May 19, 2016)</w:t>
      </w:r>
    </w:p>
    <w:p>
      <w:pPr>
        <w:spacing w:after="0" w:line="292" w:lineRule="exact"/>
        <w:rPr>
          <w:sz w:val="20"/>
          <w:szCs w:val="20"/>
          <w:color w:val="auto"/>
        </w:rPr>
      </w:pPr>
    </w:p>
    <w:p>
      <w:pPr>
        <w:ind w:left="720" w:right="580" w:hanging="449"/>
        <w:spacing w:after="0" w:line="277" w:lineRule="auto"/>
        <w:rPr>
          <w:sz w:val="20"/>
          <w:szCs w:val="20"/>
          <w:color w:val="auto"/>
        </w:rPr>
      </w:pPr>
      <w:r>
        <w:rPr>
          <w:rFonts w:ascii="Arial" w:cs="Arial" w:eastAsia="Arial" w:hAnsi="Arial"/>
          <w:sz w:val="18"/>
          <w:szCs w:val="18"/>
          <w:color w:val="auto"/>
        </w:rPr>
        <w:t>10.1 Form of Restricted Stock Unit Award Agreement (Director Annual/Supplemental RSUs) (deferral election) pursuant to the Qorvo, Inc. 2012 Stock Incentive Plan. *</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12.1  Computation of Consolidated Ratio of Earnings to Fixed Charges</w:t>
      </w:r>
    </w:p>
    <w:p>
      <w:pPr>
        <w:spacing w:after="0" w:line="347" w:lineRule="exact"/>
        <w:rPr>
          <w:sz w:val="20"/>
          <w:szCs w:val="20"/>
          <w:color w:val="auto"/>
        </w:rPr>
      </w:pPr>
    </w:p>
    <w:p>
      <w:pPr>
        <w:ind w:left="720" w:right="1000" w:hanging="449"/>
        <w:spacing w:after="0" w:line="277" w:lineRule="auto"/>
        <w:rPr>
          <w:sz w:val="20"/>
          <w:szCs w:val="20"/>
          <w:color w:val="auto"/>
        </w:rPr>
      </w:pPr>
      <w:r>
        <w:rPr>
          <w:rFonts w:ascii="Arial" w:cs="Arial" w:eastAsia="Arial" w:hAnsi="Arial"/>
          <w:sz w:val="18"/>
          <w:szCs w:val="18"/>
          <w:color w:val="auto"/>
        </w:rPr>
        <w:t>31.1 Certification of Periodic Report by Robert A. Bruggeworth, as Chief Executive Officer, pursuant to Rule 13a-14(a) or 15d-14(a) of the Exchange Act, as adopted pursuant to Section 302 of the Sarbanes-Oxley Act of 2002</w:t>
      </w:r>
    </w:p>
    <w:p>
      <w:pPr>
        <w:spacing w:after="0" w:line="292" w:lineRule="exact"/>
        <w:rPr>
          <w:sz w:val="20"/>
          <w:szCs w:val="20"/>
          <w:color w:val="auto"/>
        </w:rPr>
      </w:pPr>
    </w:p>
    <w:p>
      <w:pPr>
        <w:ind w:left="720" w:right="480" w:hanging="449"/>
        <w:spacing w:after="0" w:line="277" w:lineRule="auto"/>
        <w:rPr>
          <w:sz w:val="20"/>
          <w:szCs w:val="20"/>
          <w:color w:val="auto"/>
        </w:rPr>
      </w:pPr>
      <w:r>
        <w:rPr>
          <w:rFonts w:ascii="Arial" w:cs="Arial" w:eastAsia="Arial" w:hAnsi="Arial"/>
          <w:sz w:val="18"/>
          <w:szCs w:val="18"/>
          <w:color w:val="auto"/>
        </w:rPr>
        <w:t>31.2 Certification of Periodic Report by Mark J. Murphy, as Chief Financial Officer, pursuant to Rule 13a-14(a) or 15d-14(a) of the Exchange Act, as adopted pursuant to Section 302 of the Sarbanes-Oxley Act of 2002</w:t>
      </w:r>
    </w:p>
    <w:p>
      <w:pPr>
        <w:spacing w:after="0" w:line="292" w:lineRule="exact"/>
        <w:rPr>
          <w:sz w:val="20"/>
          <w:szCs w:val="20"/>
          <w:color w:val="auto"/>
        </w:rPr>
      </w:pPr>
    </w:p>
    <w:p>
      <w:pPr>
        <w:ind w:left="720" w:right="940" w:hanging="449"/>
        <w:spacing w:after="0" w:line="277" w:lineRule="auto"/>
        <w:rPr>
          <w:sz w:val="20"/>
          <w:szCs w:val="20"/>
          <w:color w:val="auto"/>
        </w:rPr>
      </w:pPr>
      <w:r>
        <w:rPr>
          <w:rFonts w:ascii="Arial" w:cs="Arial" w:eastAsia="Arial" w:hAnsi="Arial"/>
          <w:sz w:val="18"/>
          <w:szCs w:val="18"/>
          <w:color w:val="auto"/>
        </w:rPr>
        <w:t>32.1 Certification of Periodic Report by Robert A. Bruggeworth, as Chief Executive Officer, pursuant to 18 U.S.C. Section 1350, as adopted pursuant to Section 906 of the Sarbanes-Oxley Act of 2002</w:t>
      </w:r>
    </w:p>
    <w:p>
      <w:pPr>
        <w:spacing w:after="0" w:line="292" w:lineRule="exact"/>
        <w:rPr>
          <w:sz w:val="20"/>
          <w:szCs w:val="20"/>
          <w:color w:val="auto"/>
        </w:rPr>
      </w:pPr>
    </w:p>
    <w:p>
      <w:pPr>
        <w:ind w:left="720" w:right="680" w:hanging="449"/>
        <w:spacing w:after="0" w:line="277" w:lineRule="auto"/>
        <w:rPr>
          <w:sz w:val="20"/>
          <w:szCs w:val="20"/>
          <w:color w:val="auto"/>
        </w:rPr>
      </w:pPr>
      <w:r>
        <w:rPr>
          <w:rFonts w:ascii="Arial" w:cs="Arial" w:eastAsia="Arial" w:hAnsi="Arial"/>
          <w:sz w:val="18"/>
          <w:szCs w:val="18"/>
          <w:color w:val="auto"/>
        </w:rPr>
        <w:t>32.2 Certification of Periodic Report by Mark J. Murphy, as Chief Financial Officer, pursuant to 18 U.S.C. Section 1350, as adopted pursuant to Section 906 of the Sarbanes-Oxley Act of 2002</w:t>
      </w:r>
    </w:p>
    <w:p>
      <w:pPr>
        <w:spacing w:after="0" w:line="292" w:lineRule="exact"/>
        <w:rPr>
          <w:sz w:val="20"/>
          <w:szCs w:val="20"/>
          <w:color w:val="auto"/>
        </w:rPr>
      </w:pPr>
    </w:p>
    <w:p>
      <w:pPr>
        <w:ind w:left="720" w:right="400" w:hanging="415"/>
        <w:spacing w:after="0" w:line="297" w:lineRule="auto"/>
        <w:tabs>
          <w:tab w:leader="none" w:pos="7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following materials from our Quarterly Report on Form 10-Q for the quarter ended July 2, 2016, formatted in XBRL (eXtensible Business Reporting Language): (i) the Condensed Consolidated Balance Sheets as of July 2, 2016 and April 2, 2016; (ii) the Condensed Consolidated Statements of Operations for the three months ended July 2, 2016 and June 27, 2015; (iii) the Condensed Consolidated Statements of Comprehensive (Loss) Income for the three months ended July 2, 2016 and June 27, 2015; (iv) the Condensed Consolidated Statements of Cash Flows for the three months ended July 2, 2016 and June 27, 2015; and (v) the Notes to Condensed Consolidated Financial Statements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1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Executive compensation plan or agreement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Qorvo, Inc.</w:t>
      </w:r>
    </w:p>
    <w:p>
      <w:pPr>
        <w:spacing w:after="0" w:line="333" w:lineRule="exact"/>
        <w:rPr>
          <w:sz w:val="20"/>
          <w:szCs w:val="20"/>
          <w:color w:val="auto"/>
        </w:rPr>
      </w:pPr>
    </w:p>
    <w:p>
      <w:pPr>
        <w:ind w:left="40"/>
        <w:spacing w:after="0"/>
        <w:tabs>
          <w:tab w:leader="none" w:pos="640" w:val="left"/>
          <w:tab w:leader="none" w:pos="5620" w:val="left"/>
        </w:tabs>
        <w:rPr>
          <w:sz w:val="20"/>
          <w:szCs w:val="20"/>
          <w:color w:val="auto"/>
        </w:rPr>
      </w:pPr>
      <w:r>
        <w:rPr>
          <w:rFonts w:ascii="Arial" w:cs="Arial" w:eastAsia="Arial" w:hAnsi="Arial"/>
          <w:sz w:val="18"/>
          <w:szCs w:val="18"/>
          <w:color w:val="auto"/>
        </w:rPr>
        <w:t>Date:</w:t>
        <w:tab/>
        <w:t>August 5, 2016</w:t>
      </w:r>
      <w:r>
        <w:rPr>
          <w:sz w:val="20"/>
          <w:szCs w:val="20"/>
          <w:color w:val="auto"/>
        </w:rPr>
        <w:tab/>
      </w:r>
      <w:r>
        <w:rPr>
          <w:rFonts w:ascii="Arial" w:cs="Arial" w:eastAsia="Arial" w:hAnsi="Arial"/>
          <w:sz w:val="16"/>
          <w:szCs w:val="16"/>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31750</wp:posOffset>
            </wp:positionV>
            <wp:extent cx="2907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720"/>
          </w:cols>
          <w:pgMar w:left="240" w:top="121" w:right="939" w:bottom="1440" w:gutter="0" w:footer="0" w:header="0"/>
        </w:sectPr>
      </w:pPr>
    </w:p>
    <w:bookmarkStart w:id="37" w:name="page38"/>
    <w:bookmarkEnd w:id="37"/>
    <w:p>
      <w:pPr>
        <w:spacing w:after="0"/>
        <w:rPr>
          <w:rFonts w:ascii="Arial" w:cs="Arial" w:eastAsia="Arial" w:hAnsi="Arial"/>
          <w:sz w:val="14"/>
          <w:szCs w:val="14"/>
          <w:u w:val="single" w:color="auto"/>
          <w:color w:val="0000EE"/>
        </w:rPr>
      </w:pPr>
      <w:hyperlink w:anchor="page3">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219"/>
        <w:spacing w:after="0"/>
        <w:rPr>
          <w:sz w:val="20"/>
          <w:szCs w:val="20"/>
          <w:color w:val="auto"/>
        </w:rPr>
      </w:pPr>
      <w:r>
        <w:rPr>
          <w:rFonts w:ascii="Arial" w:cs="Arial" w:eastAsia="Arial" w:hAnsi="Arial"/>
          <w:sz w:val="18"/>
          <w:szCs w:val="18"/>
          <w:b w:val="1"/>
          <w:bCs w:val="1"/>
          <w:color w:val="auto"/>
        </w:rPr>
        <w:t>EXHIBIT INDEX</w:t>
      </w:r>
    </w:p>
    <w:p>
      <w:pPr>
        <w:spacing w:after="0" w:line="175" w:lineRule="exact"/>
        <w:rPr>
          <w:sz w:val="20"/>
          <w:szCs w:val="20"/>
          <w:color w:val="auto"/>
        </w:rPr>
      </w:pPr>
    </w:p>
    <w:p>
      <w:pPr>
        <w:ind w:left="1620" w:right="140" w:hanging="305"/>
        <w:spacing w:after="0" w:line="277" w:lineRule="auto"/>
        <w:rPr>
          <w:sz w:val="20"/>
          <w:szCs w:val="20"/>
          <w:color w:val="auto"/>
        </w:rPr>
      </w:pPr>
      <w:r>
        <w:rPr>
          <w:rFonts w:ascii="Arial" w:cs="Arial" w:eastAsia="Arial" w:hAnsi="Arial"/>
          <w:sz w:val="18"/>
          <w:szCs w:val="18"/>
          <w:color w:val="auto"/>
        </w:rPr>
        <w:t>3.1 Amended and Restated Bylaws of Qorvo, Inc., effective as of May 13, 2016 (incorporated by reference to Exhibit 3.1 to the Current Report on Form 8-K filed with the SEC on May 19, 2016).</w:t>
      </w:r>
    </w:p>
    <w:p>
      <w:pPr>
        <w:spacing w:after="0" w:line="292" w:lineRule="exact"/>
        <w:rPr>
          <w:sz w:val="20"/>
          <w:szCs w:val="20"/>
          <w:color w:val="auto"/>
        </w:rPr>
      </w:pPr>
    </w:p>
    <w:p>
      <w:pPr>
        <w:ind w:left="1620" w:right="20" w:hanging="395"/>
        <w:spacing w:after="0" w:line="277" w:lineRule="auto"/>
        <w:rPr>
          <w:sz w:val="20"/>
          <w:szCs w:val="20"/>
          <w:color w:val="auto"/>
        </w:rPr>
      </w:pPr>
      <w:r>
        <w:rPr>
          <w:rFonts w:ascii="Arial" w:cs="Arial" w:eastAsia="Arial" w:hAnsi="Arial"/>
          <w:sz w:val="18"/>
          <w:szCs w:val="18"/>
          <w:color w:val="auto"/>
        </w:rPr>
        <w:t>10.1 Form of Restricted Stock Unit Award Agreement (Director Annual/Supplemental RSUs) (deferral election) pursuant to the Qorvo, Inc. 2012 Stock Incentive Plan. *</w:t>
      </w:r>
    </w:p>
    <w:p>
      <w:pPr>
        <w:spacing w:after="0" w:line="292"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12.1 Computation of Consolidated Ratio of Earnings to Fixed Charges</w:t>
      </w:r>
    </w:p>
    <w:p>
      <w:pPr>
        <w:spacing w:after="0" w:line="347"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31.1 Certification of Periodic Report by Robert A. Bruggeworth, as Chief Executive Officer, pursuant to Rule 13a-14(a) or</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15d-14(a) of the Exchange Act, as adopted pursuant to Section 302 of the Sarbanes-Oxley Act of 2002</w:t>
      </w:r>
    </w:p>
    <w:p>
      <w:pPr>
        <w:spacing w:after="0" w:line="319" w:lineRule="exact"/>
        <w:rPr>
          <w:sz w:val="20"/>
          <w:szCs w:val="20"/>
          <w:color w:val="auto"/>
        </w:rPr>
      </w:pPr>
    </w:p>
    <w:p>
      <w:pPr>
        <w:ind w:left="1620" w:right="340" w:hanging="418"/>
        <w:spacing w:after="0" w:line="308" w:lineRule="auto"/>
        <w:rPr>
          <w:sz w:val="20"/>
          <w:szCs w:val="20"/>
          <w:color w:val="auto"/>
        </w:rPr>
      </w:pPr>
      <w:r>
        <w:rPr>
          <w:rFonts w:ascii="Arial" w:cs="Arial" w:eastAsia="Arial" w:hAnsi="Arial"/>
          <w:sz w:val="17"/>
          <w:szCs w:val="17"/>
          <w:color w:val="auto"/>
        </w:rPr>
        <w:t>31.2 Certification of Periodic Report by Mark J. Murphy, as Chief Financial Officer, pursuant to Rule 13a-14(a) or 15d-14(a) of the Exchange Act, as adopted pursuant to Section 302 of the Sarbanes-Oxley Act of 2002</w:t>
      </w:r>
    </w:p>
    <w:p>
      <w:pPr>
        <w:spacing w:after="0" w:line="268"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32.1 Certification of Periodic Report by Robert A. Bruggeworth, as Chief Executive Officer, pursuant to 18 U.S.C. Section</w:t>
      </w:r>
    </w:p>
    <w:p>
      <w:pPr>
        <w:spacing w:after="0" w:line="4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1350, as adopted pursuant to Section 906 of the Sarbanes-Oxley Act of 2002</w:t>
      </w:r>
    </w:p>
    <w:p>
      <w:pPr>
        <w:spacing w:after="0" w:line="332" w:lineRule="exact"/>
        <w:rPr>
          <w:sz w:val="20"/>
          <w:szCs w:val="20"/>
          <w:color w:val="auto"/>
        </w:rPr>
      </w:pPr>
    </w:p>
    <w:p>
      <w:pPr>
        <w:ind w:left="1620" w:right="40" w:hanging="418"/>
        <w:spacing w:after="0" w:line="277" w:lineRule="auto"/>
        <w:rPr>
          <w:sz w:val="20"/>
          <w:szCs w:val="20"/>
          <w:color w:val="auto"/>
        </w:rPr>
      </w:pPr>
      <w:r>
        <w:rPr>
          <w:rFonts w:ascii="Arial" w:cs="Arial" w:eastAsia="Arial" w:hAnsi="Arial"/>
          <w:sz w:val="18"/>
          <w:szCs w:val="18"/>
          <w:color w:val="auto"/>
        </w:rPr>
        <w:t>32.2 Certification of Periodic Report by Mark J. Murphy, as Chief Financial Officer, pursuant to 18 U.S.C. Section 1350, as adopted pursuant to Section 906 of the Sarbanes-Oxley Act of 2002</w:t>
      </w:r>
    </w:p>
    <w:p>
      <w:pPr>
        <w:spacing w:after="0" w:line="292" w:lineRule="exact"/>
        <w:rPr>
          <w:sz w:val="20"/>
          <w:szCs w:val="20"/>
          <w:color w:val="auto"/>
        </w:rPr>
      </w:pPr>
    </w:p>
    <w:p>
      <w:pPr>
        <w:ind w:left="1620" w:hanging="349"/>
        <w:spacing w:after="0" w:line="293" w:lineRule="auto"/>
        <w:tabs>
          <w:tab w:leader="none" w:pos="162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following materials from our Quarterly Report on Form 10-Q for the quarter ended July 2, 2016, formatted in XBRL (eXtensible Business Reporting Language): (i) the Condensed Consolidated Balance Sheets as of July 2, 2016 and April 2, 2016; (ii) the Condensed Consolidated Statements of Operations for the three months ended July 2, 2016 and June 27, 2015; (iii) the Condensed Consolidated Statements of Comprehensive (Loss) Income for the three months ended July 2, 2016 and June 27, 2015; (iv) the Condensed Consolidated Statements of Cash Flows for the three months ended July 2, 2016 and June 27, 2015; and (v) the Notes to Condensed Consolidated Financial Statements</w:t>
      </w: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Executive compensation plan or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Our SEC file number for documents filed with the SEC pursuant to the Securities Exchange Act of 1934, as amended, is 001-36801.</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220"/>
          </w:cols>
          <w:pgMar w:left="240" w:top="122" w:right="1439" w:bottom="1440" w:gutter="0" w:footer="0" w:header="0"/>
        </w:sectPr>
      </w:pPr>
    </w:p>
    <w:bookmarkStart w:id="38" w:name="page39"/>
    <w:bookmarkEnd w:id="38"/>
    <w:p>
      <w:pPr>
        <w:ind w:left="5080"/>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ind w:left="4240"/>
        <w:spacing w:after="0"/>
        <w:rPr>
          <w:sz w:val="20"/>
          <w:szCs w:val="20"/>
          <w:color w:val="auto"/>
        </w:rPr>
      </w:pPr>
      <w:r>
        <w:rPr>
          <w:rFonts w:ascii="Arial" w:cs="Arial" w:eastAsia="Arial" w:hAnsi="Arial"/>
          <w:sz w:val="20"/>
          <w:szCs w:val="20"/>
          <w:b w:val="1"/>
          <w:bCs w:val="1"/>
          <w:color w:val="auto"/>
        </w:rPr>
        <w:t>2012 STOCK INCENTIVE PLAN</w:t>
      </w:r>
    </w:p>
    <w:p>
      <w:pPr>
        <w:ind w:left="4300"/>
        <w:spacing w:after="0"/>
        <w:rPr>
          <w:sz w:val="20"/>
          <w:szCs w:val="20"/>
          <w:color w:val="auto"/>
        </w:rPr>
      </w:pPr>
      <w:r>
        <w:rPr>
          <w:rFonts w:ascii="Arial" w:cs="Arial" w:eastAsia="Arial" w:hAnsi="Arial"/>
          <w:sz w:val="20"/>
          <w:szCs w:val="20"/>
          <w:b w:val="1"/>
          <w:bCs w:val="1"/>
          <w:color w:val="auto"/>
        </w:rPr>
        <w:t>Restricted Stock Unit Agreement</w:t>
      </w:r>
    </w:p>
    <w:p>
      <w:pPr>
        <w:ind w:left="4080"/>
        <w:spacing w:after="0"/>
        <w:rPr>
          <w:sz w:val="20"/>
          <w:szCs w:val="20"/>
          <w:color w:val="auto"/>
        </w:rPr>
      </w:pPr>
      <w:r>
        <w:rPr>
          <w:rFonts w:ascii="Arial" w:cs="Arial" w:eastAsia="Arial" w:hAnsi="Arial"/>
          <w:sz w:val="20"/>
          <w:szCs w:val="20"/>
          <w:b w:val="1"/>
          <w:bCs w:val="1"/>
          <w:color w:val="auto"/>
        </w:rPr>
        <w:t>(Director Annual/Supplemental RSUs)</w:t>
      </w:r>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THIS AGREEMENT, including any special terms and conditions for the Participant’s country set forth in the appendix attached hereto (the “Appendix”) (together with Schedule A, attached hereto, the “Agreement”), is made effective as of the Grant Date (as defined in Section 2 below) between QORVO, INC., a Delaware corporation (the “Company”), and </w:t>
      </w:r>
      <w:r>
        <w:rPr>
          <w:rFonts w:ascii="Arial" w:cs="Arial" w:eastAsia="Arial" w:hAnsi="Arial"/>
          <w:sz w:val="18"/>
          <w:szCs w:val="18"/>
          <w:b w:val="1"/>
          <w:bCs w:val="1"/>
          <w:color w:val="auto"/>
        </w:rPr>
        <w:t>_________________</w:t>
      </w:r>
      <w:r>
        <w:rPr>
          <w:rFonts w:ascii="Arial" w:cs="Arial" w:eastAsia="Arial" w:hAnsi="Arial"/>
          <w:sz w:val="18"/>
          <w:szCs w:val="18"/>
          <w:color w:val="auto"/>
        </w:rPr>
        <w:t>, a Director (the “Participant”).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b w:val="1"/>
          <w:bCs w:val="1"/>
          <w:color w:val="auto"/>
        </w:rPr>
        <w: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In furtherance of the purposes of the Qorvo, Inc. 2012 Stock Incentive Plan (As Assumed by Qorvo, Inc. and Amended and Restated Effective January 1, 2015) (Formerly, the RF Micro Devices, Inc. 2012 Stock Incentive Plan), as it may be amended (the “Plan”), the Company and the Participant hereby agree as follows:</w:t>
      </w:r>
    </w:p>
    <w:p>
      <w:pPr>
        <w:spacing w:after="0" w:line="200" w:lineRule="exact"/>
        <w:rPr>
          <w:sz w:val="20"/>
          <w:szCs w:val="20"/>
          <w:color w:val="auto"/>
        </w:rPr>
      </w:pPr>
    </w:p>
    <w:p>
      <w:pPr>
        <w:jc w:val="both"/>
        <w:ind w:firstLine="656"/>
        <w:spacing w:after="0" w:line="314" w:lineRule="auto"/>
        <w:tabs>
          <w:tab w:leader="none" w:pos="1445"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The rights and duties of the Company and the Participant under this Agreement shall in all respects be subject to and governed by the provisions of the Plan, the terms of which are incorporated herein by reference. In the event of any conflict between the provisions in the Agreement and those of the Plan, the provisions of the Plan shall govern, unless the Administrator determines otherwise. Unless otherwise defined herein, capitalized terms in this Agreement shall have the same definitions as set forth in the Plan.</w:t>
      </w:r>
    </w:p>
    <w:p>
      <w:pPr>
        <w:spacing w:after="0" w:line="159" w:lineRule="exact"/>
        <w:rPr>
          <w:rFonts w:ascii="Arial" w:cs="Arial" w:eastAsia="Arial" w:hAnsi="Arial"/>
          <w:sz w:val="18"/>
          <w:szCs w:val="18"/>
          <w:color w:val="auto"/>
        </w:rPr>
      </w:pPr>
    </w:p>
    <w:p>
      <w:pPr>
        <w:ind w:left="1460" w:hanging="804"/>
        <w:spacing w:after="0"/>
        <w:tabs>
          <w:tab w:leader="none" w:pos="1460" w:val="left"/>
        </w:tabs>
        <w:numPr>
          <w:ilvl w:val="1"/>
          <w:numId w:val="13"/>
        </w:numPr>
        <w:rPr>
          <w:rFonts w:ascii="Arial" w:cs="Arial" w:eastAsia="Arial" w:hAnsi="Arial"/>
          <w:sz w:val="20"/>
          <w:szCs w:val="20"/>
          <w:color w:val="auto"/>
        </w:rPr>
      </w:pPr>
      <w:r>
        <w:rPr>
          <w:rFonts w:ascii="Arial" w:cs="Arial" w:eastAsia="Arial" w:hAnsi="Arial"/>
          <w:sz w:val="20"/>
          <w:szCs w:val="20"/>
          <w:u w:val="single" w:color="auto"/>
          <w:color w:val="auto"/>
        </w:rPr>
        <w:t>Terms of Award</w:t>
      </w:r>
      <w:r>
        <w:rPr>
          <w:rFonts w:ascii="Arial" w:cs="Arial" w:eastAsia="Arial" w:hAnsi="Arial"/>
          <w:sz w:val="20"/>
          <w:szCs w:val="20"/>
          <w:color w:val="auto"/>
        </w:rPr>
        <w:t>. The following terms used in this Agreement shall have the meanings set forth in this Section 2:</w:t>
      </w:r>
    </w:p>
    <w:p>
      <w:pPr>
        <w:spacing w:after="0" w:line="229" w:lineRule="exact"/>
        <w:rPr>
          <w:rFonts w:ascii="Arial" w:cs="Arial" w:eastAsia="Arial" w:hAnsi="Arial"/>
          <w:sz w:val="20"/>
          <w:szCs w:val="20"/>
          <w:color w:val="auto"/>
        </w:rPr>
      </w:pPr>
    </w:p>
    <w:p>
      <w:pPr>
        <w:ind w:left="660" w:hanging="328"/>
        <w:spacing w:after="0"/>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“Participant” is _______________.</w:t>
      </w:r>
    </w:p>
    <w:p>
      <w:pPr>
        <w:spacing w:after="0" w:line="215" w:lineRule="exact"/>
        <w:rPr>
          <w:rFonts w:ascii="Arial" w:cs="Arial" w:eastAsia="Arial" w:hAnsi="Arial"/>
          <w:sz w:val="20"/>
          <w:szCs w:val="20"/>
          <w:color w:val="auto"/>
        </w:rPr>
      </w:pPr>
    </w:p>
    <w:p>
      <w:pPr>
        <w:ind w:left="660" w:hanging="328"/>
        <w:spacing w:after="0"/>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“Grant Date” is ______________.</w:t>
      </w:r>
    </w:p>
    <w:p>
      <w:pPr>
        <w:spacing w:after="0" w:line="215" w:lineRule="exact"/>
        <w:rPr>
          <w:rFonts w:ascii="Arial" w:cs="Arial" w:eastAsia="Arial" w:hAnsi="Arial"/>
          <w:sz w:val="20"/>
          <w:szCs w:val="20"/>
          <w:color w:val="auto"/>
        </w:rPr>
      </w:pPr>
    </w:p>
    <w:p>
      <w:pPr>
        <w:ind w:left="660" w:right="20" w:hanging="328"/>
        <w:spacing w:after="0" w:line="260" w:lineRule="auto"/>
        <w:tabs>
          <w:tab w:leader="none" w:pos="660"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“Restriction Period” is the period beginning on the Grant Date and ending on such date or dates and occurrence of such conditions as described in Schedule A, which is attached hereto and expressly made a part of this Agreement.</w:t>
      </w:r>
    </w:p>
    <w:p>
      <w:pPr>
        <w:spacing w:after="0" w:line="176" w:lineRule="exact"/>
        <w:rPr>
          <w:rFonts w:ascii="Arial" w:cs="Arial" w:eastAsia="Arial" w:hAnsi="Arial"/>
          <w:sz w:val="20"/>
          <w:szCs w:val="20"/>
          <w:color w:val="auto"/>
        </w:rPr>
      </w:pPr>
    </w:p>
    <w:p>
      <w:pPr>
        <w:ind w:left="660" w:hanging="328"/>
        <w:spacing w:after="0"/>
        <w:tabs>
          <w:tab w:leader="none" w:pos="660"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number of shares of Common Stock subject to the award of Restricted Stock Units granted under this Agreement shall be</w:t>
      </w:r>
    </w:p>
    <w:p>
      <w:pPr>
        <w:spacing w:after="0" w:line="27"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__________ shares (the “Shares”).</w:t>
      </w:r>
    </w:p>
    <w:p>
      <w:pPr>
        <w:spacing w:after="0" w:line="213" w:lineRule="exact"/>
        <w:rPr>
          <w:rFonts w:ascii="Arial" w:cs="Arial" w:eastAsia="Arial" w:hAnsi="Arial"/>
          <w:sz w:val="19"/>
          <w:szCs w:val="19"/>
          <w:color w:val="auto"/>
        </w:rPr>
      </w:pPr>
    </w:p>
    <w:p>
      <w:pPr>
        <w:jc w:val="both"/>
        <w:ind w:firstLine="656"/>
        <w:spacing w:after="0" w:line="310" w:lineRule="auto"/>
        <w:tabs>
          <w:tab w:leader="none" w:pos="1445"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Grant of Award of Restricted Stock Units</w:t>
      </w:r>
      <w:r>
        <w:rPr>
          <w:rFonts w:ascii="Arial" w:cs="Arial" w:eastAsia="Arial" w:hAnsi="Arial"/>
          <w:sz w:val="18"/>
          <w:szCs w:val="18"/>
          <w:color w:val="auto"/>
        </w:rPr>
        <w:t xml:space="preserve">. Subject to the terms of this Agreement and the Plan, the Company hereby grants the Participant an award of Restricted Stock Units (the “Award”) for that number of Shares as is set forth in Section 2. </w:t>
      </w:r>
      <w:r>
        <w:rPr>
          <w:rFonts w:ascii="Arial" w:cs="Arial" w:eastAsia="Arial" w:hAnsi="Arial"/>
          <w:sz w:val="18"/>
          <w:szCs w:val="18"/>
          <w:u w:val="single" w:color="auto"/>
          <w:color w:val="auto"/>
        </w:rPr>
        <w:t>The Participant expressly</w:t>
      </w:r>
      <w:r>
        <w:rPr>
          <w:rFonts w:ascii="Arial" w:cs="Arial" w:eastAsia="Arial" w:hAnsi="Arial"/>
          <w:sz w:val="18"/>
          <w:szCs w:val="18"/>
          <w:color w:val="auto"/>
        </w:rPr>
        <w:t xml:space="preserve"> </w:t>
      </w:r>
      <w:r>
        <w:rPr>
          <w:rFonts w:ascii="Arial" w:cs="Arial" w:eastAsia="Arial" w:hAnsi="Arial"/>
          <w:sz w:val="18"/>
          <w:szCs w:val="18"/>
          <w:u w:val="single" w:color="auto"/>
          <w:color w:val="auto"/>
        </w:rPr>
        <w:t>acknowledges that the terms of Schedule A shall be incorporated herein by reference and shall constitute part of this Agreement. The Company and the Participant further acknowledge that the Company’s signature on the signature page hereof, and the Participant’s signature on the Grant Letter contained in Schedule A, shall constitute their acceptance of all of the terms of this Agreement</w:t>
      </w:r>
      <w:r>
        <w:rPr>
          <w:rFonts w:ascii="Arial" w:cs="Arial" w:eastAsia="Arial" w:hAnsi="Arial"/>
          <w:sz w:val="18"/>
          <w:szCs w:val="18"/>
          <w:color w:val="auto"/>
        </w:rPr>
        <w:t>.</w:t>
      </w:r>
    </w:p>
    <w:p>
      <w:pPr>
        <w:spacing w:after="0" w:line="162" w:lineRule="exact"/>
        <w:rPr>
          <w:rFonts w:ascii="Arial" w:cs="Arial" w:eastAsia="Arial" w:hAnsi="Arial"/>
          <w:sz w:val="18"/>
          <w:szCs w:val="18"/>
          <w:color w:val="auto"/>
        </w:rPr>
      </w:pPr>
    </w:p>
    <w:p>
      <w:pPr>
        <w:jc w:val="both"/>
        <w:ind w:firstLine="656"/>
        <w:spacing w:after="0" w:line="278" w:lineRule="auto"/>
        <w:tabs>
          <w:tab w:leader="none" w:pos="1445" w:val="left"/>
        </w:tabs>
        <w:numPr>
          <w:ilvl w:val="1"/>
          <w:numId w:val="14"/>
        </w:numPr>
        <w:rPr>
          <w:rFonts w:ascii="Arial" w:cs="Arial" w:eastAsia="Arial" w:hAnsi="Arial"/>
          <w:sz w:val="20"/>
          <w:szCs w:val="20"/>
          <w:color w:val="auto"/>
        </w:rPr>
      </w:pPr>
      <w:r>
        <w:rPr>
          <w:rFonts w:ascii="Arial" w:cs="Arial" w:eastAsia="Arial" w:hAnsi="Arial"/>
          <w:sz w:val="20"/>
          <w:szCs w:val="20"/>
          <w:u w:val="single" w:color="auto"/>
          <w:color w:val="auto"/>
        </w:rPr>
        <w:t>Stockholder Rights</w:t>
      </w:r>
      <w:r>
        <w:rPr>
          <w:rFonts w:ascii="Arial" w:cs="Arial" w:eastAsia="Arial" w:hAnsi="Arial"/>
          <w:sz w:val="20"/>
          <w:szCs w:val="20"/>
          <w:color w:val="auto"/>
        </w:rPr>
        <w:t>. The Participant or his or her legal representatives, legatees or distributees shall not be deemed to be the holder of any Shares subject to the Award and shall not have any dividend rights (except as otherwise provided in Section 3 of Schedule A), voting rights or other rights as a</w:t>
      </w:r>
    </w:p>
    <w:p>
      <w:pPr>
        <w:sectPr>
          <w:pgSz w:w="11900" w:h="16838" w:orient="portrait"/>
          <w:cols w:equalWidth="0" w:num="1">
            <w:col w:w="11420"/>
          </w:cols>
          <w:pgMar w:left="240" w:top="360" w:right="239" w:bottom="1440" w:gutter="0" w:footer="0" w:header="0"/>
        </w:sectPr>
      </w:pPr>
    </w:p>
    <w:bookmarkStart w:id="39" w:name="page40"/>
    <w:bookmarkEnd w:id="39"/>
    <w:p>
      <w:pPr>
        <w:jc w:val="both"/>
        <w:spacing w:after="0" w:line="278" w:lineRule="auto"/>
        <w:rPr>
          <w:sz w:val="20"/>
          <w:szCs w:val="20"/>
          <w:color w:val="auto"/>
        </w:rPr>
      </w:pPr>
      <w:r>
        <w:rPr>
          <w:rFonts w:ascii="Arial" w:cs="Arial" w:eastAsia="Arial" w:hAnsi="Arial"/>
          <w:sz w:val="20"/>
          <w:szCs w:val="20"/>
          <w:color w:val="auto"/>
        </w:rPr>
        <w:t>stockholder unless and until (and then only to the extent that) the Award has vested and certificates for such Shares have been issued and delivered to him, her or them (or, in the case of uncertificated shares, other written evidence of ownership in accordance with Applicable Law shall have been provided).</w:t>
      </w:r>
    </w:p>
    <w:p>
      <w:pPr>
        <w:spacing w:after="0" w:line="187" w:lineRule="exact"/>
        <w:rPr>
          <w:sz w:val="20"/>
          <w:szCs w:val="20"/>
          <w:color w:val="auto"/>
        </w:rPr>
      </w:pPr>
    </w:p>
    <w:p>
      <w:pPr>
        <w:jc w:val="both"/>
        <w:ind w:firstLine="656"/>
        <w:spacing w:after="0" w:line="285" w:lineRule="auto"/>
        <w:tabs>
          <w:tab w:leader="none" w:pos="1445"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Vesting and Earning of Award</w:t>
      </w:r>
      <w:r>
        <w:rPr>
          <w:rFonts w:ascii="Arial" w:cs="Arial" w:eastAsia="Arial" w:hAnsi="Arial"/>
          <w:sz w:val="19"/>
          <w:szCs w:val="19"/>
          <w:color w:val="auto"/>
        </w:rPr>
        <w:t xml:space="preserve">. Subject to the terms of the Plan and this Agreement, the Award shall be deemed vested and earned, and the Shares subject to the Award shall be distributable as provided in Section 7 herein, upon such date or dates, and subject to such conditions, as are described in this Agreement, including Section 2 of Schedule A. Without limiting the effect of the foregoing, the Shares subject to the Award may vest in installments over a period of time, if so provided in Schedule A. </w:t>
      </w:r>
      <w:r>
        <w:rPr>
          <w:rFonts w:ascii="Arial" w:cs="Arial" w:eastAsia="Arial" w:hAnsi="Arial"/>
          <w:sz w:val="19"/>
          <w:szCs w:val="19"/>
          <w:u w:val="single" w:color="auto"/>
          <w:color w:val="auto"/>
        </w:rPr>
        <w:t>The Participant expressly acknowledges that</w:t>
      </w:r>
      <w:r>
        <w:rPr>
          <w:rFonts w:ascii="Arial" w:cs="Arial" w:eastAsia="Arial" w:hAnsi="Arial"/>
          <w:sz w:val="19"/>
          <w:szCs w:val="19"/>
          <w:color w:val="auto"/>
        </w:rPr>
        <w:t xml:space="preserve"> </w:t>
      </w:r>
      <w:r>
        <w:rPr>
          <w:rFonts w:ascii="Arial" w:cs="Arial" w:eastAsia="Arial" w:hAnsi="Arial"/>
          <w:sz w:val="19"/>
          <w:szCs w:val="19"/>
          <w:u w:val="single" w:color="auto"/>
          <w:color w:val="auto"/>
        </w:rPr>
        <w:t>the Award shall vest only upon such terms and conditions as are provided in this Agreement (including but not limited to Schedule A) and otherwise in accordance with the terms of the Plan</w:t>
      </w:r>
      <w:r>
        <w:rPr>
          <w:rFonts w:ascii="Arial" w:cs="Arial" w:eastAsia="Arial" w:hAnsi="Arial"/>
          <w:sz w:val="19"/>
          <w:szCs w:val="19"/>
          <w:b w:val="1"/>
          <w:bCs w:val="1"/>
          <w:color w:val="auto"/>
        </w:rPr>
        <w:t>.</w:t>
      </w:r>
      <w:r>
        <w:rPr>
          <w:rFonts w:ascii="Arial" w:cs="Arial" w:eastAsia="Arial" w:hAnsi="Arial"/>
          <w:sz w:val="19"/>
          <w:szCs w:val="19"/>
          <w:color w:val="auto"/>
        </w:rPr>
        <w:t xml:space="preserve"> Without limiting the effect of the foregoing, the Participant understands and agrees that the Administrator may delay the vesting of the Award (or portion thereof) and (subject to Code Section 409A) the issuance of the underlying Shares in order to comply with Applicable Law or applicable policies of the Company implemented to ensure compliance with such laws (including but not limited to insider trading provisions and the Company's insider trading policy); provided, however, that any such delay in vesting of the Award or issuance of Shares shall not apply to any Shares subject to an effective Rule 10b5-1 trading plan. The Administrator has sole authority to determine whether and to what degree the Award has vested and been earned and is payable and to interpret the terms and conditions of this Agreement and the Plan.</w:t>
      </w:r>
    </w:p>
    <w:p>
      <w:pPr>
        <w:spacing w:after="0" w:line="181" w:lineRule="exact"/>
        <w:rPr>
          <w:rFonts w:ascii="Arial" w:cs="Arial" w:eastAsia="Arial" w:hAnsi="Arial"/>
          <w:sz w:val="19"/>
          <w:szCs w:val="19"/>
          <w:color w:val="auto"/>
        </w:rPr>
      </w:pPr>
    </w:p>
    <w:p>
      <w:pPr>
        <w:jc w:val="both"/>
        <w:ind w:firstLine="656"/>
        <w:spacing w:after="0" w:line="285" w:lineRule="auto"/>
        <w:tabs>
          <w:tab w:leader="none" w:pos="1445"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Effect of Termination of Service; Forfeiture of Award</w:t>
      </w:r>
      <w:r>
        <w:rPr>
          <w:rFonts w:ascii="Arial" w:cs="Arial" w:eastAsia="Arial" w:hAnsi="Arial"/>
          <w:sz w:val="19"/>
          <w:szCs w:val="19"/>
          <w:color w:val="auto"/>
        </w:rPr>
        <w:t>. Except as may be otherwise provided in the Plan or this Agreement (including but not limited to Schedule A), in the event of the termination of service of the Participant for any reason (whether by the Company or by the Participant, whether voluntary or involuntary, and regardless of the reason for such termination and whether or not found to be invalid or in breach of laws in the jurisdiction where the Participant is rendering services or the terms of his or her service agreement, if any) and all or part of the Award has not been earned or vested as of the Participant’s Termination Date pursuant to the terms of this Agreement, then the Award, to the extent not vested as of the Participant’s Termination Date, shall be forfeited immediately upon such termination, and the Participant shall have no further rights with respect to the Award or the Shares underlying that portion of the Award that has not yet been earned and vested. The Participant expressly acknowledges and agrees that the termination of his or her service shall (except as may otherwise be provided in this Agreement or the Plan) result in forfeiture of the Award and the Shares to the extent the Award has not been earned and vested as of his or her Termination Date.</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For purposes of the Award (and except as otherwise required under Code Section 409A), the Termination Date occurs on the date the Participant is no longer actively providing services to the Company and will not be extended by any notice period (</w:t>
      </w:r>
      <w:r>
        <w:rPr>
          <w:rFonts w:ascii="Arial" w:cs="Arial" w:eastAsia="Arial" w:hAnsi="Arial"/>
          <w:sz w:val="19"/>
          <w:szCs w:val="19"/>
          <w:i w:val="1"/>
          <w:iCs w:val="1"/>
          <w:color w:val="auto"/>
        </w:rPr>
        <w:t>e.g</w:t>
      </w:r>
      <w:r>
        <w:rPr>
          <w:rFonts w:ascii="Arial" w:cs="Arial" w:eastAsia="Arial" w:hAnsi="Arial"/>
          <w:sz w:val="19"/>
          <w:szCs w:val="19"/>
          <w:color w:val="auto"/>
        </w:rPr>
        <w:t>., the Participant’s period of service would not include any contractual notice period or any period of “garden leave” or similar period mandated under laws in the jurisdiction where the Participant is providing services, or the terms of his or her service agreement, if any); and the Administrator shall have the exclusive discretion to determine when the Participant is no longer actively providing services for purposes of the Award (including whether the Participant may still be considered to be providing services while on a leave of absence).</w:t>
      </w:r>
    </w:p>
    <w:p>
      <w:pPr>
        <w:spacing w:after="0" w:line="203" w:lineRule="exact"/>
        <w:rPr>
          <w:sz w:val="20"/>
          <w:szCs w:val="20"/>
          <w:color w:val="auto"/>
        </w:rPr>
      </w:pPr>
    </w:p>
    <w:p>
      <w:pPr>
        <w:ind w:left="1460" w:hanging="804"/>
        <w:spacing w:after="0"/>
        <w:tabs>
          <w:tab w:leader="none" w:pos="1460" w:val="left"/>
        </w:tabs>
        <w:numPr>
          <w:ilvl w:val="0"/>
          <w:numId w:val="16"/>
        </w:numPr>
        <w:rPr>
          <w:rFonts w:ascii="Arial" w:cs="Arial" w:eastAsia="Arial" w:hAnsi="Arial"/>
          <w:sz w:val="22"/>
          <w:szCs w:val="22"/>
          <w:color w:val="auto"/>
        </w:rPr>
      </w:pPr>
      <w:r>
        <w:rPr>
          <w:rFonts w:ascii="Arial" w:cs="Arial" w:eastAsia="Arial" w:hAnsi="Arial"/>
          <w:sz w:val="20"/>
          <w:szCs w:val="20"/>
          <w:u w:val="single" w:color="auto"/>
          <w:color w:val="auto"/>
        </w:rPr>
        <w:t>Settlement of Award; Election to Defer Delivery</w:t>
      </w:r>
      <w:r>
        <w:rPr>
          <w:rFonts w:ascii="Arial" w:cs="Arial" w:eastAsia="Arial" w:hAnsi="Arial"/>
          <w:sz w:val="20"/>
          <w:szCs w:val="20"/>
          <w:color w:val="auto"/>
        </w:rPr>
        <w:t>.</w:t>
      </w:r>
    </w:p>
    <w:p>
      <w:pPr>
        <w:spacing w:after="0" w:line="235" w:lineRule="exact"/>
        <w:rPr>
          <w:rFonts w:ascii="Arial" w:cs="Arial" w:eastAsia="Arial" w:hAnsi="Arial"/>
          <w:sz w:val="22"/>
          <w:szCs w:val="22"/>
          <w:color w:val="auto"/>
        </w:rPr>
      </w:pPr>
    </w:p>
    <w:p>
      <w:pPr>
        <w:jc w:val="both"/>
        <w:ind w:left="660" w:firstLine="645"/>
        <w:spacing w:after="0" w:line="313" w:lineRule="auto"/>
        <w:tabs>
          <w:tab w:leader="none" w:pos="2196" w:val="left"/>
        </w:tabs>
        <w:numPr>
          <w:ilvl w:val="1"/>
          <w:numId w:val="16"/>
        </w:numPr>
        <w:rPr>
          <w:rFonts w:ascii="Arial" w:cs="Arial" w:eastAsia="Arial" w:hAnsi="Arial"/>
          <w:sz w:val="19"/>
          <w:szCs w:val="19"/>
          <w:color w:val="auto"/>
        </w:rPr>
      </w:pPr>
      <w:r>
        <w:rPr>
          <w:rFonts w:ascii="Arial" w:cs="Arial" w:eastAsia="Arial" w:hAnsi="Arial"/>
          <w:sz w:val="18"/>
          <w:szCs w:val="18"/>
          <w:color w:val="auto"/>
        </w:rPr>
        <w:t>The Award, if earned in accordance with the terms of this Agreement, shall be payable in whole Shares. The total number of Shares that may be acquired upon vesting of the Award (or portion thereof) shall be rounded down to the nearest whole share. A certificate or certificates for the Shares subject to the Award or portion thereof shall be issued in the name of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9" w:right="239" w:bottom="1440" w:gutter="0" w:footer="0" w:header="0"/>
        </w:sectPr>
      </w:pPr>
    </w:p>
    <w:bookmarkStart w:id="40" w:name="page41"/>
    <w:bookmarkEnd w:id="40"/>
    <w:p>
      <w:pPr>
        <w:jc w:val="both"/>
        <w:ind w:left="660"/>
        <w:spacing w:after="0" w:line="286" w:lineRule="auto"/>
        <w:rPr>
          <w:sz w:val="20"/>
          <w:szCs w:val="20"/>
          <w:color w:val="auto"/>
        </w:rPr>
      </w:pPr>
      <w:r>
        <w:rPr>
          <w:rFonts w:ascii="Arial" w:cs="Arial" w:eastAsia="Arial" w:hAnsi="Arial"/>
          <w:sz w:val="19"/>
          <w:szCs w:val="19"/>
          <w:color w:val="auto"/>
        </w:rPr>
        <w:t>Participant or his or her beneficiary (or, in the case of uncertificated shares, other written evidence of ownership in accordance with Applicable Law shall be provided) as soon as practicable after, and only to the extent that, the Award or portion thereof has vested and Shares are distributable, unless the Participant has made an irrevocable deferral election to defer delivery of Shares subject to the Award in accordance with Section 7(b) below. Subject to any deferral election of the Participant in accordance with Section 7(b) below, Shares or any other benefit subject to the Award shall, upon vesting of the Award, be issued and distributed to the Participant (or his or her beneficiary) no later than the later of (i) the fifteenth (15th) day of the third month following the Participant’s first taxable year in which the amount is no longer subject to a substantial risk of forfeiture, or (ii) the fifteenth (15th) day of the third month following the end of the Company’s first taxable year in which the amount is no longer subject to a substantial risk of forfeiture, or otherwise in accordance with Code Section 409A.</w:t>
      </w:r>
    </w:p>
    <w:p>
      <w:pPr>
        <w:spacing w:after="0" w:line="196" w:lineRule="exact"/>
        <w:rPr>
          <w:sz w:val="20"/>
          <w:szCs w:val="20"/>
          <w:color w:val="auto"/>
        </w:rPr>
      </w:pPr>
    </w:p>
    <w:p>
      <w:pPr>
        <w:jc w:val="both"/>
        <w:ind w:left="660" w:firstLine="645"/>
        <w:spacing w:after="0" w:line="265" w:lineRule="auto"/>
        <w:tabs>
          <w:tab w:leader="none" w:pos="2209" w:val="left"/>
        </w:tabs>
        <w:numPr>
          <w:ilvl w:val="1"/>
          <w:numId w:val="17"/>
        </w:numPr>
        <w:rPr>
          <w:rFonts w:ascii="Arial" w:cs="Arial" w:eastAsia="Arial" w:hAnsi="Arial"/>
          <w:sz w:val="22"/>
          <w:szCs w:val="22"/>
          <w:color w:val="auto"/>
        </w:rPr>
      </w:pPr>
      <w:r>
        <w:rPr>
          <w:rFonts w:ascii="Arial" w:cs="Arial" w:eastAsia="Arial" w:hAnsi="Arial"/>
          <w:sz w:val="20"/>
          <w:szCs w:val="20"/>
          <w:color w:val="auto"/>
        </w:rPr>
        <w:t>Unless the Administrator determines otherwise, the Participant shall have the right to elect a deferral of the timing of delivery to be made with respect to the Shares subject to the Award. The terms of such deferral shall be in accordance with the elections of the Participant set forth on the “Director Deferral Election Form”.</w:t>
      </w:r>
    </w:p>
    <w:p>
      <w:pPr>
        <w:spacing w:after="0" w:line="198" w:lineRule="exact"/>
        <w:rPr>
          <w:rFonts w:ascii="Arial" w:cs="Arial" w:eastAsia="Arial" w:hAnsi="Arial"/>
          <w:sz w:val="22"/>
          <w:szCs w:val="22"/>
          <w:color w:val="auto"/>
        </w:rPr>
      </w:pPr>
    </w:p>
    <w:p>
      <w:pPr>
        <w:jc w:val="both"/>
        <w:ind w:firstLine="656"/>
        <w:spacing w:after="0" w:line="273" w:lineRule="auto"/>
        <w:tabs>
          <w:tab w:leader="none" w:pos="1445"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No Right of Continued Service</w:t>
      </w:r>
      <w:r>
        <w:rPr>
          <w:rFonts w:ascii="Arial" w:cs="Arial" w:eastAsia="Arial" w:hAnsi="Arial"/>
          <w:sz w:val="20"/>
          <w:szCs w:val="20"/>
          <w:color w:val="auto"/>
        </w:rPr>
        <w:t>. Nothing contained in this Agreement or the Plan shall confer upon the Participant any right to continue in the service of the Company or to interfere in any way with the right of the Company or its stockholders to terminate the Participant’s service at any time. Except as otherwise expressly provided in the Plan and this Agreement (including but not limited to Schedule A), all rights of the Participant under the Plan with respect to the unvested portion of his or her Award shall terminate upon the Termination Date. The grant of the Award does not create any obligation to grant further awards.</w:t>
      </w:r>
    </w:p>
    <w:p>
      <w:pPr>
        <w:spacing w:after="0" w:line="191" w:lineRule="exact"/>
        <w:rPr>
          <w:rFonts w:ascii="Arial" w:cs="Arial" w:eastAsia="Arial" w:hAnsi="Arial"/>
          <w:sz w:val="20"/>
          <w:szCs w:val="20"/>
          <w:color w:val="auto"/>
        </w:rPr>
      </w:pPr>
    </w:p>
    <w:p>
      <w:pPr>
        <w:jc w:val="both"/>
        <w:ind w:firstLine="656"/>
        <w:spacing w:after="0" w:line="293" w:lineRule="auto"/>
        <w:tabs>
          <w:tab w:leader="none" w:pos="1445"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Nontransferability of Award and Shares</w:t>
      </w:r>
      <w:r>
        <w:rPr>
          <w:rFonts w:ascii="Arial" w:cs="Arial" w:eastAsia="Arial" w:hAnsi="Arial"/>
          <w:sz w:val="19"/>
          <w:szCs w:val="19"/>
          <w:color w:val="auto"/>
        </w:rPr>
        <w:t>. The Award shall not be transferable (including by sale, assignment, pledge or hypothecation) other than by will or the laws of descent and distribution. The designation of a beneficiary in accordance with the Plan (to the extent permitted by the Administrator) does not constitute a transfer. The Participant shall not sell, transfer, assign, pledge or otherwise encumber the Shares subject to the Award until such Shares have been issued and delivered to the Participant.</w:t>
      </w:r>
    </w:p>
    <w:p>
      <w:pPr>
        <w:spacing w:after="0" w:line="175" w:lineRule="exact"/>
        <w:rPr>
          <w:rFonts w:ascii="Arial" w:cs="Arial" w:eastAsia="Arial" w:hAnsi="Arial"/>
          <w:sz w:val="19"/>
          <w:szCs w:val="19"/>
          <w:color w:val="auto"/>
        </w:rPr>
      </w:pPr>
    </w:p>
    <w:p>
      <w:pPr>
        <w:ind w:left="1560" w:hanging="904"/>
        <w:spacing w:after="0"/>
        <w:tabs>
          <w:tab w:leader="none" w:pos="156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Withholding; Tax Consequences</w:t>
      </w:r>
      <w:r>
        <w:rPr>
          <w:rFonts w:ascii="Arial" w:cs="Arial" w:eastAsia="Arial" w:hAnsi="Arial"/>
          <w:sz w:val="20"/>
          <w:szCs w:val="20"/>
          <w:color w:val="auto"/>
        </w:rPr>
        <w:t>.</w:t>
      </w:r>
    </w:p>
    <w:p>
      <w:pPr>
        <w:spacing w:after="0" w:line="256" w:lineRule="exact"/>
        <w:rPr>
          <w:rFonts w:ascii="Arial" w:cs="Arial" w:eastAsia="Arial" w:hAnsi="Arial"/>
          <w:sz w:val="20"/>
          <w:szCs w:val="20"/>
          <w:color w:val="auto"/>
        </w:rPr>
      </w:pPr>
    </w:p>
    <w:p>
      <w:pPr>
        <w:jc w:val="both"/>
        <w:ind w:left="660" w:firstLine="645"/>
        <w:spacing w:after="0" w:line="266" w:lineRule="auto"/>
        <w:tabs>
          <w:tab w:leader="none" w:pos="2196" w:val="left"/>
        </w:tabs>
        <w:numPr>
          <w:ilvl w:val="1"/>
          <w:numId w:val="18"/>
        </w:numPr>
        <w:rPr>
          <w:rFonts w:ascii="Arial" w:cs="Arial" w:eastAsia="Arial" w:hAnsi="Arial"/>
          <w:sz w:val="22"/>
          <w:szCs w:val="22"/>
          <w:color w:val="auto"/>
        </w:rPr>
      </w:pPr>
      <w:r>
        <w:rPr>
          <w:rFonts w:ascii="Arial" w:cs="Arial" w:eastAsia="Arial" w:hAnsi="Arial"/>
          <w:sz w:val="20"/>
          <w:szCs w:val="20"/>
          <w:color w:val="auto"/>
        </w:rPr>
        <w:t>The Participant acknowledges that, regardless of any action taken by the Company, the ultimate liability for all income tax, social insurance, payroll tax, fringe benefits tax, payment on account or other tax-related items related to the Participant’s participation in the Plan and legally applicable to the Participant (“Tax-Related Items”) is and remains the Participant’s responsibility and may exceed the amount actually withheld by the Company. Further, if the Participant is subject to Tax-Related Items in more than one jurisdiction, the Participant acknowledges that the Company may be required to withhold or account for Tax-Related Items in more than one jurisdiction.</w:t>
      </w:r>
    </w:p>
    <w:p>
      <w:pPr>
        <w:spacing w:after="0" w:line="214" w:lineRule="exact"/>
        <w:rPr>
          <w:rFonts w:ascii="Arial" w:cs="Arial" w:eastAsia="Arial" w:hAnsi="Arial"/>
          <w:sz w:val="22"/>
          <w:szCs w:val="22"/>
          <w:color w:val="auto"/>
        </w:rPr>
      </w:pPr>
    </w:p>
    <w:p>
      <w:pPr>
        <w:jc w:val="both"/>
        <w:ind w:left="660" w:firstLine="645"/>
        <w:spacing w:after="0" w:line="269" w:lineRule="auto"/>
        <w:tabs>
          <w:tab w:leader="none" w:pos="2198" w:val="left"/>
        </w:tabs>
        <w:numPr>
          <w:ilvl w:val="1"/>
          <w:numId w:val="18"/>
        </w:numPr>
        <w:rPr>
          <w:rFonts w:ascii="Arial" w:cs="Arial" w:eastAsia="Arial" w:hAnsi="Arial"/>
          <w:sz w:val="21"/>
          <w:szCs w:val="21"/>
          <w:color w:val="auto"/>
        </w:rPr>
      </w:pPr>
      <w:r>
        <w:rPr>
          <w:rFonts w:ascii="Arial" w:cs="Arial" w:eastAsia="Arial" w:hAnsi="Arial"/>
          <w:sz w:val="20"/>
          <w:szCs w:val="20"/>
          <w:color w:val="auto"/>
        </w:rPr>
        <w:t>Prior to any relevant taxable or tax withholding event, as applicable, the Participant agrees to make adequate arrangements satisfactory to the Company to satisfy all Tax-Related Items. In this regard, the Participant authorizes the Company or its respective agents to satisfy their withholding obligations with regard to all Tax-Related Items by withholding Shares to be issued upon settlement of the Award. The Company may withhold or account for Tax-Related Items by considering minimum statutory withholding rates or other applicable withholding rates. For tax purposes, the Participant is deemed to have been issued the full number of Shares subject to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379" w:right="239" w:bottom="1440" w:gutter="0" w:footer="0" w:header="0"/>
        </w:sectPr>
      </w:pPr>
    </w:p>
    <w:bookmarkStart w:id="41" w:name="page42"/>
    <w:bookmarkEnd w:id="41"/>
    <w:p>
      <w:pPr>
        <w:jc w:val="both"/>
        <w:ind w:left="4"/>
        <w:spacing w:after="0" w:line="302" w:lineRule="auto"/>
        <w:rPr>
          <w:sz w:val="20"/>
          <w:szCs w:val="20"/>
          <w:color w:val="auto"/>
        </w:rPr>
      </w:pPr>
      <w:r>
        <w:rPr>
          <w:rFonts w:ascii="Arial" w:cs="Arial" w:eastAsia="Arial" w:hAnsi="Arial"/>
          <w:sz w:val="18"/>
          <w:szCs w:val="18"/>
          <w:color w:val="auto"/>
        </w:rPr>
        <w:t>vested portion of the Award, notwithstanding that a number of the Shares are held back solely for the purpose of paying the Tax-Related Items. In the event that the Company determines that withholding Shares is problematic under applicable local laws or has materially adverse accounting consequences, by his or her acceptance of the Award, the Participant authorizes the Company and any brokerage firm determined acceptable to the Company to sell, on his or her behalf, a whole number of Shares from those Shares issuable to the Participant as the Company determines to be appropriate to generate cash proceeds sufficient to satisfy the obligation for Tax-Related Items. If withholding is performed from proceeds from the sale of Shares, the Company may withhold for Tax-Related Items by considering maximum applicable rates, in which case the Participant may receive a refund of any over-withheld amount in cash and will have no entitlement to the Shares equivalent. Alternatively, the Company may (subject to any Code Section 409A considerations) satisfy their withholding obligations for Tax-Related Items by withholding from the Participant’s wages or other cash compensation. The Company may refuse to issue or deliver the Shares or the proceeds of the sale of Shares if the Participant fails to comply with his or her obligations in connection with the Tax-Related Items.</w:t>
      </w:r>
    </w:p>
    <w:p>
      <w:pPr>
        <w:spacing w:after="0" w:line="187" w:lineRule="exact"/>
        <w:rPr>
          <w:sz w:val="20"/>
          <w:szCs w:val="20"/>
          <w:color w:val="auto"/>
        </w:rPr>
      </w:pPr>
    </w:p>
    <w:p>
      <w:pPr>
        <w:jc w:val="both"/>
        <w:ind w:left="4" w:firstLine="645"/>
        <w:spacing w:after="0" w:line="302" w:lineRule="auto"/>
        <w:tabs>
          <w:tab w:leader="none" w:pos="1540" w:val="left"/>
        </w:tabs>
        <w:numPr>
          <w:ilvl w:val="1"/>
          <w:numId w:val="19"/>
        </w:numPr>
        <w:rPr>
          <w:rFonts w:ascii="Arial" w:cs="Arial" w:eastAsia="Arial" w:hAnsi="Arial"/>
          <w:sz w:val="19"/>
          <w:szCs w:val="19"/>
          <w:color w:val="auto"/>
        </w:rPr>
      </w:pPr>
      <w:r>
        <w:rPr>
          <w:rFonts w:ascii="Arial" w:cs="Arial" w:eastAsia="Arial" w:hAnsi="Arial"/>
          <w:sz w:val="18"/>
          <w:szCs w:val="18"/>
          <w:color w:val="auto"/>
        </w:rPr>
        <w:t>The Participant acknowledges that the Company has made no warranties or representations to the Participant with respect to the Tax-Related Items (including but not limited to income tax consequences) with respect to the transactions contemplated by this Agreement, and the Participant is in no manner relying on the Company or its representatives for an assessment of such tax consequences. The Participant further acknowledges that there may be adverse tax consequences upon the grant or vesting of the Award and/or the acquisition or disposition of the Shares subject to the Award and the receipt of any dividends, and that he or she has been advised that he or she should consult with his or her own attorney, accountant and/or tax advisor regarding the decision to enter into this Agreement and the consequences thereof. The Participant also acknowledges that the Company has no responsibility to take or refrain from taking any actions in order to achieve a certain tax result for the Participant.</w:t>
      </w:r>
    </w:p>
    <w:p>
      <w:pPr>
        <w:spacing w:after="0" w:line="170" w:lineRule="exact"/>
        <w:rPr>
          <w:rFonts w:ascii="Arial" w:cs="Arial" w:eastAsia="Arial" w:hAnsi="Arial"/>
          <w:sz w:val="19"/>
          <w:szCs w:val="19"/>
          <w:color w:val="auto"/>
        </w:rPr>
      </w:pPr>
    </w:p>
    <w:p>
      <w:pPr>
        <w:ind w:left="884" w:hanging="884"/>
        <w:spacing w:after="0"/>
        <w:tabs>
          <w:tab w:leader="none" w:pos="884"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In accepting the Award, the Participant acknowledges, understands and agrees that:</w:t>
      </w:r>
    </w:p>
    <w:p>
      <w:pPr>
        <w:spacing w:after="0" w:line="242" w:lineRule="exact"/>
        <w:rPr>
          <w:rFonts w:ascii="Arial" w:cs="Arial" w:eastAsia="Arial" w:hAnsi="Arial"/>
          <w:sz w:val="20"/>
          <w:szCs w:val="20"/>
          <w:color w:val="auto"/>
        </w:rPr>
      </w:pPr>
    </w:p>
    <w:p>
      <w:pPr>
        <w:ind w:left="4" w:right="20" w:firstLine="645"/>
        <w:spacing w:after="0" w:line="289" w:lineRule="auto"/>
        <w:tabs>
          <w:tab w:leader="none" w:pos="1520"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is discretionary in nature, and may be amended, suspended or terminated by the Company at any time, to the extent permitted by the Plan;</w:t>
      </w:r>
    </w:p>
    <w:p>
      <w:pPr>
        <w:spacing w:after="0" w:line="175" w:lineRule="exact"/>
        <w:rPr>
          <w:rFonts w:ascii="Arial" w:cs="Arial" w:eastAsia="Arial" w:hAnsi="Arial"/>
          <w:sz w:val="20"/>
          <w:szCs w:val="20"/>
          <w:color w:val="auto"/>
        </w:rPr>
      </w:pPr>
    </w:p>
    <w:p>
      <w:pPr>
        <w:ind w:left="1524" w:hanging="875"/>
        <w:spacing w:after="0"/>
        <w:tabs>
          <w:tab w:leader="none" w:pos="152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decisions with respect to future equity-based awards to the Participant, if any, will be at the sole discretion of the</w:t>
      </w:r>
    </w:p>
    <w:p>
      <w:pPr>
        <w:spacing w:after="0" w:line="49"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20"/>
          <w:szCs w:val="20"/>
          <w:color w:val="auto"/>
        </w:rPr>
        <w:t>Company;</w:t>
      </w:r>
    </w:p>
    <w:p>
      <w:pPr>
        <w:spacing w:after="0" w:line="242" w:lineRule="exact"/>
        <w:rPr>
          <w:rFonts w:ascii="Arial" w:cs="Arial" w:eastAsia="Arial" w:hAnsi="Arial"/>
          <w:sz w:val="18"/>
          <w:szCs w:val="18"/>
          <w:color w:val="auto"/>
        </w:rPr>
      </w:pPr>
    </w:p>
    <w:p>
      <w:pPr>
        <w:ind w:left="1524" w:hanging="875"/>
        <w:spacing w:after="0"/>
        <w:tabs>
          <w:tab w:leader="none" w:pos="1524"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Participant’s participation in the Plan is voluntary;</w:t>
      </w:r>
    </w:p>
    <w:p>
      <w:pPr>
        <w:spacing w:after="0" w:line="242" w:lineRule="exact"/>
        <w:rPr>
          <w:rFonts w:ascii="Arial" w:cs="Arial" w:eastAsia="Arial" w:hAnsi="Arial"/>
          <w:sz w:val="20"/>
          <w:szCs w:val="20"/>
          <w:color w:val="auto"/>
        </w:rPr>
      </w:pPr>
    </w:p>
    <w:p>
      <w:pPr>
        <w:ind w:left="4" w:firstLine="645"/>
        <w:spacing w:after="0" w:line="289" w:lineRule="auto"/>
        <w:tabs>
          <w:tab w:leader="none" w:pos="1531"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Award and any Shares acquired under the Plan, and the value of and income attributable to the same, are not intended to replace any pension rights or compensation;</w:t>
      </w:r>
    </w:p>
    <w:p>
      <w:pPr>
        <w:spacing w:after="0" w:line="175" w:lineRule="exact"/>
        <w:rPr>
          <w:rFonts w:ascii="Arial" w:cs="Arial" w:eastAsia="Arial" w:hAnsi="Arial"/>
          <w:sz w:val="20"/>
          <w:szCs w:val="20"/>
          <w:color w:val="auto"/>
        </w:rPr>
      </w:pPr>
    </w:p>
    <w:p>
      <w:pPr>
        <w:ind w:left="1524" w:hanging="875"/>
        <w:spacing w:after="0"/>
        <w:tabs>
          <w:tab w:leader="none" w:pos="1524"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future value of the Shares underlying the Award is unknown and cannot be predicted;</w:t>
      </w:r>
    </w:p>
    <w:p>
      <w:pPr>
        <w:spacing w:after="0" w:line="242" w:lineRule="exact"/>
        <w:rPr>
          <w:rFonts w:ascii="Arial" w:cs="Arial" w:eastAsia="Arial" w:hAnsi="Arial"/>
          <w:sz w:val="20"/>
          <w:szCs w:val="20"/>
          <w:color w:val="auto"/>
        </w:rPr>
      </w:pPr>
    </w:p>
    <w:p>
      <w:pPr>
        <w:jc w:val="both"/>
        <w:ind w:left="4" w:firstLine="645"/>
        <w:spacing w:after="0" w:line="278" w:lineRule="auto"/>
        <w:tabs>
          <w:tab w:leader="none" w:pos="1498" w:val="left"/>
        </w:tabs>
        <w:numPr>
          <w:ilvl w:val="1"/>
          <w:numId w:val="20"/>
        </w:numPr>
        <w:rPr>
          <w:rFonts w:ascii="Arial" w:cs="Arial" w:eastAsia="Arial" w:hAnsi="Arial"/>
          <w:sz w:val="20"/>
          <w:szCs w:val="20"/>
          <w:color w:val="auto"/>
        </w:rPr>
      </w:pPr>
      <w:r>
        <w:rPr>
          <w:rFonts w:ascii="Arial" w:cs="Arial" w:eastAsia="Arial" w:hAnsi="Arial"/>
          <w:sz w:val="20"/>
          <w:szCs w:val="20"/>
          <w:color w:val="auto"/>
        </w:rPr>
        <w:t>unless otherwise provided in the Plan, the Award and the benefits evidenced by this Agreement do not create any entitlement to have the Award or any such benefits transferred to, or assumed by, another company nor be exchanged, cashed out or substituted for, in connection with any corporate transaction affecting the Common Stock;</w:t>
      </w:r>
    </w:p>
    <w:p>
      <w:pPr>
        <w:spacing w:after="0" w:line="200" w:lineRule="exact"/>
        <w:rPr>
          <w:sz w:val="20"/>
          <w:szCs w:val="20"/>
          <w:color w:val="auto"/>
        </w:rPr>
      </w:pPr>
    </w:p>
    <w:p>
      <w:pPr>
        <w:spacing w:after="0" w:line="225" w:lineRule="exact"/>
        <w:rPr>
          <w:sz w:val="20"/>
          <w:szCs w:val="20"/>
          <w:color w:val="auto"/>
        </w:rPr>
      </w:pPr>
    </w:p>
    <w:p>
      <w:pPr>
        <w:ind w:left="500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64"/>
          </w:cols>
          <w:pgMar w:left="896" w:top="379" w:right="239" w:bottom="1440" w:gutter="0" w:footer="0" w:header="0"/>
        </w:sectPr>
      </w:pPr>
    </w:p>
    <w:bookmarkStart w:id="42" w:name="page43"/>
    <w:bookmarkEnd w:id="42"/>
    <w:p>
      <w:pPr>
        <w:jc w:val="both"/>
        <w:ind w:left="660" w:firstLine="645"/>
        <w:spacing w:after="0" w:line="299" w:lineRule="auto"/>
        <w:tabs>
          <w:tab w:leader="none" w:pos="2187" w:val="left"/>
        </w:tabs>
        <w:numPr>
          <w:ilvl w:val="1"/>
          <w:numId w:val="21"/>
        </w:numPr>
        <w:rPr>
          <w:rFonts w:ascii="Arial" w:cs="Arial" w:eastAsia="Arial" w:hAnsi="Arial"/>
          <w:sz w:val="19"/>
          <w:szCs w:val="19"/>
          <w:color w:val="auto"/>
        </w:rPr>
      </w:pPr>
      <w:r>
        <w:rPr>
          <w:rFonts w:ascii="Arial" w:cs="Arial" w:eastAsia="Arial" w:hAnsi="Arial"/>
          <w:sz w:val="19"/>
          <w:szCs w:val="19"/>
          <w:color w:val="auto"/>
        </w:rPr>
        <w:t>no claim or entitlement to compensation or damages shall arise from forfeiture of the Award resulting from the Participant’s termination of service (for any reason whatsoever whether or not later found to be invalid or in breach of laws in the jurisdiction where the Participant is providing services or the terms of his or her service agreement, if any); and</w:t>
      </w:r>
    </w:p>
    <w:p>
      <w:pPr>
        <w:spacing w:after="0" w:line="169" w:lineRule="exact"/>
        <w:rPr>
          <w:rFonts w:ascii="Arial" w:cs="Arial" w:eastAsia="Arial" w:hAnsi="Arial"/>
          <w:sz w:val="19"/>
          <w:szCs w:val="19"/>
          <w:color w:val="auto"/>
        </w:rPr>
      </w:pPr>
    </w:p>
    <w:p>
      <w:pPr>
        <w:jc w:val="both"/>
        <w:ind w:left="660" w:firstLine="645"/>
        <w:spacing w:after="0" w:line="274" w:lineRule="auto"/>
        <w:tabs>
          <w:tab w:leader="none" w:pos="2187" w:val="left"/>
        </w:tabs>
        <w:numPr>
          <w:ilvl w:val="1"/>
          <w:numId w:val="21"/>
        </w:numPr>
        <w:rPr>
          <w:rFonts w:ascii="Arial" w:cs="Arial" w:eastAsia="Arial" w:hAnsi="Arial"/>
          <w:sz w:val="20"/>
          <w:szCs w:val="20"/>
          <w:color w:val="auto"/>
        </w:rPr>
      </w:pPr>
      <w:r>
        <w:rPr>
          <w:rFonts w:ascii="Arial" w:cs="Arial" w:eastAsia="Arial" w:hAnsi="Arial"/>
          <w:sz w:val="20"/>
          <w:szCs w:val="20"/>
          <w:color w:val="auto"/>
        </w:rPr>
        <w:t>if the Participant is providing services outside of the U.S., neither the Company nor any Affiliate shall be liable for any foreign exchange rate fluctuation between the Participant’s local currency and the U.S. dollar that may affect the value of the Award or of any amounts due to the Participant pursuant to the vesting of the Award or the subsequent sale of any Shares acquired upon vesting.</w:t>
      </w:r>
    </w:p>
    <w:p>
      <w:pPr>
        <w:spacing w:after="0" w:line="192" w:lineRule="exact"/>
        <w:rPr>
          <w:rFonts w:ascii="Arial" w:cs="Arial" w:eastAsia="Arial" w:hAnsi="Arial"/>
          <w:sz w:val="20"/>
          <w:szCs w:val="20"/>
          <w:color w:val="auto"/>
        </w:rPr>
      </w:pPr>
    </w:p>
    <w:p>
      <w:pPr>
        <w:jc w:val="both"/>
        <w:ind w:firstLine="656"/>
        <w:spacing w:after="0" w:line="274" w:lineRule="auto"/>
        <w:tabs>
          <w:tab w:leader="none" w:pos="1544" w:val="left"/>
        </w:tabs>
        <w:numPr>
          <w:ilvl w:val="0"/>
          <w:numId w:val="2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u w:val="single" w:color="auto"/>
          <w:color w:val="auto"/>
        </w:rPr>
        <w:t>Data Privacy</w:t>
      </w:r>
      <w:r>
        <w:rPr>
          <w:rFonts w:ascii="Arial" w:cs="Arial" w:eastAsia="Arial" w:hAnsi="Arial"/>
          <w:sz w:val="20"/>
          <w:szCs w:val="20"/>
          <w:b w:val="1"/>
          <w:bCs w:val="1"/>
          <w:i w:val="1"/>
          <w:iCs w:val="1"/>
          <w:color w:val="auto"/>
        </w:rPr>
        <w:t>. The Participant hereby explicitly and unambiguously consents to the collection, use and transfer, in electronic or other form, of his or her personal data as described in this Agreement and any other Award grant materials by and among, as applicable, the Company and any Affiliate for the exclusive purpose of implementing, administering and managing his or her participation in the Plan.</w:t>
      </w:r>
    </w:p>
    <w:p>
      <w:pPr>
        <w:spacing w:after="0" w:line="17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b w:val="1"/>
          <w:bCs w:val="1"/>
          <w:i w:val="1"/>
          <w:iCs w:val="1"/>
          <w:color w:val="auto"/>
        </w:rPr>
        <w:t>The Participant understands that the Company may hold certain personal information about him or her, including, but not limited to, his or her name, home address and telephone number, date of birth, social insurance number or other identification number, salary, nationality, job title, any shares of Common Stock or directorships held in the Company or any Affiliate, details of all Restricted Stock Units or any other entitlement to Shares awarded, canceled, exercised, vested, unvested or outstanding in his or her favor (“Data”), for the exclusive purpose of implementing, administering and managing the Plan.</w:t>
      </w:r>
    </w:p>
    <w:p>
      <w:pPr>
        <w:spacing w:after="0" w:line="181" w:lineRule="exact"/>
        <w:rPr>
          <w:sz w:val="20"/>
          <w:szCs w:val="20"/>
          <w:color w:val="auto"/>
        </w:rPr>
      </w:pPr>
    </w:p>
    <w:p>
      <w:pPr>
        <w:jc w:val="both"/>
        <w:spacing w:after="0" w:line="304" w:lineRule="auto"/>
        <w:rPr>
          <w:sz w:val="20"/>
          <w:szCs w:val="20"/>
          <w:color w:val="auto"/>
        </w:rPr>
      </w:pPr>
      <w:r>
        <w:rPr>
          <w:rFonts w:ascii="Arial" w:cs="Arial" w:eastAsia="Arial" w:hAnsi="Arial"/>
          <w:sz w:val="16"/>
          <w:szCs w:val="16"/>
          <w:b w:val="1"/>
          <w:bCs w:val="1"/>
          <w:i w:val="1"/>
          <w:iCs w:val="1"/>
          <w:color w:val="auto"/>
        </w:rPr>
        <w:t>The Participant understands that Data will be transferred to Fidelity Stock Plan Services, LLC (“Fidelity”) or to any other third party assisting in the implementation, administration and management of the Plan. The Participant understands that the recipients of Data may be located in the Participant’s country or elsewhere, and that the recipient’s country may have different data privacy laws and protections than his or her country. The Participant understands that, if he or she resides outside the U.S., the Participant may request a list with the names and addresses of any potential recipients of Data by contacting his or her local Human Resources representative. The Participant authorizes the Company, Fidelity and any other recipients of Data which may assist the Company (presently or in the future) with implementing, administering and managing the Plan to receive, possess, use, retain and transfer Data, in electronic or other form, for the purposes of implementing, administering and managing his or her participation in the Plan, including any requisite transfer of Data as may be required to a broker or other third party with whom the Participant may elect to deposit any Shares purchased upon vesting of the Award. The Participant understands that Data will be held only as long as is necessary to implement, administer and manage his or her participation in the Plan. The Participant understands that, if he or she resides outside the U.S., the Participant may, at any time, view Data, request additional information about the storage and processing of Data, require any necessary amendments to Data or refuse or withdraw the consents herein, in any case without cost, by contacting in writing the Company. Further, the Participant understands that he or she is providing the consents herein on a purely voluntary basis. If the Participant does not consent, or if the Participant later seeks to revoke the consent, his or her service status will not be affected solely by such actions of the Participant; the only consequence of refusing or withdrawing the consent is that the Company would not be able to grant Restricted Stock Units or other equity awards to the Participant or administer or maintain such awards. Therefore, the Participant understands that refusing or withdrawing the consent may affect his or her ability to participate in the Plan. For more information on the consequences of his or her refusal to consent or withdrawal of consent, the Participant understands that he or she may contact the Company.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379" w:right="239" w:bottom="1440" w:gutter="0" w:footer="0" w:header="0"/>
        </w:sectPr>
      </w:pPr>
    </w:p>
    <w:bookmarkStart w:id="43" w:name="page44"/>
    <w:bookmarkEnd w:id="43"/>
    <w:p>
      <w:pPr>
        <w:jc w:val="both"/>
        <w:ind w:firstLine="656"/>
        <w:spacing w:after="0" w:line="314" w:lineRule="auto"/>
        <w:tabs>
          <w:tab w:leader="none" w:pos="154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authority to construe and interpret this Agreement and the Plan, and to administer all aspects of the Plan, shall be vested in the Administrator, and the Administrator shall have all powers with respect to this Agreement as are provided in the Plan, including but not limited to the sole authority to determine whether and to what degree the Award has been earned and vested. Any interpretation of this Agreement by the Administrator and any decision made by it with respect to this Agreement is final and binding.</w:t>
      </w:r>
    </w:p>
    <w:p>
      <w:pPr>
        <w:spacing w:after="0" w:line="159" w:lineRule="exact"/>
        <w:rPr>
          <w:rFonts w:ascii="Arial" w:cs="Arial" w:eastAsia="Arial" w:hAnsi="Arial"/>
          <w:sz w:val="18"/>
          <w:szCs w:val="18"/>
          <w:color w:val="auto"/>
        </w:rPr>
      </w:pPr>
    </w:p>
    <w:p>
      <w:pPr>
        <w:jc w:val="both"/>
        <w:ind w:firstLine="656"/>
        <w:spacing w:after="0" w:line="270" w:lineRule="auto"/>
        <w:tabs>
          <w:tab w:leader="none" w:pos="1544"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Superseding Agreement; Successors and Assigns</w:t>
      </w:r>
      <w:r>
        <w:rPr>
          <w:rFonts w:ascii="Arial" w:cs="Arial" w:eastAsia="Arial" w:hAnsi="Arial"/>
          <w:sz w:val="20"/>
          <w:szCs w:val="20"/>
          <w:color w:val="auto"/>
        </w:rPr>
        <w:t>. This Agreement supersedes any statements, representations or agreements of the Company with respect to the grant of the Award, any other equity-based awards or any related rights, and the Participant hereby waives any rights or claims related to any such statements, representations or agreements. Except as may be otherwise provided in the Plan, this Agreement does not supersede or amend any existing Change in Control Agreement, Inventions, Confidentiality and Nonsolicitation Agreement, Noncompetition Agreement, Severance Agreement, Employment Agreement or any other similar agreement between the Participant and the Company or an Affiliate, including, but not limited to, any restrictive covenants contained in such agreements. This Agreement shall be binding upon and shall inure to the benefit of the parties hereto and their respective executors, administrators, next-of-kin, successors and assigns.</w:t>
      </w:r>
    </w:p>
    <w:p>
      <w:pPr>
        <w:spacing w:after="0" w:line="199" w:lineRule="exact"/>
        <w:rPr>
          <w:rFonts w:ascii="Arial" w:cs="Arial" w:eastAsia="Arial" w:hAnsi="Arial"/>
          <w:sz w:val="20"/>
          <w:szCs w:val="20"/>
          <w:color w:val="auto"/>
        </w:rPr>
      </w:pPr>
    </w:p>
    <w:p>
      <w:pPr>
        <w:jc w:val="both"/>
        <w:ind w:firstLine="656"/>
        <w:spacing w:after="0" w:line="271" w:lineRule="auto"/>
        <w:tabs>
          <w:tab w:leader="none" w:pos="1544"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Governing Law and Venue</w:t>
      </w:r>
      <w:r>
        <w:rPr>
          <w:rFonts w:ascii="Arial" w:cs="Arial" w:eastAsia="Arial" w:hAnsi="Arial"/>
          <w:sz w:val="20"/>
          <w:szCs w:val="20"/>
          <w:color w:val="auto"/>
        </w:rPr>
        <w:t>. Except as otherwise provided in the Plan or herein, this Agreement shall be construed and enforced according to the laws of the State of Delaware, without regard to the conflict of laws provisions of any state, and in accordance with applicable federal laws of the United States. For purposes of litigating any dispute that arises directly or indirectly from the relationship of the parties evidenced by the Award or this Agreement, the parties hereby submit to and consent to the exclusive jurisdiction of the State of North Carolina and agree that such litigation shall be conducted only in the courts of Guilford County, North Carolina, or the federal courts of the United States for the Middle District of North Carolina, and no other courts, such jurisdiction being where the Award is made and/or to be performed.</w:t>
      </w:r>
    </w:p>
    <w:p>
      <w:pPr>
        <w:spacing w:after="0" w:line="194" w:lineRule="exact"/>
        <w:rPr>
          <w:rFonts w:ascii="Arial" w:cs="Arial" w:eastAsia="Arial" w:hAnsi="Arial"/>
          <w:sz w:val="20"/>
          <w:szCs w:val="20"/>
          <w:color w:val="auto"/>
        </w:rPr>
      </w:pPr>
    </w:p>
    <w:p>
      <w:pPr>
        <w:jc w:val="both"/>
        <w:ind w:firstLine="656"/>
        <w:spacing w:after="0" w:line="290" w:lineRule="auto"/>
        <w:tabs>
          <w:tab w:leader="none" w:pos="1544"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Electronic Delivery and Participation</w:t>
      </w:r>
      <w:r>
        <w:rPr>
          <w:rFonts w:ascii="Arial" w:cs="Arial" w:eastAsia="Arial" w:hAnsi="Arial"/>
          <w:sz w:val="19"/>
          <w:szCs w:val="19"/>
          <w:color w:val="auto"/>
        </w:rPr>
        <w:t>. The Company may, in its sole discretion, decide to deliver to and obtain Participant’s acceptance of any documents related to the Award or future awards of Restricted Stock Units that may be granted under the Plan by electronic means or request the Participant’s consent to participate in the Plan by electronic means. The Participant hereby consents to receive and accept such documents by electronic delivery and, if requested, to agree to participate in the Plan through an on-line or electronic system established and maintained by the Company or a third party designated by the Company.</w:t>
      </w:r>
    </w:p>
    <w:p>
      <w:pPr>
        <w:spacing w:after="0" w:line="179" w:lineRule="exact"/>
        <w:rPr>
          <w:rFonts w:ascii="Arial" w:cs="Arial" w:eastAsia="Arial" w:hAnsi="Arial"/>
          <w:sz w:val="19"/>
          <w:szCs w:val="19"/>
          <w:color w:val="auto"/>
        </w:rPr>
      </w:pPr>
    </w:p>
    <w:p>
      <w:pPr>
        <w:jc w:val="both"/>
        <w:ind w:firstLine="656"/>
        <w:spacing w:after="0" w:line="278" w:lineRule="auto"/>
        <w:tabs>
          <w:tab w:leader="none" w:pos="1544"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Language</w:t>
      </w:r>
      <w:r>
        <w:rPr>
          <w:rFonts w:ascii="Arial" w:cs="Arial" w:eastAsia="Arial" w:hAnsi="Arial"/>
          <w:sz w:val="20"/>
          <w:szCs w:val="20"/>
          <w:color w:val="auto"/>
        </w:rPr>
        <w:t>. If the Participant has received this Agreement, or any other document related to the Award and/or the Plan translated into a language other than English and if the meaning of the translated version is different than the English version, the English version will control.</w:t>
      </w:r>
    </w:p>
    <w:p>
      <w:pPr>
        <w:spacing w:after="0" w:line="186" w:lineRule="exact"/>
        <w:rPr>
          <w:rFonts w:ascii="Arial" w:cs="Arial" w:eastAsia="Arial" w:hAnsi="Arial"/>
          <w:sz w:val="20"/>
          <w:szCs w:val="20"/>
          <w:color w:val="auto"/>
        </w:rPr>
      </w:pPr>
    </w:p>
    <w:p>
      <w:pPr>
        <w:jc w:val="both"/>
        <w:ind w:firstLine="656"/>
        <w:spacing w:after="0" w:line="293" w:lineRule="auto"/>
        <w:tabs>
          <w:tab w:leader="none" w:pos="1544"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Appendix</w:t>
      </w:r>
      <w:r>
        <w:rPr>
          <w:rFonts w:ascii="Arial" w:cs="Arial" w:eastAsia="Arial" w:hAnsi="Arial"/>
          <w:sz w:val="19"/>
          <w:szCs w:val="19"/>
          <w:color w:val="auto"/>
        </w:rPr>
        <w:t>. The Award shall be subject to any special terms and conditions for the Participant’s country set forth in the Appendix, if any. If the Participant relocates to one of the countries included in the Appendix during the term of the Award, the special terms and conditions for such country shall apply to him or her to the extent the Company determines that the application of such provisions is necessary or advisable for legal or administrative reasons. The Appendix constitutes part of this Agreement.</w:t>
      </w:r>
    </w:p>
    <w:p>
      <w:pPr>
        <w:spacing w:after="0" w:line="175" w:lineRule="exact"/>
        <w:rPr>
          <w:rFonts w:ascii="Arial" w:cs="Arial" w:eastAsia="Arial" w:hAnsi="Arial"/>
          <w:sz w:val="19"/>
          <w:szCs w:val="19"/>
          <w:color w:val="auto"/>
        </w:rPr>
      </w:pPr>
    </w:p>
    <w:p>
      <w:pPr>
        <w:jc w:val="both"/>
        <w:ind w:firstLine="656"/>
        <w:spacing w:after="0" w:line="322" w:lineRule="auto"/>
        <w:tabs>
          <w:tab w:leader="none" w:pos="1544"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Award and the Shares acquired upon vesting of the Award, to the extent the Company determines it is necessary or advisable for legal or administrative reasons, and to require the Participant to sign any additional agreements or undertakings that may be necessary to accomplish the foregoing.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379" w:right="239" w:bottom="1440" w:gutter="0" w:footer="0" w:header="0"/>
        </w:sectPr>
      </w:pPr>
    </w:p>
    <w:bookmarkStart w:id="44" w:name="page45"/>
    <w:bookmarkEnd w:id="44"/>
    <w:p>
      <w:pPr>
        <w:jc w:val="both"/>
        <w:ind w:firstLine="656"/>
        <w:spacing w:after="0" w:line="310" w:lineRule="auto"/>
        <w:tabs>
          <w:tab w:leader="none" w:pos="154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Amendment; Waiver</w:t>
      </w:r>
      <w:r>
        <w:rPr>
          <w:rFonts w:ascii="Arial" w:cs="Arial" w:eastAsia="Arial" w:hAnsi="Arial"/>
          <w:sz w:val="18"/>
          <w:szCs w:val="18"/>
          <w:color w:val="auto"/>
        </w:rPr>
        <w:t>. Subject to the terms of the Plan and this Agreement, this Agreement may be modified or amended only by the written agreement of the parties hereto. Notwithstanding the foregoing, the Administrator shall have unilateral authority to amend this Agreement (without Participant consent) to the extent necessary to comply with Applicable Law or changes to Applicable Law (including but not limited to U.S. federal securities laws and Code Section 409A). The waiver by the Company of a breach of any provision of this Agreement by the Participant shall not operate or be construed as a waiver of any subsequent breach by the Participant.</w:t>
      </w:r>
    </w:p>
    <w:p>
      <w:pPr>
        <w:spacing w:after="0" w:line="162" w:lineRule="exact"/>
        <w:rPr>
          <w:rFonts w:ascii="Arial" w:cs="Arial" w:eastAsia="Arial" w:hAnsi="Arial"/>
          <w:sz w:val="18"/>
          <w:szCs w:val="18"/>
          <w:color w:val="auto"/>
        </w:rPr>
      </w:pPr>
    </w:p>
    <w:p>
      <w:pPr>
        <w:jc w:val="both"/>
        <w:ind w:firstLine="656"/>
        <w:spacing w:after="0" w:line="272" w:lineRule="auto"/>
        <w:tabs>
          <w:tab w:leader="none" w:pos="1544"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Except as may be otherwise provided by the Plan, any written notices provided for in this Agreement or the Plan shall be in writing and shall be deemed sufficiently given if either hand delivered or if sent by fax or overnight courier, or by postage paid first class mail. Notices sent by mail shall be deemed received three (3) business days after mailed but in no event later than the date of actual receipt. Notice may also be provided by electronic submission, if and to the extent permitted by the Administrator. Notices shall be directed, if to the Participant, at the Participant’s address indicated by the Company’s records, or if to the Company, at the Company’s principal office located in Greensboro, NC, attention Corporate Treasurer, Qorvo, Inc.</w:t>
      </w:r>
    </w:p>
    <w:p>
      <w:pPr>
        <w:spacing w:after="0" w:line="191" w:lineRule="exact"/>
        <w:rPr>
          <w:rFonts w:ascii="Arial" w:cs="Arial" w:eastAsia="Arial" w:hAnsi="Arial"/>
          <w:sz w:val="20"/>
          <w:szCs w:val="20"/>
          <w:color w:val="auto"/>
        </w:rPr>
      </w:pPr>
    </w:p>
    <w:p>
      <w:pPr>
        <w:ind w:right="20" w:firstLine="656"/>
        <w:spacing w:after="0" w:line="316" w:lineRule="auto"/>
        <w:tabs>
          <w:tab w:leader="none" w:pos="1544" w:val="left"/>
        </w:tabs>
        <w:numPr>
          <w:ilvl w:val="0"/>
          <w:numId w:val="24"/>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provisions of this Agreement are severable and if any one or more provisions may be determined to be illegal or otherwise unenforceable, in whole or in part, the remaining provisions shall nevertheless be binding and enforceable.</w:t>
      </w:r>
    </w:p>
    <w:p>
      <w:pPr>
        <w:spacing w:after="0" w:line="153" w:lineRule="exact"/>
        <w:rPr>
          <w:rFonts w:ascii="Arial" w:cs="Arial" w:eastAsia="Arial" w:hAnsi="Arial"/>
          <w:sz w:val="19"/>
          <w:szCs w:val="19"/>
          <w:color w:val="auto"/>
        </w:rPr>
      </w:pPr>
    </w:p>
    <w:p>
      <w:pPr>
        <w:jc w:val="both"/>
        <w:ind w:firstLine="656"/>
        <w:spacing w:after="0" w:line="301" w:lineRule="auto"/>
        <w:tabs>
          <w:tab w:leader="none" w:pos="154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Restrictions on Award and Shares</w:t>
      </w:r>
      <w:r>
        <w:rPr>
          <w:rFonts w:ascii="Arial" w:cs="Arial" w:eastAsia="Arial" w:hAnsi="Arial"/>
          <w:sz w:val="18"/>
          <w:szCs w:val="18"/>
          <w:color w:val="auto"/>
        </w:rPr>
        <w:t>. The Company may impose such restrictions on the Award and any Shares or other benefits underlying the Award as it may deem advisable, including without limitation restrictions under the U.S. federal securities laws, the requirements of any stock exchange or similar organization and any blue sky, state or foreign securities laws applicable to such Award or Shares. Notwithstanding any other provision in the Plan or this Agreement to the contrary, the Company shall not be obligated to issue, deliver or transfer Shares, to make any other distribution of benefits, or to take any other action, unless such delivery, distribution or action is in compliance with all Applicable Law (including but not limited to the requirements of the Securities Act). The Company may cause a restrictive legend to be placed on any certificate for Shares issued pursuant to the Award in such form as may be prescribed from time to time by Applicable Law or as may be advised by legal counsel. The Administrator may delay the right to receive or dispose of Shares (or other benefits) upon settlement of the Award at any time if the Administrator determines that allowing issuance of Shares (or distribution of other benefits) would violate any federal, state or foreign securities laws or applicable policies of the Company, and the Administrator may provide in its discretion that any time periods to receive Shares (or other benefits) subject to the Award are tolled or extended during a period of suspension or delay (subject to any Code Section 409A considerations); provided, however, that any such delay, suspension, tolling or extension shall not apply to any Shares subject to an effective Rule 10b5-1 trading plan.</w:t>
      </w:r>
    </w:p>
    <w:p>
      <w:pPr>
        <w:spacing w:after="0" w:line="177" w:lineRule="exact"/>
        <w:rPr>
          <w:rFonts w:ascii="Arial" w:cs="Arial" w:eastAsia="Arial" w:hAnsi="Arial"/>
          <w:sz w:val="18"/>
          <w:szCs w:val="18"/>
          <w:color w:val="auto"/>
        </w:rPr>
      </w:pPr>
    </w:p>
    <w:p>
      <w:pPr>
        <w:jc w:val="both"/>
        <w:ind w:firstLine="656"/>
        <w:spacing w:after="0" w:line="322" w:lineRule="auto"/>
        <w:tabs>
          <w:tab w:leader="none" w:pos="1544"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Counterparts; Further Instruments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 The parties hereto agree to execute such further instruments and to take such further action as may be reasonably necessary to carry out the purposes and intent of this Agreement.</w:t>
      </w:r>
    </w:p>
    <w:p>
      <w:pPr>
        <w:spacing w:after="0" w:line="152" w:lineRule="exact"/>
        <w:rPr>
          <w:rFonts w:ascii="Arial" w:cs="Arial" w:eastAsia="Arial" w:hAnsi="Arial"/>
          <w:sz w:val="18"/>
          <w:szCs w:val="18"/>
          <w:color w:val="auto"/>
        </w:rPr>
      </w:pPr>
    </w:p>
    <w:p>
      <w:pPr>
        <w:jc w:val="both"/>
        <w:ind w:firstLine="656"/>
        <w:spacing w:after="0" w:line="274" w:lineRule="auto"/>
        <w:tabs>
          <w:tab w:leader="none" w:pos="1544" w:val="left"/>
        </w:tabs>
        <w:numPr>
          <w:ilvl w:val="0"/>
          <w:numId w:val="24"/>
        </w:numPr>
        <w:rPr>
          <w:rFonts w:ascii="Arial" w:cs="Arial" w:eastAsia="Arial" w:hAnsi="Arial"/>
          <w:sz w:val="20"/>
          <w:szCs w:val="20"/>
          <w:color w:val="auto"/>
        </w:rPr>
      </w:pPr>
      <w:r>
        <w:rPr>
          <w:rFonts w:ascii="Arial" w:cs="Arial" w:eastAsia="Arial" w:hAnsi="Arial"/>
          <w:sz w:val="20"/>
          <w:szCs w:val="20"/>
          <w:u w:val="single" w:color="auto"/>
          <w:color w:val="auto"/>
        </w:rPr>
        <w:t>Compliance with Recoupment, Ownership and Other Policies or Agreements</w:t>
      </w:r>
      <w:r>
        <w:rPr>
          <w:rFonts w:ascii="Arial" w:cs="Arial" w:eastAsia="Arial" w:hAnsi="Arial"/>
          <w:sz w:val="20"/>
          <w:szCs w:val="20"/>
          <w:color w:val="auto"/>
        </w:rPr>
        <w:t>. As a condition to receiving this Award, the Participant agrees that he or she shall abide by all provisions of any equity retention policy, compensation recovery policy, stock ownership guidelines and/or other similar policies maintained by the Company, each as in effect from time to time and to the extent applicable to the Participant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379" w:right="239" w:bottom="1440" w:gutter="0" w:footer="0" w:header="0"/>
        </w:sectPr>
      </w:pPr>
    </w:p>
    <w:bookmarkStart w:id="45" w:name="page46"/>
    <w:bookmarkEnd w:id="45"/>
    <w:p>
      <w:pPr>
        <w:ind w:right="20"/>
        <w:spacing w:after="0" w:line="289" w:lineRule="auto"/>
        <w:rPr>
          <w:sz w:val="20"/>
          <w:szCs w:val="20"/>
          <w:color w:val="auto"/>
        </w:rPr>
      </w:pPr>
      <w:r>
        <w:rPr>
          <w:rFonts w:ascii="Arial" w:cs="Arial" w:eastAsia="Arial" w:hAnsi="Arial"/>
          <w:sz w:val="20"/>
          <w:szCs w:val="20"/>
          <w:color w:val="auto"/>
        </w:rPr>
        <w:t>from time to time. In addition, the Participant shall be subject to such compensation recovery, recoupment, forfeiture, or other similar provisions as may apply at any time to the Participant under Applicable Law.</w:t>
      </w:r>
    </w:p>
    <w:p>
      <w:pPr>
        <w:spacing w:after="0" w:line="175" w:lineRule="exact"/>
        <w:rPr>
          <w:sz w:val="20"/>
          <w:szCs w:val="20"/>
          <w:color w:val="auto"/>
        </w:rPr>
      </w:pPr>
    </w:p>
    <w:p>
      <w:pPr>
        <w:jc w:val="both"/>
        <w:ind w:firstLine="656"/>
        <w:spacing w:after="0" w:line="349" w:lineRule="auto"/>
        <w:tabs>
          <w:tab w:leader="none" w:pos="1544"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Foreign Asset/Account Reporting Requirements</w:t>
      </w:r>
      <w:r>
        <w:rPr>
          <w:rFonts w:ascii="Arial" w:cs="Arial" w:eastAsia="Arial" w:hAnsi="Arial"/>
          <w:sz w:val="16"/>
          <w:szCs w:val="16"/>
          <w:color w:val="auto"/>
        </w:rPr>
        <w:t>. The Participant acknowledges that there may be certain foreign asset and/or account reporting requirements which may affect his or her ability to acquire or hold the Shares acquired under the Plan or cash received from participating in the Plan (including from any dividends paid on the Shares acquired under the Plan) in a brokerage or bank account outside his or her country. The Participant may be required to report such accounts, assets or transactions to the tax or other authorities in his or her country. The Participant also may be required to repatriate sale proceeds or other funds received as a result of participating in the Plan to his or her country through a designated bank or broker within a certain time after receipt. The Participant acknowledges that it is his or her responsibility to be compliant with such regulations, and the Participant should speak to his or her personal advisor on this matter.</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to Follow]</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379" w:right="239" w:bottom="1440" w:gutter="0" w:footer="0" w:header="0"/>
        </w:sectPr>
      </w:pPr>
    </w:p>
    <w:bookmarkStart w:id="46" w:name="page47"/>
    <w:bookmarkEnd w:id="46"/>
    <w:p>
      <w:pPr>
        <w:ind w:firstLine="648"/>
        <w:spacing w:after="0" w:line="260" w:lineRule="auto"/>
        <w:rPr>
          <w:sz w:val="20"/>
          <w:szCs w:val="20"/>
          <w:color w:val="auto"/>
        </w:rPr>
      </w:pPr>
      <w:r>
        <w:rPr>
          <w:rFonts w:ascii="Arial" w:cs="Arial" w:eastAsia="Arial" w:hAnsi="Arial"/>
          <w:sz w:val="20"/>
          <w:szCs w:val="20"/>
          <w:color w:val="auto"/>
        </w:rPr>
        <w:t>IN WITNESS WHEREOF, this Agreement has been executed on behalf of the Company and by the Participant effective as of the Grant Date stated herein.</w:t>
      </w:r>
    </w:p>
    <w:p>
      <w:pPr>
        <w:spacing w:after="0" w:line="184"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QORVO, INC.</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______________________________________</w:t>
      </w:r>
    </w:p>
    <w:p>
      <w:pPr>
        <w:spacing w:after="0" w:line="1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Robert A. Bruggeworth</w:t>
      </w:r>
    </w:p>
    <w:p>
      <w:pPr>
        <w:ind w:left="4220"/>
        <w:spacing w:after="0"/>
        <w:rPr>
          <w:sz w:val="20"/>
          <w:szCs w:val="20"/>
          <w:color w:val="auto"/>
        </w:rPr>
      </w:pPr>
      <w:r>
        <w:rPr>
          <w:rFonts w:ascii="Arial" w:cs="Arial" w:eastAsia="Arial" w:hAnsi="Arial"/>
          <w:sz w:val="20"/>
          <w:szCs w:val="20"/>
          <w:color w:val="auto"/>
        </w:rPr>
        <w:t>President and Chief Executive Officer</w:t>
      </w:r>
    </w:p>
    <w:p>
      <w:pPr>
        <w:spacing w:after="0"/>
        <w:rPr>
          <w:sz w:val="20"/>
          <w:szCs w:val="20"/>
          <w:color w:val="auto"/>
        </w:rPr>
      </w:pPr>
      <w:r>
        <w:rPr>
          <w:rFonts w:ascii="Arial" w:cs="Arial" w:eastAsia="Arial" w:hAnsi="Arial"/>
          <w:sz w:val="20"/>
          <w:szCs w:val="20"/>
          <w:color w:val="auto"/>
        </w:rPr>
        <w:t>Attest:</w:t>
      </w:r>
    </w:p>
    <w:p>
      <w:pPr>
        <w:spacing w:after="0" w:line="308"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Jeffrey C. Howland</w:t>
      </w:r>
    </w:p>
    <w:p>
      <w:pPr>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920"/>
        <w:spacing w:after="0"/>
        <w:rPr>
          <w:sz w:val="20"/>
          <w:szCs w:val="20"/>
          <w:color w:val="auto"/>
        </w:rPr>
      </w:pPr>
      <w:r>
        <w:rPr>
          <w:rFonts w:ascii="Arial" w:cs="Arial" w:eastAsia="Arial" w:hAnsi="Arial"/>
          <w:sz w:val="20"/>
          <w:szCs w:val="20"/>
          <w:i w:val="1"/>
          <w:iCs w:val="1"/>
          <w:color w:val="auto"/>
        </w:rPr>
        <w:t>[Signature Page of Participant to Follow on Schedule A/Grant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920"/>
          </w:cols>
          <w:pgMar w:left="240" w:top="366" w:right="739" w:bottom="1440" w:gutter="0" w:footer="0" w:header="0"/>
        </w:sectPr>
      </w:pPr>
    </w:p>
    <w:bookmarkStart w:id="47" w:name="page48"/>
    <w:bookmarkEnd w:id="47"/>
    <w:p>
      <w:pPr>
        <w:ind w:left="5240"/>
        <w:spacing w:after="0"/>
        <w:rPr>
          <w:sz w:val="20"/>
          <w:szCs w:val="20"/>
          <w:color w:val="auto"/>
        </w:rPr>
      </w:pPr>
      <w:r>
        <w:rPr>
          <w:rFonts w:ascii="Arial" w:cs="Arial" w:eastAsia="Arial" w:hAnsi="Arial"/>
          <w:sz w:val="20"/>
          <w:szCs w:val="20"/>
          <w:b w:val="1"/>
          <w:bCs w:val="1"/>
          <w:color w:val="auto"/>
        </w:rPr>
        <w:t>Qorvo, Inc.</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20"/>
          <w:szCs w:val="20"/>
          <w:b w:val="1"/>
          <w:bCs w:val="1"/>
          <w:color w:val="auto"/>
        </w:rPr>
        <w:t>2012 Stock Incentive Plan</w:t>
      </w:r>
    </w:p>
    <w:p>
      <w:pPr>
        <w:ind w:left="4300"/>
        <w:spacing w:after="0"/>
        <w:rPr>
          <w:sz w:val="20"/>
          <w:szCs w:val="20"/>
          <w:color w:val="auto"/>
        </w:rPr>
      </w:pPr>
      <w:r>
        <w:rPr>
          <w:rFonts w:ascii="Arial" w:cs="Arial" w:eastAsia="Arial" w:hAnsi="Arial"/>
          <w:sz w:val="20"/>
          <w:szCs w:val="20"/>
          <w:b w:val="1"/>
          <w:bCs w:val="1"/>
          <w:color w:val="auto"/>
        </w:rPr>
        <w:t>Restricted Stock Unit Agreement</w:t>
      </w:r>
    </w:p>
    <w:p>
      <w:pPr>
        <w:ind w:left="4080"/>
        <w:spacing w:after="0"/>
        <w:rPr>
          <w:sz w:val="20"/>
          <w:szCs w:val="20"/>
          <w:color w:val="auto"/>
        </w:rPr>
      </w:pPr>
      <w:r>
        <w:rPr>
          <w:rFonts w:ascii="Arial" w:cs="Arial" w:eastAsia="Arial" w:hAnsi="Arial"/>
          <w:sz w:val="20"/>
          <w:szCs w:val="20"/>
          <w:b w:val="1"/>
          <w:bCs w:val="1"/>
          <w:color w:val="auto"/>
        </w:rPr>
        <w:t>(Director Annual/Supplemental RSUs)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Schedule A/Grant Letter</w:t>
      </w:r>
    </w:p>
    <w:p>
      <w:pPr>
        <w:spacing w:after="0" w:line="235" w:lineRule="exact"/>
        <w:rPr>
          <w:sz w:val="20"/>
          <w:szCs w:val="20"/>
          <w:color w:val="auto"/>
        </w:rPr>
      </w:pPr>
    </w:p>
    <w:p>
      <w:pPr>
        <w:jc w:val="both"/>
        <w:ind w:firstLine="656"/>
        <w:spacing w:after="0" w:line="310" w:lineRule="auto"/>
        <w:tabs>
          <w:tab w:leader="none" w:pos="144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Grant Terms</w:t>
      </w:r>
      <w:r>
        <w:rPr>
          <w:rFonts w:ascii="Arial" w:cs="Arial" w:eastAsia="Arial" w:hAnsi="Arial"/>
          <w:sz w:val="18"/>
          <w:szCs w:val="18"/>
          <w:color w:val="auto"/>
        </w:rPr>
        <w:t>. Pursuant to the terms and conditions of the Company’s 2012 Stock Incentive Plan, as it may be amended (the “Plan”), and the Restricted Stock Unit Agreement (Director Annual/Supplemental RSUs) attached hereto, including any special terms and conditions for your country in the Appendix attached thereto (together, the “Agreement”), you (the “Participant”) have been granted an award of Restricted Stock Units (the “Award”) for the number of shares of Common Stock (the “Shares”) as set forth below. Unless otherwise defined herein, capitalized terms in this Schedule A shall have the same definitions as set forth in the Agreement and the Plan.</w:t>
      </w:r>
    </w:p>
    <w:p>
      <w:pPr>
        <w:spacing w:after="0" w:line="311" w:lineRule="exact"/>
        <w:rPr>
          <w:sz w:val="20"/>
          <w:szCs w:val="20"/>
          <w:color w:val="auto"/>
        </w:rPr>
      </w:pPr>
    </w:p>
    <w:tbl>
      <w:tblPr>
        <w:tblLayout w:type="fixed"/>
        <w:tblInd w:w="2460" w:type="dxa"/>
        <w:tblCellMar>
          <w:top w:w="0" w:type="dxa"/>
          <w:left w:w="0" w:type="dxa"/>
          <w:bottom w:w="0" w:type="dxa"/>
          <w:right w:w="0" w:type="dxa"/>
        </w:tblCellMar>
      </w:tblPr>
      <w:tr>
        <w:trPr>
          <w:trHeight w:val="250"/>
        </w:trPr>
        <w:tc>
          <w:tcPr>
            <w:tcW w:w="2480" w:type="dxa"/>
            <w:vAlign w:val="bottom"/>
          </w:tcPr>
          <w:p>
            <w:pPr>
              <w:jc w:val="right"/>
              <w:ind w:right="381"/>
              <w:spacing w:after="0"/>
              <w:rPr>
                <w:sz w:val="20"/>
                <w:szCs w:val="20"/>
                <w:color w:val="auto"/>
              </w:rPr>
            </w:pPr>
            <w:r>
              <w:rPr>
                <w:rFonts w:ascii="Arial" w:cs="Arial" w:eastAsia="Arial" w:hAnsi="Arial"/>
                <w:sz w:val="20"/>
                <w:szCs w:val="20"/>
                <w:color w:val="auto"/>
              </w:rPr>
              <w:t>Participant:</w:t>
            </w:r>
          </w:p>
        </w:tc>
        <w:tc>
          <w:tcPr>
            <w:tcW w:w="2280" w:type="dxa"/>
            <w:vAlign w:val="bottom"/>
          </w:tcPr>
          <w:p>
            <w:pPr>
              <w:jc w:val="right"/>
              <w:spacing w:after="0"/>
              <w:rPr>
                <w:sz w:val="20"/>
                <w:szCs w:val="20"/>
                <w:color w:val="auto"/>
              </w:rPr>
            </w:pPr>
            <w:r>
              <w:rPr>
                <w:rFonts w:ascii="Arial" w:cs="Arial" w:eastAsia="Arial" w:hAnsi="Arial"/>
                <w:sz w:val="18"/>
                <w:szCs w:val="18"/>
                <w:color w:val="auto"/>
              </w:rPr>
              <w:t>____________________</w:t>
            </w:r>
          </w:p>
        </w:tc>
      </w:tr>
      <w:tr>
        <w:trPr>
          <w:trHeight w:val="284"/>
        </w:trPr>
        <w:tc>
          <w:tcPr>
            <w:tcW w:w="2480" w:type="dxa"/>
            <w:vAlign w:val="bottom"/>
          </w:tcPr>
          <w:p>
            <w:pPr>
              <w:jc w:val="right"/>
              <w:ind w:right="381"/>
              <w:spacing w:after="0"/>
              <w:rPr>
                <w:sz w:val="20"/>
                <w:szCs w:val="20"/>
                <w:color w:val="auto"/>
              </w:rPr>
            </w:pPr>
            <w:r>
              <w:rPr>
                <w:rFonts w:ascii="Arial" w:cs="Arial" w:eastAsia="Arial" w:hAnsi="Arial"/>
                <w:sz w:val="20"/>
                <w:szCs w:val="20"/>
                <w:color w:val="auto"/>
              </w:rPr>
              <w:t>Grant Date:</w:t>
            </w:r>
          </w:p>
        </w:tc>
        <w:tc>
          <w:tcPr>
            <w:tcW w:w="2280" w:type="dxa"/>
            <w:vAlign w:val="bottom"/>
          </w:tcPr>
          <w:p>
            <w:pPr>
              <w:jc w:val="right"/>
              <w:spacing w:after="0"/>
              <w:rPr>
                <w:sz w:val="20"/>
                <w:szCs w:val="20"/>
                <w:color w:val="auto"/>
              </w:rPr>
            </w:pPr>
            <w:r>
              <w:rPr>
                <w:rFonts w:ascii="Arial" w:cs="Arial" w:eastAsia="Arial" w:hAnsi="Arial"/>
                <w:sz w:val="18"/>
                <w:szCs w:val="18"/>
                <w:color w:val="auto"/>
              </w:rPr>
              <w:t>____________________</w:t>
            </w:r>
          </w:p>
        </w:tc>
      </w:tr>
      <w:tr>
        <w:trPr>
          <w:trHeight w:val="284"/>
        </w:trPr>
        <w:tc>
          <w:tcPr>
            <w:tcW w:w="2480" w:type="dxa"/>
            <w:vAlign w:val="bottom"/>
          </w:tcPr>
          <w:p>
            <w:pPr>
              <w:jc w:val="right"/>
              <w:ind w:right="381"/>
              <w:spacing w:after="0"/>
              <w:rPr>
                <w:sz w:val="20"/>
                <w:szCs w:val="20"/>
                <w:color w:val="auto"/>
              </w:rPr>
            </w:pPr>
            <w:r>
              <w:rPr>
                <w:rFonts w:ascii="Arial" w:cs="Arial" w:eastAsia="Arial" w:hAnsi="Arial"/>
                <w:sz w:val="20"/>
                <w:szCs w:val="20"/>
                <w:color w:val="auto"/>
                <w:w w:val="87"/>
              </w:rPr>
              <w:t>Shares Subject to Award:</w:t>
            </w:r>
          </w:p>
        </w:tc>
        <w:tc>
          <w:tcPr>
            <w:tcW w:w="2280" w:type="dxa"/>
            <w:vAlign w:val="bottom"/>
          </w:tcPr>
          <w:p>
            <w:pPr>
              <w:jc w:val="right"/>
              <w:spacing w:after="0"/>
              <w:rPr>
                <w:sz w:val="20"/>
                <w:szCs w:val="20"/>
                <w:color w:val="auto"/>
              </w:rPr>
            </w:pPr>
            <w:r>
              <w:rPr>
                <w:rFonts w:ascii="Arial" w:cs="Arial" w:eastAsia="Arial" w:hAnsi="Arial"/>
                <w:sz w:val="18"/>
                <w:szCs w:val="18"/>
                <w:color w:val="auto"/>
              </w:rPr>
              <w:t>____________________</w:t>
            </w:r>
          </w:p>
        </w:tc>
      </w:tr>
    </w:tbl>
    <w:p>
      <w:pPr>
        <w:spacing w:after="0" w:line="236" w:lineRule="exact"/>
        <w:rPr>
          <w:sz w:val="20"/>
          <w:szCs w:val="20"/>
          <w:color w:val="auto"/>
        </w:rPr>
      </w:pPr>
    </w:p>
    <w:p>
      <w:pPr>
        <w:ind w:left="1460" w:hanging="804"/>
        <w:spacing w:after="0"/>
        <w:tabs>
          <w:tab w:leader="none" w:pos="1460" w:val="left"/>
        </w:tabs>
        <w:numPr>
          <w:ilvl w:val="0"/>
          <w:numId w:val="27"/>
        </w:numPr>
        <w:rPr>
          <w:rFonts w:ascii="Arial" w:cs="Arial" w:eastAsia="Arial" w:hAnsi="Arial"/>
          <w:sz w:val="20"/>
          <w:szCs w:val="20"/>
          <w:color w:val="auto"/>
        </w:rPr>
      </w:pPr>
      <w:r>
        <w:rPr>
          <w:rFonts w:ascii="Arial" w:cs="Arial" w:eastAsia="Arial" w:hAnsi="Arial"/>
          <w:sz w:val="20"/>
          <w:szCs w:val="20"/>
          <w:u w:val="single" w:color="auto"/>
          <w:color w:val="auto"/>
        </w:rPr>
        <w:t>Vesting of Award</w:t>
      </w:r>
      <w:r>
        <w:rPr>
          <w:rFonts w:ascii="Arial" w:cs="Arial" w:eastAsia="Arial" w:hAnsi="Arial"/>
          <w:sz w:val="20"/>
          <w:szCs w:val="20"/>
          <w:color w:val="auto"/>
        </w:rPr>
        <w:t xml:space="preserve">. </w:t>
      </w:r>
      <w:r>
        <w:rPr>
          <w:rFonts w:ascii="Arial" w:cs="Arial" w:eastAsia="Arial" w:hAnsi="Arial"/>
          <w:sz w:val="20"/>
          <w:szCs w:val="20"/>
          <w:i w:val="1"/>
          <w:iCs w:val="1"/>
          <w:color w:val="auto"/>
        </w:rPr>
        <w:t>[Modify vesting schedule as appropriate.]</w:t>
      </w:r>
    </w:p>
    <w:p>
      <w:pPr>
        <w:spacing w:after="0" w:line="243" w:lineRule="exact"/>
        <w:rPr>
          <w:sz w:val="20"/>
          <w:szCs w:val="20"/>
          <w:color w:val="auto"/>
        </w:rPr>
      </w:pPr>
    </w:p>
    <w:p>
      <w:pPr>
        <w:jc w:val="both"/>
        <w:ind w:firstLine="656"/>
        <w:spacing w:after="0" w:line="299" w:lineRule="auto"/>
        <w:tabs>
          <w:tab w:leader="none" w:pos="1516"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Award shall be deemed vested with respect to one hundred percent (100%) of the Shares subject to the Award on the earlier of (i) the first anniversary of the Grant Date or (ii) the day before the Company’s first annual meeting of stockholders occurring after the Grant Date, in each case subject to the continued service of the Participant as a Director through such vesting date.</w:t>
      </w:r>
    </w:p>
    <w:p>
      <w:pPr>
        <w:spacing w:after="0" w:line="155" w:lineRule="exact"/>
        <w:rPr>
          <w:rFonts w:ascii="Arial" w:cs="Arial" w:eastAsia="Arial" w:hAnsi="Arial"/>
          <w:sz w:val="19"/>
          <w:szCs w:val="19"/>
          <w:color w:val="auto"/>
        </w:rPr>
      </w:pPr>
    </w:p>
    <w:p>
      <w:pPr>
        <w:jc w:val="both"/>
        <w:ind w:firstLine="656"/>
        <w:spacing w:after="0" w:line="250" w:lineRule="auto"/>
        <w:tabs>
          <w:tab w:leader="none" w:pos="1088" w:val="left"/>
        </w:tabs>
        <w:numPr>
          <w:ilvl w:val="0"/>
          <w:numId w:val="28"/>
        </w:numPr>
        <w:rPr>
          <w:rFonts w:ascii="Arial" w:cs="Arial" w:eastAsia="Arial" w:hAnsi="Arial"/>
          <w:sz w:val="20"/>
          <w:szCs w:val="20"/>
          <w:color w:val="auto"/>
        </w:rPr>
      </w:pPr>
      <w:r>
        <w:rPr>
          <w:rFonts w:ascii="Arial" w:cs="Arial" w:eastAsia="Arial" w:hAnsi="Arial"/>
          <w:sz w:val="20"/>
          <w:szCs w:val="20"/>
          <w:color w:val="auto"/>
        </w:rPr>
        <w:t>Notwithstanding the provisions of Section 2(a) above, in the event of the Participant’s death or Disability (as defined in the Plan), the Award shall automatically fully vest, effective as of the date of the Participant’s death or the date of Disability as determined by the Administrator, as applicable.</w:t>
      </w:r>
    </w:p>
    <w:p>
      <w:pPr>
        <w:spacing w:after="0" w:line="200" w:lineRule="exact"/>
        <w:rPr>
          <w:sz w:val="20"/>
          <w:szCs w:val="20"/>
          <w:color w:val="auto"/>
        </w:rPr>
      </w:pPr>
    </w:p>
    <w:p>
      <w:pPr>
        <w:jc w:val="both"/>
        <w:ind w:firstLine="656"/>
        <w:spacing w:after="0" w:line="244" w:lineRule="auto"/>
        <w:tabs>
          <w:tab w:leader="none" w:pos="1035" w:val="left"/>
        </w:tabs>
        <w:numPr>
          <w:ilvl w:val="0"/>
          <w:numId w:val="29"/>
        </w:numPr>
        <w:rPr>
          <w:rFonts w:ascii="Arial" w:cs="Arial" w:eastAsia="Arial" w:hAnsi="Arial"/>
          <w:sz w:val="20"/>
          <w:szCs w:val="20"/>
          <w:color w:val="auto"/>
        </w:rPr>
      </w:pPr>
      <w:r>
        <w:rPr>
          <w:rFonts w:ascii="Arial" w:cs="Arial" w:eastAsia="Arial" w:hAnsi="Arial"/>
          <w:sz w:val="20"/>
          <w:szCs w:val="20"/>
          <w:u w:val="single" w:color="auto"/>
          <w:color w:val="auto"/>
        </w:rPr>
        <w:t>Dividends</w:t>
      </w:r>
      <w:r>
        <w:rPr>
          <w:rFonts w:ascii="Arial" w:cs="Arial" w:eastAsia="Arial" w:hAnsi="Arial"/>
          <w:sz w:val="20"/>
          <w:szCs w:val="20"/>
          <w:color w:val="auto"/>
        </w:rPr>
        <w:t>. If the Company pays a dividend at any time after the Grant Date, such dividends shall be paid to the Participant in accordance with Section 7 of the Agreement upon and to the extent of the vesting of the underlying Shares. For clarity, if the Participant makes a timely election to defer payment of the Shares pursuant to the Plan, and the Company pays a dividend at any time after the Grant Date, such dividend shall be treated in accordance with Section 7(b) of the Agreement upon and to the extent of the vesting and distribution of the underlying Shares.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to Follow]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420"/>
          </w:cols>
          <w:pgMar w:left="240" w:top="589" w:right="239" w:bottom="1440" w:gutter="0" w:footer="0" w:header="0"/>
        </w:sectPr>
      </w:pPr>
    </w:p>
    <w:bookmarkStart w:id="48" w:name="page49"/>
    <w:bookmarkEnd w:id="48"/>
    <w:p>
      <w:pPr>
        <w:jc w:val="both"/>
        <w:ind w:firstLine="648"/>
        <w:spacing w:after="0" w:line="243" w:lineRule="auto"/>
        <w:rPr>
          <w:sz w:val="20"/>
          <w:szCs w:val="20"/>
          <w:color w:val="auto"/>
        </w:rPr>
      </w:pPr>
      <w:r>
        <w:rPr>
          <w:rFonts w:ascii="Arial" w:cs="Arial" w:eastAsia="Arial" w:hAnsi="Arial"/>
          <w:sz w:val="20"/>
          <w:szCs w:val="20"/>
          <w:color w:val="auto"/>
        </w:rPr>
        <w:t xml:space="preserve">By my signature below, I, the Participant, hereby acknowledge receipt of this Grant Letter and the Agreement, including any special terms and conditions for my country in the Appendix attached thereto. I understand that the Grant Letter and its provisions are incorporated by reference into the Agreement and constitute a part of the Agreement. </w:t>
      </w:r>
      <w:r>
        <w:rPr>
          <w:rFonts w:ascii="Arial" w:cs="Arial" w:eastAsia="Arial" w:hAnsi="Arial"/>
          <w:sz w:val="20"/>
          <w:szCs w:val="20"/>
          <w:u w:val="single" w:color="auto"/>
          <w:color w:val="auto"/>
        </w:rPr>
        <w:t>By my signature below, I further agree to be bound by the terms of the</w:t>
      </w:r>
      <w:r>
        <w:rPr>
          <w:rFonts w:ascii="Arial" w:cs="Arial" w:eastAsia="Arial" w:hAnsi="Arial"/>
          <w:sz w:val="20"/>
          <w:szCs w:val="20"/>
          <w:color w:val="auto"/>
        </w:rPr>
        <w:t xml:space="preserve"> </w:t>
      </w:r>
      <w:r>
        <w:rPr>
          <w:rFonts w:ascii="Arial" w:cs="Arial" w:eastAsia="Arial" w:hAnsi="Arial"/>
          <w:sz w:val="20"/>
          <w:szCs w:val="20"/>
          <w:u w:val="single" w:color="auto"/>
          <w:color w:val="auto"/>
        </w:rPr>
        <w:t>Plan and the Agreement, including but not limited to the terms of the Grant Letter. The Company reserves the right to treat the Award and the Agreement as cancelled, void and of no effect if the Participant fails to return a signed copy of the Grant Letter within thirty (30) days of receipt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2640" w:val="left"/>
        </w:tabs>
        <w:rPr>
          <w:sz w:val="20"/>
          <w:szCs w:val="20"/>
          <w:color w:val="auto"/>
        </w:rPr>
      </w:pPr>
      <w:r>
        <w:rPr>
          <w:rFonts w:ascii="Arial" w:cs="Arial" w:eastAsia="Arial" w:hAnsi="Arial"/>
          <w:sz w:val="20"/>
          <w:szCs w:val="20"/>
          <w:color w:val="auto"/>
        </w:rPr>
        <w:t>Signature:</w:t>
      </w:r>
      <w:r>
        <w:rPr>
          <w:sz w:val="20"/>
          <w:szCs w:val="20"/>
          <w:color w:val="auto"/>
        </w:rPr>
        <w:tab/>
      </w: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-14605</wp:posOffset>
            </wp:positionV>
            <wp:extent cx="8801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0110" cy="8890"/>
                    </a:xfrm>
                    <a:prstGeom prst="rect">
                      <a:avLst/>
                    </a:prstGeom>
                    <a:noFill/>
                  </pic:spPr>
                </pic:pic>
              </a:graphicData>
            </a:graphic>
          </wp:anchor>
        </w:drawing>
        <w:drawing>
          <wp:anchor simplePos="0" relativeHeight="251657728" behindDoc="1" locked="0" layoutInCell="0" allowOverlap="1">
            <wp:simplePos x="0" y="0"/>
            <wp:positionH relativeFrom="column">
              <wp:posOffset>1987550</wp:posOffset>
            </wp:positionH>
            <wp:positionV relativeFrom="paragraph">
              <wp:posOffset>-14605</wp:posOffset>
            </wp:positionV>
            <wp:extent cx="3771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719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Note: If there are any discrepancies in the name shown above, please make the appropriate corrections on this form and return to Treasury Department, Qorvo, Inc., 7628 Thorndike Road, Greensboro, NC 27409-9421. Please retain a copy of the Agreement, including this Grant Letter, for your files.</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420"/>
          </w:cols>
          <w:pgMar w:left="240" w:top="595" w:right="239" w:bottom="1440" w:gutter="0" w:footer="0" w:header="0"/>
        </w:sectPr>
      </w:pPr>
    </w:p>
    <w:bookmarkStart w:id="49" w:name="page50"/>
    <w:bookmarkEnd w:id="49"/>
    <w:p>
      <w:pPr>
        <w:spacing w:after="0"/>
        <w:rPr>
          <w:sz w:val="20"/>
          <w:szCs w:val="20"/>
          <w:color w:val="auto"/>
        </w:rPr>
      </w:pPr>
      <w:r>
        <w:rPr>
          <w:rFonts w:ascii="Arial" w:cs="Arial" w:eastAsia="Arial" w:hAnsi="Arial"/>
          <w:sz w:val="22"/>
          <w:szCs w:val="22"/>
          <w:b w:val="1"/>
          <w:bCs w:val="1"/>
          <w:color w:val="auto"/>
        </w:rPr>
        <w:t>Exhibit 12.1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Qorvo,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Computation of Consolidated Ratio of Earning to Fixed Charges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Quarter Ended</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July 2,</w:t>
            </w:r>
          </w:p>
        </w:tc>
        <w:tc>
          <w:tcPr>
            <w:tcW w:w="24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2,</w:t>
            </w: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March 28, 2015</w:t>
            </w:r>
          </w:p>
        </w:tc>
        <w:tc>
          <w:tcPr>
            <w:tcW w:w="120" w:type="dxa"/>
            <w:vAlign w:val="bottom"/>
          </w:tcPr>
          <w:p>
            <w:pPr>
              <w:spacing w:after="0"/>
              <w:rPr>
                <w:sz w:val="20"/>
                <w:szCs w:val="20"/>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March 29, 2014</w:t>
            </w:r>
          </w:p>
        </w:tc>
        <w:tc>
          <w:tcPr>
            <w:tcW w:w="1480" w:type="dxa"/>
            <w:vAlign w:val="bottom"/>
            <w:gridSpan w:val="3"/>
          </w:tcPr>
          <w:p>
            <w:pPr>
              <w:ind w:left="100"/>
              <w:spacing w:after="0"/>
              <w:rPr>
                <w:sz w:val="20"/>
                <w:szCs w:val="20"/>
                <w:color w:val="auto"/>
              </w:rPr>
            </w:pPr>
            <w:r>
              <w:rPr>
                <w:rFonts w:ascii="Arial" w:cs="Arial" w:eastAsia="Arial" w:hAnsi="Arial"/>
                <w:sz w:val="18"/>
                <w:szCs w:val="18"/>
                <w:b w:val="1"/>
                <w:bCs w:val="1"/>
                <w:color w:val="auto"/>
              </w:rPr>
              <w:t>March 30, 2013</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March 31, 2012</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Pre-tax income (loss) from</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continuing operations *</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121,240</w:t>
            </w:r>
          </w:p>
        </w:tc>
        <w:tc>
          <w:tcPr>
            <w:tcW w:w="56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23,873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(25,899)</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15,628</w:t>
            </w:r>
          </w:p>
        </w:tc>
        <w:tc>
          <w:tcPr>
            <w:tcW w:w="0" w:type="dxa"/>
            <w:vAlign w:val="bottom"/>
          </w:tcPr>
          <w:p>
            <w:pPr>
              <w:spacing w:after="0"/>
              <w:rPr>
                <w:sz w:val="1"/>
                <w:szCs w:val="1"/>
                <w:color w:val="auto"/>
              </w:rPr>
            </w:pPr>
          </w:p>
        </w:tc>
      </w:tr>
      <w:tr>
        <w:trPr>
          <w:trHeight w:val="229"/>
        </w:trPr>
        <w:tc>
          <w:tcPr>
            <w:tcW w:w="2520" w:type="dxa"/>
            <w:vAlign w:val="bottom"/>
          </w:tcPr>
          <w:p>
            <w:pPr>
              <w:ind w:left="40"/>
              <w:spacing w:after="0"/>
              <w:rPr>
                <w:sz w:val="20"/>
                <w:szCs w:val="20"/>
                <w:color w:val="auto"/>
              </w:rPr>
            </w:pPr>
            <w:r>
              <w:rPr>
                <w:rFonts w:ascii="Arial" w:cs="Arial" w:eastAsia="Arial" w:hAnsi="Arial"/>
                <w:sz w:val="18"/>
                <w:szCs w:val="18"/>
                <w:color w:val="auto"/>
              </w:rPr>
              <w:t>(Income) loss from equity</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40"/>
              <w:spacing w:after="0"/>
              <w:rPr>
                <w:sz w:val="20"/>
                <w:szCs w:val="20"/>
                <w:color w:val="auto"/>
              </w:rPr>
            </w:pPr>
            <w:r>
              <w:rPr>
                <w:rFonts w:ascii="Arial" w:cs="Arial" w:eastAsia="Arial" w:hAnsi="Arial"/>
                <w:sz w:val="18"/>
                <w:szCs w:val="18"/>
                <w:color w:val="auto"/>
              </w:rPr>
              <w:t>investee</w:t>
            </w:r>
          </w:p>
        </w:tc>
        <w:tc>
          <w:tcPr>
            <w:tcW w:w="14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charges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33,203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5,424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Capitalized interest</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of capitalized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9"/>
        </w:trPr>
        <w:tc>
          <w:tcPr>
            <w:tcW w:w="2520" w:type="dxa"/>
            <w:vAlign w:val="bottom"/>
          </w:tcPr>
          <w:p>
            <w:pPr>
              <w:ind w:left="380"/>
              <w:spacing w:after="0"/>
              <w:rPr>
                <w:sz w:val="20"/>
                <w:szCs w:val="20"/>
                <w:color w:val="auto"/>
              </w:rPr>
            </w:pPr>
            <w:r>
              <w:rPr>
                <w:rFonts w:ascii="Arial" w:cs="Arial" w:eastAsia="Arial" w:hAnsi="Arial"/>
                <w:sz w:val="18"/>
                <w:szCs w:val="18"/>
                <w:color w:val="auto"/>
              </w:rPr>
              <w:t>Total adjusted earnings</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6,824</w:t>
            </w:r>
          </w:p>
        </w:tc>
        <w:tc>
          <w:tcPr>
            <w:tcW w:w="120" w:type="dxa"/>
            <w:vAlign w:val="bottom"/>
          </w:tcPr>
          <w:p>
            <w:pPr>
              <w:spacing w:after="0"/>
              <w:rPr>
                <w:sz w:val="18"/>
                <w:szCs w:val="18"/>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25,504</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127,150</w:t>
            </w:r>
          </w:p>
        </w:tc>
        <w:tc>
          <w:tcPr>
            <w:tcW w:w="560" w:type="dxa"/>
            <w:vAlign w:val="bottom"/>
            <w:tcBorders>
              <w:top w:val="single" w:sz="8" w:color="auto"/>
            </w:tcBorders>
            <w:gridSpan w:val="2"/>
            <w:vMerge w:val="restart"/>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31,743</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vMerge w:val="restart"/>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(15,637)</w:t>
            </w: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27,726</w:t>
            </w:r>
          </w:p>
        </w:tc>
        <w:tc>
          <w:tcPr>
            <w:tcW w:w="0" w:type="dxa"/>
            <w:vAlign w:val="bottom"/>
          </w:tcPr>
          <w:p>
            <w:pPr>
              <w:spacing w:after="0"/>
              <w:rPr>
                <w:sz w:val="1"/>
                <w:szCs w:val="1"/>
                <w:color w:val="auto"/>
              </w:rPr>
            </w:pPr>
          </w:p>
        </w:tc>
      </w:tr>
      <w:tr>
        <w:trPr>
          <w:trHeight w:val="277"/>
        </w:trPr>
        <w:tc>
          <w:tcPr>
            <w:tcW w:w="2520" w:type="dxa"/>
            <w:vAlign w:val="bottom"/>
          </w:tcPr>
          <w:p>
            <w:pPr>
              <w:ind w:left="380"/>
              <w:spacing w:after="0"/>
              <w:rPr>
                <w:sz w:val="20"/>
                <w:szCs w:val="20"/>
                <w:color w:val="auto"/>
              </w:rPr>
            </w:pPr>
            <w:r>
              <w:rPr>
                <w:rFonts w:ascii="Arial" w:cs="Arial" w:eastAsia="Arial" w:hAnsi="Arial"/>
                <w:sz w:val="18"/>
                <w:szCs w:val="18"/>
                <w:color w:val="auto"/>
              </w:rPr>
              <w:t>available for fixed charges</w:t>
            </w:r>
          </w:p>
        </w:tc>
        <w:tc>
          <w:tcPr>
            <w:tcW w:w="140" w:type="dxa"/>
            <w:vAlign w:val="bottom"/>
            <w:vMerge w:val="continue"/>
          </w:tcPr>
          <w:p>
            <w:pPr>
              <w:spacing w:after="0"/>
              <w:rPr>
                <w:sz w:val="24"/>
                <w:szCs w:val="24"/>
                <w:color w:val="auto"/>
              </w:rPr>
            </w:pPr>
          </w:p>
        </w:tc>
        <w:tc>
          <w:tcPr>
            <w:tcW w:w="1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5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13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1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9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52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837</w:t>
            </w:r>
          </w:p>
        </w:tc>
        <w:tc>
          <w:tcPr>
            <w:tcW w:w="56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43"/>
        </w:trPr>
        <w:tc>
          <w:tcPr>
            <w:tcW w:w="2520" w:type="dxa"/>
            <w:vAlign w:val="bottom"/>
          </w:tcPr>
          <w:p>
            <w:pPr>
              <w:ind w:left="180"/>
              <w:spacing w:after="0"/>
              <w:rPr>
                <w:sz w:val="20"/>
                <w:szCs w:val="20"/>
                <w:color w:val="auto"/>
              </w:rPr>
            </w:pPr>
            <w:r>
              <w:rPr>
                <w:rFonts w:ascii="Arial" w:cs="Arial" w:eastAsia="Arial" w:hAnsi="Arial"/>
                <w:sz w:val="18"/>
                <w:szCs w:val="18"/>
                <w:color w:val="auto"/>
              </w:rPr>
              <w:t>Capitalized interest</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2,967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5,210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discount and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14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5,793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9,376</w:t>
            </w:r>
          </w:p>
        </w:tc>
        <w:tc>
          <w:tcPr>
            <w:tcW w:w="0" w:type="dxa"/>
            <w:vAlign w:val="bottom"/>
          </w:tcPr>
          <w:p>
            <w:pPr>
              <w:spacing w:after="0"/>
              <w:rPr>
                <w:sz w:val="1"/>
                <w:szCs w:val="1"/>
                <w:color w:val="auto"/>
              </w:rPr>
            </w:pPr>
          </w:p>
        </w:tc>
      </w:tr>
      <w:tr>
        <w:trPr>
          <w:trHeight w:val="229"/>
        </w:trPr>
        <w:tc>
          <w:tcPr>
            <w:tcW w:w="2520" w:type="dxa"/>
            <w:vAlign w:val="bottom"/>
          </w:tcPr>
          <w:p>
            <w:pPr>
              <w:ind w:left="180"/>
              <w:spacing w:after="0"/>
              <w:rPr>
                <w:sz w:val="20"/>
                <w:szCs w:val="20"/>
                <w:color w:val="auto"/>
              </w:rPr>
            </w:pPr>
            <w:r>
              <w:rPr>
                <w:rFonts w:ascii="Arial" w:cs="Arial" w:eastAsia="Arial" w:hAnsi="Arial"/>
                <w:sz w:val="18"/>
                <w:szCs w:val="18"/>
                <w:color w:val="auto"/>
              </w:rPr>
              <w:t>Portion of rent expense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80"/>
              <w:spacing w:after="0"/>
              <w:rPr>
                <w:sz w:val="20"/>
                <w:szCs w:val="20"/>
                <w:color w:val="auto"/>
              </w:rPr>
            </w:pPr>
            <w:r>
              <w:rPr>
                <w:rFonts w:ascii="Arial" w:cs="Arial" w:eastAsia="Arial" w:hAnsi="Arial"/>
                <w:sz w:val="18"/>
                <w:szCs w:val="18"/>
                <w:color w:val="auto"/>
              </w:rPr>
              <w:t>representing interest **</w:t>
            </w:r>
          </w:p>
        </w:tc>
        <w:tc>
          <w:tcPr>
            <w:tcW w:w="140" w:type="dxa"/>
            <w:vAlign w:val="bottom"/>
          </w:tcPr>
          <w:p>
            <w:pPr>
              <w:spacing w:after="0"/>
              <w:rPr>
                <w:sz w:val="20"/>
                <w:szCs w:val="20"/>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1,174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4,677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4,003</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3,529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3,336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7"/>
        </w:trPr>
        <w:tc>
          <w:tcPr>
            <w:tcW w:w="2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fixed charges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19,328</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33,203</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5,424</w:t>
            </w:r>
          </w:p>
        </w:tc>
        <w:tc>
          <w:tcPr>
            <w:tcW w:w="56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10,411</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10,257</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13,773</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5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94"/>
              </w:rPr>
              <w:t>Consolidated ratio of earnings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 fixed charges</w:t>
            </w:r>
          </w:p>
        </w:tc>
        <w:tc>
          <w:tcPr>
            <w:tcW w:w="1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b w:val="1"/>
                <w:bCs w:val="1"/>
                <w:i w:val="1"/>
                <w:iCs w:val="1"/>
                <w:color w:val="auto"/>
              </w:rPr>
              <w:t>N/A***</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b w:val="1"/>
                <w:bCs w:val="1"/>
                <w:i w:val="1"/>
                <w:iCs w:val="1"/>
                <w:color w:val="auto"/>
              </w:rPr>
              <w:t>N/A***</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23.4x</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i w:val="1"/>
                <w:iCs w:val="1"/>
                <w:color w:val="auto"/>
              </w:rPr>
              <w:t>3.0x</w:t>
            </w:r>
          </w:p>
        </w:tc>
        <w:tc>
          <w:tcPr>
            <w:tcW w:w="4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b w:val="1"/>
                <w:bCs w:val="1"/>
                <w:i w:val="1"/>
                <w:iCs w:val="1"/>
                <w:color w:val="auto"/>
              </w:rPr>
              <w:t>N/A***</w:t>
            </w: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i w:val="1"/>
                <w:iCs w:val="1"/>
                <w:color w:val="auto"/>
              </w:rPr>
              <w:t>2.0x</w:t>
            </w:r>
          </w:p>
        </w:tc>
        <w:tc>
          <w:tcPr>
            <w:tcW w:w="0" w:type="dxa"/>
            <w:vAlign w:val="bottom"/>
          </w:tcPr>
          <w:p>
            <w:pPr>
              <w:spacing w:after="0"/>
              <w:rPr>
                <w:sz w:val="1"/>
                <w:szCs w:val="1"/>
                <w:color w:val="auto"/>
              </w:rPr>
            </w:pPr>
          </w:p>
        </w:tc>
      </w:tr>
      <w:tr>
        <w:trPr>
          <w:trHeight w:val="324"/>
        </w:trPr>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5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right="1760" w:hanging="5"/>
        <w:spacing w:after="0" w:line="277" w:lineRule="auto"/>
        <w:tabs>
          <w:tab w:leader="none" w:pos="1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Information presented prior to January 1, 2015 does not include TriQuint's results of operations and as a result, the information may not be comparable.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ind w:left="40" w:right="160" w:hanging="5"/>
        <w:spacing w:after="0" w:line="277" w:lineRule="auto"/>
        <w:tabs>
          <w:tab w:leader="none" w:pos="2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portion of operating rental expense that management believes is representative of the interest component of rent expense is estimated to be one-third of rental expense.</w:t>
      </w:r>
    </w:p>
    <w:p>
      <w:pPr>
        <w:spacing w:after="0" w:line="8" w:lineRule="exact"/>
        <w:rPr>
          <w:rFonts w:ascii="Arial" w:cs="Arial" w:eastAsia="Arial" w:hAnsi="Arial"/>
          <w:sz w:val="18"/>
          <w:szCs w:val="18"/>
          <w:color w:val="auto"/>
        </w:rPr>
      </w:pPr>
    </w:p>
    <w:p>
      <w:pPr>
        <w:ind w:left="40" w:right="460" w:hanging="5"/>
        <w:spacing w:after="0" w:line="277" w:lineRule="auto"/>
        <w:tabs>
          <w:tab w:leader="none" w:pos="3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Earnings for the quarter ended July 2, 2016 and the fiscal years ended April 2, 2016 and March 30, 2013 were inadequate to cover fixed charges by approximately $12.5 million, $7.7 million and $26.0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52" w:lineRule="exact"/>
        <w:rPr>
          <w:sz w:val="20"/>
          <w:szCs w:val="20"/>
          <w:color w:val="auto"/>
        </w:rPr>
      </w:pPr>
    </w:p>
    <w:p>
      <w:pPr>
        <w:ind w:left="800" w:hanging="792"/>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65" w:lineRule="exact"/>
        <w:rPr>
          <w:rFonts w:ascii="Arial" w:cs="Arial" w:eastAsia="Arial" w:hAnsi="Arial"/>
          <w:sz w:val="18"/>
          <w:szCs w:val="18"/>
          <w:color w:val="auto"/>
        </w:rPr>
      </w:pPr>
    </w:p>
    <w:p>
      <w:pPr>
        <w:ind w:right="40" w:firstLine="8"/>
        <w:spacing w:after="0" w:line="395" w:lineRule="auto"/>
        <w:tabs>
          <w:tab w:leader="none" w:pos="783"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324" w:lineRule="auto"/>
        <w:tabs>
          <w:tab w:leader="none" w:pos="7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40" w:firstLine="8"/>
        <w:spacing w:after="0" w:line="311" w:lineRule="auto"/>
        <w:tabs>
          <w:tab w:leader="none" w:pos="78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340" w:hanging="4"/>
        <w:spacing w:after="0" w:line="311" w:lineRule="auto"/>
        <w:tabs>
          <w:tab w:leader="none" w:pos="144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0" w:hanging="4"/>
        <w:spacing w:after="0" w:line="311" w:lineRule="auto"/>
        <w:tabs>
          <w:tab w:leader="none" w:pos="145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60" w:hanging="4"/>
        <w:spacing w:after="0" w:line="395" w:lineRule="auto"/>
        <w:tabs>
          <w:tab w:leader="none" w:pos="1448"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120" w:hanging="4"/>
        <w:spacing w:after="0" w:line="311" w:lineRule="auto"/>
        <w:tabs>
          <w:tab w:leader="none" w:pos="1458"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firstLine="8"/>
        <w:spacing w:after="0" w:line="357" w:lineRule="auto"/>
        <w:tabs>
          <w:tab w:leader="none" w:pos="783"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right="360" w:hanging="4"/>
        <w:spacing w:after="0" w:line="357" w:lineRule="auto"/>
        <w:tabs>
          <w:tab w:leader="none" w:pos="1448"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7"/>
          <w:szCs w:val="17"/>
          <w:color w:val="auto"/>
        </w:rPr>
      </w:pPr>
    </w:p>
    <w:p>
      <w:pPr>
        <w:ind w:left="660" w:right="40" w:hanging="4"/>
        <w:spacing w:after="0" w:line="324" w:lineRule="auto"/>
        <w:tabs>
          <w:tab w:leader="none" w:pos="1458"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5, 2016</w:t>
      </w:r>
    </w:p>
    <w:p>
      <w:pPr>
        <w:spacing w:after="0" w:line="200" w:lineRule="exact"/>
        <w:rPr>
          <w:sz w:val="20"/>
          <w:szCs w:val="20"/>
          <w:color w:val="auto"/>
        </w:rPr>
      </w:pPr>
    </w:p>
    <w:p>
      <w:pPr>
        <w:spacing w:after="0" w:line="295"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4936490</wp:posOffset>
            </wp:positionH>
            <wp:positionV relativeFrom="paragraph">
              <wp:posOffset>31750</wp:posOffset>
            </wp:positionV>
            <wp:extent cx="23152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Robert A. Bruggeworth</w:t>
      </w:r>
    </w:p>
    <w:p>
      <w:pPr>
        <w:spacing w:after="0" w:line="6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00"/>
          </w:cols>
          <w:pgMar w:left="240" w:top="580"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J. Murphy, certify that:</w:t>
      </w:r>
    </w:p>
    <w:p>
      <w:pPr>
        <w:spacing w:after="0" w:line="225" w:lineRule="exact"/>
        <w:rPr>
          <w:sz w:val="20"/>
          <w:szCs w:val="20"/>
          <w:color w:val="auto"/>
        </w:rPr>
      </w:pPr>
    </w:p>
    <w:p>
      <w:pPr>
        <w:ind w:left="320" w:hanging="312"/>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25" w:lineRule="exact"/>
        <w:rPr>
          <w:rFonts w:ascii="Arial" w:cs="Arial" w:eastAsia="Arial" w:hAnsi="Arial"/>
          <w:sz w:val="18"/>
          <w:szCs w:val="18"/>
          <w:color w:val="auto"/>
        </w:rPr>
      </w:pPr>
    </w:p>
    <w:p>
      <w:pPr>
        <w:ind w:right="420" w:firstLine="8"/>
        <w:spacing w:after="0" w:line="342" w:lineRule="auto"/>
        <w:tabs>
          <w:tab w:leader="none" w:pos="315"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580" w:firstLine="8"/>
        <w:spacing w:after="0" w:line="277" w:lineRule="auto"/>
        <w:tabs>
          <w:tab w:leader="none" w:pos="3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40" w:firstLine="8"/>
        <w:spacing w:after="0" w:line="264" w:lineRule="auto"/>
        <w:tabs>
          <w:tab w:leader="none" w:pos="3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hanging="4"/>
        <w:spacing w:after="0" w:line="264"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220" w:hanging="4"/>
        <w:spacing w:after="0" w:line="264" w:lineRule="auto"/>
        <w:tabs>
          <w:tab w:leader="none" w:pos="9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720" w:hanging="4"/>
        <w:spacing w:after="0" w:line="342" w:lineRule="auto"/>
        <w:tabs>
          <w:tab w:leader="none" w:pos="98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200" w:hanging="4"/>
        <w:spacing w:after="0" w:line="264" w:lineRule="auto"/>
        <w:tabs>
          <w:tab w:leader="none" w:pos="99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300" w:firstLine="8"/>
        <w:spacing w:after="0" w:line="308" w:lineRule="auto"/>
        <w:tabs>
          <w:tab w:leader="none" w:pos="312"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120" w:hanging="4"/>
        <w:spacing w:after="0" w:line="277" w:lineRule="auto"/>
        <w:tabs>
          <w:tab w:leader="none" w:pos="97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80" w:hanging="4"/>
        <w:spacing w:after="0" w:line="277" w:lineRule="auto"/>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August 5, 2016</w:t>
      </w:r>
    </w:p>
    <w:p>
      <w:pPr>
        <w:spacing w:after="0" w:line="200" w:lineRule="exact"/>
        <w:rPr>
          <w:sz w:val="20"/>
          <w:szCs w:val="20"/>
          <w:color w:val="auto"/>
        </w:rPr>
      </w:pPr>
    </w:p>
    <w:p>
      <w:pPr>
        <w:spacing w:after="0" w:line="29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MARK J.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31750</wp:posOffset>
            </wp:positionV>
            <wp:extent cx="27527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Mark J. Murphy</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580" w:right="259" w:bottom="1440" w:gutter="0" w:footer="0" w:header="0"/>
        </w:sectPr>
      </w:pPr>
    </w:p>
    <w:bookmarkStart w:id="52" w:name="page53"/>
    <w:bookmarkEnd w:id="52"/>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59" w:lineRule="exact"/>
        <w:rPr>
          <w:sz w:val="20"/>
          <w:szCs w:val="20"/>
          <w:color w:val="auto"/>
        </w:rPr>
      </w:pPr>
    </w:p>
    <w:p>
      <w:pPr>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color w:val="auto"/>
        </w:rPr>
        <w:t>I, Robert A. Bruggeworth, President and Chief Executive Officer of Qorvo, Inc. (the “Company”), certify pursuant to Section 906 of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13" w:lineRule="exact"/>
        <w:rPr>
          <w:sz w:val="20"/>
          <w:szCs w:val="20"/>
          <w:color w:val="auto"/>
        </w:rPr>
      </w:pPr>
    </w:p>
    <w:p>
      <w:pPr>
        <w:ind w:left="660" w:right="280" w:hanging="652"/>
        <w:spacing w:after="0" w:line="260" w:lineRule="auto"/>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July 2, 2016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40" w:hanging="652"/>
        <w:spacing w:after="0" w:line="260" w:lineRule="auto"/>
        <w:tabs>
          <w:tab w:leader="none" w:pos="66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auto"/>
        </w:rPr>
        <w:t>/s/ 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Robert A. Bruggeworth</w:t>
      </w:r>
    </w:p>
    <w:p>
      <w:pPr>
        <w:spacing w:after="0" w:line="54"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President and Chief Executive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August 5, 2016</w:t>
      </w:r>
    </w:p>
    <w:p>
      <w:pPr>
        <w:sectPr>
          <w:pgSz w:w="11900" w:h="16838" w:orient="portrait"/>
          <w:cols w:equalWidth="0" w:num="1">
            <w:col w:w="11360"/>
          </w:cols>
          <w:pgMar w:left="240" w:top="576" w:right="299" w:bottom="1440" w:gutter="0" w:footer="0" w:header="0"/>
        </w:sectPr>
      </w:pPr>
    </w:p>
    <w:bookmarkStart w:id="53" w:name="page54"/>
    <w:bookmarkEnd w:id="53"/>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59" w:lineRule="exact"/>
        <w:rPr>
          <w:sz w:val="20"/>
          <w:szCs w:val="20"/>
          <w:color w:val="auto"/>
        </w:rPr>
      </w:pPr>
    </w:p>
    <w:p>
      <w:pPr>
        <w:ind w:right="2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8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Mark J. Murphy, Chief Financial Officer of Qorvo, Inc. (the “Company”), certify pursuant to Section 906 of the Sarbanes-Oxley Act of 2002, 18 U.S.C. Section 1350, that, to my knowledge:</w:t>
      </w:r>
    </w:p>
    <w:p>
      <w:pPr>
        <w:spacing w:after="0" w:line="190" w:lineRule="exact"/>
        <w:rPr>
          <w:sz w:val="20"/>
          <w:szCs w:val="20"/>
          <w:color w:val="auto"/>
        </w:rPr>
      </w:pPr>
    </w:p>
    <w:p>
      <w:pPr>
        <w:ind w:left="660" w:right="300" w:hanging="652"/>
        <w:spacing w:after="0" w:line="260"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July 2, 2016 (the “Report”) fully complies with the requirements of Section 13(a) or 15(d) of the Securities Exchange Act of 1934, as amended; and</w:t>
      </w:r>
    </w:p>
    <w:p>
      <w:pPr>
        <w:spacing w:after="0" w:line="190" w:lineRule="exact"/>
        <w:rPr>
          <w:rFonts w:ascii="Arial" w:cs="Arial" w:eastAsia="Arial" w:hAnsi="Arial"/>
          <w:sz w:val="20"/>
          <w:szCs w:val="20"/>
          <w:color w:val="auto"/>
        </w:rPr>
      </w:pPr>
    </w:p>
    <w:p>
      <w:pPr>
        <w:ind w:left="660" w:right="160" w:hanging="652"/>
        <w:spacing w:after="0" w:line="260" w:lineRule="auto"/>
        <w:tabs>
          <w:tab w:leader="none" w:pos="660"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3" w:lineRule="exact"/>
        <w:rPr>
          <w:sz w:val="20"/>
          <w:szCs w:val="20"/>
          <w:color w:val="auto"/>
        </w:rPr>
      </w:pPr>
    </w:p>
    <w:p>
      <w:pPr>
        <w:ind w:left="840"/>
        <w:spacing w:after="0"/>
        <w:rPr>
          <w:sz w:val="20"/>
          <w:szCs w:val="20"/>
          <w:color w:val="auto"/>
        </w:rPr>
      </w:pPr>
      <w:r>
        <w:rPr>
          <w:rFonts w:ascii="Arial" w:cs="Arial" w:eastAsia="Arial" w:hAnsi="Arial"/>
          <w:sz w:val="20"/>
          <w:szCs w:val="20"/>
          <w:u w:val="single" w:color="auto"/>
          <w:color w:val="auto"/>
        </w:rPr>
        <w:t>/s/MARK J. MURPHY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Mark J. Murphy</w:t>
      </w:r>
    </w:p>
    <w:p>
      <w:pPr>
        <w:spacing w:after="0" w:line="54"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Chief Financial Officer</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20"/>
          <w:szCs w:val="20"/>
          <w:color w:val="auto"/>
        </w:rPr>
        <w:t>August 5, 2016</w:t>
      </w:r>
    </w:p>
    <w:sectPr>
      <w:pgSz w:w="11900" w:h="16838" w:orient="portrait"/>
      <w:cols w:equalWidth="0" w:num="1">
        <w:col w:w="11380"/>
      </w:cols>
      <w:pgMar w:left="240" w:top="57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lowerRoman"/>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lvl w:ilvl="1">
      <w:lvlJc w:val="left"/>
      <w:lvlText w:val="%2"/>
      <w:numFmt w:val="decimal"/>
      <w:start w:val="101"/>
    </w:lvl>
  </w:abstractNum>
  <w:abstractNum w:abstractNumId="11">
    <w:nsid w:val="75A2A8D4"/>
    <w:multiLevelType w:val="hybridMultilevel"/>
    <w:lvl w:ilvl="0">
      <w:lvlJc w:val="left"/>
      <w:lvlText w:val="*"/>
      <w:numFmt w:val="bullet"/>
      <w:start w:val="1"/>
    </w:lvl>
    <w:lvl w:ilvl="1">
      <w:lvlJc w:val="left"/>
      <w:lvlText w:val="%2"/>
      <w:numFmt w:val="decimal"/>
      <w:start w:val="101"/>
    </w:lvl>
  </w:abstractNum>
  <w:abstractNum w:abstractNumId="12">
    <w:nsid w:val="8EDBDAB"/>
    <w:multiLevelType w:val="hybridMultilevel"/>
    <w:lvl w:ilvl="0">
      <w:lvlJc w:val="left"/>
      <w:lvlText w:val="%1"/>
      <w:numFmt w:val="lowerLetter"/>
      <w:start w:val="1"/>
    </w:lvl>
    <w:lvl w:ilvl="1">
      <w:lvlJc w:val="left"/>
      <w:lvlText w:val="%2."/>
      <w:numFmt w:val="decimal"/>
      <w:start w:val="1"/>
    </w:lvl>
  </w:abstractNum>
  <w:abstractNum w:abstractNumId="13">
    <w:nsid w:val="79838CB2"/>
    <w:multiLevelType w:val="hybridMultilevel"/>
    <w:lvl w:ilvl="0">
      <w:lvlJc w:val="left"/>
      <w:lvlText w:val="%1."/>
      <w:numFmt w:val="lowerLetter"/>
      <w:start w:val="1"/>
    </w:lvl>
    <w:lvl w:ilvl="1">
      <w:lvlJc w:val="left"/>
      <w:lvlText w:val="%2."/>
      <w:numFmt w:val="decimal"/>
      <w:start w:val="3"/>
    </w:lvl>
  </w:abstractNum>
  <w:abstractNum w:abstractNumId="14">
    <w:nsid w:val="4353D0CD"/>
    <w:multiLevelType w:val="hybridMultilevel"/>
    <w:lvl w:ilvl="0">
      <w:lvlJc w:val="left"/>
      <w:lvlText w:val="%1."/>
      <w:numFmt w:val="decimal"/>
      <w:start w:val="5"/>
    </w:lvl>
  </w:abstractNum>
  <w:abstractNum w:abstractNumId="15">
    <w:nsid w:val="B03E0C6"/>
    <w:multiLevelType w:val="hybridMultilevel"/>
    <w:lvl w:ilvl="0">
      <w:lvlJc w:val="left"/>
      <w:lvlText w:val="%1."/>
      <w:numFmt w:val="decimal"/>
      <w:start w:val="7"/>
    </w:lvl>
    <w:lvl w:ilvl="1">
      <w:lvlJc w:val="left"/>
      <w:lvlText w:val="(%2)"/>
      <w:numFmt w:val="lowerLetter"/>
      <w:start w:val="1"/>
    </w:lvl>
  </w:abstractNum>
  <w:abstractNum w:abstractNumId="16">
    <w:nsid w:val="189A769B"/>
    <w:multiLevelType w:val="hybridMultilevel"/>
    <w:lvl w:ilvl="0">
      <w:lvlJc w:val="left"/>
      <w:lvlText w:val="%1"/>
      <w:numFmt w:val="decimal"/>
      <w:start w:val="1"/>
    </w:lvl>
    <w:lvl w:ilvl="1">
      <w:lvlJc w:val="left"/>
      <w:lvlText w:val="(%2)"/>
      <w:numFmt w:val="lowerLetter"/>
      <w:start w:val="2"/>
    </w:lvl>
  </w:abstractNum>
  <w:abstractNum w:abstractNumId="17">
    <w:nsid w:val="54E49EB4"/>
    <w:multiLevelType w:val="hybridMultilevel"/>
    <w:lvl w:ilvl="0">
      <w:lvlJc w:val="left"/>
      <w:lvlText w:val="%1."/>
      <w:numFmt w:val="decimal"/>
      <w:start w:val="8"/>
    </w:lvl>
    <w:lvl w:ilvl="1">
      <w:lvlJc w:val="left"/>
      <w:lvlText w:val="(%2)"/>
      <w:numFmt w:val="lowerLetter"/>
      <w:start w:val="1"/>
    </w:lvl>
  </w:abstractNum>
  <w:abstractNum w:abstractNumId="18">
    <w:nsid w:val="71F32454"/>
    <w:multiLevelType w:val="hybridMultilevel"/>
    <w:lvl w:ilvl="0">
      <w:lvlJc w:val="left"/>
      <w:lvlText w:val="%1"/>
      <w:numFmt w:val="decimal"/>
      <w:start w:val="1"/>
    </w:lvl>
    <w:lvl w:ilvl="1">
      <w:lvlJc w:val="left"/>
      <w:lvlText w:val="(%2)"/>
      <w:numFmt w:val="lowerLetter"/>
      <w:start w:val="3"/>
    </w:lvl>
  </w:abstractNum>
  <w:abstractNum w:abstractNumId="19">
    <w:nsid w:val="2CA88611"/>
    <w:multiLevelType w:val="hybridMultilevel"/>
    <w:lvl w:ilvl="0">
      <w:lvlJc w:val="left"/>
      <w:lvlText w:val="%1."/>
      <w:numFmt w:val="decimal"/>
      <w:start w:val="11"/>
    </w:lvl>
    <w:lvl w:ilvl="1">
      <w:lvlJc w:val="left"/>
      <w:lvlText w:val="(%2)"/>
      <w:numFmt w:val="lowerLetter"/>
      <w:start w:val="1"/>
    </w:lvl>
  </w:abstractNum>
  <w:abstractNum w:abstractNumId="20">
    <w:nsid w:val="836C40E"/>
    <w:multiLevelType w:val="hybridMultilevel"/>
    <w:lvl w:ilvl="0">
      <w:lvlJc w:val="left"/>
      <w:lvlText w:val="%1"/>
      <w:numFmt w:val="decimal"/>
      <w:start w:val="1"/>
    </w:lvl>
    <w:lvl w:ilvl="1">
      <w:lvlJc w:val="left"/>
      <w:lvlText w:val="(%2)"/>
      <w:numFmt w:val="lowerLetter"/>
      <w:start w:val="7"/>
    </w:lvl>
  </w:abstractNum>
  <w:abstractNum w:abstractNumId="21">
    <w:nsid w:val="2901D82"/>
    <w:multiLevelType w:val="hybridMultilevel"/>
    <w:lvl w:ilvl="0">
      <w:lvlJc w:val="left"/>
      <w:lvlText w:val="%1."/>
      <w:numFmt w:val="decimal"/>
      <w:start w:val="12"/>
    </w:lvl>
    <w:lvl w:ilvl="1">
      <w:lvlJc w:val="left"/>
      <w:lvlText w:val="%2"/>
      <w:numFmt w:val="lowerLetter"/>
      <w:start w:val="1"/>
    </w:lvl>
  </w:abstractNum>
  <w:abstractNum w:abstractNumId="22">
    <w:nsid w:val="3A95F874"/>
    <w:multiLevelType w:val="hybridMultilevel"/>
    <w:lvl w:ilvl="0">
      <w:lvlJc w:val="left"/>
      <w:lvlText w:val="%1."/>
      <w:numFmt w:val="decimal"/>
      <w:start w:val="13"/>
    </w:lvl>
  </w:abstractNum>
  <w:abstractNum w:abstractNumId="23">
    <w:nsid w:val="8138641"/>
    <w:multiLevelType w:val="hybridMultilevel"/>
    <w:lvl w:ilvl="0">
      <w:lvlJc w:val="left"/>
      <w:lvlText w:val="%1."/>
      <w:numFmt w:val="decimal"/>
      <w:start w:val="20"/>
    </w:lvl>
  </w:abstractNum>
  <w:abstractNum w:abstractNumId="24">
    <w:nsid w:val="1E7FF521"/>
    <w:multiLevelType w:val="hybridMultilevel"/>
    <w:lvl w:ilvl="0">
      <w:lvlJc w:val="left"/>
      <w:lvlText w:val="%1."/>
      <w:numFmt w:val="decimal"/>
      <w:start w:val="26"/>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1."/>
      <w:numFmt w:val="decimal"/>
      <w:start w:val="2"/>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3"/>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2019-12-29T09:51:56Z</dcterms:created>
  <dcterms:modified xsi:type="dcterms:W3CDTF">2019-12-29T09:51:56Z</dcterms:modified>
</cp:coreProperties>
</file>