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4" w:lineRule="exact"/>
        <w:rPr>
          <w:sz w:val="24"/>
          <w:szCs w:val="24"/>
          <w:color w:val="auto"/>
        </w:rPr>
      </w:pPr>
    </w:p>
    <w:p>
      <w:pPr>
        <w:ind w:left="720" w:right="560" w:hanging="685"/>
        <w:spacing w:after="0" w:line="262"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2, 2016</w:t>
      </w:r>
    </w:p>
    <w:p>
      <w:pPr>
        <w:spacing w:after="0" w:line="63"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right="56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3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58420</wp:posOffset>
            </wp:positionV>
            <wp:extent cx="219519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519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Qorvo,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1720" w:type="dxa"/>
        <w:tblCellMar>
          <w:top w:w="0" w:type="dxa"/>
          <w:left w:w="0" w:type="dxa"/>
          <w:bottom w:w="0" w:type="dxa"/>
          <w:right w:w="0" w:type="dxa"/>
        </w:tblCellMar>
      </w:tblPr>
      <w:tr>
        <w:trPr>
          <w:trHeight w:val="238"/>
        </w:trPr>
        <w:tc>
          <w:tcPr>
            <w:tcW w:w="432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8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46-5288992</w:t>
            </w:r>
          </w:p>
        </w:tc>
      </w:tr>
      <w:tr>
        <w:trPr>
          <w:trHeight w:val="252"/>
        </w:trPr>
        <w:tc>
          <w:tcPr>
            <w:tcW w:w="432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48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32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48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3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7628 Thorndike Road, Greensboro, North Carolina 27409-9421</w:t>
      </w:r>
    </w:p>
    <w:p>
      <w:pPr>
        <w:spacing w:after="0" w:line="6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2300 N.E. Brookwood Parkway, Hillsboro, Oregon 97124</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(Zip Code)</w:t>
      </w:r>
    </w:p>
    <w:p>
      <w:pPr>
        <w:spacing w:after="0" w:line="388" w:lineRule="exact"/>
        <w:rPr>
          <w:sz w:val="24"/>
          <w:szCs w:val="24"/>
          <w:color w:val="auto"/>
        </w:rPr>
      </w:pPr>
    </w:p>
    <w:p>
      <w:pPr>
        <w:ind w:left="4840" w:hanging="441"/>
        <w:spacing w:after="0"/>
        <w:tabs>
          <w:tab w:leader="none" w:pos="48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664-1233 and (503) 615-9000</w:t>
      </w:r>
    </w:p>
    <w:p>
      <w:pPr>
        <w:spacing w:after="0" w:line="71" w:lineRule="exact"/>
        <w:rPr>
          <w:rFonts w:ascii="Times New Roman" w:cs="Times New Roman" w:eastAsia="Times New Roman" w:hAnsi="Times New Roman"/>
          <w:sz w:val="18"/>
          <w:szCs w:val="18"/>
          <w:b w:val="1"/>
          <w:bCs w:val="1"/>
          <w:color w:val="auto"/>
        </w:rPr>
      </w:pPr>
    </w:p>
    <w:p>
      <w:pPr>
        <w:ind w:left="4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(Registrant's telephone number, including area code)</w:t>
      </w:r>
    </w:p>
    <w:p>
      <w:pPr>
        <w:spacing w:after="0" w:line="122"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ectPr>
          <w:pgSz w:w="11900" w:h="16838" w:orient="portrait"/>
          <w:cols w:equalWidth="0" w:num="1">
            <w:col w:w="10900"/>
          </w:cols>
          <w:pgMar w:left="240" w:top="118" w:right="759" w:bottom="1440" w:gutter="0" w:footer="0" w:header="0"/>
        </w:sectPr>
      </w:pPr>
    </w:p>
    <w:p>
      <w:pPr>
        <w:spacing w:after="0" w:line="381" w:lineRule="exact"/>
        <w:rPr>
          <w:sz w:val="20"/>
          <w:szCs w:val="20"/>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98" w:lineRule="exact"/>
        <w:rPr>
          <w:sz w:val="20"/>
          <w:szCs w:val="20"/>
          <w:color w:val="auto"/>
        </w:rPr>
      </w:pPr>
    </w:p>
    <w:p>
      <w:pPr>
        <w:sectPr>
          <w:pgSz w:w="11900" w:h="16838" w:orient="portrait"/>
          <w:cols w:equalWidth="0" w:num="4">
            <w:col w:w="1860" w:space="680"/>
            <w:col w:w="1420" w:space="660"/>
            <w:col w:w="3380" w:space="720"/>
            <w:col w:w="2180"/>
          </w:cols>
          <w:pgMar w:left="240" w:top="118" w:right="759" w:bottom="1440" w:gutter="0" w:footer="0" w:header="0"/>
          <w:type w:val="continuous"/>
        </w:sectPr>
      </w:pPr>
    </w:p>
    <w:p>
      <w:pPr>
        <w:ind w:right="1720"/>
        <w:spacing w:after="0" w:line="2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January 29, 2016, there were 137,104,675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240" w:top="118" w:right="7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180" w:type="dxa"/>
            <w:vAlign w:val="bottom"/>
            <w:gridSpan w:val="21"/>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66"/>
        </w:trPr>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20" w:type="dxa"/>
            <w:vAlign w:val="bottom"/>
            <w:gridSpan w:val="7"/>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9"/>
              </w:rPr>
              <w:t>QORVO, INC. AND SUBSIDIARIES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5"/>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10120" w:type="dxa"/>
            <w:vAlign w:val="bottom"/>
            <w:gridSpan w:val="20"/>
          </w:tcPr>
          <w:p>
            <w:pPr>
              <w:spacing w:after="0"/>
              <w:rPr>
                <w:rFonts w:ascii="Times New Roman" w:cs="Times New Roman" w:eastAsia="Times New Roman" w:hAnsi="Times New Roman"/>
                <w:sz w:val="18"/>
                <w:szCs w:val="18"/>
                <w:b w:val="1"/>
                <w:bCs w:val="1"/>
                <w:color w:val="0000FF"/>
              </w:rPr>
            </w:pPr>
            <w:hyperlink w:anchor="page3">
              <w:r>
                <w:rPr>
                  <w:rFonts w:ascii="Times New Roman" w:cs="Times New Roman" w:eastAsia="Times New Roman" w:hAnsi="Times New Roman"/>
                  <w:sz w:val="18"/>
                  <w:szCs w:val="18"/>
                  <w:b w:val="1"/>
                  <w:bCs w:val="1"/>
                  <w:color w:val="0000FF"/>
                </w:rPr>
                <w:t>PART I — FINANCIAL INFORMATION</w:t>
              </w:r>
            </w:hyperlink>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7"/>
        </w:trPr>
        <w:tc>
          <w:tcPr>
            <w:tcW w:w="60" w:type="dxa"/>
            <w:vAlign w:val="bottom"/>
          </w:tcPr>
          <w:p>
            <w:pPr>
              <w:spacing w:after="0"/>
              <w:rPr>
                <w:sz w:val="24"/>
                <w:szCs w:val="24"/>
                <w:color w:val="auto"/>
              </w:rPr>
            </w:pPr>
          </w:p>
        </w:tc>
        <w:tc>
          <w:tcPr>
            <w:tcW w:w="3220" w:type="dxa"/>
            <w:vAlign w:val="bottom"/>
            <w:tcBorders>
              <w:top w:val="single" w:sz="8" w:color="0000FF"/>
            </w:tcBorders>
            <w:gridSpan w:val="12"/>
          </w:tcPr>
          <w:p>
            <w:pPr>
              <w:spacing w:after="0"/>
              <w:rPr>
                <w:rFonts w:ascii="Times New Roman" w:cs="Times New Roman" w:eastAsia="Times New Roman" w:hAnsi="Times New Roman"/>
                <w:sz w:val="18"/>
                <w:szCs w:val="18"/>
                <w:b w:val="1"/>
                <w:bCs w:val="1"/>
                <w:color w:val="0000FF"/>
                <w:w w:val="99"/>
              </w:rPr>
            </w:pPr>
            <w:hyperlink w:anchor="page4">
              <w:r>
                <w:rPr>
                  <w:rFonts w:ascii="Times New Roman" w:cs="Times New Roman" w:eastAsia="Times New Roman" w:hAnsi="Times New Roman"/>
                  <w:sz w:val="18"/>
                  <w:szCs w:val="18"/>
                  <w:b w:val="1"/>
                  <w:bCs w:val="1"/>
                  <w:color w:val="0000FF"/>
                  <w:w w:val="99"/>
                </w:rPr>
                <w:t xml:space="preserve">Item 1. Financial Statements </w:t>
              </w:r>
            </w:hyperlink>
            <w:r>
              <w:rPr>
                <w:rFonts w:ascii="Times New Roman" w:cs="Times New Roman" w:eastAsia="Times New Roman" w:hAnsi="Times New Roman"/>
                <w:sz w:val="18"/>
                <w:szCs w:val="18"/>
                <w:b w:val="1"/>
                <w:bCs w:val="1"/>
                <w:color w:val="0000FF"/>
                <w:w w:val="99"/>
              </w:rPr>
              <w:t>(Unaudited).</w:t>
            </w:r>
          </w:p>
        </w:tc>
        <w:tc>
          <w:tcPr>
            <w:tcW w:w="6900" w:type="dxa"/>
            <w:vAlign w:val="bottom"/>
            <w:gridSpan w:val="8"/>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as of January 2, 2016 and March 28, 2015</w:t>
              </w:r>
            </w:hyperlink>
          </w:p>
        </w:tc>
        <w:tc>
          <w:tcPr>
            <w:tcW w:w="4000" w:type="dxa"/>
            <w:vAlign w:val="bottom"/>
            <w:gridSpan w:val="4"/>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3</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and nine months ended January 2, 2016 and December 27, 2014</w:t>
              </w:r>
            </w:hyperlink>
          </w:p>
        </w:tc>
        <w:tc>
          <w:tcPr>
            <w:tcW w:w="76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4</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(Loss) Income for the three and nine months ended January 2, 2016 and December</w:t>
              </w:r>
            </w:hyperlink>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96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27, 2014</w:t>
              </w:r>
            </w:hyperlink>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gridSpan w:val="3"/>
          </w:tcPr>
          <w:p>
            <w:pPr>
              <w:jc w:val="right"/>
              <w:spacing w:after="0" w:line="196"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5</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0" w:type="dxa"/>
            <w:vAlign w:val="bottom"/>
            <w:gridSpan w:val="19"/>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nine months ended January 2, 2016 and December 27, 2014</w:t>
              </w:r>
            </w:hyperlink>
          </w:p>
        </w:tc>
        <w:tc>
          <w:tcPr>
            <w:tcW w:w="1220" w:type="dxa"/>
            <w:vAlign w:val="bottom"/>
            <w:gridSpan w:val="3"/>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580" w:type="dxa"/>
            <w:vAlign w:val="bottom"/>
            <w:tcBorders>
              <w:top w:val="single" w:sz="8" w:color="0000EE"/>
            </w:tcBorders>
            <w:gridSpan w:val="17"/>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Notes to Condensed Consolidated Financial Statements</w:t>
              </w:r>
            </w:hyperlink>
          </w:p>
        </w:tc>
        <w:tc>
          <w:tcPr>
            <w:tcW w:w="1420" w:type="dxa"/>
            <w:vAlign w:val="bottom"/>
            <w:gridSpan w:val="2"/>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7</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7440" w:type="dxa"/>
            <w:vAlign w:val="bottom"/>
            <w:gridSpan w:val="17"/>
          </w:tcPr>
          <w:p>
            <w:pPr>
              <w:spacing w:after="0"/>
              <w:rPr>
                <w:rFonts w:ascii="Times New Roman" w:cs="Times New Roman" w:eastAsia="Times New Roman" w:hAnsi="Times New Roman"/>
                <w:sz w:val="18"/>
                <w:szCs w:val="18"/>
                <w:b w:val="1"/>
                <w:bCs w:val="1"/>
                <w:color w:val="0000FF"/>
                <w:w w:val="99"/>
              </w:rPr>
            </w:pPr>
            <w:hyperlink w:anchor="page19">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hyperlink>
          </w:p>
        </w:tc>
        <w:tc>
          <w:tcPr>
            <w:tcW w:w="2680" w:type="dxa"/>
            <w:vAlign w:val="bottom"/>
            <w:gridSpan w:val="3"/>
          </w:tcPr>
          <w:p>
            <w:pPr>
              <w:spacing w:after="0"/>
              <w:rPr>
                <w:sz w:val="24"/>
                <w:szCs w:val="24"/>
                <w:color w:val="auto"/>
              </w:rPr>
            </w:pPr>
          </w:p>
        </w:tc>
        <w:tc>
          <w:tcPr>
            <w:tcW w:w="1220" w:type="dxa"/>
            <w:vAlign w:val="bottom"/>
            <w:gridSpan w:val="3"/>
          </w:tcPr>
          <w:p>
            <w:pPr>
              <w:jc w:val="right"/>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19</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80" w:type="dxa"/>
            <w:vAlign w:val="bottom"/>
            <w:gridSpan w:val="15"/>
          </w:tcPr>
          <w:p>
            <w:pPr>
              <w:spacing w:after="0"/>
              <w:rPr>
                <w:rFonts w:ascii="Times New Roman" w:cs="Times New Roman" w:eastAsia="Times New Roman" w:hAnsi="Times New Roman"/>
                <w:sz w:val="18"/>
                <w:szCs w:val="18"/>
                <w:b w:val="1"/>
                <w:bCs w:val="1"/>
                <w:color w:val="0000FF"/>
                <w:w w:val="99"/>
              </w:rPr>
            </w:pPr>
            <w:hyperlink w:anchor="page28">
              <w:r>
                <w:rPr>
                  <w:rFonts w:ascii="Times New Roman" w:cs="Times New Roman" w:eastAsia="Times New Roman" w:hAnsi="Times New Roman"/>
                  <w:sz w:val="18"/>
                  <w:szCs w:val="18"/>
                  <w:b w:val="1"/>
                  <w:bCs w:val="1"/>
                  <w:color w:val="0000FF"/>
                  <w:w w:val="99"/>
                </w:rPr>
                <w:t>Item 3. Quantitative and Qualitative Disclosures About Market Risk.</w:t>
              </w:r>
            </w:hyperlink>
          </w:p>
        </w:tc>
        <w:tc>
          <w:tcPr>
            <w:tcW w:w="2160" w:type="dxa"/>
            <w:vAlign w:val="bottom"/>
            <w:gridSpan w:val="2"/>
          </w:tcPr>
          <w:p>
            <w:pPr>
              <w:spacing w:after="0"/>
              <w:rPr>
                <w:sz w:val="21"/>
                <w:szCs w:val="21"/>
                <w:color w:val="auto"/>
              </w:rPr>
            </w:pPr>
          </w:p>
        </w:tc>
        <w:tc>
          <w:tcPr>
            <w:tcW w:w="2680" w:type="dxa"/>
            <w:vAlign w:val="bottom"/>
            <w:gridSpan w:val="3"/>
          </w:tcPr>
          <w:p>
            <w:pPr>
              <w:spacing w:after="0"/>
              <w:rPr>
                <w:sz w:val="21"/>
                <w:szCs w:val="21"/>
                <w:color w:val="auto"/>
              </w:rPr>
            </w:pPr>
          </w:p>
        </w:tc>
        <w:tc>
          <w:tcPr>
            <w:tcW w:w="1220" w:type="dxa"/>
            <w:vAlign w:val="bottom"/>
            <w:gridSpan w:val="3"/>
          </w:tcPr>
          <w:p>
            <w:pPr>
              <w:jc w:val="right"/>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520" w:type="dxa"/>
            <w:vAlign w:val="bottom"/>
            <w:gridSpan w:val="9"/>
          </w:tcPr>
          <w:p>
            <w:pPr>
              <w:spacing w:after="0"/>
              <w:rPr>
                <w:rFonts w:ascii="Times New Roman" w:cs="Times New Roman" w:eastAsia="Times New Roman" w:hAnsi="Times New Roman"/>
                <w:sz w:val="18"/>
                <w:szCs w:val="18"/>
                <w:b w:val="1"/>
                <w:bCs w:val="1"/>
                <w:color w:val="0000FF"/>
                <w:w w:val="98"/>
              </w:rPr>
            </w:pPr>
            <w:hyperlink w:anchor="page29">
              <w:r>
                <w:rPr>
                  <w:rFonts w:ascii="Times New Roman" w:cs="Times New Roman" w:eastAsia="Times New Roman" w:hAnsi="Times New Roman"/>
                  <w:sz w:val="18"/>
                  <w:szCs w:val="18"/>
                  <w:b w:val="1"/>
                  <w:bCs w:val="1"/>
                  <w:color w:val="0000FF"/>
                  <w:w w:val="98"/>
                </w:rPr>
                <w:t>Item 4. Controls and Procedures.</w:t>
              </w:r>
            </w:hyperlink>
          </w:p>
        </w:tc>
        <w:tc>
          <w:tcPr>
            <w:tcW w:w="2760" w:type="dxa"/>
            <w:vAlign w:val="bottom"/>
            <w:gridSpan w:val="6"/>
          </w:tcPr>
          <w:p>
            <w:pPr>
              <w:spacing w:after="0"/>
              <w:rPr>
                <w:sz w:val="21"/>
                <w:szCs w:val="21"/>
                <w:color w:val="auto"/>
              </w:rPr>
            </w:pPr>
          </w:p>
        </w:tc>
        <w:tc>
          <w:tcPr>
            <w:tcW w:w="4840" w:type="dxa"/>
            <w:vAlign w:val="bottom"/>
            <w:gridSpan w:val="5"/>
          </w:tcPr>
          <w:p>
            <w:pPr>
              <w:spacing w:after="0"/>
              <w:rPr>
                <w:sz w:val="21"/>
                <w:szCs w:val="21"/>
                <w:color w:val="auto"/>
              </w:rPr>
            </w:pPr>
          </w:p>
        </w:tc>
        <w:tc>
          <w:tcPr>
            <w:tcW w:w="1220" w:type="dxa"/>
            <w:vAlign w:val="bottom"/>
            <w:gridSpan w:val="3"/>
          </w:tcPr>
          <w:p>
            <w:pPr>
              <w:jc w:val="right"/>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0120" w:type="dxa"/>
            <w:vAlign w:val="bottom"/>
            <w:gridSpan w:val="20"/>
          </w:tcPr>
          <w:p>
            <w:pPr>
              <w:spacing w:after="0"/>
              <w:rPr>
                <w:rFonts w:ascii="Times New Roman" w:cs="Times New Roman" w:eastAsia="Times New Roman" w:hAnsi="Times New Roman"/>
                <w:sz w:val="18"/>
                <w:szCs w:val="18"/>
                <w:b w:val="1"/>
                <w:bCs w:val="1"/>
                <w:color w:val="0000FF"/>
              </w:rPr>
            </w:pPr>
            <w:hyperlink w:anchor="page29">
              <w:r>
                <w:rPr>
                  <w:rFonts w:ascii="Times New Roman" w:cs="Times New Roman" w:eastAsia="Times New Roman" w:hAnsi="Times New Roman"/>
                  <w:sz w:val="18"/>
                  <w:szCs w:val="18"/>
                  <w:b w:val="1"/>
                  <w:bCs w:val="1"/>
                  <w:color w:val="0000FF"/>
                </w:rPr>
                <w:t>PART II — OTHER INFORMATION</w:t>
              </w:r>
            </w:hyperlink>
          </w:p>
        </w:tc>
        <w:tc>
          <w:tcPr>
            <w:tcW w:w="1220" w:type="dxa"/>
            <w:vAlign w:val="bottom"/>
            <w:gridSpan w:val="3"/>
          </w:tcPr>
          <w:p>
            <w:pPr>
              <w:jc w:val="right"/>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2920" w:type="dxa"/>
            <w:vAlign w:val="bottom"/>
            <w:gridSpan w:val="10"/>
          </w:tcPr>
          <w:p>
            <w:pPr>
              <w:spacing w:after="0"/>
              <w:rPr>
                <w:rFonts w:ascii="Times New Roman" w:cs="Times New Roman" w:eastAsia="Times New Roman" w:hAnsi="Times New Roman"/>
                <w:sz w:val="18"/>
                <w:szCs w:val="18"/>
                <w:b w:val="1"/>
                <w:bCs w:val="1"/>
                <w:color w:val="0000FF"/>
              </w:rPr>
            </w:pPr>
            <w:hyperlink w:anchor="page29">
              <w:r>
                <w:rPr>
                  <w:rFonts w:ascii="Times New Roman" w:cs="Times New Roman" w:eastAsia="Times New Roman" w:hAnsi="Times New Roman"/>
                  <w:sz w:val="18"/>
                  <w:szCs w:val="18"/>
                  <w:b w:val="1"/>
                  <w:bCs w:val="1"/>
                  <w:color w:val="0000FF"/>
                </w:rPr>
                <w:t>Item 1A. Risk Factors.</w:t>
              </w:r>
            </w:hyperlink>
          </w:p>
        </w:tc>
        <w:tc>
          <w:tcPr>
            <w:tcW w:w="7200" w:type="dxa"/>
            <w:vAlign w:val="bottom"/>
            <w:gridSpan w:val="10"/>
          </w:tcPr>
          <w:p>
            <w:pPr>
              <w:spacing w:after="0"/>
              <w:rPr>
                <w:sz w:val="24"/>
                <w:szCs w:val="24"/>
                <w:color w:val="auto"/>
              </w:rPr>
            </w:pPr>
          </w:p>
        </w:tc>
        <w:tc>
          <w:tcPr>
            <w:tcW w:w="1220" w:type="dxa"/>
            <w:vAlign w:val="bottom"/>
            <w:gridSpan w:val="3"/>
          </w:tcPr>
          <w:p>
            <w:pPr>
              <w:jc w:val="right"/>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4"/>
          </w:tcPr>
          <w:p>
            <w:pPr>
              <w:spacing w:after="0"/>
              <w:rPr>
                <w:rFonts w:ascii="Times New Roman" w:cs="Times New Roman" w:eastAsia="Times New Roman" w:hAnsi="Times New Roman"/>
                <w:sz w:val="18"/>
                <w:szCs w:val="18"/>
                <w:b w:val="1"/>
                <w:bCs w:val="1"/>
                <w:color w:val="0000FF"/>
                <w:w w:val="99"/>
              </w:rPr>
            </w:pPr>
            <w:hyperlink w:anchor="page29">
              <w:r>
                <w:rPr>
                  <w:rFonts w:ascii="Times New Roman" w:cs="Times New Roman" w:eastAsia="Times New Roman" w:hAnsi="Times New Roman"/>
                  <w:sz w:val="18"/>
                  <w:szCs w:val="18"/>
                  <w:b w:val="1"/>
                  <w:bCs w:val="1"/>
                  <w:color w:val="0000FF"/>
                  <w:w w:val="99"/>
                </w:rPr>
                <w:t>Item 2. Unregistered Sales of Equity Securities and Use of Proceeds.</w:t>
              </w:r>
            </w:hyperlink>
          </w:p>
        </w:tc>
        <w:tc>
          <w:tcPr>
            <w:tcW w:w="4940" w:type="dxa"/>
            <w:vAlign w:val="bottom"/>
            <w:gridSpan w:val="6"/>
          </w:tcPr>
          <w:p>
            <w:pPr>
              <w:spacing w:after="0"/>
              <w:rPr>
                <w:sz w:val="21"/>
                <w:szCs w:val="21"/>
                <w:color w:val="auto"/>
              </w:rPr>
            </w:pPr>
          </w:p>
        </w:tc>
        <w:tc>
          <w:tcPr>
            <w:tcW w:w="1220" w:type="dxa"/>
            <w:vAlign w:val="bottom"/>
            <w:gridSpan w:val="3"/>
          </w:tcPr>
          <w:p>
            <w:pPr>
              <w:jc w:val="right"/>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0" w:type="dxa"/>
            <w:vAlign w:val="bottom"/>
            <w:gridSpan w:val="7"/>
            <w:shd w:val="clear" w:color="auto" w:fill="0000FF"/>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4"/>
          </w:tcPr>
          <w:p>
            <w:pPr>
              <w:spacing w:after="0"/>
              <w:rPr>
                <w:rFonts w:ascii="Times New Roman" w:cs="Times New Roman" w:eastAsia="Times New Roman" w:hAnsi="Times New Roman"/>
                <w:sz w:val="18"/>
                <w:szCs w:val="18"/>
                <w:b w:val="1"/>
                <w:bCs w:val="1"/>
                <w:color w:val="0000FF"/>
              </w:rPr>
            </w:pPr>
            <w:hyperlink w:anchor="page30">
              <w:r>
                <w:rPr>
                  <w:rFonts w:ascii="Times New Roman" w:cs="Times New Roman" w:eastAsia="Times New Roman" w:hAnsi="Times New Roman"/>
                  <w:sz w:val="18"/>
                  <w:szCs w:val="18"/>
                  <w:b w:val="1"/>
                  <w:bCs w:val="1"/>
                  <w:color w:val="0000FF"/>
                </w:rPr>
                <w:t>Item 6. Exhibits.</w:t>
              </w:r>
            </w:hyperlink>
          </w:p>
        </w:tc>
        <w:tc>
          <w:tcPr>
            <w:tcW w:w="4940" w:type="dxa"/>
            <w:vAlign w:val="bottom"/>
            <w:gridSpan w:val="6"/>
          </w:tcPr>
          <w:p>
            <w:pPr>
              <w:spacing w:after="0"/>
              <w:rPr>
                <w:sz w:val="21"/>
                <w:szCs w:val="21"/>
                <w:color w:val="auto"/>
              </w:rPr>
            </w:pPr>
          </w:p>
        </w:tc>
        <w:tc>
          <w:tcPr>
            <w:tcW w:w="1220" w:type="dxa"/>
            <w:vAlign w:val="bottom"/>
            <w:gridSpan w:val="3"/>
          </w:tcPr>
          <w:p>
            <w:pPr>
              <w:jc w:val="right"/>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30</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740" w:type="dxa"/>
            <w:vAlign w:val="bottom"/>
            <w:gridSpan w:val="1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140" w:type="dxa"/>
            <w:vAlign w:val="bottom"/>
            <w:gridSpan w:val="5"/>
          </w:tcPr>
          <w:p>
            <w:pPr>
              <w:spacing w:after="0"/>
              <w:rPr>
                <w:rFonts w:ascii="Times New Roman" w:cs="Times New Roman" w:eastAsia="Times New Roman" w:hAnsi="Times New Roman"/>
                <w:sz w:val="18"/>
                <w:szCs w:val="18"/>
                <w:b w:val="1"/>
                <w:bCs w:val="1"/>
                <w:color w:val="0000FF"/>
                <w:w w:val="95"/>
              </w:rPr>
            </w:pPr>
            <w:hyperlink w:anchor="page31">
              <w:r>
                <w:rPr>
                  <w:rFonts w:ascii="Times New Roman" w:cs="Times New Roman" w:eastAsia="Times New Roman" w:hAnsi="Times New Roman"/>
                  <w:sz w:val="18"/>
                  <w:szCs w:val="18"/>
                  <w:b w:val="1"/>
                  <w:bCs w:val="1"/>
                  <w:color w:val="0000FF"/>
                  <w:w w:val="95"/>
                </w:rPr>
                <w:t>SIGNATURES</w:t>
              </w:r>
            </w:hyperlink>
          </w:p>
        </w:tc>
        <w:tc>
          <w:tcPr>
            <w:tcW w:w="100" w:type="dxa"/>
            <w:vAlign w:val="bottom"/>
          </w:tcPr>
          <w:p>
            <w:pPr>
              <w:spacing w:after="0"/>
              <w:rPr>
                <w:sz w:val="24"/>
                <w:szCs w:val="24"/>
                <w:color w:val="auto"/>
              </w:rPr>
            </w:pPr>
          </w:p>
        </w:tc>
        <w:tc>
          <w:tcPr>
            <w:tcW w:w="8880" w:type="dxa"/>
            <w:vAlign w:val="bottom"/>
            <w:gridSpan w:val="14"/>
          </w:tcPr>
          <w:p>
            <w:pPr>
              <w:spacing w:after="0"/>
              <w:rPr>
                <w:sz w:val="24"/>
                <w:szCs w:val="24"/>
                <w:color w:val="auto"/>
              </w:rPr>
            </w:pPr>
          </w:p>
        </w:tc>
        <w:tc>
          <w:tcPr>
            <w:tcW w:w="1220" w:type="dxa"/>
            <w:vAlign w:val="bottom"/>
            <w:gridSpan w:val="3"/>
          </w:tcPr>
          <w:p>
            <w:pPr>
              <w:jc w:val="right"/>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31</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740" w:type="dxa"/>
            <w:vAlign w:val="bottom"/>
            <w:gridSpan w:val="1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120" w:type="dxa"/>
            <w:vAlign w:val="bottom"/>
            <w:gridSpan w:val="20"/>
          </w:tcPr>
          <w:p>
            <w:pPr>
              <w:spacing w:after="0"/>
              <w:rPr>
                <w:rFonts w:ascii="Times New Roman" w:cs="Times New Roman" w:eastAsia="Times New Roman" w:hAnsi="Times New Roman"/>
                <w:sz w:val="18"/>
                <w:szCs w:val="18"/>
                <w:b w:val="1"/>
                <w:bCs w:val="1"/>
                <w:color w:val="0000FF"/>
              </w:rPr>
            </w:pPr>
            <w:hyperlink w:anchor="page32">
              <w:r>
                <w:rPr>
                  <w:rFonts w:ascii="Times New Roman" w:cs="Times New Roman" w:eastAsia="Times New Roman" w:hAnsi="Times New Roman"/>
                  <w:sz w:val="18"/>
                  <w:szCs w:val="18"/>
                  <w:b w:val="1"/>
                  <w:bCs w:val="1"/>
                  <w:color w:val="0000FF"/>
                </w:rPr>
                <w:t>EXHIBIT INDEX</w:t>
              </w:r>
            </w:hyperlink>
          </w:p>
        </w:tc>
        <w:tc>
          <w:tcPr>
            <w:tcW w:w="1220" w:type="dxa"/>
            <w:vAlign w:val="bottom"/>
            <w:gridSpan w:val="3"/>
          </w:tcPr>
          <w:p>
            <w:pPr>
              <w:jc w:val="right"/>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32</w:t>
              </w:r>
            </w:hyperlink>
          </w:p>
        </w:tc>
      </w:tr>
      <w:tr>
        <w:trPr>
          <w:trHeight w:val="507"/>
        </w:trPr>
        <w:tc>
          <w:tcPr>
            <w:tcW w:w="60" w:type="dxa"/>
            <w:vAlign w:val="bottom"/>
          </w:tcPr>
          <w:p>
            <w:pPr>
              <w:spacing w:after="0"/>
              <w:rPr>
                <w:sz w:val="24"/>
                <w:szCs w:val="24"/>
                <w:color w:val="auto"/>
              </w:rPr>
            </w:pPr>
          </w:p>
        </w:tc>
        <w:tc>
          <w:tcPr>
            <w:tcW w:w="1380" w:type="dxa"/>
            <w:vAlign w:val="bottom"/>
            <w:tcBorders>
              <w:top w:val="single" w:sz="8" w:color="0000FF"/>
            </w:tcBorders>
            <w:gridSpan w:val="7"/>
          </w:tcPr>
          <w:p>
            <w:pPr>
              <w:spacing w:after="0"/>
              <w:rPr>
                <w:sz w:val="24"/>
                <w:szCs w:val="24"/>
                <w:color w:val="auto"/>
              </w:rPr>
            </w:pPr>
          </w:p>
        </w:tc>
        <w:tc>
          <w:tcPr>
            <w:tcW w:w="4740" w:type="dxa"/>
            <w:vAlign w:val="bottom"/>
            <w:gridSpan w:val="9"/>
          </w:tcPr>
          <w:p>
            <w:pPr>
              <w:jc w:val="center"/>
              <w:ind w:left="371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 2016</w:t>
            </w:r>
          </w:p>
        </w:tc>
        <w:tc>
          <w:tcPr>
            <w:tcW w:w="240" w:type="dxa"/>
            <w:vAlign w:val="bottom"/>
          </w:tcPr>
          <w:p>
            <w:pPr>
              <w:spacing w:after="0"/>
              <w:rPr>
                <w:sz w:val="16"/>
                <w:szCs w:val="16"/>
                <w:color w:val="auto"/>
              </w:rPr>
            </w:pPr>
          </w:p>
        </w:tc>
        <w:tc>
          <w:tcPr>
            <w:tcW w:w="14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March 28, 2015</w:t>
            </w:r>
          </w:p>
        </w:tc>
        <w:tc>
          <w:tcPr>
            <w:tcW w:w="0" w:type="dxa"/>
            <w:vAlign w:val="bottom"/>
          </w:tcPr>
          <w:p>
            <w:pPr>
              <w:spacing w:after="0"/>
              <w:rPr>
                <w:sz w:val="1"/>
                <w:szCs w:val="1"/>
                <w:color w:val="auto"/>
              </w:rPr>
            </w:pP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18"/>
                <w:szCs w:val="18"/>
                <w:i w:val="1"/>
                <w:iCs w:val="1"/>
                <w:color w:val="auto"/>
              </w:rPr>
              <w:t>(Note 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851,597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299,814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Short-term investments </w:t>
            </w:r>
            <w:r>
              <w:rPr>
                <w:rFonts w:ascii="Times New Roman" w:cs="Times New Roman" w:eastAsia="Times New Roman" w:hAnsi="Times New Roman"/>
                <w:sz w:val="18"/>
                <w:szCs w:val="18"/>
                <w:i w:val="1"/>
                <w:iCs w:val="1"/>
                <w:color w:val="auto"/>
              </w:rPr>
              <w:t>(Note 6)</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173,569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244,830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less allowance of $609 and $539 as of January 2, 2016 and March 28, 2015,</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296,592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353,830</w:t>
            </w: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Inventories </w:t>
            </w:r>
            <w:r>
              <w:rPr>
                <w:rFonts w:ascii="Times New Roman" w:cs="Times New Roman" w:eastAsia="Times New Roman" w:hAnsi="Times New Roman"/>
                <w:sz w:val="18"/>
                <w:szCs w:val="18"/>
                <w:i w:val="1"/>
                <w:iCs w:val="1"/>
                <w:color w:val="auto"/>
              </w:rPr>
              <w:t>(Note 3)</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406,692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346,900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59,437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52,169</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31,003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25,816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26,538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Deferred tax assets </w:t>
            </w:r>
            <w:r>
              <w:rPr>
                <w:rFonts w:ascii="Times New Roman" w:cs="Times New Roman" w:eastAsia="Times New Roman" w:hAnsi="Times New Roman"/>
                <w:sz w:val="18"/>
                <w:szCs w:val="18"/>
                <w:i w:val="1"/>
                <w:iCs w:val="1"/>
                <w:color w:val="auto"/>
              </w:rPr>
              <w:t>(Notes 5 and 8)</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150,208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1,843,717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1,500,105</w:t>
            </w:r>
          </w:p>
        </w:tc>
        <w:tc>
          <w:tcPr>
            <w:tcW w:w="0" w:type="dxa"/>
            <w:vAlign w:val="bottom"/>
          </w:tcPr>
          <w:p>
            <w:pPr>
              <w:spacing w:after="0"/>
              <w:rPr>
                <w:sz w:val="1"/>
                <w:szCs w:val="1"/>
                <w:color w:val="auto"/>
              </w:rPr>
            </w:pPr>
          </w:p>
        </w:tc>
      </w:tr>
      <w:tr>
        <w:trPr>
          <w:trHeight w:val="225"/>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$719,382 at January 2, 2016 and $609,576 at</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28, 2015</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1,012,836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883,371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2,135,697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2,140,586</w:t>
            </w:r>
          </w:p>
        </w:tc>
        <w:tc>
          <w:tcPr>
            <w:tcW w:w="0" w:type="dxa"/>
            <w:vAlign w:val="bottom"/>
          </w:tcPr>
          <w:p>
            <w:pPr>
              <w:spacing w:after="0"/>
              <w:rPr>
                <w:sz w:val="1"/>
                <w:szCs w:val="1"/>
                <w:color w:val="auto"/>
              </w:rPr>
            </w:pPr>
          </w:p>
        </w:tc>
      </w:tr>
      <w:tr>
        <w:trPr>
          <w:trHeight w:val="225"/>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 of accumulated amortization of $627,715 at January 2, 2016 and $268,926 at March</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28, 2015</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1,927,366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2,307,229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Long-term investments </w:t>
            </w:r>
            <w:r>
              <w:rPr>
                <w:rFonts w:ascii="Times New Roman" w:cs="Times New Roman" w:eastAsia="Times New Roman" w:hAnsi="Times New Roman"/>
                <w:sz w:val="18"/>
                <w:szCs w:val="18"/>
                <w:i w:val="1"/>
                <w:iCs w:val="1"/>
                <w:color w:val="auto"/>
              </w:rPr>
              <w:t>(Note 6)</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29,287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62,207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57,005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7,011,110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6,892,379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188,521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182,468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111,449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131,871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10,971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300,685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325,310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Deferred tax liabilities </w:t>
            </w:r>
            <w:r>
              <w:rPr>
                <w:rFonts w:ascii="Times New Roman" w:cs="Times New Roman" w:eastAsia="Times New Roman" w:hAnsi="Times New Roman"/>
                <w:sz w:val="18"/>
                <w:szCs w:val="18"/>
                <w:i w:val="1"/>
                <w:iCs w:val="1"/>
                <w:color w:val="auto"/>
              </w:rPr>
              <w:t>(Notes 5 and 8),</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310,189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Long-term debt, net of unamortized issuance costs </w:t>
            </w:r>
            <w:r>
              <w:rPr>
                <w:rFonts w:ascii="Times New Roman" w:cs="Times New Roman" w:eastAsia="Times New Roman" w:hAnsi="Times New Roman"/>
                <w:sz w:val="18"/>
                <w:szCs w:val="18"/>
                <w:i w:val="1"/>
                <w:iCs w:val="1"/>
                <w:color w:val="auto"/>
              </w:rPr>
              <w:t>(Note 4)</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987,888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85,362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83,720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1,517,038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719,219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$.0001 par value; 5,000 shares authorized; no shares issued and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$.0001 par value; 405,000 shares authorized; 137,051 and 149,059 shares issued and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at January 2, 2016 and March 28, 2015, respectively</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5,911,031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6,584,247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(410,963)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5,494,072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6,173,160</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7,011,110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6,892,379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6"/>
          <w:szCs w:val="16"/>
          <w:b w:val="1"/>
          <w:bCs w:val="1"/>
          <w:color w:val="auto"/>
        </w:rPr>
        <w:t>QORVO</w:t>
      </w:r>
      <w:r>
        <w:rPr>
          <w:rFonts w:ascii="Times New Roman" w:cs="Times New Roman" w:eastAsia="Times New Roman" w:hAnsi="Times New Roman"/>
          <w:sz w:val="18"/>
          <w:szCs w:val="18"/>
          <w:b w:val="1"/>
          <w:bCs w:val="1"/>
          <w:color w:val="auto"/>
        </w:rPr>
        <w:t>, INC. AND SUBSIDIARIES</w:t>
      </w:r>
    </w:p>
    <w:p>
      <w:pPr>
        <w:spacing w:after="0" w:line="31"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21"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0340"/>
          </w:cols>
          <w:pgMar w:left="240" w:top="118" w:right="1319" w:bottom="1440" w:gutter="0" w:footer="0" w:header="0"/>
        </w:sectPr>
      </w:pPr>
    </w:p>
    <w:p>
      <w:pPr>
        <w:spacing w:after="0" w:line="214"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24765</wp:posOffset>
            </wp:positionV>
            <wp:extent cx="2178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03" w:lineRule="exact"/>
        <w:rPr>
          <w:sz w:val="20"/>
          <w:szCs w:val="20"/>
          <w:color w:val="auto"/>
        </w:rPr>
      </w:pPr>
    </w:p>
    <w:p>
      <w:pPr>
        <w:ind w:left="3720"/>
        <w:spacing w:after="0"/>
        <w:tabs>
          <w:tab w:leader="none" w:pos="5380" w:val="left"/>
        </w:tabs>
        <w:rPr>
          <w:sz w:val="20"/>
          <w:szCs w:val="20"/>
          <w:color w:val="auto"/>
        </w:rPr>
      </w:pPr>
      <w:r>
        <w:rPr>
          <w:rFonts w:ascii="Times New Roman" w:cs="Times New Roman" w:eastAsia="Times New Roman" w:hAnsi="Times New Roman"/>
          <w:sz w:val="14"/>
          <w:szCs w:val="14"/>
          <w:b w:val="1"/>
          <w:bCs w:val="1"/>
          <w:color w:val="auto"/>
        </w:rPr>
        <w:t>January 2, 2016</w:t>
      </w:r>
      <w:r>
        <w:rPr>
          <w:sz w:val="20"/>
          <w:szCs w:val="20"/>
          <w:color w:val="auto"/>
        </w:rPr>
        <w:tab/>
      </w:r>
      <w:r>
        <w:rPr>
          <w:rFonts w:ascii="Times New Roman" w:cs="Times New Roman" w:eastAsia="Times New Roman" w:hAnsi="Times New Roman"/>
          <w:sz w:val="14"/>
          <w:szCs w:val="14"/>
          <w:b w:val="1"/>
          <w:bCs w:val="1"/>
          <w:color w:val="auto"/>
        </w:rPr>
        <w:t>December 27, 2014</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24765</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January 2, 2016</w:t>
      </w:r>
      <w:r>
        <w:rPr>
          <w:sz w:val="20"/>
          <w:szCs w:val="20"/>
          <w:color w:val="auto"/>
        </w:rPr>
        <w:tab/>
      </w:r>
      <w:r>
        <w:rPr>
          <w:rFonts w:ascii="Times New Roman" w:cs="Times New Roman" w:eastAsia="Times New Roman" w:hAnsi="Times New Roman"/>
          <w:sz w:val="14"/>
          <w:szCs w:val="14"/>
          <w:b w:val="1"/>
          <w:bCs w:val="1"/>
          <w:color w:val="auto"/>
        </w:rPr>
        <w:t>December 27, 2014</w:t>
      </w:r>
    </w:p>
    <w:p>
      <w:pPr>
        <w:spacing w:after="0" w:line="29" w:lineRule="exact"/>
        <w:rPr>
          <w:sz w:val="20"/>
          <w:szCs w:val="20"/>
          <w:color w:val="auto"/>
        </w:rPr>
      </w:pPr>
    </w:p>
    <w:p>
      <w:pPr>
        <w:sectPr>
          <w:pgSz w:w="11900" w:h="16838" w:orient="portrait"/>
          <w:cols w:equalWidth="0" w:num="2">
            <w:col w:w="6560" w:space="700"/>
            <w:col w:w="3080"/>
          </w:cols>
          <w:pgMar w:left="240" w:top="118" w:right="1319" w:bottom="1440" w:gutter="0" w:footer="0" w:header="0"/>
          <w:type w:val="continuous"/>
        </w:sectPr>
      </w:pPr>
    </w:p>
    <w:tbl>
      <w:tblPr>
        <w:tblLayout w:type="fixed"/>
        <w:tblInd w:w="0" w:type="dxa"/>
        <w:tblCellMar>
          <w:top w:w="0" w:type="dxa"/>
          <w:left w:w="0" w:type="dxa"/>
          <w:bottom w:w="0" w:type="dxa"/>
          <w:right w:w="0" w:type="dxa"/>
        </w:tblCellMar>
      </w:tblPr>
      <w:tr>
        <w:trPr>
          <w:trHeight w:val="274"/>
        </w:trPr>
        <w:tc>
          <w:tcPr>
            <w:tcW w:w="33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620,681</w:t>
            </w:r>
          </w:p>
        </w:tc>
        <w:tc>
          <w:tcPr>
            <w:tcW w:w="10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397,086</w:t>
            </w:r>
          </w:p>
        </w:tc>
        <w:tc>
          <w:tcPr>
            <w:tcW w:w="10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2,002,657</w:t>
            </w:r>
          </w:p>
        </w:tc>
        <w:tc>
          <w:tcPr>
            <w:tcW w:w="100" w:type="dxa"/>
            <w:vAlign w:val="bottom"/>
            <w:tcBorders>
              <w:top w:val="single" w:sz="8" w:color="auto"/>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1,076,074</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389,693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206,384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1,207,304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575,652</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230,988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190,702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795,353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500,422</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105,992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341,495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142,018</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selling</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317,460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56,008</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48,845</w:t>
            </w: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18"/>
                <w:szCs w:val="18"/>
                <w:i w:val="1"/>
                <w:iCs w:val="1"/>
                <w:color w:val="auto"/>
              </w:rPr>
              <w:t>(Note 10)</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28,540</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244,201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87,067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791,862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275,411</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103,635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225,011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318"/>
        </w:trPr>
        <w:tc>
          <w:tcPr>
            <w:tcW w:w="33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224,734</w:t>
            </w: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Income tax benefit (expense) </w:t>
            </w:r>
            <w:r>
              <w:rPr>
                <w:rFonts w:ascii="Times New Roman" w:cs="Times New Roman" w:eastAsia="Times New Roman" w:hAnsi="Times New Roman"/>
                <w:sz w:val="18"/>
                <w:szCs w:val="18"/>
                <w:i w:val="1"/>
                <w:iCs w:val="1"/>
                <w:color w:val="auto"/>
              </w:rPr>
              <w:t>(Note 5)</w:t>
            </w: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87,863</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189,821</w:t>
            </w:r>
          </w:p>
        </w:tc>
        <w:tc>
          <w:tcPr>
            <w:tcW w:w="0" w:type="dxa"/>
            <w:vAlign w:val="bottom"/>
          </w:tcPr>
          <w:p>
            <w:pPr>
              <w:spacing w:after="0"/>
              <w:rPr>
                <w:sz w:val="1"/>
                <w:szCs w:val="1"/>
                <w:color w:val="auto"/>
              </w:rPr>
            </w:pPr>
          </w:p>
        </w:tc>
      </w:tr>
      <w:tr>
        <w:trPr>
          <w:trHeight w:val="67"/>
        </w:trPr>
        <w:tc>
          <w:tcPr>
            <w:tcW w:w="338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3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Net (loss) income per share </w:t>
            </w:r>
            <w:r>
              <w:rPr>
                <w:rFonts w:ascii="Times New Roman" w:cs="Times New Roman" w:eastAsia="Times New Roman" w:hAnsi="Times New Roman"/>
                <w:sz w:val="18"/>
                <w:szCs w:val="18"/>
                <w:i w:val="1"/>
                <w:iCs w:val="1"/>
                <w:color w:val="auto"/>
              </w:rPr>
              <w:t>(Note 2):</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80" w:type="dxa"/>
            <w:vAlign w:val="bottom"/>
            <w:vMerge w:val="continue"/>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67"/>
        </w:trPr>
        <w:tc>
          <w:tcPr>
            <w:tcW w:w="338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3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outstanding </w:t>
            </w:r>
            <w:r>
              <w:rPr>
                <w:rFonts w:ascii="Times New Roman" w:cs="Times New Roman" w:eastAsia="Times New Roman" w:hAnsi="Times New Roman"/>
                <w:sz w:val="18"/>
                <w:szCs w:val="18"/>
                <w:i w:val="1"/>
                <w:iCs w:val="1"/>
                <w:color w:val="auto"/>
              </w:rPr>
              <w:t>(Note 2):</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139,343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144,936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72,167</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139,343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74,454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144,936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74,083</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340"/>
          </w:cols>
          <w:pgMar w:left="240" w:top="118" w:right="1319" w:bottom="1440" w:gutter="0" w:footer="0" w:header="0"/>
          <w:type w:val="continuous"/>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9"/>
        </w:trPr>
        <w:tc>
          <w:tcPr>
            <w:tcW w:w="5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 2016</w:t>
            </w: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27, 2014</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January 2, 2016</w:t>
            </w:r>
          </w:p>
        </w:tc>
        <w:tc>
          <w:tcPr>
            <w:tcW w:w="1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27, 2014</w:t>
            </w:r>
          </w:p>
        </w:tc>
      </w:tr>
      <w:tr>
        <w:trPr>
          <w:trHeight w:val="237"/>
        </w:trPr>
        <w:tc>
          <w:tcPr>
            <w:tcW w:w="5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120" w:type="dxa"/>
            <w:vAlign w:val="bottom"/>
          </w:tcPr>
          <w:p>
            <w:pPr>
              <w:spacing w:after="0"/>
              <w:rPr>
                <w:sz w:val="20"/>
                <w:szCs w:val="20"/>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87,863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189,821</w:t>
            </w:r>
          </w:p>
        </w:tc>
      </w:tr>
      <w:tr>
        <w:trPr>
          <w:trHeight w:val="27"/>
        </w:trPr>
        <w:tc>
          <w:tcPr>
            <w:tcW w:w="5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marketable securities, net of tax</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2,836</w:t>
            </w: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including intra-entity foreign currency</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transactions that are of a long-term-investment nature</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43"/>
        </w:trPr>
        <w:tc>
          <w:tcPr>
            <w:tcW w:w="5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adjustments, net of tax:</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Realized gain on sale of 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pension actuarial loss</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5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2,608</w:t>
            </w:r>
          </w:p>
        </w:tc>
      </w:tr>
      <w:tr>
        <w:trPr>
          <w:trHeight w:val="237"/>
        </w:trPr>
        <w:tc>
          <w:tcPr>
            <w:tcW w:w="5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120" w:type="dxa"/>
            <w:vAlign w:val="bottom"/>
          </w:tcPr>
          <w:p>
            <w:pPr>
              <w:spacing w:after="0"/>
              <w:rPr>
                <w:sz w:val="20"/>
                <w:szCs w:val="20"/>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87,426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192,429</w:t>
            </w:r>
          </w:p>
        </w:tc>
      </w:tr>
      <w:tr>
        <w:trPr>
          <w:trHeight w:val="27"/>
        </w:trPr>
        <w:tc>
          <w:tcPr>
            <w:tcW w:w="5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240" w:top="118" w:right="39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QORVO,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35"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0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5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 2016</w:t>
            </w:r>
          </w:p>
        </w:tc>
        <w:tc>
          <w:tcPr>
            <w:tcW w:w="200" w:type="dxa"/>
            <w:vAlign w:val="bottom"/>
            <w:tcBorders>
              <w:top w:val="single" w:sz="8" w:color="auto"/>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27, 2014</w:t>
            </w:r>
          </w:p>
        </w:tc>
      </w:tr>
      <w:tr>
        <w:trPr>
          <w:trHeight w:val="22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41"/>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189,821</w:t>
            </w: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137,329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37,024</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and other non-cash items</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379,587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19,727</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tax benefit from exercises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8,745</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assets and other, net</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1,561</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sale of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22,831</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(77,840)</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(44,663)</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 and other current and non-current assets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(43,484)</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48,602</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payable/recoverable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15,852</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528,233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167,099</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(49,830)</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intangibles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7,371</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securities available-for-sale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(272,578)</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maturities of securities available-for-sale</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391,522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172,431</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(142,206)</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debt</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(87,503)</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Excess tax benefit from exercises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4,640</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19,339</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 of common stock, including transaction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withholding paid on behalf of employees for restricted stock units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(15,196)</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 associated with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financing</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206,698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(78,490)</w:t>
            </w:r>
          </w:p>
        </w:tc>
      </w:tr>
      <w:tr>
        <w:trPr>
          <w:trHeight w:val="169"/>
        </w:trPr>
        <w:tc>
          <w:tcPr>
            <w:tcW w:w="80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551,783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(53,805)</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299,814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171,898</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851,597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118,093</w:t>
            </w:r>
          </w:p>
        </w:tc>
      </w:tr>
      <w:tr>
        <w:trPr>
          <w:trHeight w:val="67"/>
        </w:trPr>
        <w:tc>
          <w:tcPr>
            <w:tcW w:w="80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231"/>
        </w:trPr>
        <w:tc>
          <w:tcPr>
            <w:tcW w:w="80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information:</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 adjustments included in liabilities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28,441</w:t>
            </w: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ind w:right="570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NOTES TO CONDENSED CONSOLIDATED FINANCIAL STATEMENTS </w:t>
      </w:r>
      <w:r>
        <w:rPr>
          <w:rFonts w:ascii="Times New Roman" w:cs="Times New Roman" w:eastAsia="Times New Roman" w:hAnsi="Times New Roman"/>
          <w:sz w:val="18"/>
          <w:szCs w:val="18"/>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22, 2014, RF Micro Devices, Inc. ("RFMD") and TriQuint Semiconductor, Inc. ("TriQuint") entered into an Agreement and Plan of Merger and Reorganization (as subsequently amended on July 15, 2014, the "Merger Agreement") providing for the business combination of RFMD and TriQuint ("Business Combination") under a new holding company named Qorvo, Inc. (formerly named Rocky Holding, Inc.) ("Qorvo"). The Business Combination closing was effective on January 1, 2015 (fourth quarter of fiscal 2015). For financial reporting and accounting purposes, RFMD was the acquirer of TriQuint. The results presented in the Condensed Consolidated Financial Statements, the Notes to the Condensed Consolidated Financial Statements and in the Management's Discussion and Analysis of Financial Condition and Results of Operations ("MD&amp;A") reflect those of RFMD prior to the completion of the Business Combination with TriQuint on January 1, 2015 and those of Qorvo subsequent to the completion of the Business Combination. As used herein, all references to "the Company," "we," "us" and "our" prior to January 1, 2015 refer to RFMD and all such references on or after January 1, 2015 refer to Qorvo.</w:t>
      </w:r>
    </w:p>
    <w:p>
      <w:pPr>
        <w:spacing w:after="0" w:line="18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The preparation of these financial statements requires management to make estimates and assumptions, which could differ materially from actual results. In addition, certain information or footnote disclosures normally included in financial statements prepared in accordance with accounting principles generally accepted in the United States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Qorvo’s audited consolidated financial statements and notes thereto included in Qorvo’s Annual Report on Form 10-K for the fiscal year ended March 28, 2015.</w:t>
      </w:r>
    </w:p>
    <w:p>
      <w:pPr>
        <w:spacing w:after="0" w:line="18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significant intercompany accounts and transactions have been eliminated in consolidation.</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(LOSS) INCOME PER SHARE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effective January 1, 2015, the Company effected a one-for-four reverse stock split of the Company's issued and outstanding shares of common stock. All share and per share information contained in the accompanying Condensed Consolidated Financial Statements, Notes to the Condensed Consolidated Financial Statements and MD&amp;A have been retroactively adjusted to reflect the reverse stock split for all periods presented.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the numerators and denominators in the computation of basic and diluted net (loss) income per share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 2016</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2014</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 2016</w:t>
            </w:r>
          </w:p>
        </w:tc>
        <w:tc>
          <w:tcPr>
            <w:tcW w:w="180" w:type="dxa"/>
            <w:vAlign w:val="bottom"/>
          </w:tcPr>
          <w:p>
            <w:pPr>
              <w:spacing w:after="0"/>
              <w:rPr>
                <w:sz w:val="22"/>
                <w:szCs w:val="22"/>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27, 2014</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Numerator for basic and diluted net (loss) income per</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 — net (loss) income available to common</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87,863</w:t>
            </w:r>
          </w:p>
        </w:tc>
        <w:tc>
          <w:tcPr>
            <w:tcW w:w="10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189,821</w:t>
            </w:r>
          </w:p>
        </w:tc>
        <w:tc>
          <w:tcPr>
            <w:tcW w:w="0" w:type="dxa"/>
            <w:vAlign w:val="bottom"/>
          </w:tcPr>
          <w:p>
            <w:pPr>
              <w:spacing w:after="0"/>
              <w:rPr>
                <w:sz w:val="1"/>
                <w:szCs w:val="1"/>
                <w:color w:val="auto"/>
              </w:rPr>
            </w:pPr>
          </w:p>
        </w:tc>
      </w:tr>
      <w:tr>
        <w:trPr>
          <w:trHeight w:val="281"/>
        </w:trPr>
        <w:tc>
          <w:tcPr>
            <w:tcW w:w="47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Denominator for basic net (loss) income per share —</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weighted average shares</w:t>
            </w:r>
          </w:p>
        </w:tc>
        <w:tc>
          <w:tcPr>
            <w:tcW w:w="22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139,343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72,723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144,936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72,167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awards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Denominator for diluted net (loss) income per share — adjusted</w:t>
            </w: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139,343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74,454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144,936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74,083</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shares and assumed conversions</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 net (loss) income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computation of diluted net loss per share for the three and nine months ended January 2, 2016, all outstanding stock options were excluded because the effect of their inclusion would have been anti-dilutive. In the computation of diluted net income per share for the three months ended December 27, 2014, no potential shares were excluded from the calculation. In the computation of diluted net income per share for the nine months ended December 27, 2014, outstanding stock options to purchase less than 0.1 million shares were excluded because the exercise price of the options was greater than the average market price of the underlying common stock and the effect of their inclusion would have been anti-dilutive.</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computation of diluted net income per share for the three and nine months ended December 27, 2014 does not assume the conversion of the Company’s previously issued $175 million initial aggregate principal amount of 1.00% convertible subordinated notes due 2014 (the "2014 Notes"). The 2014 Notes became due on April 15, 2014, and the remaining principal balance of $87.5 million was paid with cash on hand.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market determined using the average cost method. The components of inventories are as follows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January 2, 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28, 2015</w:t>
            </w:r>
          </w:p>
        </w:tc>
        <w:tc>
          <w:tcPr>
            <w:tcW w:w="0" w:type="dxa"/>
            <w:vAlign w:val="bottom"/>
          </w:tcPr>
          <w:p>
            <w:pPr>
              <w:spacing w:after="0"/>
              <w:rPr>
                <w:sz w:val="1"/>
                <w:szCs w:val="1"/>
                <w:color w:val="auto"/>
              </w:rPr>
            </w:pPr>
          </w:p>
        </w:tc>
      </w:tr>
      <w:tr>
        <w:trPr>
          <w:trHeight w:val="249"/>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4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71,863</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4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189,912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137,306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43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127,649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137,731</w:t>
            </w:r>
          </w:p>
        </w:tc>
        <w:tc>
          <w:tcPr>
            <w:tcW w:w="0" w:type="dxa"/>
            <w:vAlign w:val="bottom"/>
          </w:tcPr>
          <w:p>
            <w:pPr>
              <w:spacing w:after="0"/>
              <w:rPr>
                <w:sz w:val="1"/>
                <w:szCs w:val="1"/>
                <w:color w:val="auto"/>
              </w:rPr>
            </w:pPr>
          </w:p>
        </w:tc>
      </w:tr>
      <w:tr>
        <w:trPr>
          <w:trHeight w:val="237"/>
        </w:trPr>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inventories</w:t>
            </w:r>
          </w:p>
        </w:tc>
        <w:tc>
          <w:tcPr>
            <w:tcW w:w="43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406,692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346,900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380" w:type="dxa"/>
            <w:vAlign w:val="bottom"/>
            <w:vMerge w:val="restart"/>
          </w:tcPr>
          <w:p>
            <w:pPr>
              <w:jc w:val="right"/>
              <w:ind w:right="217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3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4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balances at January 2, 2016 and March 28, 2015 are as follows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 2016</w:t>
            </w:r>
          </w:p>
        </w:tc>
        <w:tc>
          <w:tcPr>
            <w:tcW w:w="240" w:type="dxa"/>
            <w:vAlign w:val="bottom"/>
          </w:tcPr>
          <w:p>
            <w:pPr>
              <w:spacing w:after="0"/>
              <w:rPr>
                <w:sz w:val="16"/>
                <w:szCs w:val="16"/>
                <w:color w:val="auto"/>
              </w:rPr>
            </w:pPr>
          </w:p>
        </w:tc>
        <w:tc>
          <w:tcPr>
            <w:tcW w:w="1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2015</w:t>
            </w:r>
          </w:p>
        </w:tc>
      </w:tr>
      <w:tr>
        <w:trPr>
          <w:trHeight w:val="249"/>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6.75% Senior Notes due 2023</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7.00% Senior Notes due 2025</w:t>
            </w:r>
          </w:p>
        </w:tc>
        <w:tc>
          <w:tcPr>
            <w:tcW w:w="2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987,888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November 19, 2015, the Company completed an offering of $450 million aggregate principal amount of its 6.75% senior notes due December 1, 2023 (the “2023 Notes”) and $550 million aggregate principal amount of its 7.00% senior notes due December 1, 2025 (the “2025 Notes” and, together with the 2023 Notes, the “Notes”). The Notes were sold in the United States to qualified institutional buyers pursuant to Rule 144A under the Securities Act of 1933, as amended (the “Securities Act”), and outside the United States pursuant to Regulation S under the Securities Act. The carrying value of issuance costs related to the Notes is $12.1 million as of January 2, 2016, and is presented on the Condensed Consolidated Balance Sheet as a direct deduction of the carrying value of the Notes.</w:t>
      </w:r>
    </w:p>
    <w:p>
      <w:pPr>
        <w:spacing w:after="0" w:line="19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Notes were issued pursuant to an indenture, dated as of November 19, 2015 (the “Indenture”), by and among the Company, the Company’s domestic subsidiaries that guarantee the Company’s obligations under its revolving credit facility, as guarantors (the “Guarantors”), and MUFG Union Bank, N.A., as trustee. The Company has used and intends to continue to use the net proceeds of the offering of the Notes for general corporate purposes, including share repurchases and merger and acquisition activity.</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Interest is payable on the 2023 Notes at a rate of 6.75% per annum and on the 2025 Notes at a rate of 7.00% per annum. Interest on both series of Notes is payable semi-annually on June 1 and December 1 of each year, commencing on June 1, 2016.</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any time prior to December 1, 2018, the Company may redeem all or part of the 2023 Notes, at a redemption price equal to their principal amount, plus a “make whole” premium as of the redemption date, and accrued and unpaid interest. In addition, at any time prior to December 1, 2018, the Company may redeem up to 35% of the original aggregate principal amount of the 2023 Notes with the proceeds of one or more equity offerings, at a redemption price equal to 106.75%, plus accrued and unpaid interest. Furthermore, at any time on or after December 1, 2018, the Company may redeem the 2023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any time prior to December 1, 2020, the Company may redeem all or part of the 2025 Notes, at a redemption price equal to their principal amount, plus a “make whole” premium as of the redemption date, and accrued and unpaid interest. In addition, at any time prior to December 1, 2018, the Company may redeem up to 35% of the original aggregate principal amount of the 2025 Notes with the proceeds of one or more equity offerings, at a redemption price equal to 107.00%, plus accrued and unpaid interest. Furthermore, at any time on or after December 1, 2020, the Company may redeem the 2025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8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Indenture contains customary events of default, including, among other things, payment default, exchange default, failure to provide certain notices thereunder and certain provisions related to bankruptcy events. The Indenture also contains customary negative covenants.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Notes have not been registered under the Securities Act, or any state securities laws, and, unless so registered, may not be offered or sold in the United States absent registration or an applicable exemption from the registration requirements of the Securities Act and applicable state securities laws.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connection with the offering of the Notes, the Company entered into a Registration Rights Agreement, dated as of November 19, 2015 (the “Registration Rights Agreement”), with the Guarantors party thereto, on the one hand, and Merrill Lynch, Pierce, Fenner &amp; Smith Incorporated, as representative of the initial purchasers of the Notes (the “Initial Purchasers”), on the other hand.</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Registration Rights Agreement, the Company and the Guarantors have agreed to use their commercially reasonable efforts to (i) file with the SEC a registration statement (the “Exchange Offer Registration Statement”) relating to the registered exchange offer (the “Exchange Offer”) to exchange the Notes for a new series of the Company’s exchange notes having terms substantially identical in all material respects to, and in the same aggregate principal amount, as the Notes, (ii) cause the Exchange Offer Registration Statement to be declared effective by the SEC; and (iii) cause the Exchange Offer to be consummated no later than the 360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8"/>
          <w:szCs w:val="18"/>
          <w:color w:val="auto"/>
        </w:rPr>
        <w:t xml:space="preserve"> day after November 19, 2015 (or if such 360th day is not a business day, the next succeeding business day). The Company and the Guarantors have also agreed to use their commercially reasonable efforts to cause the Exchange Offer Registration Statement to be effective continuously and keep the Exchange Offer open for a period of not less than the minimum period required under applicable federal and state securities laws to consummate the Exchange Offer.</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certain circumstances, the Company and the Guarantors have agreed to use their commercially reasonable efforts to (i) file a shelf registration statement relating to the resale of the Notes as promptly as practicable, and (ii) cause the shelf registration statement to be declared effective by the SEC as promptly as practicable. The Company and the Guarantors have also agreed to use their commercially reasonable efforts to keep the shelf registration statement continuously effective until one year after its effective date (or such shorter period that will terminate when all the Notes covered thereby have been sold pursuant thereto).</w:t>
      </w:r>
    </w:p>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the Company fails to meet any of these targets, the annual interest rate on the Notes will increase by 0.25% during the 90-day period following the default, and will increase by an additional 0.25% for each subsequent 90-day period during which the default continues, up to a maximum additional interest rate of 1.00% per year. If the Company cures the default, the interest rate on the Notes will revert to the original level.</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2023 Notes and the 2025 Notes are traded over the counter and their fair values as of January 2, 2016, of $459.8 million and $569.3 million, respectively (compared to carrying values of $450.0 million and $550.0 million, respectively) were estimated based upon the values of their last trade at the end of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April 7, 2015, the Company and the Guarantors entered into a five-year unsecured senior credit facility with Bank of America, N.A., as administrative agent (in such capacity, the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swingline loans. The Company may request, at any time and from time to time, that the revolving credit facility be increased by an amount not to exceed $150.0 million. The revolving credit facility is available to finance working capital, capital expenditures and other corporate purposes. The Company’s obligations under the Credit Agreement are jointly and severally guaranteed by the Guarantors. During the nine months ended January 2, 2016, the Company borrowed and repaid $125.0 million under the revolving credit facility. The Company currently has no outstanding amounts under the Credit Agreement.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18" w:right="25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Company’s option, loans under the Credit Agreement will bear interest at (i) the Applicable Rate (as defined in the Credit Agreement) plus the Eurodollar Rate (as defined in the Credit Agreement) or (ii) the Applicable Rate plus a rate equal to the highest of (a) the federal funds rate plus 0.50%, (b) the prime rate of the Administrative Agent, or (c) the Eurodollar Base Rate plus 1.0% (the “Base Rate”). All swingline loans will bear interest at a rate equal to the Applicable Rate plus the Base Rate. The Eurodollar Base Rate is the rate per annum equal to the London Interbank Offered Rate, as published by Bloomberg, for dollar deposits for interest periods of one, two, three or six months, as selected by the Company. The Applicable Rate for Eurodollar Rate loans ranges from 1.50% per annum to 2.00% per annum. The Applicable Rate for Base Rate loans ranges from 0.50% per annum to 1.00% per annum. Interest for Eurodollar Rate loans will be payable at the end of each applicable interest period or at three-month intervals, if such interest period exceeds three months. Interest for Base Rate loans will be payable quarterly in arrears. The Company will pay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Credit Agreement contains various conditions, covenants and representations with which the Company must be in compliance in order to borrow funds and to avoid an event of default, including financial covenants that the Company must maintain. On November 12, 2015, the Credit Agreement was amended to increase the size of certain of the negative covenant baskets and the threshold for certain negative covenant incurrence-based permissions and to raise the consolidated leverage ratio test from 2.50 to 1.00 to 3.00 to 1.00 as of the end of any fiscal quarter. The Company must also maintain a consolidated interest coverage ratio of not less than 3.00 to 1.00 as of the end of any fiscal quarter.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also contains customary events of default, and the occurrence of an event of default will increase the applicable rate of interest by</w:t>
      </w:r>
    </w:p>
    <w:p>
      <w:pPr>
        <w:spacing w:after="0" w:line="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2.00% and could result in the termination of commitments under the revolving credit facility, the declaration that all outstanding loans are due and payable in whole or in part and the requirement of cash collateral deposits in respect of outstanding letters of credit. Outstanding amounts are due in full on the maturity date of April 7, 2020 (with amounts borrowed under the swingline option due in full no later than ten business days after such loan is made).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3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April 2007, the Company issued the 2014 Notes, which became due on April 15, 2014. The remaining principal balance of $87.5 million plus interest of $0.4 million was paid at maturity with cash on hand.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Company’s provision for income taxes for the three and nine months ended January 2, 2016 and December 27, 2014 has been calculated by applying an estimate of the annual effective tax rate for the full fiscal year to “ordinary” income or loss (pre-tax income or loss excluding unusual or infrequently occurring discrete items) for the three and nine months ended January 2, 2016 and December 27, 2014.</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income tax (benefit) expense was $(9.9) million and $4.5 million for the three and nine months ended January 2, 2016, respectively, and the Company's income tax expense was $15.6 million and $34.9 million for the three and nine months ended December 27, 2014, respectively. The Company’s effective tax rate was 47.0% and (3,183.0)% for the three and nine months ended January 2, 2016, respectively, and 15.1% and 15.5% for the three and nine months ended December 27, 2014, respectively. The Company's effective tax rate for both the third quarter of fiscal 2016 and the third quarter of fiscal 2015 differed from the statutory rate primarily due to tax rate differences in foreign jurisdictions, state income taxes, domestic tax credits generated, adjustments to deferred tax assets and liabilities primarily related to changes in state tax laws, adjustments to the valuation allowance limiting the recognition of the benefit of domestic deferred tax assets, changes in uncertain tax position exposure, and the domestic production activity deduction (fiscal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valuation allowance against net deferred tax assets increased as of January 2, 2016 by $6.1 million from the $13.8 million balance as of the end of fiscal 2015, primarily due to an increase in domestic deferred tax assets related to domestic state tax credits. A valuation allowance remained against certain domestic and foreign net deferred tax assets as it is more likely than not that the related deferred tax assets will not be realized.</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118" w:right="27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outstanding domestic federal and state tax net operating loss (“NOLs”) carry-forwards that expire in fiscal years 2016 to 2035 if unused. The use of the NOLs that were acquired in prior year acquisitions is subject to certain annual limitations under Internal Revenue Code Section 382 and similar state tax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Company’s gross unrecognized tax benefits increased from $59.4 million as of the end of fiscal 2015 to $66.6 million as of the end of the third quarter of fiscal 2016, due to a $7.1 million increase related to tax positions taken with respect to the current fiscal year and a $0.1 million increase related to tax positions taken with respect to prior fiscal years.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available-for-sale securities as of January 2, 2016 and March 28, 2015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3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6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 2016</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government/agency securities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149,888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149,851</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Auction rate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196,137</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5,554</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409,070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409,070</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758,108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762,421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March 28, 2015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government/agency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197,516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197,507</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Auction rate securities</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43,147</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8,175</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48,961</w:t>
            </w: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293,385</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6,589</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299,540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estimated fair value of available-for-sale securities was based on the prevailing market values on January 2, 2016 and March 28, 2015. Determination of the cost for sold investments is based on the specific identification method.</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gross realized gains and losses recognized on available-for-sale securities for the three months ended January 2, 2016 were insignificant. There were $4.0 million of gross realized gains and insignificant gross realized losses recognized on available-for-sale securities for the nine months ended January 2, 2016. There were no gross realized gains and losses recognized on available-for-sale securities for the three and nine months ended December 27, 2014.</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aggregate amount of available-for-sale securities in an unrealized loss position for fewer than 12 months as of January 2, 2016 was $161.6 million, with $0.4 million in unrealized losses. The aggregate amount of available-for-sale securities in an unrealized loss position for fewer than 12 months as of March 28, 2015 was $112.9 million, with $0.4 million in unrealized losses. No available-for-sale investments were in a continuous unrealized loss position for 12 months or greater as of January 2, 2016 or as of March 28, 2015.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of available-for-sale investments with contractual maturities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January 2, 2016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March 28, 2015</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960" w:type="dxa"/>
            <w:vAlign w:val="bottom"/>
          </w:tcPr>
          <w:p>
            <w:pPr>
              <w:jc w:val="right"/>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755,102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755,058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289,641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289,615</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ten years</w:t>
            </w:r>
          </w:p>
        </w:tc>
        <w:tc>
          <w:tcPr>
            <w:tcW w:w="28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investments in debt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757,252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756,867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291,791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291,365</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3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August 4, 2015, Qorvo's wholly-owned subsidiary, TriQuint, invested $25.0 million to acquire shares of Series F Preferred Stock of Cavendish Kinetics Limited, a private limited company incorporated in England and Wales. This investment was accounted for as a cost method investment and classified in "Long-term investments" on the Company's Condensed Consolidated Balance Sheet as of January 2, 2016. No impairment was recognized on the Company's cost-method investment during the nine months ended January 2,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 quarterly basis, the Company measures the fair value of its marketable securities, which are comprised of U.S. government/agency securities, corporate debt, auction rate securities (ARS), marketable equity securities, and money market funds. Marketable securities are reported at fair value in "Cash and cash equivalents", "Short-term investments" and "Long-term investments" on the Company’s Condensed Consolidated Balance Sheet. The related unrealized gains and losses are included in "Accumulated other comprehensive loss", a component of "Stockholders’ equity", net of tax.</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financial assets measured at fair value on a recurring basis was determined using the following levels of inputs as of January 2, 2016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2015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3"/>
                <w:szCs w:val="13"/>
                <w:color w:val="auto"/>
              </w:rPr>
            </w:pPr>
          </w:p>
        </w:tc>
        <w:tc>
          <w:tcPr>
            <w:tcW w:w="1500" w:type="dxa"/>
            <w:vAlign w:val="bottom"/>
            <w:vMerge w:val="restart"/>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50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0" w:type="dxa"/>
            <w:vAlign w:val="bottom"/>
          </w:tcPr>
          <w:p>
            <w:pPr>
              <w:spacing w:after="0"/>
              <w:rPr>
                <w:sz w:val="1"/>
                <w:szCs w:val="1"/>
                <w:color w:val="auto"/>
              </w:rPr>
            </w:pPr>
          </w:p>
        </w:tc>
      </w:tr>
      <w:tr>
        <w:trPr>
          <w:trHeight w:val="195"/>
        </w:trPr>
        <w:tc>
          <w:tcPr>
            <w:tcW w:w="6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5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249"/>
        </w:trPr>
        <w:tc>
          <w:tcPr>
            <w:tcW w:w="6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 2016</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U.S. government/agency securities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149,851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149,851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xml:space="preserve">Auction rate securities </w:t>
            </w:r>
            <w:r>
              <w:rPr>
                <w:rFonts w:ascii="Times New Roman" w:cs="Times New Roman" w:eastAsia="Times New Roman" w:hAnsi="Times New Roman"/>
                <w:sz w:val="14"/>
                <w:szCs w:val="14"/>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xml:space="preserve">Corporate debt </w:t>
            </w:r>
            <w:r>
              <w:rPr>
                <w:rFonts w:ascii="Times New Roman" w:cs="Times New Roman" w:eastAsia="Times New Roman" w:hAnsi="Times New Roman"/>
                <w:sz w:val="14"/>
                <w:szCs w:val="14"/>
                <w:color w:val="auto"/>
              </w:rPr>
              <w:t>(2)</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196,137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196,137</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409,070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409,070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762,421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564,475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197,946</w:t>
            </w:r>
          </w:p>
        </w:tc>
        <w:tc>
          <w:tcPr>
            <w:tcW w:w="0" w:type="dxa"/>
            <w:vAlign w:val="bottom"/>
          </w:tcPr>
          <w:p>
            <w:pPr>
              <w:spacing w:after="0"/>
              <w:rPr>
                <w:sz w:val="1"/>
                <w:szCs w:val="1"/>
                <w:color w:val="auto"/>
              </w:rPr>
            </w:pPr>
          </w:p>
        </w:tc>
      </w:tr>
      <w:tr>
        <w:trPr>
          <w:trHeight w:val="237"/>
        </w:trPr>
        <w:tc>
          <w:tcPr>
            <w:tcW w:w="6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xml:space="preserve">Invested funds in deferred compensation plan </w:t>
            </w:r>
            <w:r>
              <w:rPr>
                <w:rFonts w:ascii="Times New Roman" w:cs="Times New Roman" w:eastAsia="Times New Roman" w:hAnsi="Times New Roman"/>
                <w:sz w:val="14"/>
                <w:szCs w:val="14"/>
                <w:color w:val="auto"/>
              </w:rPr>
              <w:t>(3)</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6,077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768,498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570,552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197,946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Invested funds in deferred compensation plan </w:t>
            </w:r>
            <w:r>
              <w:rPr>
                <w:rFonts w:ascii="Times New Roman" w:cs="Times New Roman" w:eastAsia="Times New Roman" w:hAnsi="Times New Roman"/>
                <w:sz w:val="14"/>
                <w:szCs w:val="14"/>
                <w:color w:val="auto"/>
              </w:rPr>
              <w:t>(3)</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6,077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6,077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6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March 28, 2015</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U.S. government/agency securities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197,507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197,507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xml:space="preserve">Auction rate securities </w:t>
            </w:r>
            <w:r>
              <w:rPr>
                <w:rFonts w:ascii="Times New Roman" w:cs="Times New Roman" w:eastAsia="Times New Roman" w:hAnsi="Times New Roman"/>
                <w:sz w:val="14"/>
                <w:szCs w:val="14"/>
                <w:color w:val="auto"/>
              </w:rPr>
              <w:t>(1)</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xml:space="preserve">Corporate debt </w:t>
            </w:r>
            <w:r>
              <w:rPr>
                <w:rFonts w:ascii="Times New Roman" w:cs="Times New Roman" w:eastAsia="Times New Roman" w:hAnsi="Times New Roman"/>
                <w:sz w:val="14"/>
                <w:szCs w:val="14"/>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43,147</w:t>
            </w: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48,961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299,540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254,643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44,897</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Invested funds in deferred compensation plan </w:t>
            </w:r>
            <w:r>
              <w:rPr>
                <w:rFonts w:ascii="Times New Roman" w:cs="Times New Roman" w:eastAsia="Times New Roman" w:hAnsi="Times New Roman"/>
                <w:sz w:val="14"/>
                <w:szCs w:val="14"/>
                <w:color w:val="auto"/>
              </w:rPr>
              <w:t>(3)</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308,154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263,257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44,897</w:t>
            </w:r>
          </w:p>
        </w:tc>
        <w:tc>
          <w:tcPr>
            <w:tcW w:w="0" w:type="dxa"/>
            <w:vAlign w:val="bottom"/>
          </w:tcPr>
          <w:p>
            <w:pPr>
              <w:spacing w:after="0"/>
              <w:rPr>
                <w:sz w:val="1"/>
                <w:szCs w:val="1"/>
                <w:color w:val="auto"/>
              </w:rPr>
            </w:pPr>
          </w:p>
        </w:tc>
      </w:tr>
      <w:tr>
        <w:trPr>
          <w:trHeight w:val="67"/>
        </w:trPr>
        <w:tc>
          <w:tcPr>
            <w:tcW w:w="6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20" w:type="dxa"/>
            <w:vAlign w:val="bottom"/>
            <w:tcBorders>
              <w:bottom w:val="single" w:sz="8" w:color="CCEEFF"/>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xml:space="preserve">Invested funds in deferred compensation plan </w:t>
            </w:r>
            <w:r>
              <w:rPr>
                <w:rFonts w:ascii="Times New Roman" w:cs="Times New Roman" w:eastAsia="Times New Roman" w:hAnsi="Times New Roman"/>
                <w:sz w:val="14"/>
                <w:szCs w:val="14"/>
                <w:color w:val="auto"/>
              </w:rPr>
              <w:t>(3)</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8"/>
        <w:spacing w:after="0" w:line="258" w:lineRule="auto"/>
        <w:tabs>
          <w:tab w:leader="none" w:pos="23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ARS are debt instruments with interest rates that reset through periodic short-term auctions. The Company’s Level 2 ARS are valued based on quoted prices for identical or similar instruments in markets that are not active.</w:t>
      </w: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debt includes corporate bonds and commercial paper that are valued using observable market prices for identical securities that are traded in less active markets.</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non-qualified deferred compensation plan provides eligible employees and members of the Board of Directors with the opportunity to defer a specified</w:t>
      </w:r>
    </w:p>
    <w:p>
      <w:pPr>
        <w:spacing w:after="0" w:line="5" w:lineRule="exact"/>
        <w:rPr>
          <w:rFonts w:ascii="Times New Roman" w:cs="Times New Roman" w:eastAsia="Times New Roman" w:hAnsi="Times New Roman"/>
          <w:sz w:val="16"/>
          <w:szCs w:val="16"/>
          <w:color w:val="auto"/>
        </w:rPr>
      </w:pPr>
    </w:p>
    <w:p>
      <w:pPr>
        <w:ind w:right="6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of their cash compensation. The Company includes the assets deferred by the participants in the “Other current assets” and “Other non-current assets” line items of its Condensed Consolidated Balance Sheets and the Company's obligation to deliver the deferred compensation in the "Other current liabilities" and “Other long-term liabilities” line items of its Condensed Consolidated Balance Sheets.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118" w:right="27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31"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accounts payable and accrued liabilities approximate fair values because of the relatively short-term maturities of these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SHARE REPURCHASES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February 5, 2015, the Company's Board of Directors authorized the repurchase of up to $200.0 million of the Company's outstanding common stock, exclusive of related fees, commissions or other expenses. On August 11, 2015, the Company announced the completion of this $200.0 million share repurchase program having repurchased approximately 2.4 million shares of the Company's common stock for approximately $150.0 million during fiscal 2016. On August 11, 2015, the Company announced that its Board of Directors authorized a new share repurchase program to repurchase up to $400.0 million of the Company's outstanding common stock. On September 10, 2015, the Company announced the completion of this $400.0 million share repurchase program having repurchased approximately 7.3 million shares of common stock for approximately $400.0 million during the second quarter of fiscal 2016.</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November 5, 2015, the Company announced that its Board of Directors authorized a new share repurchase program to repurchase up to $1,000.0 million of the Company's outstanding stock through November 4, 2016. Under the share repurchase program, share repurchases will be made in accordance with applicable securities laws on the open market or in privately negotiated transactions. The extent to which the Company repurchases its shares, the number of shares and the timing of any repurchases will depend on general market conditions, regulatory requirements, alternative investment opportunities and other considerations. The program does not require the Company to repurchase a minimum number of shares, and may be modified, suspended or terminated at any time without prior notice. During the three months ended January 2, 2016, the Company repurchased approximately 4.6 million shares of common stock for approximately $250.0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RECENT ACCOUNTING PRONOUNCEMENTS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November 2015, the Financial Accounting Standards Board ("FASB") issued Accounting Standards Update ("ASU") 2015-17, </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Classification of Deferred Taxes," </w:t>
      </w:r>
      <w:r>
        <w:rPr>
          <w:rFonts w:ascii="Times New Roman" w:cs="Times New Roman" w:eastAsia="Times New Roman" w:hAnsi="Times New Roman"/>
          <w:sz w:val="18"/>
          <w:szCs w:val="18"/>
          <w:color w:val="auto"/>
        </w:rPr>
        <w:t>which will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3C3C3D"/>
        </w:rPr>
        <w:t>entities to present deferred tax assets ("DTA") and deferred tax liabilities ("DTL") as non-current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3C3C3D"/>
        </w:rPr>
        <w:t>classified balance sheet. This ASU simplifies the current guidance, which requires entities to separately present DTAs and DTLs as current and non-current in a classified balance sheet. This standard is effective for annual periods and interim periods within those fiscal years, beginning after December 15, 2016, but permits entities to early adopt at the beginning of any interim or annual period. The Company adopted ASU 2015-17 in the period ending January 2, 2016, prospectively, as it believes the adoption of this standard reduces complexity of its Condensed Consolidated Financial Statements as well as enhances the usefulness of the related financial information. Prior periods presented in the Condensed Consolidated Balance Sheet were not retrospectively adjusted.</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September 2015, the FASB issued ASU No. 2015-16, "</w:t>
      </w:r>
      <w:r>
        <w:rPr>
          <w:rFonts w:ascii="Times New Roman" w:cs="Times New Roman" w:eastAsia="Times New Roman" w:hAnsi="Times New Roman"/>
          <w:sz w:val="18"/>
          <w:szCs w:val="18"/>
          <w:i w:val="1"/>
          <w:iCs w:val="1"/>
          <w:color w:val="auto"/>
        </w:rPr>
        <w:t>Business Combinations (Topic 805): Simplifying the Accounting for Measurement-Period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This ASU requires an acquirer in a business combination to recognize adjustments to provisional amounts that are identified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period in the reporting period in which the adjustment amounts are determined. The effect on earnings of changes in depreciation, amortization or other income effects, as a result of the change in provisional amounts, are to be included in the same period’s financial statements, calculated as if the accounting had been completed at the acquisition date. The amendments in this update are effective for fiscal years beginning after December 15, 2015, including interim periods within those fiscal years and shall be applied prospectively to adjustments to provisional amounts that occur after the effective date of this ASU.</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July 2015, the FASB issued ASU 2015-11, </w:t>
      </w:r>
      <w:r>
        <w:rPr>
          <w:rFonts w:ascii="Times New Roman" w:cs="Times New Roman" w:eastAsia="Times New Roman" w:hAnsi="Times New Roman"/>
          <w:sz w:val="18"/>
          <w:szCs w:val="18"/>
          <w:i w:val="1"/>
          <w:iCs w:val="1"/>
          <w:color w:val="auto"/>
        </w:rPr>
        <w:t>"Inventory (Topic 330): Simplifying the Measurement of Inventory"</w:t>
      </w:r>
      <w:r>
        <w:rPr>
          <w:rFonts w:ascii="Times New Roman" w:cs="Times New Roman" w:eastAsia="Times New Roman" w:hAnsi="Times New Roman"/>
          <w:sz w:val="18"/>
          <w:szCs w:val="18"/>
          <w:color w:val="auto"/>
        </w:rPr>
        <w:t>. Entities that measure their inventory other than the last-in, last-out and retail inventory methods will measure their inventory at the lower of cost or net realized value. Net realized value is the estimated selling price in the ordinary cost of business less reasonably predictable costs to completion, transportation, or disposal. Currently, inventory is required to be measured at the lower of cost or market where market could be the replacement cost, net realizable value, or net realizable value less an approximated normal profit margin. The new authoritative guidance is effective for fiscal years beginning after December 15, 2016 and interim periods within those fiscal years. Early adoption is permitted and implementation will be applied on a prospective basis. The Company will adopt the provisions of ASU 2015-11 in the first quarter of fiscal 2018, and is currently evaluating the impact on its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April 2015, the FASB issued ASU 2015-05</w:t>
      </w:r>
      <w:r>
        <w:rPr>
          <w:rFonts w:ascii="Times New Roman" w:cs="Times New Roman" w:eastAsia="Times New Roman" w:hAnsi="Times New Roman"/>
          <w:sz w:val="18"/>
          <w:szCs w:val="18"/>
          <w:i w:val="1"/>
          <w:iCs w:val="1"/>
          <w:color w:val="auto"/>
        </w:rPr>
        <w:t>, "Customer's Accounting for Fees Paid in a Cloud Computing Arrangement</w:t>
      </w:r>
      <w:r>
        <w:rPr>
          <w:rFonts w:ascii="Times New Roman" w:cs="Times New Roman" w:eastAsia="Times New Roman" w:hAnsi="Times New Roman"/>
          <w:sz w:val="18"/>
          <w:szCs w:val="18"/>
          <w:color w:val="auto"/>
        </w:rPr>
        <w:t>" which provides additional guidance to customers about whether a cloud computing arrangement includes a software license. Under ASU 2015-05, if a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The Company will adopt the provisions of ASU 2015-05 in the first quarter of fiscal 2017, and is currently evaluating the impact on its consolidated financial statements.</w:t>
      </w:r>
    </w:p>
    <w:p>
      <w:pPr>
        <w:spacing w:after="0" w:line="1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 xml:space="preserve">In April 2015, the FASB issued ASU 2015-03, </w:t>
      </w:r>
      <w:r>
        <w:rPr>
          <w:rFonts w:ascii="Times New Roman" w:cs="Times New Roman" w:eastAsia="Times New Roman" w:hAnsi="Times New Roman"/>
          <w:sz w:val="18"/>
          <w:szCs w:val="18"/>
          <w:i w:val="1"/>
          <w:iCs w:val="1"/>
          <w:color w:val="auto"/>
        </w:rPr>
        <w:t>"Interest - Imputation of Interest (Topic 835-30): Simplifying the Presentation of Debt Issuance Costs"</w:t>
      </w:r>
      <w:r>
        <w:rPr>
          <w:rFonts w:ascii="Times New Roman" w:cs="Times New Roman" w:eastAsia="Times New Roman" w:hAnsi="Times New Roman"/>
          <w:sz w:val="18"/>
          <w:szCs w:val="18"/>
          <w:color w:val="auto"/>
        </w:rPr>
        <w:t xml:space="preserve"> ("ASU 2015-03"). ASU 2015-03 requires debt issuance costs related to a recognized debt liability be presented in the balance sheet as a direct deduction from the related debt liability's carrying value, which is consistent with the presentation of debt discounts. ASU 2015-03 is effective for financial statements issued for fiscal years beginning after December 15, 2015. The Company elected to early adopt this new guidance, and as a result, debt issuance costs are presented as a direct deduction of the Notes' carrying value on the Condensed Consolidated Balance Sheet.</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that amends existing guidance on revenue recognition. The new guidance is based on principles that an entity will recognize revenue to depict the transfer of goods and services to customers at an amount the entity expects to be entitled to in exchange for those goods and services. The guidance requires additional disclosures regarding the nature, amount, timing, and uncertainty of cash flows and both qualitative and quantitative information about contracts with customers and applied significant judgments. In August 2015, the FASB issued ASU 2015-14, </w:t>
      </w:r>
      <w:r>
        <w:rPr>
          <w:rFonts w:ascii="Times New Roman" w:cs="Times New Roman" w:eastAsia="Times New Roman" w:hAnsi="Times New Roman"/>
          <w:sz w:val="18"/>
          <w:szCs w:val="18"/>
          <w:i w:val="1"/>
          <w:iCs w:val="1"/>
          <w:color w:val="auto"/>
        </w:rPr>
        <w:t>"Revenue from Contracts with Customers (Topic 606): Deferral of the Effective Date"</w:t>
      </w:r>
      <w:r>
        <w:rPr>
          <w:rFonts w:ascii="Times New Roman" w:cs="Times New Roman" w:eastAsia="Times New Roman" w:hAnsi="Times New Roman"/>
          <w:sz w:val="18"/>
          <w:szCs w:val="18"/>
          <w:color w:val="auto"/>
        </w:rPr>
        <w:t xml:space="preserve"> which deferred the effective date for the adoption of ASU 2014-09 by one year. Early adoption is permissible but not before its original effective date of annual reporting periods beginning after December 15, 2016. The new authoritative guidance will become effective for the Company in the first quarter of fiscal 2019, using one of two retrospective methods of adoption. The Company has not determined which method it will adopt and is evaluating the effects the new guidance will have on its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OPERATING SEGMENT INFORMATION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operating segments as of January 2, 2016 are Mobile Products (MP) and Infrastructure and Defense Products (IDP). In the fourth quarter of fiscal 2015, the Company renamed its reportable segments from Cellular Products Group to MP, and Multi-Market Products Group to IDP, as a result of the Business Combination. Additionally, the chief operating decision maker (CODM) elected to discontinue reporting Compound Semiconductor Group as an operating segment.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MP is a leading global supplier of radio frequency (RF) solutions that perform various functions in the cellular radio front end section of smartphones, tablets and other mobile devices. These RF solutions are required for devices that operate under 4G, Wi-Fi and other communications standards. These solutions include various discrete RF components and module configurations, including complete RF front end modules that combine high-performance filters, power amplifiers and switches into single placement solutions.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IDP is a leading global supplier of a broad array of RF solutions to wireless network infrastructure, defense and aerospace markets and short-range connectivity applications for commercial, consumer, industrial and automotive markets. IDP’s solutions include high power gallium arsenide ("GaAs") and gallium nitride ("GaN") components and various multichip and hybrid assemblies.</w:t>
      </w:r>
    </w:p>
    <w:p>
      <w:pPr>
        <w:spacing w:after="0" w:line="17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of January 2, 2016, MP and IDP are separate reportable segments based on the organizational structure and information reviewed by the Company's Chief Executive Officer, who is the Company's CODM, and are managed separately based on the end markets and applications they support. The CODM allocates resources and assesses the performance of each operating segment primarily based on non-GAAP operating income (loss) and non-GAAP operating income (loss) as a percentage of revenue.</w:t>
      </w:r>
    </w:p>
    <w:p>
      <w:pPr>
        <w:spacing w:after="0" w:line="18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“All other” category includes operating expenses such as stock-based compensation, amortization of purchased intangible assets, acquisition and integration-related costs, intellectual property rights (IPR) litigation costs, restructuring and disposal costs, start-up costs, gain (loss) on assets, and other miscellaneous corporate overhead expenses that the Company does not allocate to its reportable segments because these expenses are not included in the segment operating performance measures</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118" w:right="27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details of the Company’s reportable segments and a reconciliation of the “All other” category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80" w:type="dxa"/>
            <w:vAlign w:val="bottom"/>
          </w:tcPr>
          <w:p>
            <w:pPr>
              <w:spacing w:after="0"/>
              <w:rPr>
                <w:sz w:val="12"/>
                <w:szCs w:val="12"/>
                <w:color w:val="auto"/>
              </w:rPr>
            </w:pPr>
          </w:p>
        </w:tc>
        <w:tc>
          <w:tcPr>
            <w:tcW w:w="118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489,397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341,999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1,618,444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901,576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IDP</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381,303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172,817</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620,681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397,086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2,002,657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1,076,074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MP</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126,019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112,672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471,736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269,014</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IDP</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30,896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67,818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36,535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103,635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225,011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103,431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224,734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583"/>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80" w:type="dxa"/>
            <w:vAlign w:val="bottom"/>
          </w:tcPr>
          <w:p>
            <w:pPr>
              <w:spacing w:after="0"/>
              <w:rPr>
                <w:sz w:val="12"/>
                <w:szCs w:val="12"/>
                <w:color w:val="auto"/>
              </w:rPr>
            </w:pPr>
          </w:p>
        </w:tc>
        <w:tc>
          <w:tcPr>
            <w:tcW w:w="118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“All other” category: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disposal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IPR litigation costs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Start-up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5"/>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(including gain (loss) on assets and other miscellaneous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overhead)</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from operations for “All other”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BUSINESS ACQUISITION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January 1, 2015, pursuant to the Merger Agreement, RFMD and TriQuint completed a strategic combination of their respective businesses through the “merger of equals” Business Combination under a new holding company named Qorvo, Inc. The total purchase price was approximately $5,254.4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Business Combination resulted in the recognition of $470.0 million of in-process research and development (IPRD) of which $350.0 million relates to the MP operating segment and $120.0 million relates to the IDP operating segment. The IPRD encompasses a broad technology portfolio of product innovations in RF applications for MP and IDP. These technologies include a variety of semiconductor processes in GaAs and GaN for power and switching applications and surface acoustic wave (SAW) and bulk acoustic wave (BAW) structures for filter applications. Included in IPRD are continuous improvements in the process for design and manufacturing as well as innovation in fundamental research areas such as materials, simulation and modeling, circuit design, device packaging and test.</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nine months ended January 2, 2016, $101.0 million of IPRD assets were completed, transferred to finite-lived intangible assets, and are being amortized over their useful lives of 4 to 6 years. As of January 2, 2016, the IPRD projects for the MP operating segment totaled $287.0 million and are between 65% to 85% complete with estimated completion dates through the end of fiscal 2017. As of January 2, 2016, the IPRD projects associated with the IDP operating segment totaled $82.0 million and are between 60% to 90% complete with estimated completion dates through the end of fiscal 2017. Remaining costs to complete the IPRD projects for the MP operating segment and the IDP operating segment are approximately $10.0 million to $20.0 million and $5.0 million to $10.0 million, respectively.</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remaining IPRD asset is classified as an indefinite lived intangible asset that is not currently subject to amortization but is reviewed for impairment annually or whenever events or changes in circumstances indicate that the carrying value of such asset may not be recoverable. The IPRD asset will be subject to amortization upon completion of its respective research project and at the start of commercialization. The fair value assigned to the IPRD asset was determined using the income approach based on estimates and judgments regarding risks inherent in the development process, including the likelihood of achieving technological success and market acceptance. If the IPRD project is abandoned, the acquired technology attributable to the project will be expensed in the Condensed Consolidated Statements of Operations.</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January 2, 2016, the Company incurred approximately $4.9 million and $21.0 million, respectively, of integration costs and approximately $3.0 million and $9.3 million, respectively, of restructuring costs (including stock-based compensation) associated with the Business Combination (primarily related to employee termination benefits). During the three and nine months ended December 27, 2014, the Company incurred approximately $0.7 million and $4.5 million, respectively, of acquisition costs and approximately $6.8 million and $18.9 million, respectively, of integration costs associated with the Business Combination.</w:t>
      </w:r>
    </w:p>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acquisition, integration and restructuring costs are being expensed as incurred and are presented in the Condensed Consolidated Statements of Operations as "Other operating expense."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22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and Section 21E of the Securities Exchange Act of 1934, as amended, that relate to our plans, objectives, estimates and goals. Statements expressing expectations regarding our future and projections relating to products, sales, revenues and earnings are typical of such statements and are made under the Private Securities Litigation Reform Act of 1995. Words such as “expect,” “anticipate,” “intend,” “plan,” “believe,” and “estimate,” and variations of such words and similar expressions, identify such forward-looking statements. Our business is subject to numerous risks and uncertainties, including, but not limited to the factors listed below:</w:t>
      </w:r>
    </w:p>
    <w:p>
      <w:pPr>
        <w:spacing w:after="0" w:line="168" w:lineRule="exact"/>
        <w:rPr>
          <w:sz w:val="20"/>
          <w:szCs w:val="20"/>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and economic conditions, including downturns in the semiconductor industry and/or the overall economy;</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predict market requirements and evolving industry standards in a timely manner;</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predict customer demand and thereby avoid the possibility of obsolete inventory, which would reduce our profit margins;</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and distributors’ ability to manage the inventory they hold and forecast their demand;</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operations, product technologies and personnel as well as achieve expected synergies;</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cost savings and improve yields and margins on our new and existing products;</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possible downward pressure on the average selling prices of our products caused by our customers or our competitors;</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utilize our capacity, or to acquire or source additional capacity, in response to customer demand;</w:t>
      </w:r>
    </w:p>
    <w:p>
      <w:pPr>
        <w:spacing w:after="0" w:line="225" w:lineRule="exact"/>
        <w:rPr>
          <w:rFonts w:ascii="Times New Roman" w:cs="Times New Roman" w:eastAsia="Times New Roman" w:hAnsi="Times New Roman"/>
          <w:sz w:val="18"/>
          <w:szCs w:val="18"/>
          <w:color w:val="auto"/>
        </w:rPr>
      </w:pPr>
    </w:p>
    <w:p>
      <w:pPr>
        <w:ind w:left="740" w:hanging="408"/>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one or more of our customers to access their traditional sources of credit, which could lead them to reduce their level of purchases or seek credit or other accommodations from us;</w:t>
      </w:r>
    </w:p>
    <w:p>
      <w:pPr>
        <w:spacing w:after="0" w:line="161"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improve our product designs, develop new products in response to new technologies, and achieve design wins;</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customers for a substantial portion of our revenue;</w:t>
      </w:r>
    </w:p>
    <w:p>
      <w:pPr>
        <w:spacing w:after="0" w:line="225" w:lineRule="exact"/>
        <w:rPr>
          <w:rFonts w:ascii="Times New Roman" w:cs="Times New Roman" w:eastAsia="Times New Roman" w:hAnsi="Times New Roman"/>
          <w:sz w:val="18"/>
          <w:szCs w:val="18"/>
          <w:color w:val="auto"/>
        </w:rPr>
      </w:pPr>
    </w:p>
    <w:p>
      <w:pPr>
        <w:ind w:left="740" w:right="80" w:hanging="408"/>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U.S. government and on U.S government sponsored programs (principally for defense and aerospace applications) for a portion of our revenue;</w:t>
      </w:r>
    </w:p>
    <w:p>
      <w:pPr>
        <w:spacing w:after="0" w:line="161" w:lineRule="exact"/>
        <w:rPr>
          <w:rFonts w:ascii="Times New Roman" w:cs="Times New Roman" w:eastAsia="Times New Roman" w:hAnsi="Times New Roman"/>
          <w:sz w:val="18"/>
          <w:szCs w:val="18"/>
          <w:color w:val="auto"/>
        </w:rPr>
      </w:pPr>
    </w:p>
    <w:p>
      <w:pPr>
        <w:ind w:left="740" w:right="520" w:hanging="408"/>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bring new products to market in response to market shifts and to use technological innovation to shorten time-to-market for our products;</w:t>
      </w:r>
    </w:p>
    <w:p>
      <w:pPr>
        <w:spacing w:after="0" w:line="161"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our wafer fabrication facilities, our assembly facilities and our test and tape and reel facilities;</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manufacturing yields;</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raw material costs and availability of raw materials;</w:t>
      </w:r>
    </w:p>
    <w:p>
      <w:pPr>
        <w:spacing w:after="0" w:line="225" w:lineRule="exact"/>
        <w:rPr>
          <w:rFonts w:ascii="Times New Roman" w:cs="Times New Roman" w:eastAsia="Times New Roman" w:hAnsi="Times New Roman"/>
          <w:sz w:val="18"/>
          <w:szCs w:val="18"/>
          <w:color w:val="auto"/>
        </w:rPr>
      </w:pPr>
    </w:p>
    <w:p>
      <w:pPr>
        <w:ind w:left="740" w:right="420" w:hanging="408"/>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including wafer foundries, wafer starting material suppliers, passive component manufacturers, assembly and packaging suppliers and test and tape and reel suppliers;</w:t>
      </w:r>
    </w:p>
    <w:p>
      <w:pPr>
        <w:spacing w:after="0" w:line="161"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platform provider and customer relationships;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740" w:right="60" w:hanging="40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commercialize and enforce intellectual property rights (IPR) and to operate our business without infringing on the unlicensed IPR of others;</w:t>
      </w:r>
    </w:p>
    <w:p>
      <w:pPr>
        <w:spacing w:after="0" w:line="161" w:lineRule="exact"/>
        <w:rPr>
          <w:rFonts w:ascii="Times New Roman" w:cs="Times New Roman" w:eastAsia="Times New Roman" w:hAnsi="Times New Roman"/>
          <w:sz w:val="18"/>
          <w:szCs w:val="18"/>
          <w:color w:val="auto"/>
        </w:rPr>
      </w:pPr>
    </w:p>
    <w:p>
      <w:pPr>
        <w:ind w:left="740" w:right="280" w:hanging="40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security breaches and other similar disruptions, which could compromise our information and expose us to liability and could cause our business and reputation to suffer;</w:t>
      </w:r>
    </w:p>
    <w:p>
      <w:pPr>
        <w:spacing w:after="0" w:line="161" w:lineRule="exact"/>
        <w:rPr>
          <w:rFonts w:ascii="Times New Roman" w:cs="Times New Roman" w:eastAsia="Times New Roman" w:hAnsi="Times New Roman"/>
          <w:sz w:val="18"/>
          <w:szCs w:val="18"/>
          <w:color w:val="auto"/>
        </w:rPr>
      </w:pPr>
    </w:p>
    <w:p>
      <w:pPr>
        <w:ind w:left="740" w:right="760" w:hanging="40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tariffs, trade barriers, tax and export license requirements and health and security issues associated with our foreign operations;</w:t>
      </w:r>
    </w:p>
    <w:p>
      <w:pPr>
        <w:spacing w:after="0" w:line="161"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personnel and develop leaders for key business units and functions;</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of the Business Combination, including difficulty in integrating the businesses of RFMD and TriQuint; and</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expected amount and timing of cost savings and operating synergies related to the Business Combination.</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which are described in more detail in our most recent Annual Report on Form 10-K and in other reports and statements that we file with the SEC, could cause the actual results and developments to be materially different from those expressed or implied by any of these forward-looking statements. Forward-looking statements speak only as of the date they were made and we undertake no obligation to update or revise such statements, except as required by the federal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22, 2014, RF Micro Devices, Inc. (“RFMD”) entered into an Agreement and Plan of Merger and Reorganization, (as subsequently amended on July 15, 2014, the "Merger Agreement"), with TriQuint Semiconductor, Inc. ("TriQuint") providing for the combination of RFMD and TriQuint in a merger of equals ("Business Combination") under a new holding company named Qorvo, Inc. (the “Company” or “Qorvo”). The transactions contemplated by the Merger Agreement were consummated on January 1, 2015, and as a result, TriQuint's results of operations are included in Qorvo's Condensed Consolidated Statements of Operations for the three and nine months ended January 2, 2016.</w:t>
      </w:r>
    </w:p>
    <w:p>
      <w:pPr>
        <w:spacing w:after="0" w:line="18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For financial reporting and accounting purposes, RFMD was the acquirer of TriQuint in the Business Combination. Unless otherwise noted, “we,” “our” or "us” in this report refers to RFMD and its subsidiaries prior to the closing of the Business Combination and to Qorvo and its subsidiaries after the closing of the Business Combination.</w:t>
      </w:r>
    </w:p>
    <w:p>
      <w:pPr>
        <w:spacing w:after="0" w:line="176"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following MD&amp;A is intended to help the reader understand the consolidated results of operations and financial condition of Qorvo. MD&amp;A is provided as a supplement to, and should be read in conjunction with, our Condensed Consolidated Financial Statements and accompanying Notes.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a leading provider of core technologies and radio frequency (“RF”) solutions for mobile, infrastructure and defense and aerospace applications. We have more than 7,000 global employees dedicated to delivering solutions for everything that connects the world. Our design and manufacturing expertise encompasses many semiconductor process technologies, which we source both internally and through external suppliers. We operate worldwide, with design, sales and manufacturing facilities located in Asia, Europe and North America.</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design, develop, manufacture and market our products to leading U.S. and international original equipment manufacturers ("OEMs") and original design manufacturers ("ODMs") in the following operating segments:</w:t>
      </w:r>
    </w:p>
    <w:p>
      <w:pPr>
        <w:spacing w:after="0" w:line="160" w:lineRule="exact"/>
        <w:rPr>
          <w:sz w:val="20"/>
          <w:szCs w:val="20"/>
          <w:color w:val="auto"/>
        </w:rPr>
      </w:pPr>
    </w:p>
    <w:p>
      <w:pPr>
        <w:ind w:left="340" w:right="20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Mobile Products (MP) </w:t>
      </w:r>
      <w:r>
        <w:rPr>
          <w:rFonts w:ascii="Times New Roman" w:cs="Times New Roman" w:eastAsia="Times New Roman" w:hAnsi="Times New Roman"/>
          <w:sz w:val="18"/>
          <w:szCs w:val="18"/>
          <w:color w:val="auto"/>
        </w:rPr>
        <w:t>- MP is a leading global supplier of RF solutions that perform various functions in the cellular radio front end section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smartphones, tablets and other mobile devices. These RF solutions are required for devices that operate under 4G, Wi-Fi and other communications standards. These solutions include various discrete RF components and module configurations, including complete RF front end modules that combine high-performance filters, power amplifiers and switches into single placement solutions.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left="340" w:right="120" w:hanging="332"/>
        <w:spacing w:after="0" w:line="26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Infrastructure and Defense Products (IDP) </w:t>
      </w:r>
      <w:r>
        <w:rPr>
          <w:rFonts w:ascii="Times New Roman" w:cs="Times New Roman" w:eastAsia="Times New Roman" w:hAnsi="Times New Roman"/>
          <w:sz w:val="18"/>
          <w:szCs w:val="18"/>
          <w:color w:val="auto"/>
        </w:rPr>
        <w:t>- IDP is a leading global supplier of a broad array of RF solutions to wireless network infrastructure, defense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aerospace markets and short-range connectivity applications for commercial, consumer, industrial and automotive markets. IDP’s solutions include high power gallium arsenide ("GaAs") and gallium nitride ("GaN") components and various multichip and hybrid assemblies.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January 2, 2016, our reportable segments are MP and IDP. These business segments are based on the organizational structure and information reviewed by our Chief Executive Officer, who is our chief operating decision maker (or CODM), and are managed separately based on the end markets and applications they support. The CODM allocates resources and evaluates the performance of each operating segment primarily based on operating income and operating income as a percentage of revenue. In connection with the Business Combination, in the fourth quarter of fiscal 2015 we renamed our Cellular Products Group operating segment as MP and our Multi-Market Products Group operating segment as IDP. Additionally, the CODM elected to discontinue reporting Compound Semiconductor Group as an operating segment (see Note 9 of the Notes to the Condensed Consolidated Financial Statements in Part I, Item 1 of this report for additional information regarding our operating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FISCAL 2016 FINANCIAL HIGHLIGHTS:</w:t>
      </w:r>
    </w:p>
    <w:p>
      <w:pPr>
        <w:spacing w:after="0" w:line="229" w:lineRule="exact"/>
        <w:rPr>
          <w:sz w:val="20"/>
          <w:szCs w:val="20"/>
          <w:color w:val="auto"/>
        </w:rPr>
      </w:pPr>
    </w:p>
    <w:p>
      <w:pPr>
        <w:ind w:left="280" w:right="420" w:hanging="272"/>
        <w:spacing w:after="0" w:line="266"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revenue increased 56.3% as compared to the third quarter of fiscal 2015, due to the addition of TriQuint revenue in the three months ended January 2, 2016, which was partially offset by decreased demand for our cellular RF solutions for smartphones and for our wireless infrastructure products.</w:t>
      </w:r>
    </w:p>
    <w:p>
      <w:pPr>
        <w:spacing w:after="0" w:line="176" w:lineRule="exact"/>
        <w:rPr>
          <w:rFonts w:ascii="Times New Roman" w:cs="Times New Roman" w:eastAsia="Times New Roman" w:hAnsi="Times New Roman"/>
          <w:sz w:val="18"/>
          <w:szCs w:val="18"/>
          <w:color w:val="auto"/>
        </w:rPr>
      </w:pPr>
    </w:p>
    <w:p>
      <w:pPr>
        <w:ind w:left="280" w:right="80" w:hanging="272"/>
        <w:spacing w:after="0" w:line="261"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quarter was 37.2% as compared to 48.0% for the third quarter of fiscal 2015. This decrease was primarily due to costs related to the Business Combination (including intangible amortization and stock-based compensation) and average selling price erosion and was partially offset by the synergies created from the Business Combination as well as a favorable change in product mix towards higher margin products and manufacturing and sourcing-related cost reductions.</w:t>
      </w:r>
    </w:p>
    <w:p>
      <w:pPr>
        <w:spacing w:after="0" w:line="18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$13.2 million for the third quarter of fiscal 2016 as compared to operating income of $103.6 million for the third quarter of fiscal</w:t>
      </w:r>
    </w:p>
    <w:p>
      <w:pPr>
        <w:spacing w:after="0" w:line="27" w:lineRule="exact"/>
        <w:rPr>
          <w:rFonts w:ascii="Times New Roman" w:cs="Times New Roman" w:eastAsia="Times New Roman" w:hAnsi="Times New Roman"/>
          <w:sz w:val="18"/>
          <w:szCs w:val="18"/>
          <w:color w:val="auto"/>
        </w:rPr>
      </w:pPr>
    </w:p>
    <w:p>
      <w:pPr>
        <w:ind w:left="2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2015. This decrease was primarily due to costs related to the Business Combination (including intangible amortization and stock-based compensation) and average selling price erosion and was partially offset by increased revenue and profitability resulting from the addition of TriQuint's operations and by a favorable change in product mix towards higher margin products.</w:t>
      </w:r>
    </w:p>
    <w:p>
      <w:pPr>
        <w:spacing w:after="0" w:line="186" w:lineRule="exact"/>
        <w:rPr>
          <w:rFonts w:ascii="Times New Roman" w:cs="Times New Roman" w:eastAsia="Times New Roman" w:hAnsi="Times New Roman"/>
          <w:sz w:val="18"/>
          <w:szCs w:val="18"/>
          <w:color w:val="auto"/>
        </w:rPr>
      </w:pPr>
    </w:p>
    <w:p>
      <w:pPr>
        <w:ind w:left="280" w:right="80" w:hanging="272"/>
        <w:spacing w:after="0" w:line="282"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third quarter of fiscal 2016 was $(0.08) as compared to $1.18 for the third quarter of fiscal 2015 after giving retroactive effect to the one-for-four reverse stock split related to the Business Combination.</w:t>
      </w:r>
    </w:p>
    <w:p>
      <w:pPr>
        <w:spacing w:after="0" w:line="161" w:lineRule="exact"/>
        <w:rPr>
          <w:rFonts w:ascii="Times New Roman" w:cs="Times New Roman" w:eastAsia="Times New Roman" w:hAnsi="Times New Roman"/>
          <w:sz w:val="18"/>
          <w:szCs w:val="18"/>
          <w:color w:val="auto"/>
        </w:rPr>
      </w:pPr>
    </w:p>
    <w:p>
      <w:pPr>
        <w:ind w:left="280" w:right="240" w:hanging="272"/>
        <w:spacing w:after="0" w:line="266"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was $218.0 million for the third quarter of fiscal 2016 as compared to $72.1 million for the third quarter of fiscal 2015. This year-over-year increase was primarily attributable to improved profitability resulting from the addition of TriQuint's operations exclusive of non-cash Business Combination expenses.</w:t>
      </w:r>
    </w:p>
    <w:p>
      <w:pPr>
        <w:spacing w:after="0" w:line="176" w:lineRule="exact"/>
        <w:rPr>
          <w:rFonts w:ascii="Times New Roman" w:cs="Times New Roman" w:eastAsia="Times New Roman" w:hAnsi="Times New Roman"/>
          <w:sz w:val="18"/>
          <w:szCs w:val="18"/>
          <w:color w:val="auto"/>
        </w:rPr>
      </w:pPr>
    </w:p>
    <w:p>
      <w:pPr>
        <w:ind w:left="280" w:right="280" w:hanging="272"/>
        <w:spacing w:after="0" w:line="282"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$61.5 million for the third quarter of fiscal 2016 as compared to $20.8 million for the third quarter of fiscal 2015. This year-over-year increase was primarily related to projects for increasing premium filter capacity as well as for manufacturing cost savings initiatives.</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fiscal 2016, we repurchased approximately 4.6 million shares of our common stock for approximately $250.0 million.</w:t>
      </w:r>
    </w:p>
    <w:p>
      <w:pPr>
        <w:spacing w:after="0" w:line="225" w:lineRule="exact"/>
        <w:rPr>
          <w:rFonts w:ascii="Times New Roman" w:cs="Times New Roman" w:eastAsia="Times New Roman" w:hAnsi="Times New Roman"/>
          <w:sz w:val="18"/>
          <w:szCs w:val="18"/>
          <w:color w:val="auto"/>
        </w:rPr>
      </w:pPr>
    </w:p>
    <w:p>
      <w:pPr>
        <w:ind w:left="280" w:right="140" w:hanging="272"/>
        <w:spacing w:after="0" w:line="313" w:lineRule="auto"/>
        <w:tabs>
          <w:tab w:leader="none" w:pos="2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third quarter of fiscal 2016, we recorded merger-related expenses, integration costs and restructuring expenses totaling $7.9 million related to the Business Combination. We expect merger and integrated-related expenses associated with the Business Combination to decrease in future periods.</w:t>
      </w:r>
    </w:p>
    <w:p>
      <w:pPr>
        <w:spacing w:after="0" w:line="138" w:lineRule="exact"/>
        <w:rPr>
          <w:rFonts w:ascii="Times New Roman" w:cs="Times New Roman" w:eastAsia="Times New Roman" w:hAnsi="Times New Roman"/>
          <w:sz w:val="17"/>
          <w:szCs w:val="17"/>
          <w:color w:val="auto"/>
        </w:rPr>
      </w:pPr>
    </w:p>
    <w:p>
      <w:pPr>
        <w:ind w:left="280" w:right="360" w:hanging="272"/>
        <w:spacing w:after="0" w:line="282"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we completed an offering of $450 million aggregate principal amount of 6.75% senior notes due 2023 and $550 million aggregate principal amount of 7.00% senior notes due 2025.</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Consolidated</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tables presents a summary of our results of operations for the three and nine months ended January 2, 2016 and December 27, 2014 (in thousands, except percentages):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5"/>
        </w:trPr>
        <w:tc>
          <w:tcPr>
            <w:tcW w:w="3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620,681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397,086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223,595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389,693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206,384</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183,309</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230,988</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190,702</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40,286</w:t>
            </w:r>
          </w:p>
        </w:tc>
        <w:tc>
          <w:tcPr>
            <w:tcW w:w="100" w:type="dxa"/>
            <w:vAlign w:val="bottom"/>
          </w:tcPr>
          <w:p>
            <w:pPr>
              <w:spacing w:after="0"/>
              <w:rPr>
                <w:sz w:val="20"/>
                <w:szCs w:val="20"/>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105,992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48,865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57,127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selling</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101,890</w:t>
            </w:r>
          </w:p>
        </w:tc>
        <w:tc>
          <w:tcPr>
            <w:tcW w:w="10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17,939</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83,951</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24,404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12,026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12,378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11,915</w:t>
            </w:r>
          </w:p>
        </w:tc>
        <w:tc>
          <w:tcPr>
            <w:tcW w:w="10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8,237</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103,635</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(116,848)</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3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January 2, 2016</w:t>
            </w:r>
          </w:p>
        </w:tc>
        <w:tc>
          <w:tcPr>
            <w:tcW w:w="100" w:type="dxa"/>
            <w:vAlign w:val="bottom"/>
            <w:vMerge w:val="restart"/>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20" w:type="dxa"/>
            <w:vAlign w:val="bottom"/>
            <w:vMerge w:val="restart"/>
          </w:tcPr>
          <w:p>
            <w:pPr>
              <w:spacing w:after="0"/>
              <w:rPr>
                <w:sz w:val="12"/>
                <w:szCs w:val="12"/>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27, 2014</w:t>
            </w:r>
          </w:p>
        </w:tc>
        <w:tc>
          <w:tcPr>
            <w:tcW w:w="120" w:type="dxa"/>
            <w:vAlign w:val="bottom"/>
            <w:vMerge w:val="restart"/>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5"/>
        </w:trPr>
        <w:tc>
          <w:tcPr>
            <w:tcW w:w="3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2,002,657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1,076,074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926,583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1,207,304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575,652</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631,652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795,353</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500,422</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294,931</w:t>
            </w:r>
          </w:p>
        </w:tc>
        <w:tc>
          <w:tcPr>
            <w:tcW w:w="100" w:type="dxa"/>
            <w:vAlign w:val="bottom"/>
          </w:tcPr>
          <w:p>
            <w:pPr>
              <w:spacing w:after="0"/>
              <w:rPr>
                <w:sz w:val="20"/>
                <w:szCs w:val="20"/>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341,495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142,018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199,477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selling</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317,460</w:t>
            </w:r>
          </w:p>
        </w:tc>
        <w:tc>
          <w:tcPr>
            <w:tcW w:w="10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56,008</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261,452</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466.8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89,556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48,845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40,711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43"/>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43,351</w:t>
            </w:r>
          </w:p>
        </w:tc>
        <w:tc>
          <w:tcPr>
            <w:tcW w:w="10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28,540</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14,811</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225,011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(221,520)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Revenue increased for the three and nine months ended January 2, 2016, as compared to the three and nine months ended December 27, 2014, due to the addition of TriQuint revenue in the three and nine months ended January 2, 2016, which was partially offset by decreased demand for our cellular RF solutions for smartphones and for our wireless infrastructure products.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Gross margin and operating income decreased for the three and nine months ended January 2, 2016 as compared to the three and nine months ended December 27, 2014, primarily due to costs related to the Business Combination (including intangible amortization and stock-based compensation) and average selling price erosion. This decrease was partially offset by increased revenue and profitability resulting from the addition of TriQuint's operations as well as the synergies created from the Business Combination, a favorable change in product mix towards higher margin products and manufacturing and sourcing-related cost reductions.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for the three and nine months ended January 2, 2016 as compared to the three and nine months ended December 27, 2014, primarily due to the addition of TriQuint research and development expenses in the three and nine months ended January 2, 2016, and increases in headcount and product development costs related to new mobile products.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60"/>
          </w:cols>
          <w:pgMar w:left="240" w:top="118" w:right="39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Marketing and selling expenses increased for the three and nine months ended January 2, 2016 as compared to the three and nine months ended December 27, 2014, primarily due to marketing-related intangible asset amortization resulting from the Business Combination and the addition of TriQuint marketing and selling expenses in the three and nine months ended January 2, 2016.</w:t>
      </w:r>
    </w:p>
    <w:p>
      <w:pPr>
        <w:spacing w:after="0" w:line="17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for the three and nine months ended January 2, 2016 as compared to the three and nine months ended December 27, 2014, due to the addition of TriQuint general and administrative expenses in the three and nine months ended January 2, 2016.</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Other operating expense increased for the three and nine months ended January 2, 2016 as compared to the three and nine months ended December 27, 2014, primarily due to expenses associated with the Business Combination and integration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Product Revenue, Operating Income and Operating Income as a Percentage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 Products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2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00" w:type="dxa"/>
            <w:vAlign w:val="bottom"/>
          </w:tcPr>
          <w:p>
            <w:pPr>
              <w:spacing w:after="0"/>
              <w:rPr>
                <w:sz w:val="12"/>
                <w:szCs w:val="12"/>
                <w:color w:val="auto"/>
              </w:rPr>
            </w:pPr>
          </w:p>
        </w:tc>
        <w:tc>
          <w:tcPr>
            <w:tcW w:w="11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vMerge w:val="restart"/>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4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5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489,397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341,999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147,398</w:t>
            </w:r>
          </w:p>
        </w:tc>
        <w:tc>
          <w:tcPr>
            <w:tcW w:w="120" w:type="dxa"/>
            <w:vAlign w:val="bottom"/>
          </w:tcPr>
          <w:p>
            <w:pPr>
              <w:spacing w:after="0"/>
              <w:rPr>
                <w:sz w:val="21"/>
                <w:szCs w:val="21"/>
                <w:color w:val="auto"/>
              </w:rPr>
            </w:pPr>
          </w:p>
        </w:tc>
        <w:tc>
          <w:tcPr>
            <w:tcW w:w="1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126,019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112,672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13,347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9"/>
        </w:trPr>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2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00" w:type="dxa"/>
            <w:vAlign w:val="bottom"/>
          </w:tcPr>
          <w:p>
            <w:pPr>
              <w:spacing w:after="0"/>
              <w:rPr>
                <w:sz w:val="12"/>
                <w:szCs w:val="12"/>
                <w:color w:val="auto"/>
              </w:rPr>
            </w:pPr>
          </w:p>
        </w:tc>
        <w:tc>
          <w:tcPr>
            <w:tcW w:w="11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vMerge w:val="restart"/>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4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5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1,618,444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901,576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716,868</w:t>
            </w:r>
          </w:p>
        </w:tc>
        <w:tc>
          <w:tcPr>
            <w:tcW w:w="120" w:type="dxa"/>
            <w:vAlign w:val="bottom"/>
          </w:tcPr>
          <w:p>
            <w:pPr>
              <w:spacing w:after="0"/>
              <w:rPr>
                <w:sz w:val="21"/>
                <w:szCs w:val="21"/>
                <w:color w:val="auto"/>
              </w:rPr>
            </w:pPr>
          </w:p>
        </w:tc>
        <w:tc>
          <w:tcPr>
            <w:tcW w:w="1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471,736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269,014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202,722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increase in MP revenue for the three and nine months ended January 2, 2016 as compared to the three and nine months ended December 27, 2014, was due to the addition of TriQuint revenue in the three and nine months ended January 2, 2016, which was partially offset by decreased demand for our cellular RF solutions for smartphones in the three and nine months ended January 2, 2016.</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decrease in MP operating income as a percentage of revenue for the three and nine months ended January 2, 2016 as compared to the three and nine months ended December 27, 2014, was primarily due to lower gross margin resulting from average selling price erosion, unfavorable manufacturing yields and inventory adjustments, as well as increased expenses related to the development of new mobile products, which was partially offset by a favorable change in product mix towards higher margin products and manufacturing and sourcing-related cost reductions.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18" w:right="25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and Defense Products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6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4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8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5"/>
        </w:trPr>
        <w:tc>
          <w:tcPr>
            <w:tcW w:w="5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5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130,314</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rPr>
              <w:t>54,113</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76,201</w:t>
            </w:r>
          </w:p>
        </w:tc>
        <w:tc>
          <w:tcPr>
            <w:tcW w:w="100" w:type="dxa"/>
            <w:vAlign w:val="bottom"/>
          </w:tcPr>
          <w:p>
            <w:pPr>
              <w:spacing w:after="0"/>
              <w:rPr>
                <w:sz w:val="21"/>
                <w:szCs w:val="21"/>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30,896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10,467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20,429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9"/>
        </w:trPr>
        <w:tc>
          <w:tcPr>
            <w:tcW w:w="5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6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4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8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5"/>
        </w:trPr>
        <w:tc>
          <w:tcPr>
            <w:tcW w:w="5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5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381,303</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rPr>
              <w:t>172,817</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208,486</w:t>
            </w:r>
          </w:p>
        </w:tc>
        <w:tc>
          <w:tcPr>
            <w:tcW w:w="100" w:type="dxa"/>
            <w:vAlign w:val="bottom"/>
          </w:tcPr>
          <w:p>
            <w:pPr>
              <w:spacing w:after="0"/>
              <w:rPr>
                <w:sz w:val="21"/>
                <w:szCs w:val="21"/>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67,818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36,535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31,283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Revenue increased for the three and nine months ended January 2, 2016 as compared to the three and nine months ended December 27, 2014, due to the addition of TriQuint revenue in the three and nine months ended January 2, 2016, which was partially offset by lower global demand for wireless infrastructure products, which began to show signs of recovery beginning in the third quarter of fiscal 2016.</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increase in IDP operating income as a percentage of revenue for the three months ended January 2, 2016 as compared to the three months ended December 27, 2014, was primarily due to decreases in headcount and employee-related costs. IDP operating income decreased as a percentage of revenue for the nine months ended January 2, 2016 as compared to the nine months ended December 27, 2014, primarily due to decreased gross margins resulting from the decreased demand for wireless infrastructure products.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See Note 9 to the Condensed Consolidated Financial Statements for a reconciliation of segment operating income to the consolidated operating (loss) income for the three and nine months ended January 2, 2016 and December 27,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AND 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13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1400" w:type="dxa"/>
            <w:vAlign w:val="bottom"/>
          </w:tcPr>
          <w:p>
            <w:pPr>
              <w:jc w:val="center"/>
              <w:ind w:left="542"/>
              <w:spacing w:after="0" w:line="14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400" w:type="dxa"/>
            <w:vAlign w:val="bottom"/>
          </w:tcPr>
          <w:p>
            <w:pPr>
              <w:spacing w:after="0"/>
              <w:rPr>
                <w:sz w:val="12"/>
                <w:szCs w:val="12"/>
                <w:color w:val="auto"/>
              </w:rPr>
            </w:pPr>
          </w:p>
        </w:tc>
        <w:tc>
          <w:tcPr>
            <w:tcW w:w="17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580" w:type="dxa"/>
            <w:vAlign w:val="bottom"/>
          </w:tcPr>
          <w:p>
            <w:pPr>
              <w:spacing w:after="0"/>
              <w:rPr>
                <w:sz w:val="12"/>
                <w:szCs w:val="12"/>
                <w:color w:val="auto"/>
              </w:rPr>
            </w:pPr>
          </w:p>
        </w:tc>
        <w:tc>
          <w:tcPr>
            <w:tcW w:w="146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2016</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tcBorders>
              <w:bottom w:val="single" w:sz="8" w:color="CCEEFF"/>
            </w:tcBorders>
            <w:shd w:val="clear" w:color="auto" w:fill="CCEEFF"/>
          </w:tcPr>
          <w:p>
            <w:pPr>
              <w:jc w:val="right"/>
              <w:ind w:right="120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43"/>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income</w:t>
            </w: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3,861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43"/>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During the third quarter of fiscal 2016, we issued $1.0 billion of Notes and recognized $8.3 million of related interest expense. Interest expense in the preceding table for the three and nine months ended January 2, 2016, is net of capitalized interest of $1.6 million. In the fourth quarter of fiscal 2016, we expect to recognize $17.5 million of interest expense related to the Notes (which will be partially offset by capitalized interest).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fiscal 2016, we sold equity securities and recognized a gain of approximately $4.0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Our provision for income taxes for the three and nine months ended January 2, 2016 and December 27, 2014 has been calculated by applying an estimate of the annual effective tax rate for the full fiscal year to “ordinary” income or loss (pre-tax income or loss excluding unusual or infrequently occurring discrete items) for the three and nine months ended January 2, 2016 and December 27, 2014.</w:t>
      </w:r>
    </w:p>
    <w:p>
      <w:pPr>
        <w:spacing w:after="0" w:line="1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Income tax (benefit) expense was $(9.9) million and $4.5 million for the three and nine months ended January 2, 2016, which was comprised primarily of tax benefit related to domestic operations generating pre-tax book losses offset by a tax expense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related to international operations generating pre-tax book income and changes in the domestic tax asset valuation allowance. Income tax expense was $15.6 million and $34.9 million for the three and nine months ended December 27, 2014, which was comprised primarily of tax expense related to domestic and international operations offset by a tax benefit related to changes in the domestic deferred tax asset valuation allowance.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valuation allowance against net deferred tax assets as of January 2, 2016 increased by $6.1 million from the $13.8 million balance as of the end of fiscal 2015, with the change primarily arising from an increase in domestic deferred tax assets related to federal and state tax credits. A valuation allowance remained against certain domestic and foreign net deferred tax assets as it is more likely than not that the related deferred tax assets will not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funded our operations to date through revenue from product sales, sales of equity and debt securities, bank borrowings and capital equipment leases. As of January 2, 2016, we had working capital of approximately $1,543.0 million, including $851.6 million in cash and cash equivalents, compared to working capital of approximately $1,174.8 million at March 28, 2015, including $299.8 million in cash and cash equivalents. Working capital increased year-over-year primarily due to the issuance of the Notes.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total cash, cash equivalents and short-term investments were $1,025.2 million as of January 2, 2016. This balance includes approximately $202.2 million held by our foreign subsidiaries. If these funds held by our foreign subsidiaries are needed for our operations in the U.S., we would be required to accrue and pay U.S. taxes to repatriate these funds. However, under our current plans, we expect to permanently reinvest these funds outside of the U.S. and do not expect to repatriate them to fund our U.S.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February 5, 2015, our Board of Directors authorized the repurchase of up to $200.0 million of the Company's outstanding common stock, exclusive of related fees, commissions or other expenses. On August 11, 2015, we announced the completion of this $200.0 million share repurchase program having repurchased approximately 2.4 million shares of the Company's common stock for approximately $150.0 million during fiscal 2016. On August 11, 2015, we announced that our Board of Directors authorized a new share repurchase program to repurchase up to $400.0 million of the Company's outstanding common stock. On September 10, 2015, we announced the completion of this $400.0 million share repurchase program having repurchased approximately 7.3 million shares of common stock for approximately $400.0 million during the second quarter of fiscal 2016.</w:t>
      </w:r>
    </w:p>
    <w:p>
      <w:pPr>
        <w:spacing w:after="0" w:line="190"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On November 5, 2015, we announced that our Board of Directors authorized a new share repurchase program to repurchase up to $1.0 billion of our outstanding stock through November 4, 2016. Under the share repurchase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and may be modified, suspended or terminated at any time without prior notice. During the three months ended January 2, 2016, we repurchased approximately 4.6 million shares of common stock for approximately $250.0 million.</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60"/>
          </w:cols>
          <w:pgMar w:left="240" w:top="118" w:right="29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31" w:lineRule="exact"/>
        <w:rPr>
          <w:sz w:val="20"/>
          <w:szCs w:val="20"/>
          <w:color w:val="auto"/>
        </w:rPr>
      </w:pPr>
    </w:p>
    <w:p>
      <w:pPr>
        <w:jc w:val="both"/>
        <w:ind w:right="400"/>
        <w:spacing w:after="0" w:line="255" w:lineRule="auto"/>
        <w:rPr>
          <w:sz w:val="20"/>
          <w:szCs w:val="20"/>
          <w:color w:val="auto"/>
        </w:rPr>
      </w:pPr>
      <w:r>
        <w:rPr>
          <w:rFonts w:ascii="Times New Roman" w:cs="Times New Roman" w:eastAsia="Times New Roman" w:hAnsi="Times New Roman"/>
          <w:sz w:val="18"/>
          <w:szCs w:val="18"/>
          <w:color w:val="auto"/>
        </w:rPr>
        <w:t>Operating activities for the nine months ended January 2, 2016 generated cash of $528.2 million, compared to $167.1 million for the nine months ended December 27, 2014. This year-over-year increase was primarily attributable to improved profitability resulting from the addition of TriQuint's operations exclusive of non-cash Business Combination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for the nine months ended January 2, 2016 was $182.4 million, compared to net cash used in investing activities of</w:t>
      </w:r>
    </w:p>
    <w:p>
      <w:pPr>
        <w:spacing w:after="0" w:line="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$142.2 million for the nine months ended December 27, 2014. Net cash used in investing activities increased primarily due to higher capital expenditures for the nine months ended January 2, 2016 (primarily related to projects for increasing premium filter capacity as well as for manufacturing cost savings initiatives) as compared to the nine months ended December 27, 2014, which was partially offset by increased proceeds from maturities of available-for-sale securities for the nine months ended January 2, 2016 as compared to the nine months ended December 27, 2014.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Net cash provided by financing activities was $206.7 million for the nine months ended January 2, 2016, compared to net cash used in financing activities of $78.5 million for the nine months ended December 27, 2014. Net cash provided by financing activities was higher during the nine months ended January 2, 2016, primarily due to the net proceeds from the issuance of our Notes of approximately $987.8 million. This increase to net cash provided by financing activities was partially offset by the repurchase of approximately 14.3 million shares of our common stock at an average price of $56.03 on the open market, for a total of approximately $800.0 million. During the nine months ended December 27, 2014, the remaining principal balance of the 2014 Notes of $87.5 million plus interest of $0.4 million was paid.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April 7, 2015, we and certain of our material domestic subsidiaries (the “Guarantors”) entered into a five-year unsecured senior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with Bank of America, N.A., as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swingline loans. We may request, at any time and from time to time, that the revolving credit facility be increased by an amount not to exceed $150.0 million. The revolving credit facility is available to finance working capital, capital expenditures and other corporate purposes. Our obligations under the Credit Agreement are jointly and severally guaranteed by the Guarantors. During the nine months ended January 2, 2016, we borrowed and repaid $125.0 million under the revolving credit facility. We had no outstanding amounts under the Credit Agreement as of January 2, 2016.</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Credit Agreement contains various conditions, covenants and representations with which we must be in compliance in order to borrow funds and to avoid an event of default, including financial covenants that we must maintain. On November 12, 2015, the Credit Agreement was amended to increase the size of certain of the negative covenant baskets and the threshold for certain negative covenant incurrence-based permissions and to raise the consolidated leverage ratio test from 2.50 to 1.00 to 3.00 to 1.00 as of the end of any fiscal quarter. We must also maintain a consolidated interest coverage ratio of not less than 3.00 to 1.00 as of the end of any fiscal quarter. At January 2, 2016, we were in full compliance with these covenants.</w:t>
      </w:r>
    </w:p>
    <w:p>
      <w:pPr>
        <w:spacing w:after="0" w:line="18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Notes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November 19, 2015, we completed an offering of $450 million aggregate principal amount of 6.75% senior notes due December 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$550 million aggregate principal amount of 7.00% senior notes due December 1, 2025. The Notes were sold in a private offering to certain institutions that then resold the Notes in the United States to qualified institutional buyers pursuant to Rule 144A under the Securities Act and to certain non-U.S. persons in accordance with Regulation S under the Securities Act. We have used and expect to continue to use the net proceeds of the offering for general corporate purposes, including share repurchases and merger and acquisition activity. The Notes are senior unsecured obligations and are guaranteed, jointly and severally, by each of our existing and future direct and indirect wholly-owned U.S. subsidiaries that guarantee our obligations under our existing revolving credit facility. In connection with the offering of the Notes, we entered into a Registration Rights Agreement, dated as of November 19, 2015 (see Note 4 of the Notes to the Condensed Consolidated Financial Statements).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Notes have not been registered under the Securities Act or any state securities laws and may not be offered or sold in the United States absent registration or an applicable exemption from such registration requirements.</w:t>
      </w:r>
    </w:p>
    <w:p>
      <w:pPr>
        <w:spacing w:after="0" w:line="16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Capital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January 2, 2016, we had capital commitments of approximately $93.2 million primarily related to projects for increasing premium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filter capacity as well as for manufacturing cost savings initiatives.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i w:val="1"/>
          <w:iCs w:val="1"/>
          <w:u w:val="single" w:color="auto"/>
          <w:color w:val="auto"/>
        </w:rPr>
        <w:t>Future Sources of Funding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future capital requirements may differ materially from those currently anticipated and will depend on many factors,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but not limited to, market acceptance of our products, volume pricing concessions, capital improvements, demand for our products, technological advances and our relationships with suppliers and customers. Based on current and projected levels of cash flow from operations, coupled with our existing cash and cash equivalents and our revolving credit facility, we believe that we have sufficient liquidity to meet both our short-term and long-term cash requirements. However, if there is a significant decrease in demand for our products, or in the event that growth is faster than we had anticipated, operating cash flows may be insufficient to meet our needs. If existing resources and cash from operations are not sufficient to meet our future requirements or if we perceive conditions to be favorable, we may seek additional debt or equity financing. We cannot be sure that any additional equity or debt financing will not be dilutive to holders of our common stock. Further, we cannot be sure that additional equity or debt financing, if required, will be available on favorable terms, if at all.</w:t>
      </w:r>
    </w:p>
    <w:p>
      <w:pPr>
        <w:spacing w:after="0" w:line="172"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involved in litigation and other legal proceedings in the ordinary course of business that have not been fully adjudicated. These actions,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finally concluded and determined, will not, in the opinion of management, have a material adverse effect on our consolidated financial position or results of operations.</w:t>
      </w:r>
    </w:p>
    <w:p>
      <w:pPr>
        <w:spacing w:after="0" w:line="17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subject to income and other taxes in the United States and in numerous foreign jurisdictions. Our domestic and foreign tax liabilities are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18" w:right="25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market risk exposures during the third quarter of fiscal 2016. For a discussion of our exposure to market risk, refer to Item 7A, “Quantitative and Qualitative Disclosures About Market Risk,” contained in Qorvo's Annual Report on Form 10-K for the fiscal year ended March 28,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Company’s management, with the participation of the Company’s Chief Executive Officer and the Chief Financial Officer, evaluated the effectiveness of the Company’s disclosure controls and procedures in accordance with Rule 13a-15(e) under the Securities Exchange Act of 1934, as amended (the Exchange Act). Based upon their evaluation, the Chief Executive Officer and the Chief Financial Officer concluded that the Company’s disclosure controls and procedures were effective for the purpose of ensuring that the information required to be disclosed in the reports that the Company files or submits under the Exchange Act with the Securities and Exchange Commission (the SEC) (i) is recorded, processed, summarized and reported within the time periods specified in the SEC’s rules and forms, and (ii) is accumulated and communicated to the Company’s management, including its Chief Executive Officer and Chief Financial Officer, as appropriate to allow timely decisions regarding required disclosure.</w:t>
      </w:r>
    </w:p>
    <w:p>
      <w:pPr>
        <w:spacing w:after="0" w:line="18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January 1, 2015, the Business Combination was consummated between RFMD and TriQuint. As a result of the Business Combination, the Company has incorporated internal controls over significant processes specific to TriQuint and the Business Combination that it believes to be appropriate and necessary in consideration of the level of related integration. As the Company further integrates the TriQuint business, it will continue to review the internal controls and may take further steps to ensure that the internal controls are effective and integrated appropriately.</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Except for the paragraph above, no change in our internal control over financial reporting (as defined in Rules 13a-15(f) and 15d-15(f) under the Exchange Act) occurred during the quarter ended January 2, 2016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and in our other reports and statements that we file with the SEC, including our quarterly reports on Form 10-Q, careful consideration should be given to the factors discussed in Part I, Item 1A., “Risk Factors” in Qorvo's Annual Report on Form 10-K for the fiscal year ended March 28, 2015, which could materially affect our business, financial condition or future results. The risks described in Qorvo's Annual Report on Form 10-K are not the only risks that we face. Additional risks and uncertainties not currently known to us or that we currently deem to be immaterial also may materially adversely affect our business, financial condition and/or operating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6"/>
          <w:szCs w:val="16"/>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032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October 4, 2015 through October 31, 2015</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November 1, 2015 through November 28, 2015</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November 29, 2015 through January 2, 2016</w:t>
      </w:r>
    </w:p>
    <w:p>
      <w:pPr>
        <w:spacing w:after="0" w:line="6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7"/>
                <w:szCs w:val="17"/>
                <w:color w:val="auto"/>
              </w:rPr>
            </w:pPr>
          </w:p>
        </w:tc>
        <w:tc>
          <w:tcPr>
            <w:tcW w:w="1800" w:type="dxa"/>
            <w:vAlign w:val="bottom"/>
            <w:vMerge w:val="restart"/>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0" w:type="dxa"/>
            <w:vAlign w:val="bottom"/>
          </w:tcPr>
          <w:p>
            <w:pPr>
              <w:spacing w:after="0"/>
              <w:rPr>
                <w:sz w:val="1"/>
                <w:szCs w:val="1"/>
                <w:color w:val="auto"/>
              </w:rPr>
            </w:pPr>
          </w:p>
        </w:tc>
      </w:tr>
      <w:tr>
        <w:trPr>
          <w:trHeight w:val="135"/>
        </w:trPr>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xml:space="preserve">purchased </w:t>
            </w:r>
            <w:r>
              <w:rPr>
                <w:rFonts w:ascii="Times New Roman" w:cs="Times New Roman" w:eastAsia="Times New Roman" w:hAnsi="Times New Roman"/>
                <w:sz w:val="12"/>
                <w:szCs w:val="12"/>
                <w:b w:val="1"/>
                <w:bCs w:val="1"/>
                <w:color w:val="auto"/>
              </w:rPr>
              <w:t>(in</w:t>
            </w:r>
          </w:p>
        </w:tc>
        <w:tc>
          <w:tcPr>
            <w:tcW w:w="14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3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800" w:type="dxa"/>
            <w:vAlign w:val="bottom"/>
            <w:vMerge w:val="restart"/>
          </w:tcPr>
          <w:p>
            <w:pPr>
              <w:jc w:val="right"/>
              <w:ind w:right="705"/>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176"/>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thousands)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80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1260" w:type="dxa"/>
            <w:vAlign w:val="bottom"/>
          </w:tcPr>
          <w:p>
            <w:pPr>
              <w:jc w:val="right"/>
              <w:ind w:right="46"/>
              <w:spacing w:after="0"/>
              <w:rPr>
                <w:sz w:val="20"/>
                <w:szCs w:val="20"/>
                <w:color w:val="auto"/>
              </w:rPr>
            </w:pPr>
            <w:r>
              <w:rPr>
                <w:rFonts w:ascii="Times New Roman" w:cs="Times New Roman" w:eastAsia="Times New Roman" w:hAnsi="Times New Roman"/>
                <w:sz w:val="14"/>
                <w:szCs w:val="14"/>
                <w:color w:val="auto"/>
              </w:rPr>
              <w:t>3,562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53.87</w:t>
            </w:r>
          </w:p>
        </w:tc>
        <w:tc>
          <w:tcPr>
            <w:tcW w:w="0" w:type="dxa"/>
            <w:vAlign w:val="bottom"/>
          </w:tcPr>
          <w:p>
            <w:pPr>
              <w:spacing w:after="0"/>
              <w:rPr>
                <w:sz w:val="1"/>
                <w:szCs w:val="1"/>
                <w:color w:val="auto"/>
              </w:rPr>
            </w:pPr>
          </w:p>
        </w:tc>
      </w:tr>
      <w:tr>
        <w:trPr>
          <w:trHeight w:val="275"/>
        </w:trPr>
        <w:tc>
          <w:tcPr>
            <w:tcW w:w="12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color w:val="auto"/>
              </w:rPr>
              <w:t>1,034</w:t>
            </w:r>
          </w:p>
        </w:tc>
        <w:tc>
          <w:tcPr>
            <w:tcW w:w="12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color w:val="auto"/>
              </w:rPr>
              <w:t>56.17</w:t>
            </w: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color w:val="auto"/>
              </w:rPr>
              <w:t>4,596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color w:val="auto"/>
              </w:rPr>
              <w:t>54.39</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p>
      <w:pPr>
        <w:spacing w:after="0" w:line="28" w:lineRule="exact"/>
        <w:rPr>
          <w:sz w:val="20"/>
          <w:szCs w:val="20"/>
          <w:color w:val="auto"/>
        </w:rPr>
      </w:pPr>
    </w:p>
    <w:p>
      <w:pPr>
        <w:ind w:firstLine="29"/>
        <w:spacing w:after="0" w:line="264" w:lineRule="auto"/>
        <w:rPr>
          <w:sz w:val="20"/>
          <w:szCs w:val="20"/>
          <w:color w:val="auto"/>
        </w:rPr>
      </w:pPr>
      <w:r>
        <w:rPr>
          <w:rFonts w:ascii="Times New Roman" w:cs="Times New Roman" w:eastAsia="Times New Roman" w:hAnsi="Times New Roman"/>
          <w:sz w:val="16"/>
          <w:szCs w:val="16"/>
          <w:b w:val="1"/>
          <w:bCs w:val="1"/>
          <w:color w:val="auto"/>
        </w:rPr>
        <w:t>purchased as part of publicly announced plans or programs</w:t>
      </w: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12065</wp:posOffset>
            </wp:positionV>
            <wp:extent cx="1372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3,562</w:t>
      </w:r>
    </w:p>
    <w:p>
      <w:pPr>
        <w:spacing w:after="0" w:line="1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1,034</w:t>
      </w:r>
    </w:p>
    <w:p>
      <w:pPr>
        <w:spacing w:after="0" w:line="1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4,596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6"/>
          <w:szCs w:val="16"/>
          <w:b w:val="1"/>
          <w:bCs w:val="1"/>
          <w:color w:val="auto"/>
        </w:rPr>
        <w:t>Approximate dollar value of shares that may yet be purchased under the 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$1,000.0 million</w:t>
      </w:r>
    </w:p>
    <w:p>
      <w:pPr>
        <w:spacing w:after="0" w:line="1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$808.1 million</w:t>
      </w:r>
    </w:p>
    <w:p>
      <w:pPr>
        <w:spacing w:after="0" w:line="1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$750.0 million</w:t>
      </w:r>
    </w:p>
    <w:p>
      <w:pPr>
        <w:spacing w:after="0" w:line="10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$750.0 million</w:t>
      </w:r>
    </w:p>
    <w:p>
      <w:pPr>
        <w:spacing w:after="0" w:line="262" w:lineRule="exact"/>
        <w:rPr>
          <w:sz w:val="20"/>
          <w:szCs w:val="20"/>
          <w:color w:val="auto"/>
        </w:rPr>
      </w:pPr>
    </w:p>
    <w:p>
      <w:pPr>
        <w:sectPr>
          <w:pgSz w:w="11900" w:h="16838" w:orient="portrait"/>
          <w:cols w:equalWidth="0" w:num="4">
            <w:col w:w="2780" w:space="560"/>
            <w:col w:w="3320" w:space="140"/>
            <w:col w:w="2080" w:space="200"/>
            <w:col w:w="2320"/>
          </w:cols>
          <w:pgMar w:left="240" w:top="118" w:right="259" w:bottom="1440" w:gutter="0" w:footer="0" w:header="0"/>
          <w:type w:val="continuous"/>
        </w:sect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On February 5, 2015, we announced that our Board of Directors authorized the repurchase of up to $200.0 million of our outstanding common stock, exclusive of related fees, commissions or other expenses. On August 11, 2015, we announced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18" w:right="259" w:bottom="1440" w:gutter="0" w:footer="0" w:header="0"/>
          <w:type w:val="continuous"/>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completion of this share repurchase program and also announced that our Board of Directors authorized a new share repurchase program to repurchase up to $400.0 million of our outstanding common stock. This repurchase program did not have an expiration date. As of October 3, 2015, we completed this $400.0 million share repurchase program.</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November 5, 2015, we announced that our Board of Directors authorized a new share repurchase program to repurchase up to $1.0 billion of our outstanding stock through November 4, 2016. This share repurchase program authorizes us to repurchase shares through solicited or unsolicited transactions in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and may be modified, suspended or terminated at any time without prior notice. During the three months ended January 2, 2016, the Company repurchased approximately 4.6 million shares of common stock for approximately $250.0 million.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20"/>
          </w:cols>
          <w:pgMar w:left="240" w:top="118" w:right="3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Amended and Restated Bylaws of Qorvo, Inc., effective as of January 29, 2016 (incorporated by reference to Exhibit 3.1 to the Current Report</w:t>
            </w:r>
          </w:p>
        </w:tc>
      </w:tr>
      <w:tr>
        <w:trPr>
          <w:trHeight w:val="234"/>
        </w:trPr>
        <w:tc>
          <w:tcPr>
            <w:tcW w:w="68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Form 8-K filed with the SEC on February 2, 2016).</w:t>
            </w:r>
          </w:p>
        </w:tc>
      </w:tr>
      <w:tr>
        <w:trPr>
          <w:trHeight w:val="53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Indenture, dated as of November 19, 2015, among Qorvo, Inc., the Guarantors party thereto and MUFG Union Bank, N.A., as Trustee</w:t>
            </w:r>
          </w:p>
        </w:tc>
      </w:tr>
      <w:tr>
        <w:trPr>
          <w:trHeight w:val="234"/>
        </w:trPr>
        <w:tc>
          <w:tcPr>
            <w:tcW w:w="68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(incorporated by reference to Exhibit 4.1 to the Current Report on Form 8-K filed with the SEC on November 19, 2015).</w:t>
            </w:r>
          </w:p>
        </w:tc>
      </w:tr>
      <w:tr>
        <w:trPr>
          <w:trHeight w:val="53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Registration Rights Agreement, dated as of November 19, 2015, by and among Qorvo, Inc., the Guarantors named therein and Merrill Lynch,</w:t>
            </w:r>
          </w:p>
        </w:tc>
      </w:tr>
      <w:tr>
        <w:trPr>
          <w:trHeight w:val="216"/>
        </w:trPr>
        <w:tc>
          <w:tcPr>
            <w:tcW w:w="680" w:type="dxa"/>
            <w:vAlign w:val="bottom"/>
          </w:tcPr>
          <w:p>
            <w:pPr>
              <w:spacing w:after="0"/>
              <w:rPr>
                <w:sz w:val="18"/>
                <w:szCs w:val="18"/>
                <w:color w:val="auto"/>
              </w:rPr>
            </w:pP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Pierce, Fenner &amp; Smith Incorporated, as representative of the several Initial Purchasers named therein (incorporated by reference to Exhibit</w:t>
            </w:r>
          </w:p>
        </w:tc>
      </w:tr>
      <w:tr>
        <w:trPr>
          <w:trHeight w:val="234"/>
        </w:trPr>
        <w:tc>
          <w:tcPr>
            <w:tcW w:w="68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 to the Current Report on Form 8-K filed with the SEC on November 19, 2015).</w:t>
            </w:r>
          </w:p>
        </w:tc>
      </w:tr>
      <w:tr>
        <w:trPr>
          <w:trHeight w:val="53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Amendment to Credit Agreement, dated as of November 12, 2015 by and between Qorvo, Inc., certain of its material domestic</w:t>
            </w:r>
          </w:p>
        </w:tc>
      </w:tr>
      <w:tr>
        <w:trPr>
          <w:trHeight w:val="216"/>
        </w:trPr>
        <w:tc>
          <w:tcPr>
            <w:tcW w:w="680" w:type="dxa"/>
            <w:vAlign w:val="bottom"/>
          </w:tcPr>
          <w:p>
            <w:pPr>
              <w:spacing w:after="0"/>
              <w:rPr>
                <w:sz w:val="18"/>
                <w:szCs w:val="18"/>
                <w:color w:val="auto"/>
              </w:rPr>
            </w:pP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subsidiaries, Bank of America, N.A. as administrative agent, swing line lender and L/C issuer, and a syndicate of lenders (incorporated by</w:t>
            </w:r>
          </w:p>
        </w:tc>
      </w:tr>
      <w:tr>
        <w:trPr>
          <w:trHeight w:val="234"/>
        </w:trPr>
        <w:tc>
          <w:tcPr>
            <w:tcW w:w="68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reference to Exhibit 10.1 to the Current Report on Form 8-K filed with the SEC on November 13, 2015).</w:t>
            </w:r>
          </w:p>
        </w:tc>
      </w:tr>
      <w:tr>
        <w:trPr>
          <w:trHeight w:val="53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Periodic Report by Robert A. Bruggeworth, as Chief Executive Officer, pursuant to Rule 13a-14(a) or 15d-14(a) of the</w:t>
            </w:r>
          </w:p>
        </w:tc>
      </w:tr>
      <w:tr>
        <w:trPr>
          <w:trHeight w:val="234"/>
        </w:trPr>
        <w:tc>
          <w:tcPr>
            <w:tcW w:w="68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Exchange Act, as adopted pursuant to Section 302 of the Sarbanes-Oxley Act of 2002</w:t>
            </w:r>
          </w:p>
        </w:tc>
      </w:tr>
      <w:tr>
        <w:trPr>
          <w:trHeight w:val="53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Certification of Periodic Report by Steven J. Buhaly, as Chief Financial Officer, pursuant to Rule 13a-14(a) or 15d-14(a) of the Exchange Act,</w:t>
            </w:r>
          </w:p>
        </w:tc>
      </w:tr>
      <w:tr>
        <w:trPr>
          <w:trHeight w:val="234"/>
        </w:trPr>
        <w:tc>
          <w:tcPr>
            <w:tcW w:w="68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tc>
      </w:tr>
      <w:tr>
        <w:trPr>
          <w:trHeight w:val="53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Periodic Report by Robert A. Bruggeworth, as Chief Executive Officer, pursuant to 18 U.S.C. Section 1350, as adopted</w:t>
            </w:r>
          </w:p>
        </w:tc>
      </w:tr>
      <w:tr>
        <w:trPr>
          <w:trHeight w:val="234"/>
        </w:trPr>
        <w:tc>
          <w:tcPr>
            <w:tcW w:w="68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r>
      <w:tr>
        <w:trPr>
          <w:trHeight w:val="53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Periodic Report by Steven J. Buhaly, as Chief Financial Officer, pursuant to 18 U.S.C. Section 1350, as adopted pursuant to</w:t>
            </w:r>
          </w:p>
        </w:tc>
      </w:tr>
      <w:tr>
        <w:trPr>
          <w:trHeight w:val="234"/>
        </w:trPr>
        <w:tc>
          <w:tcPr>
            <w:tcW w:w="68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r>
    </w:tbl>
    <w:p>
      <w:pPr>
        <w:spacing w:after="0" w:line="319" w:lineRule="exact"/>
        <w:rPr>
          <w:sz w:val="20"/>
          <w:szCs w:val="20"/>
          <w:color w:val="auto"/>
        </w:rPr>
      </w:pPr>
    </w:p>
    <w:p>
      <w:pPr>
        <w:ind w:left="1080" w:right="40" w:hanging="1045"/>
        <w:spacing w:after="0" w:line="25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our Quarterly Report on Form 10-Q for the quarter ended January 2, 2016, formatted in XBRL (eXtensible Business Reporting Language): (i) the Condensed Consolidated Balance Sheets as of January 2, 2016 and March 28, 2015; (ii) the Condensed Consolidated Statements of Operations for the three and nine months ended January 2, 2016 and December 27, 2014; (iii) the Condensed Consolidated Statements of Comprehensive (Loss) Income for the three and nine months ended January 2, 2016 and December 27, 2014; (iv) the Condensed Consolidated Statements of Cash Flows for the nine months ended January 2, 2016 and December 27, 2014; and (v)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240" w:top="118" w:right="31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Qorvo, Inc.</w:t>
      </w:r>
    </w:p>
    <w:p>
      <w:pPr>
        <w:spacing w:after="0" w:line="333" w:lineRule="exact"/>
        <w:rPr>
          <w:sz w:val="20"/>
          <w:szCs w:val="20"/>
          <w:color w:val="auto"/>
        </w:rPr>
      </w:pPr>
    </w:p>
    <w:p>
      <w:pPr>
        <w:ind w:left="40"/>
        <w:spacing w:after="0"/>
        <w:tabs>
          <w:tab w:leader="none" w:pos="640" w:val="left"/>
          <w:tab w:leader="none" w:pos="5620" w:val="left"/>
        </w:tabs>
        <w:rPr>
          <w:sz w:val="20"/>
          <w:szCs w:val="20"/>
          <w:color w:val="auto"/>
        </w:rPr>
      </w:pPr>
      <w:r>
        <w:rPr>
          <w:rFonts w:ascii="Times New Roman" w:cs="Times New Roman" w:eastAsia="Times New Roman" w:hAnsi="Times New Roman"/>
          <w:sz w:val="18"/>
          <w:szCs w:val="18"/>
          <w:color w:val="auto"/>
        </w:rPr>
        <w:t>Date:</w:t>
        <w:tab/>
        <w:t>February 10, 2016</w:t>
      </w:r>
      <w:r>
        <w:rPr>
          <w:sz w:val="20"/>
          <w:szCs w:val="20"/>
          <w:color w:val="auto"/>
        </w:rPr>
        <w:tab/>
      </w:r>
      <w:r>
        <w:rPr>
          <w:rFonts w:ascii="Times New Roman" w:cs="Times New Roman" w:eastAsia="Times New Roman" w:hAnsi="Times New Roman"/>
          <w:sz w:val="17"/>
          <w:szCs w:val="17"/>
          <w:color w:val="auto"/>
        </w:rPr>
        <w:t>/s/ Steven J. Buhaly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2907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Steven J. Buhaly</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20"/>
          </w:cols>
          <w:pgMar w:left="240" w:top="118" w:right="9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1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75" w:lineRule="exact"/>
        <w:rPr>
          <w:sz w:val="20"/>
          <w:szCs w:val="20"/>
          <w:color w:val="auto"/>
        </w:rPr>
      </w:pPr>
    </w:p>
    <w:p>
      <w:pPr>
        <w:ind w:left="1200"/>
        <w:spacing w:after="0"/>
        <w:tabs>
          <w:tab w:leader="none" w:pos="1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Amended and Restated Bylaws of Qorvo, Inc., effective as of January 29, 2016 (incorporated by reference to Exhibit</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3.1 to the Current Report on Form 8-K filed with the SEC on February 2, 2016).</w:t>
      </w:r>
    </w:p>
    <w:p>
      <w:pPr>
        <w:spacing w:after="0" w:line="328" w:lineRule="exact"/>
        <w:rPr>
          <w:sz w:val="20"/>
          <w:szCs w:val="20"/>
          <w:color w:val="auto"/>
        </w:rPr>
      </w:pPr>
    </w:p>
    <w:p>
      <w:pPr>
        <w:ind w:left="1640" w:right="140" w:hanging="431"/>
        <w:spacing w:after="0" w:line="266" w:lineRule="auto"/>
        <w:tabs>
          <w:tab w:leader="none" w:pos="1620" w:val="left"/>
        </w:tabs>
        <w:rPr>
          <w:sz w:val="20"/>
          <w:szCs w:val="20"/>
          <w:color w:val="auto"/>
        </w:rPr>
      </w:pPr>
      <w:r>
        <w:rPr>
          <w:rFonts w:ascii="Times New Roman" w:cs="Times New Roman" w:eastAsia="Times New Roman" w:hAnsi="Times New Roman"/>
          <w:sz w:val="18"/>
          <w:szCs w:val="18"/>
          <w:color w:val="auto"/>
        </w:rPr>
        <w:t>4.1</w:t>
        <w:tab/>
        <w:t>Indenture, dated as of November 19, 2015, among Qorvo, Inc., the Guarantors party thereto and MUFG Union Bank, N.A., as Trustee (incorporated by reference to Exhibit 4.1 to the Current Report on Form 8-K filed with the SEC on November 19, 2015).</w:t>
      </w:r>
    </w:p>
    <w:p>
      <w:pPr>
        <w:spacing w:after="0" w:line="298" w:lineRule="exact"/>
        <w:rPr>
          <w:sz w:val="20"/>
          <w:szCs w:val="20"/>
          <w:color w:val="auto"/>
        </w:rPr>
      </w:pPr>
    </w:p>
    <w:p>
      <w:pPr>
        <w:jc w:val="both"/>
        <w:ind w:left="1640" w:right="340" w:hanging="431"/>
        <w:spacing w:after="0" w:line="261" w:lineRule="auto"/>
        <w:tabs>
          <w:tab w:leader="none" w:pos="1620" w:val="left"/>
        </w:tabs>
        <w:rPr>
          <w:sz w:val="20"/>
          <w:szCs w:val="20"/>
          <w:color w:val="auto"/>
        </w:rPr>
      </w:pPr>
      <w:r>
        <w:rPr>
          <w:rFonts w:ascii="Times New Roman" w:cs="Times New Roman" w:eastAsia="Times New Roman" w:hAnsi="Times New Roman"/>
          <w:sz w:val="18"/>
          <w:szCs w:val="18"/>
          <w:color w:val="auto"/>
        </w:rPr>
        <w:t>4.2</w:t>
        <w:tab/>
        <w:t>Registration Rights Agreement, dated as of November 19, 2015, by and among Qorvo, Inc., the Guarantors named therein and Merrill Lynch, Pierce, Fenner &amp; Smith Incorporated, as representative of the several Initial Purchasers named therein (incorporated by reference to Exhibit 4.2 to the Current Report on Form 8-K filed with the SEC on November 19, 2015).</w:t>
      </w:r>
    </w:p>
    <w:p>
      <w:pPr>
        <w:spacing w:after="0" w:line="302" w:lineRule="exact"/>
        <w:rPr>
          <w:sz w:val="20"/>
          <w:szCs w:val="20"/>
          <w:color w:val="auto"/>
        </w:rPr>
      </w:pPr>
    </w:p>
    <w:p>
      <w:pPr>
        <w:ind w:left="1640" w:right="40" w:hanging="431"/>
        <w:spacing w:after="0" w:line="261" w:lineRule="auto"/>
        <w:rPr>
          <w:sz w:val="20"/>
          <w:szCs w:val="20"/>
          <w:color w:val="auto"/>
        </w:rPr>
      </w:pPr>
      <w:r>
        <w:rPr>
          <w:rFonts w:ascii="Times New Roman" w:cs="Times New Roman" w:eastAsia="Times New Roman" w:hAnsi="Times New Roman"/>
          <w:sz w:val="18"/>
          <w:szCs w:val="18"/>
          <w:color w:val="auto"/>
        </w:rPr>
        <w:t>10.1 Second Amendment to Credit Agreement, dated as of November 12, 2015 by and between Qorvo, Inc., certain of its material domestic subsidiaries, Bank of America, N.A. as administrative agent, swing line lender and L/C issuer, and a syndicate of lenders (incorporated by reference to Exhibit 10.1 to the Current Report on Form 8-K filed with the SEC on November 13, 2015).</w:t>
      </w:r>
    </w:p>
    <w:p>
      <w:pPr>
        <w:spacing w:after="0" w:line="30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31.1 Certification of Periodic Report by Robert A. Bruggeworth, as Chief Executive Officer, pursuant to Rule 13a-14(a) or</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15d-14(a) of the Exchange Act, as adopted pursuant to Section 302 of the Sarbanes-Oxley Act of 2002</w:t>
      </w:r>
    </w:p>
    <w:p>
      <w:pPr>
        <w:spacing w:after="0" w:line="315" w:lineRule="exact"/>
        <w:rPr>
          <w:sz w:val="20"/>
          <w:szCs w:val="20"/>
          <w:color w:val="auto"/>
        </w:rPr>
      </w:pPr>
    </w:p>
    <w:p>
      <w:pPr>
        <w:ind w:left="1640" w:right="280" w:hanging="431"/>
        <w:spacing w:after="0" w:line="282" w:lineRule="auto"/>
        <w:rPr>
          <w:sz w:val="20"/>
          <w:szCs w:val="20"/>
          <w:color w:val="auto"/>
        </w:rPr>
      </w:pPr>
      <w:r>
        <w:rPr>
          <w:rFonts w:ascii="Times New Roman" w:cs="Times New Roman" w:eastAsia="Times New Roman" w:hAnsi="Times New Roman"/>
          <w:sz w:val="18"/>
          <w:szCs w:val="18"/>
          <w:color w:val="auto"/>
        </w:rPr>
        <w:t>31.2 Certification of Periodic Report by Steven J. Buhaly, as Chief Financial Officer, pursuant to Rule 13a-14(a) or 15d-14(a) of the Exchange Act, as adopted pursuant to Section 302 of the Sarbanes-Oxley Act of 2002</w:t>
      </w:r>
    </w:p>
    <w:p>
      <w:pPr>
        <w:spacing w:after="0" w:line="28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32.1 Certification of Periodic Report by Robert A. Bruggeworth, as Chief Executive Officer, pursuant to 18 U.S.C. Section</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 of 2002</w:t>
      </w:r>
    </w:p>
    <w:p>
      <w:pPr>
        <w:spacing w:after="0" w:line="328" w:lineRule="exact"/>
        <w:rPr>
          <w:sz w:val="20"/>
          <w:szCs w:val="20"/>
          <w:color w:val="auto"/>
        </w:rPr>
      </w:pPr>
    </w:p>
    <w:p>
      <w:pPr>
        <w:ind w:left="1640" w:right="180" w:hanging="431"/>
        <w:spacing w:after="0" w:line="282" w:lineRule="auto"/>
        <w:rPr>
          <w:sz w:val="20"/>
          <w:szCs w:val="20"/>
          <w:color w:val="auto"/>
        </w:rPr>
      </w:pPr>
      <w:r>
        <w:rPr>
          <w:rFonts w:ascii="Times New Roman" w:cs="Times New Roman" w:eastAsia="Times New Roman" w:hAnsi="Times New Roman"/>
          <w:sz w:val="18"/>
          <w:szCs w:val="18"/>
          <w:color w:val="auto"/>
        </w:rPr>
        <w:t>32.2 Certification of Periodic Report by Steven J. Buhaly, as Chief Financial Officer, pursuant to 18 U.S.C. Section 1350, as adopted pursuant to Section 906 of the Sarbanes-Oxley Act of 2002</w:t>
      </w:r>
    </w:p>
    <w:p>
      <w:pPr>
        <w:spacing w:after="0" w:line="283" w:lineRule="exact"/>
        <w:rPr>
          <w:sz w:val="20"/>
          <w:szCs w:val="20"/>
          <w:color w:val="auto"/>
        </w:rPr>
      </w:pPr>
    </w:p>
    <w:p>
      <w:pPr>
        <w:ind w:left="1640" w:hanging="437"/>
        <w:spacing w:after="0" w:line="255" w:lineRule="auto"/>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our Quarterly Report on Form 10-Q for the quarter ended January 2, 2016, formatted in XBRL (eXtensible Business Reporting Language): (i) the Condensed Consolidated Balance Sheets as of January 2, 2016 and March 28, 2015; (ii) the Condensed Consolidated Statements of Operations for the three and nine months ended January 2, 2016 and December 27, 2014; (iii) the Condensed Consolidated Statements of Comprehensive (Loss) Income for the three and nine months ended January 2, 2016 and December 27, 2014; (iv) the Condensed Consolidated Statements of Cash Flows for the nine months ended January 2, 2016 and December 27, 2014; and (v)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SEC file number for documents filed with the SEC pursuant to the Securities Exchange Act of 1934, as amended, is 001-36801.</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220"/>
          </w:cols>
          <w:pgMar w:left="240" w:top="118" w:right="1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Qorvo, Inc.;</w:t>
      </w:r>
    </w:p>
    <w:p>
      <w:pPr>
        <w:spacing w:after="0" w:line="265" w:lineRule="exact"/>
        <w:rPr>
          <w:rFonts w:ascii="Times New Roman" w:cs="Times New Roman" w:eastAsia="Times New Roman" w:hAnsi="Times New Roman"/>
          <w:sz w:val="18"/>
          <w:szCs w:val="18"/>
          <w:color w:val="auto"/>
        </w:rPr>
      </w:pPr>
    </w:p>
    <w:p>
      <w:pPr>
        <w:ind w:right="40" w:firstLine="8"/>
        <w:spacing w:after="0" w:line="329" w:lineRule="auto"/>
        <w:tabs>
          <w:tab w:leader="none" w:pos="7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329" w:lineRule="auto"/>
        <w:tabs>
          <w:tab w:leader="none" w:pos="7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313" w:lineRule="auto"/>
        <w:tabs>
          <w:tab w:leader="none" w:pos="7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340" w:hanging="4"/>
        <w:spacing w:after="0" w:line="313" w:lineRule="auto"/>
        <w:tabs>
          <w:tab w:leader="none" w:pos="14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20" w:hanging="4"/>
        <w:spacing w:after="0" w:line="313" w:lineRule="auto"/>
        <w:tabs>
          <w:tab w:leader="none" w:pos="145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160" w:hanging="4"/>
        <w:spacing w:after="0" w:line="329" w:lineRule="auto"/>
        <w:tabs>
          <w:tab w:leader="none" w:pos="14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20" w:hanging="4"/>
        <w:spacing w:after="0" w:line="313" w:lineRule="auto"/>
        <w:tabs>
          <w:tab w:leader="none" w:pos="145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329" w:lineRule="auto"/>
        <w:tabs>
          <w:tab w:leader="none" w:pos="7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60" w:hanging="4"/>
        <w:spacing w:after="0" w:line="329" w:lineRule="auto"/>
        <w:tabs>
          <w:tab w:leader="none" w:pos="14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4"/>
        <w:spacing w:after="0" w:line="329" w:lineRule="auto"/>
        <w:tabs>
          <w:tab w:leader="none" w:pos="145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February 10, 2016</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34290</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300"/>
          </w:cols>
          <w:pgMar w:left="240" w:top="576"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J. Buhaly, certify that:</w:t>
      </w:r>
    </w:p>
    <w:p>
      <w:pPr>
        <w:spacing w:after="0" w:line="225"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Qorvo, Inc.;</w:t>
      </w:r>
    </w:p>
    <w:p>
      <w:pPr>
        <w:spacing w:after="0" w:line="225" w:lineRule="exact"/>
        <w:rPr>
          <w:rFonts w:ascii="Times New Roman" w:cs="Times New Roman" w:eastAsia="Times New Roman" w:hAnsi="Times New Roman"/>
          <w:sz w:val="18"/>
          <w:szCs w:val="18"/>
          <w:color w:val="auto"/>
        </w:rPr>
      </w:pPr>
    </w:p>
    <w:p>
      <w:pPr>
        <w:ind w:right="420" w:firstLine="8"/>
        <w:spacing w:after="0" w:line="282" w:lineRule="auto"/>
        <w:tabs>
          <w:tab w:leader="none" w:pos="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80" w:firstLine="8"/>
        <w:spacing w:after="0" w:line="282" w:lineRule="auto"/>
        <w:tabs>
          <w:tab w:leader="none" w:pos="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40" w:firstLine="8"/>
        <w:spacing w:after="0" w:line="266" w:lineRule="auto"/>
        <w:tabs>
          <w:tab w:leader="none" w:pos="3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hanging="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220" w:hanging="4"/>
        <w:spacing w:after="0" w:line="266" w:lineRule="auto"/>
        <w:tabs>
          <w:tab w:leader="none" w:pos="9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720" w:hanging="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right="200" w:hanging="4"/>
        <w:spacing w:after="0" w:line="266" w:lineRule="auto"/>
        <w:tabs>
          <w:tab w:leader="none" w:pos="9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300" w:firstLine="8"/>
        <w:spacing w:after="0" w:line="282" w:lineRule="auto"/>
        <w:tabs>
          <w:tab w:leader="none" w:pos="3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120" w:hanging="4"/>
        <w:spacing w:after="0" w:line="282" w:lineRule="auto"/>
        <w:tabs>
          <w:tab w:leader="none" w:pos="97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80" w:hanging="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February 10, 2016</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STEVEN J. BUHALY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34290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Steven J. Buhaly</w:t>
      </w:r>
    </w:p>
    <w:p>
      <w:pPr>
        <w:spacing w:after="0" w:line="6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00"/>
          </w:cols>
          <w:pgMar w:left="240" w:top="576" w:right="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Robert A. Bruggeworth, President and Chief Executive Officer of Qorvo, Inc. (the “Company”), certify pursuant to Section 906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Sarbanes-Oxley Act of 2002, 18 U.S.C. Section 1350, that, to my knowledge:</w:t>
      </w:r>
    </w:p>
    <w:p>
      <w:pPr>
        <w:spacing w:after="0" w:line="207" w:lineRule="exact"/>
        <w:rPr>
          <w:sz w:val="20"/>
          <w:szCs w:val="20"/>
          <w:color w:val="auto"/>
        </w:rPr>
      </w:pPr>
    </w:p>
    <w:p>
      <w:pPr>
        <w:ind w:left="660" w:hanging="652"/>
        <w:spacing w:after="0" w:line="269" w:lineRule="auto"/>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fiscal quarter ended January 2, 2016 (the “Report”) fully complies with the requirements of Section 13(a) or 15(d) of the Securities Exchange Act of 1934, as amended; and</w:t>
      </w:r>
    </w:p>
    <w:p>
      <w:pPr>
        <w:spacing w:after="0" w:line="173" w:lineRule="exact"/>
        <w:rPr>
          <w:rFonts w:ascii="Times New Roman" w:cs="Times New Roman" w:eastAsia="Times New Roman" w:hAnsi="Times New Roman"/>
          <w:sz w:val="20"/>
          <w:szCs w:val="20"/>
          <w:color w:val="auto"/>
        </w:rPr>
      </w:pPr>
    </w:p>
    <w:p>
      <w:pPr>
        <w:ind w:left="660" w:right="140" w:hanging="652"/>
        <w:spacing w:after="0" w:line="269" w:lineRule="auto"/>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u w:val="single" w:color="auto"/>
          <w:color w:val="auto"/>
        </w:rPr>
        <w:t>/s/ ROBERT A. BRUGGEWORTH</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February 10, 2016</w:t>
      </w:r>
    </w:p>
    <w:p>
      <w:pPr>
        <w:sectPr>
          <w:pgSz w:w="11900" w:h="16838" w:orient="portrait"/>
          <w:cols w:equalWidth="0" w:num="1">
            <w:col w:w="11360"/>
          </w:cols>
          <w:pgMar w:left="240" w:top="572"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I, Steven J. Buhaly, Chief Financial Officer of Qorvo, Inc. (the “Company”), certify pursuant to Section 906 of the Sarbanes-Oxley Act of 2002, 18 U.S.C. Section 1350, that, to my knowledge:</w:t>
      </w:r>
    </w:p>
    <w:p>
      <w:pPr>
        <w:spacing w:after="0" w:line="173" w:lineRule="exact"/>
        <w:rPr>
          <w:sz w:val="20"/>
          <w:szCs w:val="20"/>
          <w:color w:val="auto"/>
        </w:rPr>
      </w:pPr>
    </w:p>
    <w:p>
      <w:pPr>
        <w:ind w:left="660" w:hanging="652"/>
        <w:spacing w:after="0" w:line="269" w:lineRule="auto"/>
        <w:tabs>
          <w:tab w:leader="none" w:pos="6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fiscal quarter ended January 2, 2016 (the “Report”) fully complies with the requirements of Section 13(a) or 15(d) of the Securities Exchange Act of 1934, as amended; and</w:t>
      </w:r>
    </w:p>
    <w:p>
      <w:pPr>
        <w:spacing w:after="0" w:line="173" w:lineRule="exact"/>
        <w:rPr>
          <w:rFonts w:ascii="Times New Roman" w:cs="Times New Roman" w:eastAsia="Times New Roman" w:hAnsi="Times New Roman"/>
          <w:sz w:val="20"/>
          <w:szCs w:val="20"/>
          <w:color w:val="auto"/>
        </w:rPr>
      </w:pPr>
    </w:p>
    <w:p>
      <w:pPr>
        <w:ind w:left="660" w:right="140" w:hanging="652"/>
        <w:spacing w:after="0" w:line="269" w:lineRule="auto"/>
        <w:tabs>
          <w:tab w:leader="none" w:pos="6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u w:val="single" w:color="auto"/>
          <w:color w:val="auto"/>
        </w:rPr>
        <w:t>/s/ STEVEN J. BUHALY</w:t>
      </w:r>
    </w:p>
    <w:p>
      <w:pPr>
        <w:spacing w:after="0" w:line="5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Steven J. Buhaly</w:t>
      </w:r>
    </w:p>
    <w:p>
      <w:pPr>
        <w:spacing w:after="0" w:line="5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February 10, 2016</w:t>
      </w:r>
    </w:p>
    <w:sectPr>
      <w:pgSz w:w="11900" w:h="16838" w:orient="portrait"/>
      <w:cols w:equalWidth="0" w:num="1">
        <w:col w:w="11360"/>
      </w:cols>
      <w:pgMar w:left="240" w:top="57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336"/>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0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2019-12-29T14:12:03Z</dcterms:created>
  <dcterms:modified xsi:type="dcterms:W3CDTF">2019-12-29T14:12:03Z</dcterms:modified>
</cp:coreProperties>
</file>