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FEGO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Global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24,814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99,274</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99,274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 Under the terms of the Merger Agreement, the number of shares of Qorvo common stock subject to any Accelerated Qorvo RSU or Adjusted RSU Award (each as defined below) held by the Reporting Person that remained subject to performance-based vesting conditions was deemed achieved at the greater of target and actual performance levels.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(ii) each outstanding restricted stock unit award corresponding to shares of Qorvo common stock (each, a "Qorvo RSU Award") held by the Reporting Person that was (A) vested but not yet settled as of immediately prior to the Effective Time or (cont.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 character limitation, footnote 3 is a continuation of footnote 2: (B) by its terms became vested in all respects as a result of the occurrence of the Closing (as defined in the Merger Agreement) (each, an "Accelerated Qorvo RSU") was cancelled in consideration for the right to receive (x) the Merger Consideration in respect of each share of Qorvo common stock then subject thereto and (y) an amount in cash equal to all dividend equivalents accrued but unpaid with respect thereto, and (iii) each Qorvo RSU Award held by the Reporting Person that was not an Accelerated Qorvo RSU (each, an "Adjusted RSU Award") was assumed by Skyworks and converted into a time-based restricted stock unit award covering a number of shares of Skyworks common stock determined by multiplying (A) the number of shares of Qorvo common stock then subject thereto by (B) the Conversion Ratio (as defined in the Merger Agreement), with any fractional shares rounded to the nearest whole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398"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964</Words>
  <Characters>5106</Characters>
  <CharactersWithSpaces>5992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