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4466_8k.htm"/>
      <w:bookmarkStart w:id="1" w:name="ksdp254466_8k"/>
      <w:bookmarkEnd w:id="0"/>
      <w:bookmarkEnd w:id="1"/>
      <w:r>
        <w:rPr/>
        <w:t> </w:t>
      </w:r>
    </w:p>
    <w:p>
      <w:pPr>
        <w:pStyle w:val="TextBody"/>
        <w:pBdr>
          <w:bottom w:val="single" w:sz="24"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8"/>
        </w:rPr>
        <w:t>UNITED STATES</w:t>
        <w:br/>
        <w:t>SECURITIES AND EXCHANGE COMMISSION</w:t>
        <w:br/>
      </w:r>
      <w:r>
        <w:rPr>
          <w:rFonts w:ascii="Times New Roman;Times;Serif" w:hAnsi="Times New Roman;Times;Serif"/>
          <w:b w:val="false"/>
          <w:i w:val="false"/>
          <w:caps w:val="false"/>
          <w:smallCaps w:val="false"/>
          <w:sz w:val="26"/>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61005__20"/>
      <w:bookmarkEnd w:id="2"/>
      <w:r>
        <w:rPr>
          <w:rFonts w:ascii="Times New Roman;Times;Serif" w:hAnsi="Times New Roman;Times;Serif"/>
          <w:b/>
          <w:i w:val="false"/>
          <w:caps w:val="false"/>
          <w:smallCaps w:val="false"/>
          <w:sz w:val="28"/>
        </w:rPr>
        <w:t>8-K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October 5, 2026</w:t>
        <w:br/>
      </w: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383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561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8"/>
        </w:rPr>
        <w:t>Qorvo,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570"/>
        <w:gridCol w:w="2210"/>
        <w:gridCol w:w="2195"/>
      </w:tblGrid>
      <w:tr>
        <w:trPr/>
        <w:tc>
          <w:tcPr>
            <w:tcW w:w="2570"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D_edei--EntityFileNumber_c20261005"/>
            <w:bookmarkEnd w:id="6"/>
            <w:r>
              <w:rPr>
                <w:b/>
                <w:sz w:val="20"/>
              </w:rPr>
              <w:t>001-36801</w:t>
            </w:r>
          </w:p>
        </w:tc>
        <w:tc>
          <w:tcPr>
            <w:tcW w:w="2195" w:type="dxa"/>
            <w:tcBorders/>
            <w:vAlign w:val="center"/>
          </w:tcPr>
          <w:p>
            <w:pPr>
              <w:pStyle w:val="TableContents"/>
              <w:bidi w:val="0"/>
              <w:spacing w:before="0" w:after="283"/>
              <w:jc w:val="center"/>
              <w:rPr>
                <w:b/>
                <w:sz w:val="20"/>
              </w:rPr>
            </w:pPr>
            <w:bookmarkStart w:id="7" w:name="xdx_901_edei--EntityTaxIdentificationNum"/>
            <w:bookmarkEnd w:id="7"/>
            <w:r>
              <w:rPr>
                <w:b/>
                <w:sz w:val="20"/>
              </w:rPr>
              <w:t>46-5288992</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7628 Thorndike Road, </w:t>
      </w:r>
      <w:bookmarkStart w:id="9" w:name="xdx_905_edei--EntityAddressCityOrTown_c2"/>
      <w:bookmarkEnd w:id="9"/>
      <w:r>
        <w:rPr>
          <w:rFonts w:ascii="Times New Roman;Times;Serif" w:hAnsi="Times New Roman;Times;Serif"/>
          <w:b/>
          <w:i w:val="false"/>
          <w:caps w:val="false"/>
          <w:smallCaps w:val="false"/>
          <w:sz w:val="20"/>
        </w:rPr>
        <w:t xml:space="preserve">Greensboro, </w:t>
      </w:r>
      <w:bookmarkStart w:id="10" w:name="xdx_903_edei--EntityAddressStateOrProvin"/>
      <w:bookmarkEnd w:id="10"/>
      <w:r>
        <w:rPr>
          <w:rFonts w:ascii="Times New Roman;Times;Serif" w:hAnsi="Times New Roman;Times;Serif"/>
          <w:b/>
          <w:i w:val="false"/>
          <w:caps w:val="false"/>
          <w:smallCaps w:val="false"/>
          <w:sz w:val="20"/>
        </w:rPr>
        <w:t xml:space="preserve">North Carolina </w:t>
      </w:r>
      <w:bookmarkStart w:id="11" w:name="xdx_905_edei--EntityAddressPostalZipCode"/>
      <w:bookmarkEnd w:id="11"/>
      <w:r>
        <w:rPr>
          <w:rFonts w:ascii="Times New Roman;Times;Serif" w:hAnsi="Times New Roman;Times;Serif"/>
          <w:b/>
          <w:i w:val="false"/>
          <w:caps w:val="false"/>
          <w:smallCaps w:val="false"/>
          <w:sz w:val="20"/>
        </w:rPr>
        <w:t>27409-9421</w:t>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75"/>
        <w:gridCol w:w="1505"/>
        <w:gridCol w:w="75"/>
      </w:tblGrid>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(Zip Code)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b/>
              </w:rPr>
            </w:pPr>
            <w:r>
              <w:rPr>
                <w:b/>
              </w:rPr>
              <w:t>(</w:t>
            </w:r>
            <w:bookmarkStart w:id="12" w:name="xdx_900_edei--CityAreaCode_c20261005__20"/>
            <w:bookmarkEnd w:id="12"/>
            <w:r>
              <w:rPr>
                <w:b/>
              </w:rPr>
              <w:t xml:space="preserve">336) </w:t>
            </w:r>
            <w:bookmarkStart w:id="13" w:name="xdx_901_edei--LocalPhoneNumber_c20261005"/>
            <w:bookmarkEnd w:id="13"/>
            <w:r>
              <w:rPr>
                <w:b/>
              </w:rPr>
              <w:t>664-1233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10"/>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3530"/>
        <w:gridCol w:w="1535"/>
        <w:gridCol w:w="3590"/>
      </w:tblGrid>
      <w:tr>
        <w:trPr/>
        <w:tc>
          <w:tcPr>
            <w:tcW w:w="3530" w:type="dxa"/>
            <w:tcBorders/>
            <w:vAlign w:val="center"/>
          </w:tcPr>
          <w:p>
            <w:pPr>
              <w:pStyle w:val="TableContents"/>
              <w:bidi w:val="0"/>
              <w:spacing w:before="0" w:after="283"/>
              <w:jc w:val="center"/>
              <w:rPr>
                <w:sz w:val="20"/>
              </w:rPr>
            </w:pPr>
            <w:r>
              <w:rPr>
                <w:sz w:val="20"/>
              </w:rPr>
              <w:t>Title of each class</w:t>
            </w:r>
          </w:p>
        </w:tc>
        <w:tc>
          <w:tcPr>
            <w:tcW w:w="1535" w:type="dxa"/>
            <w:tcBorders/>
            <w:vAlign w:val="center"/>
          </w:tcPr>
          <w:p>
            <w:pPr>
              <w:pStyle w:val="TableContents"/>
              <w:bidi w:val="0"/>
              <w:spacing w:before="0" w:after="283"/>
              <w:jc w:val="center"/>
              <w:rPr>
                <w:sz w:val="20"/>
              </w:rPr>
            </w:pPr>
            <w:r>
              <w:rPr>
                <w:sz w:val="20"/>
              </w:rPr>
              <w:t>Trading Symbol(s)</w:t>
            </w:r>
          </w:p>
        </w:tc>
        <w:tc>
          <w:tcPr>
            <w:tcW w:w="3590" w:type="dxa"/>
            <w:tcBorders/>
            <w:vAlign w:val="center"/>
          </w:tcPr>
          <w:p>
            <w:pPr>
              <w:pStyle w:val="TableContents"/>
              <w:bidi w:val="0"/>
              <w:spacing w:before="0" w:after="283"/>
              <w:jc w:val="center"/>
              <w:rPr>
                <w:sz w:val="20"/>
              </w:rPr>
            </w:pPr>
            <w:r>
              <w:rPr>
                <w:sz w:val="20"/>
              </w:rPr>
              <w:t>Name of each exchange on which registered</w:t>
            </w:r>
          </w:p>
        </w:tc>
      </w:tr>
      <w:tr>
        <w:trPr/>
        <w:tc>
          <w:tcPr>
            <w:tcW w:w="3530" w:type="dxa"/>
            <w:tcBorders/>
            <w:vAlign w:val="center"/>
          </w:tcPr>
          <w:p>
            <w:pPr>
              <w:pStyle w:val="TableContents"/>
              <w:bidi w:val="0"/>
              <w:spacing w:before="0" w:after="283"/>
              <w:jc w:val="center"/>
              <w:rPr>
                <w:b/>
              </w:rPr>
            </w:pPr>
            <w:bookmarkStart w:id="18" w:name="xdx_906_edei--Security12bTitle_c20261005"/>
            <w:bookmarkEnd w:id="18"/>
            <w:r>
              <w:rPr>
                <w:b/>
              </w:rPr>
              <w:t>Common Stock, $0.0001 par value</w:t>
            </w:r>
          </w:p>
        </w:tc>
        <w:tc>
          <w:tcPr>
            <w:tcW w:w="1535" w:type="dxa"/>
            <w:tcBorders/>
            <w:vAlign w:val="center"/>
          </w:tcPr>
          <w:p>
            <w:pPr>
              <w:pStyle w:val="TableContents"/>
              <w:bidi w:val="0"/>
              <w:spacing w:before="0" w:after="283"/>
              <w:jc w:val="center"/>
              <w:rPr>
                <w:b/>
              </w:rPr>
            </w:pPr>
            <w:bookmarkStart w:id="19" w:name="xdx_904_edei--TradingSymbol_c20261005__2"/>
            <w:bookmarkEnd w:id="19"/>
            <w:r>
              <w:rPr>
                <w:b/>
              </w:rPr>
              <w:t>QRVO</w:t>
            </w:r>
          </w:p>
        </w:tc>
        <w:tc>
          <w:tcPr>
            <w:tcW w:w="3590" w:type="dxa"/>
            <w:tcBorders/>
            <w:vAlign w:val="center"/>
          </w:tcPr>
          <w:p>
            <w:pPr>
              <w:pStyle w:val="TableContents"/>
              <w:bidi w:val="0"/>
              <w:spacing w:before="0" w:after="283"/>
              <w:jc w:val="center"/>
              <w:rPr>
                <w:b/>
              </w:rPr>
            </w:pPr>
            <w:bookmarkStart w:id="20" w:name="xdx_908_edei--SecurityExchangeName_c2026"/>
            <w:bookmarkEnd w:id="20"/>
            <w:r>
              <w:rPr>
                <w:b/>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in connection with the completion on October 5,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of the previously announced merger transaction between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and Skyworks Solutions, Inc.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pursuant to the Agreement and Plan of Merger (as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October 27, 2025, by and among Qorvo, Skyworks,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on the Closing Date,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In connection with the Mergers, Merger Sub II changed its name to “Qorvo Technologies, LLC”. Capitalized terms used but not defined herein have the meanings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transactions contemplated by the Merger Agreement in this Current Report on Form 8-K does not purport to be complete and is subject to, and qualified in its entirety by, the full text of the Merger Agreement, a copy of which was attached as Exhibit 2.1 to the Current Report on Form 8-K filed by Qorvo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October 28, 2025, and is incorporated by reference as Exhibit 2.1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96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1.02</w:t>
            </w:r>
          </w:p>
        </w:tc>
        <w:tc>
          <w:tcPr>
            <w:tcW w:w="4955" w:type="dxa"/>
            <w:tcBorders/>
            <w:vAlign w:val="center"/>
          </w:tcPr>
          <w:p>
            <w:pPr>
              <w:pStyle w:val="TableContents"/>
              <w:bidi w:val="0"/>
              <w:spacing w:before="0" w:after="283"/>
              <w:jc w:val="left"/>
              <w:rPr>
                <w:b/>
              </w:rPr>
            </w:pPr>
            <w:r>
              <w:rPr>
                <w:b/>
              </w:rPr>
              <w:t>Termination of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Introductory Note and Items 2.01, 3.01, 3.03, 5.01, 5.02 and 5.03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on the Closing Date, Qorvo terminated the Credit Agreement, dated as of April 23, 2024, by and among Qorvo, as the Borrower, Bank of America, N.A., as Administrative Agent, Swing Line Lender and L/C Issuer, and the other lenders party thereto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In connection with the termination of the Credit Agreement, all fees and other amounts (other than obligations not then due and payable or that by their terms survive the termination thereof) outstanding thereunder were paid in full and all commitments to extend credit thereunder were terminated. There were no borrowings outstanding under the Credit Agreement at the time of the termination.</w:t>
      </w:r>
    </w:p>
    <w:p>
      <w:pPr>
        <w:pStyle w:val="TextBody"/>
        <w:bidi w:val="0"/>
        <w:spacing w:before="0" w:after="0"/>
        <w:ind w:left="0" w:right="0" w:hanging="0"/>
        <w:jc w:val="left"/>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96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1.02, 2.01, 3.01, 3.03, 5.01, 5.02 and 5.03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concurrently with the effective time of the First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common stock, par value $0.0001 per share, of Qorvo (“</w:t>
      </w:r>
      <w:r>
        <w:rPr>
          <w:rFonts w:ascii="Times New Roman;Times;Serif" w:hAnsi="Times New Roman;Times;Serif"/>
          <w:b w:val="false"/>
          <w:i w:val="false"/>
          <w:caps w:val="false"/>
          <w:smallCaps w:val="false"/>
          <w:sz w:val="20"/>
          <w:u w:val="single"/>
        </w:rPr>
        <w:t>Qorvo Common Stock</w:t>
      </w:r>
      <w:r>
        <w:rPr>
          <w:rFonts w:ascii="Times New Roman;Times;Serif" w:hAnsi="Times New Roman;Times;Serif"/>
          <w:b w:val="false"/>
          <w:i w:val="false"/>
          <w:caps w:val="false"/>
          <w:smallCaps w:val="false"/>
          <w:sz w:val="20"/>
        </w:rPr>
        <w:t>”) issued and outstanding immediately prior to the Effective Time (other than shares of Qorvo Common Stock that were held (a) directly or indirectly, by any wholly-owned subsidiary of Qorvo immediately prior to the Effective Time, (b) by Qorvo (or in Qorvo’s treasury), and (c) directly or indirectly, by Skyworks, Merger Sub I, Merger Sub II or any other wholly-owned subsidiary of Skyworks immediately prior to the Effective Time) was converted into the right to receive (i) 0.960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common stock, par value $0.25 per share, of Skyworks (“</w:t>
      </w:r>
      <w:r>
        <w:rPr>
          <w:rFonts w:ascii="Times New Roman;Times;Serif" w:hAnsi="Times New Roman;Times;Serif"/>
          <w:b w:val="false"/>
          <w:i w:val="false"/>
          <w:caps w:val="false"/>
          <w:smallCaps w:val="false"/>
          <w:sz w:val="20"/>
          <w:u w:val="single"/>
        </w:rPr>
        <w:t>Skyworks Common Stock</w:t>
      </w:r>
      <w:r>
        <w:rPr>
          <w:rFonts w:ascii="Times New Roman;Times;Serif" w:hAnsi="Times New Roman;Times;Serif"/>
          <w:b w:val="false"/>
          <w:i w:val="false"/>
          <w:caps w:val="false"/>
          <w:smallCaps w:val="false"/>
          <w:sz w:val="20"/>
        </w:rPr>
        <w:t>”), without interest, and (ii) $32.50 in cash, without interest (the “</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 subject to applicable withholding taxes, (the foregoing clauses (i) and (ii), collectively,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No fractional shares of Skyworks Common Stock are being issued in the Mergers and Qorvo stockholders became entitled to receive cash in lieu of any fractional shares, as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each outstanding equity award with respect to Qorvo Common Stock was treated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Qorvo restricted stock unit (“</w:t>
            </w:r>
            <w:r>
              <w:rPr>
                <w:u w:val="single"/>
              </w:rPr>
              <w:t>Qorvo RSU Award</w:t>
            </w:r>
            <w:r>
              <w:rPr/>
              <w:t>”) that (a) was vested but not yet settled as of immediately prior to the Effective Time, (b) by its terms became vested in all respects as a result of the occurrence of the Closing or (c) was held by a non-employee member of the Qorvo board of directors as of immediately prior to the Effective Time (collectively, the “</w:t>
            </w:r>
            <w:r>
              <w:rPr>
                <w:u w:val="single"/>
              </w:rPr>
              <w:t>Accelerated Qorvo RSUs</w:t>
            </w:r>
            <w:r>
              <w:rPr/>
              <w:t>”), was cancelled in consideration for the right to receive (i) the Merger Consideration in respect of each share of Qorvo Common Stock that was subject to such Accelerated Qorvo RSU immediately prior to the Effective Time and (ii) an amount in cash equal to all dividend equivalents, if any, accrued but unpaid as of the Effective Time with respect to each such Accelerated Qorvo RSU. The number of shares of Qorvo Common Stock subject to any Accelerated Qorvo RSUs that remained subject to performance-based vesting conditions as of immediately prior to the Closing Date (</w:t>
            </w:r>
            <w:r>
              <w:rPr>
                <w:i/>
              </w:rPr>
              <w:t>i.e</w:t>
            </w:r>
            <w:r>
              <w:rPr/>
              <w:t>., any Qorvo RSU Award for which the level of performance vesting had not yet been determined) was determined by assuming, in respect of such Qorvo RSU Award, achievement at target performance, subject to certain exceptions for individuals for whom achievement was assumed at the greater of target performance and actual performance as of immediately prior to the Effective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Qorvo RSU Award that was not an Accelerated Qorvo RSU (the “</w:t>
            </w:r>
            <w:r>
              <w:rPr>
                <w:u w:val="single"/>
              </w:rPr>
              <w:t>Unvested Qorvo RSU Awards</w:t>
            </w:r>
            <w:r>
              <w:rPr/>
              <w:t>”), was assumed by Skyworks and converted automatically into a restricted stock unit award covering shares of Skyworks Common Stock (each, an “</w:t>
            </w:r>
            <w:r>
              <w:rPr>
                <w:u w:val="single"/>
              </w:rPr>
              <w:t>Adjusted RSU Award</w:t>
            </w:r>
            <w:r>
              <w:rPr/>
              <w:t>”), on the same terms and conditions as were applicable to such Qorvo RSU Award immediately prior to the Effective Time (other than performance-based vesting conditions, which no longer apply following the Effective Time, with dividend equivalents continuing to accrue in respect of such Adjusted RSU Awards and with all accrued dividend equivalents paid at such time as the Adjusted RSU Award is settled), except that the number of shares of Skyworks Common Stock subject to each such Adjusted RSU Award as of the Effective Time was determined by multiplying (a) the number of shares of Qorvo Common Stock subject to the corresponding Unvested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w:t>
            </w:r>
            <w:r>
              <w:rPr>
                <w:u w:val="single"/>
              </w:rPr>
              <w:t>Conversion Ratio</w:t>
            </w:r>
            <w:r>
              <w:rPr/>
              <w:t>”), with any fractional shares in the resulting product rounded to the nearest whole share. The number of shares of Qorvo Common Stock subject to any such Unvested Qorvo RSU Award that remain subject to performance-based vesting conditions for which the level of performance vesting had not yet been determined as of immediately prior to the Closing Date, including any accrued but unpaid dividend equivalents, was determined by assuming, in respect of such Unvested Qorvo RSU Award, achievement at target performance, subject to certain exceptions for individuals for whom achievement was assumed at the greater of target performance and actual performance as of immediately prior to the Effective Time. In the event of a termination of employment of any holder of an Adjusted RSU Award by Skyworks, the Surviving Company or one of their affiliates without “cause” or by such holder with “good reason” (each as defined in the applicable Qorvo equity plan or equity award agreement), in each case within the eighteen (18)-month period following the Closing Date, any such Adjusted RSU Awards held by such holder will accelerate and vest in full.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24"/>
        <w:gridCol w:w="9243"/>
      </w:tblGrid>
      <w:tr>
        <w:trPr/>
        <w:tc>
          <w:tcPr>
            <w:tcW w:w="3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b/>
              </w:rPr>
            </w:pPr>
            <w:r>
              <w:rPr>
                <w:b/>
              </w:rPr>
              <w:t>Item 3.01</w:t>
            </w:r>
          </w:p>
        </w:tc>
        <w:tc>
          <w:tcPr>
            <w:tcW w:w="9243" w:type="dxa"/>
            <w:tcBorders/>
            <w:vAlign w:val="center"/>
          </w:tcPr>
          <w:p>
            <w:pPr>
              <w:pStyle w:val="TableContents"/>
              <w:bidi w:val="0"/>
              <w:spacing w:before="0" w:after="283"/>
              <w:jc w:val="left"/>
              <w:rPr>
                <w:b/>
              </w:rPr>
            </w:pPr>
            <w:r>
              <w:rPr>
                <w:b/>
              </w:rPr>
              <w:t>Notice of Delisting or Failure to Satisfy a Continued Listing Rule or Standard; Transfer of Listing.</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1.02, 2.01, 3.03, 5.01, 5.02 and 5.03 of this Current Report on Form 8-K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on October 5, 2026, Qorvo notified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that the Mergers were consummated and requested that Nasdaq halt trading of Qorvo Common Stock prior to the opening of trading on October 5, 2026. Trading of Qorvo Common Stock on Nasdaq halted prior to the opening of trading on October 5,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October 5, 2026, Qorvo requested that Nasdaq file with the SEC a notification of removal from listing and/or registration under Section 12(b)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on Form 25 to strike Qorvo Common Stock from listing on Nasdaq and terminate its registration under Section 12(b) of the Exchange Act. Nasdaq is expected to file the Form 25 on October 5, 2026. As a result of the Form 25 filing, Qorvo Common Stock will no longer be listed on Nasdaq.</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intends to file a certification on Form 15 with the SEC regarding the termination of registration of all shares of Qorvo Common Stock under Section 12(g) of the Exchange Act and the suspension of Qorvo’s reporting obligations under Sections 13 and 15(d)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96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3.03</w:t>
            </w:r>
          </w:p>
        </w:tc>
        <w:tc>
          <w:tcPr>
            <w:tcW w:w="5300" w:type="dxa"/>
            <w:tcBorders/>
            <w:vAlign w:val="center"/>
          </w:tcPr>
          <w:p>
            <w:pPr>
              <w:pStyle w:val="TableContents"/>
              <w:bidi w:val="0"/>
              <w:spacing w:before="0" w:after="283"/>
              <w:jc w:val="left"/>
              <w:rPr>
                <w:b/>
              </w:rPr>
            </w:pPr>
            <w:r>
              <w:rPr>
                <w:b/>
              </w:rPr>
              <w:t>Material Modification to Rights of Security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1.02, 2.01, 3.01, 5.01, 5.02 and 5.03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holder of shares of Qorvo Common Stock issued and outstanding immediately prior to the Effective Time ceased to have any rights as a stockholder of Qorvo other than the right to receive the Merger Consideration pursuant to the Merger Agreement, as applicable.</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96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5.01</w:t>
            </w:r>
          </w:p>
        </w:tc>
        <w:tc>
          <w:tcPr>
            <w:tcW w:w="3470" w:type="dxa"/>
            <w:tcBorders/>
            <w:vAlign w:val="center"/>
          </w:tcPr>
          <w:p>
            <w:pPr>
              <w:pStyle w:val="TableContents"/>
              <w:bidi w:val="0"/>
              <w:spacing w:before="0" w:after="283"/>
              <w:jc w:val="left"/>
              <w:rPr>
                <w:b/>
              </w:rPr>
            </w:pPr>
            <w:r>
              <w:rPr>
                <w:b/>
              </w:rPr>
              <w:t>Changes in Control of Registrant.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1.02, 2.01, 3.01, 3.03, 5.02 and 5.03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First Merger, on October 5, 2026, a change in control of Qorvo occurred, and Qorvo became a wholly owned subsidiary of Skyworks.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Introductory Note and Items 1.02, 2.01, 3.01, 3.03, 5.01 and 5.03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and pursuant to the Merger Agreement, at the Closing, each of the members of Qorvo’s Board of Directors as of immediately prior to the Closing resigned and ceased to be directors of Qorvo and members of any committee or subcommittee of Qorvo’s Board of Directors, and certain managers of Merger Sub II as of immediately prior to the Closing and an employee of Qorvo became the managers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certain officers of Merger Sub II as of immediately prior to the Effective Time and an employee of Qorvo became the officers of the Surviving Company.</w:t>
      </w:r>
    </w:p>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96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left"/>
              <w:rPr>
                <w:b/>
              </w:rPr>
            </w:pPr>
            <w:r>
              <w:rPr>
                <w:b/>
              </w:rPr>
              <w:t>Amendments to Articles of Incorporation or Bylaws; Change in Fiscal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1.02, 2.01, 3.01, 3.03, 5.01 and 5.02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following the consummation of the Second Merger, Qorvo ceased to exist and the Surviving Company continued as the surviving entity. The certificate of formation and limited liability company agreement of the Surviving Company are set forth in Exhibits 3.1 and 3.2, respectively, to this Current Report on Form 8-K, which exhibits are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Qorvo’s and Skyworks’ current expectations, estimates and projections about the potential benefits of the transaction between Qorvo and Skyworks, their respective businesses and industries, management’s beliefs and certain assumptions made by Qorvo and Skyworks,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anticipated benefits of the transaction. These and other forward-looking statements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failure to realize the anticipated benefits of the transaction, including as a result of delay in integrating the businesses of Qorvo and Skyworks; (ii) Qorvo’s and Skyworks’ ability to implement their business strategies; (iii) pricing trends; (iv) potential litigation relating to the transaction that has been or could be instituted against the parties or their respective directors; (v) the risk that disruptions from the transaction will harm Qorvo’s or Skyworks’ business, including current plans and operations; (vi) the ability of Qorvo or Skyworks to retain and hire key personnel; (vii) potential adverse reactions or changes to business relationships resulting from the transaction (viii) uncertainty as to the long-term value of Skyworks’ common stock; (ix) legislative, regulatory and economic developments affecting Qorvo’s and Skyworks’ businesses; (x) general economic and market developments and conditions; (xi) the evolving legal, regulatory and tax regimes under which Qorvo and Skyworks operate; (xii) potential business uncertainty, including changes to existing business relationships, as a result of the transaction that would affect the parties’ financial performance; and (xiii) unpredictability and severity of catastrophic events, including, but not limited to, acts of terrorism or outbreak of war or hostilities, as well as Qorvo’s and Skyworks’ response to any of the aforementioned factors. These risks, as well as other risks associated with the transaction, are more fully discussed in the joint proxy statement/prospectus previously filed in connection with the transaction and in each of Qorvo’s and Skyworks’ other filings with the Securities and Exchange Commission. While the list of factors presented here and in the joint proxy statement/prospectus and such other filings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Qorvo’s or Skyworks’ consolidated financial condition, results of operations or liquidity. Neither Qorvo nor Skyworks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965"/>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4565" w:type="dxa"/>
            <w:tcBorders/>
            <w:vAlign w:val="center"/>
          </w:tcPr>
          <w:p>
            <w:pPr>
              <w:pStyle w:val="TableContents"/>
              <w:bidi w:val="0"/>
              <w:spacing w:before="0" w:after="283"/>
              <w:jc w:val="left"/>
              <w:rPr>
                <w:b/>
              </w:rPr>
            </w:pPr>
            <w:r>
              <w:rPr>
                <w:b/>
              </w:rPr>
              <w:t>Item 9.01 Financial Statements and 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80"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r:id="rId3">
              <w:r>
                <w:rPr>
                  <w:rStyle w:val="InternetLink"/>
                </w:rPr>
                <w:t>2.1*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4">
              <w:r>
                <w:rPr>
                  <w:rStyle w:val="InternetLink"/>
                  <w:sz w:val="20"/>
                </w:rPr>
                <w:t>Agreement and Plan of Merger, dated as of October 27, 2025, by and among Skyworks Solutions, Inc., Qorvo, Inc., Comet Acquisition Corp. and Comet Acquisition II, LLC (incorporated herein by reference to Exhibit 2.1 to Qorvo’s Current Report on Form 8-K filed with the SEC on October 28, 2025).</w:t>
              </w:r>
            </w:hyperlink>
          </w:p>
        </w:tc>
      </w:tr>
      <w:tr>
        <w:trPr/>
        <w:tc>
          <w:tcPr>
            <w:tcW w:w="890" w:type="dxa"/>
            <w:tcBorders/>
            <w:tcMar>
              <w:bottom w:w="0" w:type="dxa"/>
            </w:tcMar>
            <w:vAlign w:val="center"/>
          </w:tcPr>
          <w:p>
            <w:pPr>
              <w:pStyle w:val="TableContents"/>
              <w:bidi w:val="0"/>
              <w:spacing w:before="0" w:after="283"/>
              <w:jc w:val="left"/>
              <w:rPr/>
            </w:pPr>
            <w:hyperlink w:anchor="dp254466_ex3001.htm">
              <w:r>
                <w:rPr>
                  <w:rStyle w:val="InternetLink"/>
                </w:rPr>
                <w:t>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dp254466_ex3001.htm">
              <w:r>
                <w:rPr>
                  <w:rStyle w:val="InternetLink"/>
                  <w:sz w:val="20"/>
                </w:rPr>
                <w:t>Certificate of Formation of Comet Acquisition II, LLC.</w:t>
              </w:r>
            </w:hyperlink>
          </w:p>
        </w:tc>
      </w:tr>
      <w:tr>
        <w:trPr/>
        <w:tc>
          <w:tcPr>
            <w:tcW w:w="890" w:type="dxa"/>
            <w:tcBorders/>
            <w:tcMar>
              <w:bottom w:w="0" w:type="dxa"/>
            </w:tcMar>
            <w:vAlign w:val="center"/>
          </w:tcPr>
          <w:p>
            <w:pPr>
              <w:pStyle w:val="TableContents"/>
              <w:bidi w:val="0"/>
              <w:spacing w:before="0" w:after="283"/>
              <w:jc w:val="left"/>
              <w:rPr/>
            </w:pPr>
            <w:hyperlink w:anchor="dp254466_ex3002.htm">
              <w:r>
                <w:rPr>
                  <w:rStyle w:val="InternetLink"/>
                </w:rPr>
                <w:t>3.2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dp254466_ex3002.htm">
              <w:r>
                <w:rPr>
                  <w:rStyle w:val="InternetLink"/>
                  <w:sz w:val="20"/>
                </w:rPr>
                <w:t>Amended and Restated Limited Liability Company Agreement of Qorvo Technologies, LLC.</w:t>
              </w:r>
            </w:hyperlink>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sz w:val="20"/>
              </w:rPr>
            </w:pPr>
            <w:r>
              <w:rPr>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The Registrant hereby undertakes to furnish supplementally a copy of any omitted schedule upon request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054" w:type="dxa"/>
        <w:jc w:val="left"/>
        <w:tblInd w:w="0" w:type="dxa"/>
        <w:tblLayout w:type="fixed"/>
        <w:tblCellMar>
          <w:top w:w="0" w:type="dxa"/>
          <w:left w:w="0" w:type="dxa"/>
          <w:bottom w:w="0" w:type="dxa"/>
          <w:right w:w="0" w:type="dxa"/>
        </w:tblCellMar>
      </w:tblPr>
      <w:tblGrid>
        <w:gridCol w:w="75"/>
        <w:gridCol w:w="651"/>
        <w:gridCol w:w="3328"/>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b/>
              </w:rPr>
            </w:pPr>
            <w:r>
              <w:rPr>
                <w:b/>
              </w:rPr>
              <w:t>Qorvo Technologies, LLC</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b/>
              </w:rPr>
            </w:pPr>
            <w:r>
              <w:rPr>
                <w:b/>
              </w:rPr>
              <w:t>(as successor by merger to Qorvo, Inc.)</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3328" w:type="dxa"/>
            <w:tcBorders>
              <w:bottom w:val="single" w:sz="8" w:space="0" w:color="000000"/>
            </w:tcBorders>
            <w:tcMar>
              <w:bottom w:w="28" w:type="dxa"/>
            </w:tcMar>
            <w:vAlign w:val="center"/>
          </w:tcPr>
          <w:p>
            <w:pPr>
              <w:pStyle w:val="TableContents"/>
              <w:bidi w:val="0"/>
              <w:spacing w:before="0" w:after="283"/>
              <w:jc w:val="left"/>
              <w:rPr/>
            </w:pPr>
            <w:r>
              <w:rPr/>
              <w:t>/s/ Jason K. Givens</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3328" w:type="dxa"/>
            <w:tcBorders/>
            <w:vAlign w:val="center"/>
          </w:tcPr>
          <w:p>
            <w:pPr>
              <w:pStyle w:val="TableContents"/>
              <w:bidi w:val="0"/>
              <w:spacing w:before="0" w:after="283"/>
              <w:jc w:val="left"/>
              <w:rPr/>
            </w:pPr>
            <w:r>
              <w:rPr/>
              <w:t>Jason K. Givens</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3328" w:type="dxa"/>
            <w:tcBorders/>
            <w:vAlign w:val="center"/>
          </w:tcPr>
          <w:p>
            <w:pPr>
              <w:pStyle w:val="TableContents"/>
              <w:bidi w:val="0"/>
              <w:spacing w:before="0" w:after="283"/>
              <w:jc w:val="left"/>
              <w:rPr/>
            </w:pPr>
            <w:r>
              <w:rPr/>
              <w:t>Secretary</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2" w:name="dp254466_ex3001.htm"/>
      <w:bookmarkStart w:id="23" w:name="ksdp254466_ex300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COMET ACQUISITION II, LLC</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Pursuant to Section 18-201 of the</w:t>
        <w:br/>
        <w:t>Delaware Limited Liability Company Act</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86"/>
        <w:gridCol w:w="9865"/>
      </w:tblGrid>
      <w:tr>
        <w:trPr/>
        <w:tc>
          <w:tcPr>
            <w:tcW w:w="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w:t>
            </w:r>
          </w:p>
        </w:tc>
        <w:tc>
          <w:tcPr>
            <w:tcW w:w="9865" w:type="dxa"/>
            <w:tcBorders/>
            <w:vAlign w:val="center"/>
          </w:tcPr>
          <w:p>
            <w:pPr>
              <w:pStyle w:val="TableContents"/>
              <w:bidi w:val="0"/>
              <w:spacing w:before="0" w:after="283"/>
              <w:jc w:val="both"/>
              <w:rPr/>
            </w:pPr>
            <w:r>
              <w:rPr/>
              <w:t>The name of the limited liability company is Comet Acquisition II,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The address of its registered office in the State of Delaware is 251 Little Falls Drive, Wilmington, Delaware 19808.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3.</w:t>
            </w:r>
          </w:p>
        </w:tc>
        <w:tc>
          <w:tcPr>
            <w:tcW w:w="9983" w:type="dxa"/>
            <w:tcBorders/>
            <w:vAlign w:val="center"/>
          </w:tcPr>
          <w:p>
            <w:pPr>
              <w:pStyle w:val="TableContents"/>
              <w:bidi w:val="0"/>
              <w:spacing w:before="0" w:after="283"/>
              <w:jc w:val="both"/>
              <w:rPr/>
            </w:pPr>
            <w:r>
              <w:rPr/>
              <w:t>The name and address of its registered agent is Corporation Service Company at 251 Little Falls Drive, Wilmington, Delaware 19808.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this 24th day of October, 2025.</w:t>
      </w:r>
    </w:p>
    <w:p>
      <w:pPr>
        <w:pStyle w:val="TextBody"/>
        <w:bidi w:val="0"/>
        <w:spacing w:before="0" w:after="0"/>
        <w:ind w:left="0" w:right="0" w:firstLine="144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65"/>
        <w:gridCol w:w="650"/>
        <w:gridCol w:w="180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55"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Chelsea Amy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05" w:type="dxa"/>
            <w:tcBorders/>
            <w:vAlign w:val="center"/>
          </w:tcPr>
          <w:p>
            <w:pPr>
              <w:pStyle w:val="TableContents"/>
              <w:bidi w:val="0"/>
              <w:spacing w:before="0" w:after="283"/>
              <w:jc w:val="left"/>
              <w:rPr/>
            </w:pPr>
            <w:r>
              <w:rPr/>
              <w:t>Chelsea Amy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05" w:type="dxa"/>
            <w:tcBorders/>
            <w:vAlign w:val="center"/>
          </w:tcPr>
          <w:p>
            <w:pPr>
              <w:pStyle w:val="TableContents"/>
              <w:bidi w:val="0"/>
              <w:spacing w:before="0" w:after="283"/>
              <w:jc w:val="left"/>
              <w:rPr/>
            </w:pPr>
            <w:r>
              <w:rPr/>
              <w:t>Authorized Person</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4" w:name="dp254466_ex3002.htm"/>
      <w:bookmarkStart w:id="25" w:name="ksdp254466_ex3002"/>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LIMITED LIABILITY COMPANY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(as may be amended,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Qorvo Technologies,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as of this fifth day of October, 2026, by Skyworks Solutions, Inc., as the sole member of the Company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previously formed the Company as a limited liability company under the laws of the State of Delaware and entered into a written agreement, in accordance with the provisions of the Delaware Limited Liability Company Act and any successor statute,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governing the affairs of the Company and the conduct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entered into that certain Limited Liability Company Agreement of the Company, dated as of on October 24, 2025 (the “</w:t>
      </w:r>
      <w:r>
        <w:rPr>
          <w:rFonts w:ascii="Times New Roman;Times;Serif" w:hAnsi="Times New Roman;Times;Serif"/>
          <w:b w:val="false"/>
          <w:i w:val="false"/>
          <w:caps w:val="false"/>
          <w:smallCaps w:val="false"/>
          <w:sz w:val="20"/>
          <w:u w:val="single"/>
        </w:rPr>
        <w:t>Original LLC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October 5, 2026, the Company (f/k/a Comet Acquisition II, LLC) merged with Qorvo, Inc., immediately following Qorvo, Inc.’s merger with Comet Acquisition Corp., with the Company surviving such merger under the name “Qorvo Technologies, LLC”, and the Original LLC Agreement remaining the limited liability company agreement of the Company following such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9.3 of the Original LLC Agreement provides that amendments to the Original LLC Agreement shall be effective only if approved in writing by the Member;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desires to amend and restate the Original LLC Agreement in its entirety on the terms and conditions set forth herein, and such amendment and restatement has been duly approved in writing by the Member in accordance with Section 9.3 of the Original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the mutual covenants and agreements set forth herein, and for other good and valuable consideration, the receipt and sufficiency of which are hereby acknowledged, the Member hereby amends and restates the Original LLC Agreement, which is hereby replaced and superseded in its entirety by this Agreement,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r>
      <w:r>
        <w:rPr>
          <w:rFonts w:ascii="Times New Roman;Times;Serif" w:hAnsi="Times New Roman;Times;Serif"/>
          <w:b/>
          <w:i w:val="false"/>
          <w:caps/>
          <w:sz w:val="20"/>
          <w:u w:val="single"/>
        </w:rPr>
        <w:t>The Limited Liability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Formation</w:t>
      </w:r>
      <w:r>
        <w:rPr>
          <w:rFonts w:ascii="Times New Roman;Times;Serif" w:hAnsi="Times New Roman;Times;Serif"/>
          <w:b w:val="false"/>
          <w:i w:val="false"/>
          <w:caps w:val="false"/>
          <w:smallCaps w:val="false"/>
          <w:sz w:val="20"/>
        </w:rPr>
        <w:t>. The Member previously formed the Company as a limited liability company pursuant to the provisions of the Act.  A certificate of formation for the Company as described in Section 18-201 of the Act (the “</w:t>
      </w:r>
      <w:r>
        <w:rPr>
          <w:rFonts w:ascii="Times New Roman;Times;Serif" w:hAnsi="Times New Roman;Times;Serif"/>
          <w:b w:val="false"/>
          <w:i w:val="false"/>
          <w:caps w:val="false"/>
          <w:smallCaps w:val="false"/>
          <w:sz w:val="20"/>
          <w:u w:val="single"/>
        </w:rPr>
        <w:t>Certificate of Formation</w:t>
      </w:r>
      <w:r>
        <w:rPr>
          <w:rFonts w:ascii="Times New Roman;Times;Serif" w:hAnsi="Times New Roman;Times;Serif"/>
          <w:b w:val="false"/>
          <w:i w:val="false"/>
          <w:caps w:val="false"/>
          <w:smallCaps w:val="false"/>
          <w:sz w:val="20"/>
        </w:rPr>
        <w:t>”) was previously filed with the Office of the Secretary of State of the State of Delaware in conformity with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is “Qorvo Technologies, LLC” and its business shall be carried on in such name with such variations and changes as the board of managers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determine or deem necessary to comply with requirements of the jurisdictions in which the Company’s operations are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Business Purpose; Powers</w:t>
      </w:r>
      <w:r>
        <w:rPr>
          <w:rFonts w:ascii="Times New Roman;Times;Serif" w:hAnsi="Times New Roman;Times;Serif"/>
          <w:b w:val="false"/>
          <w:i w:val="false"/>
          <w:caps w:val="false"/>
          <w:smallCaps w:val="false"/>
          <w:sz w:val="20"/>
        </w:rPr>
        <w:t>. The Company is formed for the purpose of engaging in any lawful business, purpose or activity for which limited liability companies may be formed under the Act. The Company shall possess and may exercise all the powers and privileges granted by the Act or by any other applicable law or by this Agreement, together with any powers incidental thereto, so far as such powers and privileges are necessary or convenient to the conduct, promotion or attainment of the business purposes or activities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Registered Office and Agent</w:t>
      </w:r>
      <w:r>
        <w:rPr>
          <w:rFonts w:ascii="Times New Roman;Times;Serif" w:hAnsi="Times New Roman;Times;Serif"/>
          <w:b w:val="false"/>
          <w:i w:val="false"/>
          <w:caps w:val="false"/>
          <w:smallCaps w:val="false"/>
          <w:sz w:val="20"/>
        </w:rPr>
        <w:t>. The location of the registered office of the Company shall be 251 Little Falls Drive, Wilmington, Delaware 19808. The Company’s registered agent at such address shall be Corporation Service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the Company shall have perpetual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r>
      <w:r>
        <w:rPr>
          <w:rFonts w:ascii="Times New Roman;Times;Serif" w:hAnsi="Times New Roman;Times;Serif"/>
          <w:b/>
          <w:i w:val="false"/>
          <w:caps/>
          <w:sz w:val="20"/>
          <w:u w:val="single"/>
        </w:rPr>
        <w:t>The Member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The Member</w:t>
      </w:r>
      <w:r>
        <w:rPr>
          <w:rFonts w:ascii="Times New Roman;Times;Serif" w:hAnsi="Times New Roman;Times;Serif"/>
          <w:b w:val="false"/>
          <w:i w:val="false"/>
          <w:caps w:val="false"/>
          <w:smallCaps w:val="false"/>
          <w:sz w:val="20"/>
        </w:rPr>
        <w:t>.  The name and address of the Member are as follows:</w:t>
      </w:r>
    </w:p>
    <w:p>
      <w:pPr>
        <w:pStyle w:val="TextBody"/>
        <w:bidi w:val="0"/>
        <w:spacing w:before="0" w:after="0"/>
        <w:ind w:left="0" w:right="0" w:firstLine="720"/>
        <w:jc w:val="both"/>
        <w:rPr>
          <w:caps w:val="false"/>
          <w:smallCaps w:val="false"/>
        </w:rPr>
      </w:pPr>
      <w:r>
        <w:rPr>
          <w:caps w:val="false"/>
          <w:smallCaps w:val="false"/>
        </w:rPr>
        <w:t> </w:t>
      </w:r>
    </w:p>
    <w:tbl>
      <w:tblPr>
        <w:tblW w:w="6385" w:type="dxa"/>
        <w:jc w:val="left"/>
        <w:tblInd w:w="0" w:type="dxa"/>
        <w:tblLayout w:type="fixed"/>
        <w:tblCellMar>
          <w:top w:w="60" w:type="dxa"/>
          <w:left w:w="60" w:type="dxa"/>
          <w:bottom w:w="60" w:type="dxa"/>
          <w:right w:w="60" w:type="dxa"/>
        </w:tblCellMar>
      </w:tblPr>
      <w:tblGrid>
        <w:gridCol w:w="2165"/>
        <w:gridCol w:w="4220"/>
      </w:tblGrid>
      <w:tr>
        <w:trPr/>
        <w:tc>
          <w:tcPr>
            <w:tcW w:w="2165" w:type="dxa"/>
            <w:tcBorders/>
            <w:vAlign w:val="center"/>
          </w:tcPr>
          <w:p>
            <w:pPr>
              <w:pStyle w:val="TableContents"/>
              <w:bidi w:val="0"/>
              <w:spacing w:before="0" w:after="283"/>
              <w:jc w:val="center"/>
              <w:rPr>
                <w:sz w:val="20"/>
              </w:rPr>
            </w:pPr>
            <w:r>
              <w:rPr>
                <w:sz w:val="20"/>
              </w:rPr>
              <w:t>Name</w:t>
            </w:r>
          </w:p>
        </w:tc>
        <w:tc>
          <w:tcPr>
            <w:tcW w:w="4220" w:type="dxa"/>
            <w:tcBorders/>
            <w:vAlign w:val="center"/>
          </w:tcPr>
          <w:p>
            <w:pPr>
              <w:pStyle w:val="TableContents"/>
              <w:bidi w:val="0"/>
              <w:spacing w:before="0" w:after="283"/>
              <w:jc w:val="center"/>
              <w:rPr>
                <w:sz w:val="20"/>
              </w:rPr>
            </w:pPr>
            <w:r>
              <w:rPr>
                <w:sz w:val="20"/>
              </w:rPr>
              <w:t>Address</w:t>
            </w:r>
          </w:p>
        </w:tc>
      </w:tr>
      <w:tr>
        <w:trPr/>
        <w:tc>
          <w:tcPr>
            <w:tcW w:w="2165" w:type="dxa"/>
            <w:tcBorders/>
            <w:vAlign w:val="center"/>
          </w:tcPr>
          <w:p>
            <w:pPr>
              <w:pStyle w:val="TableContents"/>
              <w:bidi w:val="0"/>
              <w:spacing w:before="0" w:after="283"/>
              <w:jc w:val="center"/>
              <w:rPr>
                <w:sz w:val="20"/>
              </w:rPr>
            </w:pPr>
            <w:r>
              <w:rPr>
                <w:sz w:val="20"/>
              </w:rPr>
              <w:t>Skyworks Solutions, Inc.</w:t>
            </w:r>
          </w:p>
        </w:tc>
        <w:tc>
          <w:tcPr>
            <w:tcW w:w="4220" w:type="dxa"/>
            <w:tcBorders/>
            <w:vAlign w:val="center"/>
          </w:tcPr>
          <w:p>
            <w:pPr>
              <w:pStyle w:val="TableContents"/>
              <w:bidi w:val="0"/>
              <w:spacing w:before="0" w:after="283"/>
              <w:jc w:val="center"/>
              <w:rPr>
                <w:sz w:val="20"/>
              </w:rPr>
            </w:pPr>
            <w:r>
              <w:rPr>
                <w:sz w:val="20"/>
              </w:rPr>
              <w:t>5260 California Avenue,  Irvine, California 92617</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Actions by the Member; Meetings</w:t>
      </w:r>
      <w:r>
        <w:rPr>
          <w:rFonts w:ascii="Times New Roman;Times;Serif" w:hAnsi="Times New Roman;Times;Serif"/>
          <w:b w:val="false"/>
          <w:i w:val="false"/>
          <w:caps w:val="false"/>
          <w:smallCaps w:val="false"/>
          <w:sz w:val="20"/>
        </w:rPr>
        <w:t>. The Member may approve a matter or take any action at a meeting or without a meeting by the written consent of the Member.  Meetings of the Member may be called at any time by the Member or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Liability of the Member</w:t>
      </w:r>
      <w:r>
        <w:rPr>
          <w:rFonts w:ascii="Times New Roman;Times;Serif" w:hAnsi="Times New Roman;Times;Serif"/>
          <w:b w:val="false"/>
          <w:i w:val="false"/>
          <w:caps w:val="false"/>
          <w:smallCaps w:val="false"/>
          <w:sz w:val="20"/>
        </w:rPr>
        <w:t>.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Power to Bind the Company</w:t>
      </w:r>
      <w:r>
        <w:rPr>
          <w:rFonts w:ascii="Times New Roman;Times;Serif" w:hAnsi="Times New Roman;Times;Serif"/>
          <w:b w:val="false"/>
          <w:i w:val="false"/>
          <w:caps w:val="false"/>
          <w:smallCaps w:val="false"/>
          <w:sz w:val="20"/>
        </w:rPr>
        <w:t>. The Member (acting in its capacity as such) shall have the authority to bind the Company to any third party with respect to any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Admission of Members</w:t>
      </w:r>
      <w:r>
        <w:rPr>
          <w:rFonts w:ascii="Times New Roman;Times;Serif" w:hAnsi="Times New Roman;Times;Serif"/>
          <w:b w:val="false"/>
          <w:i w:val="false"/>
          <w:caps w:val="false"/>
          <w:smallCaps w:val="false"/>
          <w:sz w:val="20"/>
        </w:rPr>
        <w:t>. New members shall be admitted only upon the approval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r>
      <w:r>
        <w:rPr>
          <w:rFonts w:ascii="Times New Roman;Times;Serif" w:hAnsi="Times New Roman;Times;Serif"/>
          <w:b/>
          <w:i w:val="false"/>
          <w:caps/>
          <w:sz w:val="20"/>
          <w:u w:val="single"/>
        </w:rPr>
        <w:t>The Board</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Management By Board of 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such matters which are expressly reserved hereunder or under the Act to the Member for decision, the business and affairs of the Company shall be managed by the Board, which shall be responsible for policy setting, approving the overall direction of the Company and making all decisions affecting the business and affairs of the Company. The Board shall consist of one (1) to three (3) individuals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xml:space="preserve">”), the exact number of Managers to be determined from time to time by resolution of the Member. The Board as of the date hereof shall consist of three (3) members and shall be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shall be elected by the Member and shall serve until his or her successor has been duly elected and qualified, or until his or her earlier removal, resignation, death or disability.  The Member may remove any Manager from the Board or from any other capacity with the Company at any time, with or without cause.  A Manager may resign at any time upon written notice to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Action By the Board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Meetings of the Board may be called by any Manager upon twenty-four hours prior written notice to each Manager.  The presence of a majority of the Managers then in office shall constitute a quorum at any meeting of the Board.  All actions of the Board shall require the affirmative vote of a majority of the Managers then in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Power to Bind Company</w:t>
      </w:r>
      <w:r>
        <w:rPr>
          <w:rFonts w:ascii="Times New Roman;Times;Serif" w:hAnsi="Times New Roman;Times;Serif"/>
          <w:b w:val="false"/>
          <w:i w:val="false"/>
          <w:caps w:val="false"/>
          <w:smallCaps w:val="false"/>
          <w:sz w:val="20"/>
        </w:rPr>
        <w:t>. None of the Managers (acting in their capacity as such) shall have authority to bind the Company to any third party with respect to any matter unless the Board shall have approved such matter and authorized such Manager(s) to bind the Company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Officers and Related Persons</w:t>
      </w:r>
      <w:r>
        <w:rPr>
          <w:rFonts w:ascii="Times New Roman;Times;Serif" w:hAnsi="Times New Roman;Times;Serif"/>
          <w:b w:val="false"/>
          <w:i w:val="false"/>
          <w:caps w:val="false"/>
          <w:smallCaps w:val="false"/>
          <w:sz w:val="20"/>
        </w:rPr>
        <w:t xml:space="preserve">. The Board shall have the authority to appoint and terminate officers of the Company and retain and terminate employees, agents and consultants of the Company and to delegate such duties to any such officers, employees, agents and consultants as the Board deems appropriate, including the power, acting individually or jointly, to represent and bind the Company in all matters, in accordance with the scope of their respective duties. The officers of the Company as of the date hereof are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r>
      <w:r>
        <w:rPr>
          <w:rFonts w:ascii="Times New Roman;Times;Serif" w:hAnsi="Times New Roman;Times;Serif"/>
          <w:b/>
          <w:i w:val="false"/>
          <w:caps/>
          <w:sz w:val="20"/>
          <w:u w:val="single"/>
        </w:rPr>
        <w:t>Capital Structure and Contributions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 The capital structure of the Company shall consist of one class of common interests (the “</w:t>
      </w:r>
      <w:r>
        <w:rPr>
          <w:rFonts w:ascii="Times New Roman;Times;Serif" w:hAnsi="Times New Roman;Times;Serif"/>
          <w:b w:val="false"/>
          <w:i w:val="false"/>
          <w:caps w:val="false"/>
          <w:smallCaps w:val="false"/>
          <w:sz w:val="20"/>
          <w:u w:val="single"/>
        </w:rPr>
        <w:t>Common Interests</w:t>
      </w:r>
      <w:r>
        <w:rPr>
          <w:rFonts w:ascii="Times New Roman;Times;Serif" w:hAnsi="Times New Roman;Times;Serif"/>
          <w:b w:val="false"/>
          <w:i w:val="false"/>
          <w:caps w:val="false"/>
          <w:smallCaps w:val="false"/>
          <w:sz w:val="20"/>
        </w:rPr>
        <w:t>”). All Common Interests shall be identical with each other in every respect.  The Member shall own all of the Common Interests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r>
      <w:r>
        <w:rPr>
          <w:rFonts w:ascii="Times New Roman;Times;Serif" w:hAnsi="Times New Roman;Times;Serif"/>
          <w:b/>
          <w:i w:val="false"/>
          <w:caps/>
          <w:sz w:val="20"/>
          <w:u w:val="single"/>
        </w:rPr>
        <w:t>Profits, Losses and Distributions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Profits and Losses</w:t>
      </w:r>
      <w:r>
        <w:rPr>
          <w:rFonts w:ascii="Times New Roman;Times;Serif" w:hAnsi="Times New Roman;Times;Serif"/>
          <w:b w:val="false"/>
          <w:i w:val="false"/>
          <w:caps w:val="false"/>
          <w:smallCaps w:val="false"/>
          <w:sz w:val="20"/>
        </w:rPr>
        <w:t>. For financial accounting purposes, the Company’s net profits or net losses shall be determined on an annual basis in accordance with the manner determined by the Board.  In each year, profits and losses shall be allocated entirely to the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r>
      <w:r>
        <w:rPr>
          <w:rFonts w:ascii="Times New Roman;Times;Serif" w:hAnsi="Times New Roman;Times;Serif"/>
          <w:b/>
          <w:i w:val="false"/>
          <w:caps/>
          <w:sz w:val="20"/>
          <w:u w:val="single"/>
        </w:rPr>
        <w:t>Events of Dissolution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Company shall be dissolved and its affairs wound up upon the occurrence of any of the following events (each, an “Event of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Member votes for dissolution;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judicial dissolution of the Company under Section 18-802 of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No other event, including, without limitation, the death, retirement, resignation, expulsion, bankruptcy or dissolution of the Member, shall cause the dissolution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the event of any occurrence resulting in the termination of the continued membership of the last remaining member of the Company, the Company shall be dissolved unless, within ninety days following such event, the personal representative of the last remaining member agrees in writing to continue the Company and to the admission of such personal representative (or any other person or entity designated by such personal representative) as a member of the Company, effective upon the event resulting in the termination of the continued membership of the last remaining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br/>
      </w:r>
      <w:r>
        <w:rPr>
          <w:rFonts w:ascii="Times New Roman;Times;Serif" w:hAnsi="Times New Roman;Times;Serif"/>
          <w:b/>
          <w:i w:val="false"/>
          <w:caps/>
          <w:sz w:val="20"/>
          <w:u w:val="single"/>
        </w:rPr>
        <w:t>Transfer of Interests in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Member may sell, assign, transfer, convey, gift, exchange, pledge, hypothecate or otherwise dispose of (“Transfer”) any or all of its Common Interests to any person or entity; provided, however, that such person or entity to whom such Common Interests are Transferred shall be an assignee and shall have no right to participate in the Company’s business and affairs unless and until such person or entity shall be admitted as a member of the Company upon (a) the prior written approval by the Board pursuant to Section 2.5 and (b) receipt by the Company of a written agreement executed by the person or entity to whom such Common Interests are Transferred agreeing to be bound by the terms of this Agreement.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br/>
      </w:r>
      <w:r>
        <w:rPr>
          <w:rFonts w:ascii="Times New Roman;Times;Serif" w:hAnsi="Times New Roman;Times;Serif"/>
          <w:b/>
          <w:i w:val="false"/>
          <w:caps/>
          <w:sz w:val="20"/>
          <w:u w:val="single"/>
        </w:rPr>
        <w:t>Exculpation and Indemnification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Exculpation</w:t>
      </w:r>
      <w:r>
        <w:rPr>
          <w:rFonts w:ascii="Times New Roman;Times;Serif" w:hAnsi="Times New Roman;Times;Serif"/>
          <w:b w:val="false"/>
          <w:i w:val="false"/>
          <w:caps w:val="false"/>
          <w:smallCaps w:val="false"/>
          <w:sz w:val="20"/>
        </w:rPr>
        <w:t>. Notwithstanding any other provisions of this Agreement, whether express or implied, or any obligation or duty at law or in equity, neither the Member nor the Managers, nor any of their respective officers, directors, stockholders, partners, members, managers, employees, affiliates, representatives or agents, nor any officer, employee, representative or agent of the Company (individually, a “Covered Person” and, collectively, the “Covered Persons”) shall be liable to the Company or any other person for any act or omission (in relation to the Company, its property or the conduct of its business or affairs, this Agreement, any related document or any transaction contemplated hereby or thereby) taken or omitted by a Covered Person in good faith in the reasonable belief that such act or omission is in or is not contrary to the best interests of the Company and is within the scope of authority granted to such Covered Person by this Agreement, provided such act or omission does not constitute fraud, willful misconduct or gross negligence.  In addition, to the fullest extent permitted by the Act as the same exists or may hereafter be amended, no Manager or officer of the Company shall be personally liable to the Company or the Member for monetary damages for breach of fiduciary duty as a Manager or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shall, to the maximum extent and in the manner permitted by the Act as the same now exists or may hereafter be amended, indemnify any person against expenses, liabilities and losses (including attorneys’ fees, judgments, fines, ERISA excise taxes or penalties and amounts paid or to be paid in settlement) actually and reasonably incurred in connection with any threatened, pending or completed action, suit, or proceeding in which such person was or is a party or is threatened to be made a party by reason of the fact that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 is or was a Manager or officer of the Company. For purposes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 “Manager” or “officer” of the Company shall mean any person (i) who is or was a Manager or officer of the Company, (ii) who, while a Manager or officer of the Company, is or was serving at the request of the Company as a director, manager, officer, partner, member or trustee of another corporation, limited liability company, partnership, joint venture, trust or other enterprise, or (iii) who was a Manager or officer of an entity which was a predecessor of the Company or, while serving as a Manager or officer of such predecessor, is or was serving at the request of such predecessor as a director, manager, officer, partner, member or trustee of another enterprise. Notwithstanding the foregoing, but subject to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the Company shall be required to indemnify a Manager or officer in connection with an action, suit, or proceeding (or part thereof) initiated by such Manager or officer only if the initiation of such action, suit, or proceeding (or part thereof) by the Manager or officer was authorized in the specific case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Indemnification of Others</w:t>
      </w:r>
      <w:r>
        <w:rPr>
          <w:rFonts w:ascii="Times New Roman;Times;Serif" w:hAnsi="Times New Roman;Times;Serif"/>
          <w:b w:val="false"/>
          <w:i w:val="false"/>
          <w:caps w:val="false"/>
          <w:smallCaps w:val="false"/>
          <w:sz w:val="20"/>
        </w:rPr>
        <w:t xml:space="preserve">. The Company shall have the power, to the maximum extent and in the manner permitted by the Act as the same now exists or may hereafter be amended, to indemnify any person (other than Managers and officers) against expenses, liabilities and losses (including attorneys’ fees, judgments, fines, ERISA excise taxes or penalties and amounts paid or to be paid in settlement) actually and reasonably incurred in connection with any threatened, pending or completed action, suit, or proceeding, in which such person was or is a party or is threatened to be made a party by reason of the fact that such person is or was an employee or agent of the Company. For purposes of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an “employee” or “agent” of the Company shall mean any person (other than a Manager or officer of the Company) (i) who is or was an employee or agent of the Company, (ii) who is or was serving at the request of the Company as a director, manager, officer, partner, member, trustee, employee or agent of another corporation, limited liability company, partnership, joint venture, trust or other enterprise, or (iii) who was an employee or agent of an entity which was a predecessor of the Company or was serving at the request of a predecessor of the Company as a director, manager, officer, partner, member, trustee, employee or agent of another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may purchase and maintain insurance on behalf of any person who is or was a Manager, officer, employee or agent of the Company, or is or was serving at the request of the Company as a director, manager, officer, partner, member, trustee, employee or agent of another corporation, limited liability company,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Company shall advance to any person eligible for indemnification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hereof, and may advance to any person eligible for indemnification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hereof, prior to the final disposition of the proceeding, all expenses reasonably incurred by any such person in connection with defending such proceeding, upon receipt of a request therefor and an undertaking by or on behalf of such person to repay such amounts if it should be determined ultimately that such person is not entitled to be indemnified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or otherwise. Notwithstanding the foregoing, but subject to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the Company shall not be required to advance expenses in connection with any proceeding (or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thereof) initiated by any person unless the proceeding was authorized in advance by the Board. Notwithstanding anything to the contrary set forth herein, unless otherwise determined pursuant to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the Company shall not be obligated to advance or continue to advance expenses to any person (other than any current or former Manager of the Company, as to whom this paragraph shall not apply) in any proceeding if a determination is reasonably and promptly made (i) by the Board by a majority vote of Disinterested Managers, even though less than a quorum, (ii) if there are no Disinterested Managers or the Disinterested Managers so direct, by Independent Counsel in a written opinion, or (iii) by a majority vote of a committee of Disinterested Managers designated by a majority vote of Disinterested Managers,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Non-Exclusivity Of Rights; Other Sources</w:t>
      </w:r>
      <w:r>
        <w:rPr>
          <w:rFonts w:ascii="Times New Roman;Times;Serif" w:hAnsi="Times New Roman;Times;Serif"/>
          <w:b w:val="false"/>
          <w:i w:val="false"/>
          <w:caps w:val="false"/>
          <w:smallCaps w:val="false"/>
          <w:sz w:val="20"/>
        </w:rPr>
        <w:t xml:space="preserve">. The rights conferred on any person by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will not be exclusive of any other right which such person may have or hereafter acquire under any statute, provision of the limited liability company agreement, agreement, vote of Member or otherwise, both as to action in his or her official capacity and as to action in another capacity while holding office. The Company is specifically authorized to enter into individual contracts with any or all of its Managers, officers, employees or agents respecting indemnification and advances, to the fullest extent not prohibited by the Act. The Company’s obligation, if any, to indemnify or to advance expenses to any person who is or was serving at its request as a director, manager, officer, partner, member, trustee, employee or agent of another enterprise shall be reduced by any amount such person may collect as indemnification or advancement of expenses from such other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Survival of Rights</w:t>
      </w:r>
      <w:r>
        <w:rPr>
          <w:rFonts w:ascii="Times New Roman;Times;Serif" w:hAnsi="Times New Roman;Times;Serif"/>
          <w:b w:val="false"/>
          <w:i w:val="false"/>
          <w:caps w:val="false"/>
          <w:smallCaps w:val="false"/>
          <w:sz w:val="20"/>
        </w:rPr>
        <w:t xml:space="preserve">. The rights conferred on any person by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will continue as to a person who has ceased to be a Manager, officer, employee or other agent and will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Any repeal or modification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will only be prospective and will not affect the rights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in effect at the time of the alleged occurrence of any action or omission to act that is the cause of any proceeding against any Manager, officer, employee, or other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Severability. If any provision or provisions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will be held to be invalid, illegal or unenforceable for any reason whatsoever: (i) the validity, legality and enforceability of the remaining provisions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(including, without limitation, each portion of any paragraph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containing any such provision held to be invalid, illegal or unenforceable, that is not itself held to be invalid, illegal or unenforceable) will not in any way be affected or impaired thereby; and (ii) to the fullest extent possible, the provisions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(including, without limitation, each such portion of any paragraph of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containing any such provision held to be invalid, illegal or unenforceable) will be construed so as to give effect to the intent manifested by the provision held invalid, illegal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Any notice, request or other communication required or permitted to be given to the Company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will be in writing and either delivered in person or sent by confirmed telecopy, electronic mail, overnight mail or courier service, or certified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mail, postage or charges prepaid, return copy requested, to the secretary of the Company and will be effective only upon receipt by the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xml:space="preserve">. If a claim for indemnification required by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(following the final disposition of such proceeding) is not paid in full within sixty days after the Company has received a claim therefor by the person entitled thereto, or if a claim for any advancement of expenses required by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is not paid in full within thirty days after the Company has received a statement or statements from the person entitled thereto requesting such amounts to be advanced, such person shall thereupon (but not before) be entitled to file suit to recover the unpaid amount of such claim. If successful in whole or in part, such person shall be entitled to be paid the expense of prosecuting such claim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Disinterested Manager</w:t>
      </w:r>
      <w:r>
        <w:rPr>
          <w:rFonts w:ascii="Times New Roman;Times;Serif" w:hAnsi="Times New Roman;Times;Serif"/>
          <w:b w:val="false"/>
          <w:i w:val="false"/>
          <w:caps w:val="false"/>
          <w:smallCaps w:val="false"/>
          <w:sz w:val="20"/>
        </w:rPr>
        <w:t>” will mean a Manager of the Company who is not and was not a party to the matter in respect of which indemnification or advancement of expenses is sought by the claimant.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xml:space="preserve">” will mean a law firm, a member of a law firm, or an independent practitioner, that is experienced in matters of Delaware limited liability company law and will include any person who, under the applicable standards of professional conduct then prevailing, would not have a conflict of interest in representing either the Company or the claimant in an action to determine the claimant’s rights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br/>
      </w:r>
      <w:r>
        <w:rPr>
          <w:rFonts w:ascii="Times New Roman;Times;Serif" w:hAnsi="Times New Roman;Times;Serif"/>
          <w:b/>
          <w:i w:val="false"/>
          <w:caps/>
          <w:sz w:val="20"/>
          <w:u w:val="single"/>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Unless otherwise determined by the Member, the Company shall be treated as a disregarded entity for U.S. federal income tax purposes (and any applicable state or local tax purposes), and neither the Company nor the Member shall take any action, or fail to take any action, that is inconsistent with such tax treatment.  Unless otherwise determined by the Member, all provisions of this Agreement are to be construed so as to preserve the Company’s status as a disregarded entity for U.S. federal income tax purposes (and any applicable state or local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Company shall end on the Friday closest to September 30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Amendments to this Agreement and to the Certificate of Formation shall be effective only if approved in writing by the Member.  An amendment shall become effective as of the date specified in the approval of the Member or if none is specified as of the date of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the principles of conflicts of laws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Limited Liability Company</w:t>
      </w:r>
      <w:r>
        <w:rPr>
          <w:rFonts w:ascii="Times New Roman;Times;Serif" w:hAnsi="Times New Roman;Times;Serif"/>
          <w:b w:val="false"/>
          <w:i w:val="false"/>
          <w:caps w:val="false"/>
          <w:smallCaps w:val="false"/>
          <w:sz w:val="20"/>
        </w:rPr>
        <w:t>. The Member intends to form a limited liability company and does not intend to form a partnership under the laws of the State of Delaware or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this Agreement as of the day first above written.</w:t>
      </w:r>
    </w:p>
    <w:p>
      <w:pPr>
        <w:pStyle w:val="TextBody"/>
        <w:bidi w:val="0"/>
        <w:spacing w:before="0" w:after="0"/>
        <w:ind w:left="0" w:right="0" w:firstLine="720"/>
        <w:jc w:val="both"/>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75"/>
        <w:gridCol w:w="365"/>
        <w:gridCol w:w="650"/>
        <w:gridCol w:w="5150"/>
      </w:tblGrid>
      <w:tr>
        <w:trPr/>
        <w:tc>
          <w:tcPr>
            <w:tcW w:w="75" w:type="dxa"/>
            <w:tcBorders/>
            <w:vAlign w:val="center"/>
          </w:tcPr>
          <w:p>
            <w:pPr>
              <w:pStyle w:val="TableContents"/>
              <w:bidi w:val="0"/>
              <w:spacing w:before="0" w:after="283"/>
              <w:jc w:val="left"/>
              <w:rPr/>
            </w:pPr>
            <w:r>
              <w:rPr/>
              <w:t> </w:t>
            </w:r>
          </w:p>
        </w:tc>
        <w:tc>
          <w:tcPr>
            <w:tcW w:w="6165" w:type="dxa"/>
            <w:gridSpan w:val="3"/>
            <w:tcBorders/>
            <w:vAlign w:val="center"/>
          </w:tcPr>
          <w:p>
            <w:pPr>
              <w:pStyle w:val="TableContents"/>
              <w:bidi w:val="0"/>
              <w:spacing w:before="0" w:after="283"/>
              <w:jc w:val="left"/>
              <w:rPr/>
            </w:pPr>
            <w:r>
              <w:rPr/>
              <w:t>Skyworks Solutions, Inc</w:t>
            </w:r>
          </w:p>
        </w:tc>
      </w:tr>
      <w:tr>
        <w:trPr/>
        <w:tc>
          <w:tcPr>
            <w:tcW w:w="75" w:type="dxa"/>
            <w:tcBorders/>
            <w:vAlign w:val="center"/>
          </w:tcPr>
          <w:p>
            <w:pPr>
              <w:pStyle w:val="TableContents"/>
              <w:bidi w:val="0"/>
              <w:spacing w:before="0" w:after="283"/>
              <w:jc w:val="left"/>
              <w:rPr/>
            </w:pPr>
            <w:r>
              <w:rPr/>
              <w:t> </w:t>
            </w:r>
          </w:p>
        </w:tc>
        <w:tc>
          <w:tcPr>
            <w:tcW w:w="616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6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800"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Jason K. Givens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150" w:type="dxa"/>
            <w:tcBorders/>
            <w:vAlign w:val="center"/>
          </w:tcPr>
          <w:p>
            <w:pPr>
              <w:pStyle w:val="TableContents"/>
              <w:bidi w:val="0"/>
              <w:spacing w:before="0" w:after="283"/>
              <w:jc w:val="left"/>
              <w:rPr/>
            </w:pPr>
            <w:r>
              <w:rPr/>
              <w:t>Jason K. Givens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150" w:type="dxa"/>
            <w:tcBorders/>
            <w:vAlign w:val="center"/>
          </w:tcPr>
          <w:p>
            <w:pPr>
              <w:pStyle w:val="TableContents"/>
              <w:bidi w:val="0"/>
              <w:spacing w:before="0" w:after="283"/>
              <w:jc w:val="left"/>
              <w:rPr/>
            </w:pPr>
            <w:r>
              <w:rPr/>
              <w:t xml:space="preserve">Senior Vice President, </w:t>
              <w:tab/>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for LLC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Philip G. Brace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Philip M. Carter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Jason K. Givens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Philip G. Brace, President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Jason K. Givens,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Philip M. Carter, Treasurer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4778/000095010325013687/dp236368_ex0201.htm" TargetMode="External"/><Relationship Id="rId4" Type="http://schemas.openxmlformats.org/officeDocument/2006/relationships/hyperlink" Target="https://www.sec.gov/Archives/edgar/data/1604778/000095010325013687/dp236368_ex02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7358</Words>
  <Characters>38311</Characters>
  <CharactersWithSpaces>45893</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