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CLEMMER RICHARD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4"/>
        <w:gridCol w:w="922"/>
        <w:gridCol w:w="789"/>
        <w:gridCol w:w="662"/>
        <w:gridCol w:w="306"/>
        <w:gridCol w:w="863"/>
        <w:gridCol w:w="464"/>
        <w:gridCol w:w="629"/>
        <w:gridCol w:w="1187"/>
        <w:gridCol w:w="1018"/>
        <w:gridCol w:w="94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6,410</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that was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and (ii) each outstanding restricted stock unit award corresponding to shares of Qorvo common stock held by the Reporting Person was cancelled in consideration for the right to receive (x) the Merger Consideration in respect of each share of Qorvo common stock then subject thereto and (y) an amount in cash equal to all dividend equivalents accrued but unpaid with respect thereto.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781"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4050</Characters>
  <CharactersWithSpaces>4734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