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535305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501015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ind w:left="640" w:right="460" w:hanging="614"/>
        <w:spacing w:after="0" w:line="235"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October 2,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40" w:right="440" w:hanging="614"/>
        <w:spacing w:after="0" w:line="235"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3"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For the transition period from _____to 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55880</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740" w:type="dxa"/>
            <w:vAlign w:val="bottom"/>
          </w:tcPr>
          <w:p>
            <w:pPr>
              <w:jc w:val="center"/>
              <w:ind w:right="774"/>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775"/>
              <w:spacing w:after="0"/>
              <w:rPr>
                <w:sz w:val="20"/>
                <w:szCs w:val="20"/>
                <w:color w:val="auto"/>
              </w:rPr>
            </w:pPr>
            <w:r>
              <w:rPr>
                <w:rFonts w:ascii="Arial" w:cs="Arial" w:eastAsia="Arial" w:hAnsi="Arial"/>
                <w:sz w:val="18"/>
                <w:szCs w:val="18"/>
                <w:b w:val="1"/>
                <w:bCs w:val="1"/>
                <w:color w:val="auto"/>
                <w:w w:val="89"/>
              </w:rPr>
              <w:t>46-5288992</w:t>
            </w:r>
          </w:p>
        </w:tc>
      </w:tr>
      <w:tr>
        <w:trPr>
          <w:trHeight w:val="210"/>
        </w:trPr>
        <w:tc>
          <w:tcPr>
            <w:tcW w:w="4740" w:type="dxa"/>
            <w:vAlign w:val="bottom"/>
          </w:tcPr>
          <w:p>
            <w:pPr>
              <w:jc w:val="center"/>
              <w:ind w:right="774"/>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160" w:type="dxa"/>
            <w:vAlign w:val="bottom"/>
          </w:tcPr>
          <w:p>
            <w:pPr>
              <w:jc w:val="center"/>
              <w:ind w:left="795"/>
              <w:spacing w:after="0"/>
              <w:rPr>
                <w:sz w:val="20"/>
                <w:szCs w:val="20"/>
                <w:color w:val="auto"/>
              </w:rPr>
            </w:pPr>
            <w:r>
              <w:rPr>
                <w:rFonts w:ascii="Arial" w:cs="Arial" w:eastAsia="Arial" w:hAnsi="Arial"/>
                <w:sz w:val="16"/>
                <w:szCs w:val="16"/>
                <w:color w:val="auto"/>
                <w:w w:val="94"/>
              </w:rPr>
              <w:t>(I.R.S. employer identification no.)</w:t>
            </w:r>
          </w:p>
        </w:tc>
      </w:tr>
      <w:tr>
        <w:trPr>
          <w:trHeight w:val="312"/>
        </w:trPr>
        <w:tc>
          <w:tcPr>
            <w:tcW w:w="4740" w:type="dxa"/>
            <w:vAlign w:val="bottom"/>
          </w:tcPr>
          <w:p>
            <w:pPr>
              <w:jc w:val="center"/>
              <w:ind w:right="774"/>
              <w:spacing w:after="0"/>
              <w:rPr>
                <w:sz w:val="20"/>
                <w:szCs w:val="20"/>
                <w:color w:val="auto"/>
              </w:rPr>
            </w:pPr>
            <w:r>
              <w:rPr>
                <w:rFonts w:ascii="Arial" w:cs="Arial" w:eastAsia="Arial" w:hAnsi="Arial"/>
                <w:sz w:val="18"/>
                <w:szCs w:val="18"/>
                <w:b w:val="1"/>
                <w:bCs w:val="1"/>
                <w:color w:val="auto"/>
                <w:w w:val="92"/>
              </w:rPr>
              <w:t>7628 Thorndike Road</w:t>
            </w:r>
          </w:p>
        </w:tc>
        <w:tc>
          <w:tcPr>
            <w:tcW w:w="3160" w:type="dxa"/>
            <w:vAlign w:val="bottom"/>
          </w:tcPr>
          <w:p>
            <w:pPr>
              <w:spacing w:after="0"/>
              <w:rPr>
                <w:sz w:val="24"/>
                <w:szCs w:val="24"/>
                <w:color w:val="auto"/>
              </w:rPr>
            </w:pPr>
          </w:p>
        </w:tc>
      </w:tr>
      <w:tr>
        <w:trPr>
          <w:trHeight w:val="234"/>
        </w:trPr>
        <w:tc>
          <w:tcPr>
            <w:tcW w:w="4740" w:type="dxa"/>
            <w:vAlign w:val="bottom"/>
          </w:tcPr>
          <w:p>
            <w:pPr>
              <w:jc w:val="center"/>
              <w:ind w:right="554"/>
              <w:spacing w:after="0"/>
              <w:rPr>
                <w:sz w:val="20"/>
                <w:szCs w:val="20"/>
                <w:color w:val="auto"/>
              </w:rPr>
            </w:pPr>
            <w:r>
              <w:rPr>
                <w:rFonts w:ascii="Arial" w:cs="Arial" w:eastAsia="Arial" w:hAnsi="Arial"/>
                <w:sz w:val="18"/>
                <w:szCs w:val="18"/>
                <w:b w:val="1"/>
                <w:bCs w:val="1"/>
                <w:color w:val="auto"/>
                <w:w w:val="91"/>
              </w:rPr>
              <w:t>Greensboro, North Carolina</w:t>
            </w:r>
          </w:p>
        </w:tc>
        <w:tc>
          <w:tcPr>
            <w:tcW w:w="3160" w:type="dxa"/>
            <w:vAlign w:val="bottom"/>
          </w:tcPr>
          <w:p>
            <w:pPr>
              <w:jc w:val="center"/>
              <w:ind w:left="775"/>
              <w:spacing w:after="0"/>
              <w:rPr>
                <w:sz w:val="20"/>
                <w:szCs w:val="20"/>
                <w:color w:val="auto"/>
              </w:rPr>
            </w:pPr>
            <w:r>
              <w:rPr>
                <w:rFonts w:ascii="Arial" w:cs="Arial" w:eastAsia="Arial" w:hAnsi="Arial"/>
                <w:sz w:val="18"/>
                <w:szCs w:val="18"/>
                <w:b w:val="1"/>
                <w:bCs w:val="1"/>
                <w:color w:val="auto"/>
                <w:w w:val="89"/>
              </w:rPr>
              <w:t>27409-9421</w:t>
            </w:r>
          </w:p>
        </w:tc>
      </w:tr>
      <w:tr>
        <w:trPr>
          <w:trHeight w:val="210"/>
        </w:trPr>
        <w:tc>
          <w:tcPr>
            <w:tcW w:w="4740" w:type="dxa"/>
            <w:vAlign w:val="bottom"/>
          </w:tcPr>
          <w:p>
            <w:pPr>
              <w:jc w:val="center"/>
              <w:ind w:right="514"/>
              <w:spacing w:after="0"/>
              <w:rPr>
                <w:sz w:val="20"/>
                <w:szCs w:val="20"/>
                <w:color w:val="auto"/>
              </w:rPr>
            </w:pPr>
            <w:r>
              <w:rPr>
                <w:rFonts w:ascii="Arial" w:cs="Arial" w:eastAsia="Arial" w:hAnsi="Arial"/>
                <w:sz w:val="16"/>
                <w:szCs w:val="16"/>
                <w:color w:val="auto"/>
                <w:w w:val="94"/>
              </w:rPr>
              <w:t>(Address of principal executive office)</w:t>
            </w:r>
          </w:p>
        </w:tc>
        <w:tc>
          <w:tcPr>
            <w:tcW w:w="3160" w:type="dxa"/>
            <w:vAlign w:val="bottom"/>
          </w:tcPr>
          <w:p>
            <w:pPr>
              <w:jc w:val="center"/>
              <w:ind w:left="795"/>
              <w:spacing w:after="0"/>
              <w:rPr>
                <w:sz w:val="20"/>
                <w:szCs w:val="20"/>
                <w:color w:val="auto"/>
              </w:rPr>
            </w:pPr>
            <w:r>
              <w:rPr>
                <w:rFonts w:ascii="Arial" w:cs="Arial" w:eastAsia="Arial" w:hAnsi="Arial"/>
                <w:sz w:val="16"/>
                <w:szCs w:val="16"/>
                <w:color w:val="auto"/>
                <w:w w:val="94"/>
              </w:rPr>
              <w:t>(Zip code)</w:t>
            </w:r>
          </w:p>
        </w:tc>
      </w:tr>
    </w:tbl>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(336) 664-1233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46"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560" w:type="dxa"/>
            <w:vAlign w:val="bottom"/>
            <w:gridSpan w:val="5"/>
          </w:tcPr>
          <w:p>
            <w:pPr>
              <w:jc w:val="center"/>
              <w:ind w:right="29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194"/>
        </w:trPr>
        <w:tc>
          <w:tcPr>
            <w:tcW w:w="580" w:type="dxa"/>
            <w:vAlign w:val="bottom"/>
          </w:tcPr>
          <w:p>
            <w:pPr>
              <w:spacing w:after="0"/>
              <w:rPr>
                <w:sz w:val="16"/>
                <w:szCs w:val="16"/>
                <w:color w:val="auto"/>
              </w:rPr>
            </w:pPr>
          </w:p>
        </w:tc>
        <w:tc>
          <w:tcPr>
            <w:tcW w:w="2000" w:type="dxa"/>
            <w:vAlign w:val="bottom"/>
            <w:gridSpan w:val="2"/>
          </w:tcPr>
          <w:p>
            <w:pPr>
              <w:jc w:val="center"/>
              <w:ind w:right="660"/>
              <w:spacing w:after="0" w:line="194" w:lineRule="exact"/>
              <w:rPr>
                <w:sz w:val="20"/>
                <w:szCs w:val="20"/>
                <w:color w:val="auto"/>
              </w:rPr>
            </w:pPr>
            <w:r>
              <w:rPr>
                <w:rFonts w:ascii="Arial" w:cs="Arial" w:eastAsia="Arial" w:hAnsi="Arial"/>
                <w:sz w:val="18"/>
                <w:szCs w:val="18"/>
                <w:b w:val="1"/>
                <w:bCs w:val="1"/>
                <w:color w:val="auto"/>
                <w:w w:val="86"/>
              </w:rPr>
              <w:t>Title of each class</w:t>
            </w:r>
          </w:p>
        </w:tc>
        <w:tc>
          <w:tcPr>
            <w:tcW w:w="1560" w:type="dxa"/>
            <w:vAlign w:val="bottom"/>
          </w:tcPr>
          <w:p>
            <w:pPr>
              <w:spacing w:after="0"/>
              <w:rPr>
                <w:sz w:val="16"/>
                <w:szCs w:val="16"/>
                <w:color w:val="auto"/>
              </w:rPr>
            </w:pPr>
          </w:p>
        </w:tc>
        <w:tc>
          <w:tcPr>
            <w:tcW w:w="2040" w:type="dxa"/>
            <w:vAlign w:val="bottom"/>
            <w:gridSpan w:val="2"/>
          </w:tcPr>
          <w:p>
            <w:pPr>
              <w:jc w:val="center"/>
              <w:ind w:right="600"/>
              <w:spacing w:after="0" w:line="194" w:lineRule="exact"/>
              <w:rPr>
                <w:sz w:val="20"/>
                <w:szCs w:val="20"/>
                <w:color w:val="auto"/>
              </w:rPr>
            </w:pPr>
            <w:r>
              <w:rPr>
                <w:rFonts w:ascii="Arial" w:cs="Arial" w:eastAsia="Arial" w:hAnsi="Arial"/>
                <w:sz w:val="18"/>
                <w:szCs w:val="18"/>
                <w:b w:val="1"/>
                <w:bCs w:val="1"/>
                <w:color w:val="auto"/>
                <w:w w:val="91"/>
              </w:rPr>
              <w:t>Trading Symbol(s)</w:t>
            </w:r>
          </w:p>
        </w:tc>
        <w:tc>
          <w:tcPr>
            <w:tcW w:w="3960" w:type="dxa"/>
            <w:vAlign w:val="bottom"/>
            <w:gridSpan w:val="2"/>
          </w:tcPr>
          <w:p>
            <w:pPr>
              <w:jc w:val="center"/>
              <w:ind w:left="530"/>
              <w:spacing w:after="0" w:line="194"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5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Common Stock, $0.0001 par value</w:t>
            </w:r>
          </w:p>
        </w:tc>
        <w:tc>
          <w:tcPr>
            <w:tcW w:w="156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color w:val="auto"/>
                <w:w w:val="94"/>
              </w:rPr>
              <w:t>QRVO</w:t>
            </w:r>
          </w:p>
        </w:tc>
        <w:tc>
          <w:tcPr>
            <w:tcW w:w="6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47"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ind w:left="880"/>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680" w:type="dxa"/>
            <w:vAlign w:val="bottom"/>
          </w:tcPr>
          <w:p>
            <w:pPr>
              <w:ind w:left="880"/>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268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800" w:type="dxa"/>
            <w:vAlign w:val="bottom"/>
          </w:tcPr>
          <w:p>
            <w:pPr>
              <w:ind w:left="268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r>
      <w:tr>
        <w:trPr>
          <w:trHeight w:val="994"/>
        </w:trPr>
        <w:tc>
          <w:tcPr>
            <w:tcW w:w="26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28, 2021, there were 110,223,227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5"/>
          </w:tcPr>
          <w:p>
            <w:pPr>
              <w:jc w:val="center"/>
              <w:ind w:right="290"/>
              <w:spacing w:after="0"/>
              <w:rPr>
                <w:sz w:val="20"/>
                <w:szCs w:val="20"/>
                <w:color w:val="auto"/>
              </w:rPr>
            </w:pPr>
            <w:r>
              <w:rPr>
                <w:rFonts w:ascii="Arial" w:cs="Arial" w:eastAsia="Arial" w:hAnsi="Arial"/>
                <w:sz w:val="18"/>
                <w:szCs w:val="18"/>
                <w:b w:val="1"/>
                <w:bCs w:val="1"/>
                <w:color w:val="auto"/>
                <w:w w:val="99"/>
              </w:rPr>
              <w:t>QORVO, INC. AND SUBSIDIARIES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ind w:right="1450"/>
              <w:spacing w:after="0"/>
              <w:rPr>
                <w:sz w:val="20"/>
                <w:szCs w:val="20"/>
                <w:color w:val="auto"/>
              </w:rPr>
            </w:pPr>
            <w:r>
              <w:rPr>
                <w:rFonts w:ascii="Arial" w:cs="Arial" w:eastAsia="Arial" w:hAnsi="Arial"/>
                <w:sz w:val="18"/>
                <w:szCs w:val="18"/>
                <w:b w:val="1"/>
                <w:bCs w:val="1"/>
                <w:color w:val="auto"/>
              </w:rPr>
              <w:t>INDEX</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260" w:type="dxa"/>
            <w:vAlign w:val="bottom"/>
            <w:gridSpan w:val="10"/>
            <w:vMerge w:val="restart"/>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4200" w:type="dxa"/>
            <w:vAlign w:val="bottom"/>
            <w:gridSpan w:val="8"/>
            <w:vMerge w:val="restart"/>
          </w:tcPr>
          <w:p>
            <w:pPr>
              <w:spacing w:after="0"/>
              <w:rPr>
                <w:sz w:val="24"/>
                <w:szCs w:val="24"/>
                <w:color w:val="auto"/>
              </w:rPr>
            </w:pPr>
          </w:p>
        </w:tc>
        <w:tc>
          <w:tcPr>
            <w:tcW w:w="3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3260" w:type="dxa"/>
            <w:vAlign w:val="bottom"/>
            <w:tcBorders>
              <w:bottom w:val="single" w:sz="8" w:color="0000FF"/>
            </w:tcBorders>
            <w:gridSpan w:val="10"/>
            <w:vMerge w:val="continue"/>
          </w:tcPr>
          <w:p>
            <w:pPr>
              <w:spacing w:after="0"/>
              <w:rPr>
                <w:sz w:val="16"/>
                <w:szCs w:val="16"/>
                <w:color w:val="auto"/>
              </w:rPr>
            </w:pPr>
          </w:p>
        </w:tc>
        <w:tc>
          <w:tcPr>
            <w:tcW w:w="4200" w:type="dxa"/>
            <w:vAlign w:val="bottom"/>
            <w:gridSpan w:val="8"/>
            <w:vMerge w:val="continue"/>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7460" w:type="dxa"/>
            <w:vAlign w:val="bottom"/>
            <w:gridSpan w:val="18"/>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 xml:space="preserve">Item 1. Financial Statements </w:t>
              </w:r>
            </w:hyperlink>
            <w:r>
              <w:rPr>
                <w:rFonts w:ascii="Arial" w:cs="Arial" w:eastAsia="Arial" w:hAnsi="Arial"/>
                <w:sz w:val="18"/>
                <w:szCs w:val="18"/>
                <w:b w:val="1"/>
                <w:bCs w:val="1"/>
                <w:color w:val="0000FF"/>
              </w:rPr>
              <w:t>(Unaudited).</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Borders>
              <w:top w:val="single" w:sz="8" w:color="0000FF"/>
            </w:tcBorders>
          </w:tcPr>
          <w:p>
            <w:pPr>
              <w:spacing w:after="0"/>
              <w:rPr>
                <w:sz w:val="18"/>
                <w:szCs w:val="18"/>
                <w:color w:val="auto"/>
              </w:rPr>
            </w:pPr>
          </w:p>
        </w:tc>
        <w:tc>
          <w:tcPr>
            <w:tcW w:w="3100" w:type="dxa"/>
            <w:vAlign w:val="bottom"/>
            <w:tcBorders>
              <w:top w:val="single" w:sz="8" w:color="0000FF"/>
            </w:tcBorders>
            <w:gridSpan w:val="8"/>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Condensed Consolidated Balance Sheets</w:t>
              </w:r>
            </w:hyperlink>
          </w:p>
        </w:tc>
        <w:tc>
          <w:tcPr>
            <w:tcW w:w="4240" w:type="dxa"/>
            <w:vAlign w:val="bottom"/>
            <w:gridSpan w:val="9"/>
          </w:tcPr>
          <w:p>
            <w:pPr>
              <w:spacing w:after="0"/>
              <w:rPr>
                <w:sz w:val="18"/>
                <w:szCs w:val="18"/>
                <w:color w:val="auto"/>
              </w:rPr>
            </w:pPr>
          </w:p>
        </w:tc>
        <w:tc>
          <w:tcPr>
            <w:tcW w:w="37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3420" w:type="dxa"/>
            <w:vAlign w:val="bottom"/>
            <w:gridSpan w:val="10"/>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Income</w:t>
              </w:r>
            </w:hyperlink>
          </w:p>
        </w:tc>
        <w:tc>
          <w:tcPr>
            <w:tcW w:w="3920" w:type="dxa"/>
            <w:vAlign w:val="bottom"/>
            <w:gridSpan w:val="7"/>
          </w:tcPr>
          <w:p>
            <w:pPr>
              <w:spacing w:after="0"/>
              <w:rPr>
                <w:sz w:val="18"/>
                <w:szCs w:val="18"/>
                <w:color w:val="auto"/>
              </w:rPr>
            </w:pPr>
          </w:p>
        </w:tc>
        <w:tc>
          <w:tcPr>
            <w:tcW w:w="37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34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Comprehensive Income</w:t>
              </w:r>
            </w:hyperlink>
          </w:p>
        </w:tc>
        <w:tc>
          <w:tcPr>
            <w:tcW w:w="37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380" w:type="dxa"/>
            <w:vAlign w:val="bottom"/>
            <w:gridSpan w:val="13"/>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Stockholders' Equity</w:t>
              </w:r>
            </w:hyperlink>
          </w:p>
        </w:tc>
        <w:tc>
          <w:tcPr>
            <w:tcW w:w="200" w:type="dxa"/>
            <w:vAlign w:val="bottom"/>
          </w:tcPr>
          <w:p>
            <w:pPr>
              <w:spacing w:after="0"/>
              <w:rPr>
                <w:sz w:val="18"/>
                <w:szCs w:val="18"/>
                <w:color w:val="auto"/>
              </w:rPr>
            </w:pPr>
          </w:p>
        </w:tc>
        <w:tc>
          <w:tcPr>
            <w:tcW w:w="2760" w:type="dxa"/>
            <w:vAlign w:val="bottom"/>
            <w:gridSpan w:val="3"/>
          </w:tcPr>
          <w:p>
            <w:pPr>
              <w:spacing w:after="0"/>
              <w:rPr>
                <w:sz w:val="18"/>
                <w:szCs w:val="18"/>
                <w:color w:val="auto"/>
              </w:rPr>
            </w:pPr>
          </w:p>
        </w:tc>
        <w:tc>
          <w:tcPr>
            <w:tcW w:w="370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80" w:type="dxa"/>
            <w:vAlign w:val="bottom"/>
            <w:gridSpan w:val="13"/>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2960" w:type="dxa"/>
            <w:vAlign w:val="bottom"/>
            <w:gridSpan w:val="4"/>
          </w:tcPr>
          <w:p>
            <w:pPr>
              <w:spacing w:after="0"/>
              <w:rPr>
                <w:sz w:val="18"/>
                <w:szCs w:val="18"/>
                <w:color w:val="auto"/>
              </w:rPr>
            </w:pPr>
          </w:p>
        </w:tc>
        <w:tc>
          <w:tcPr>
            <w:tcW w:w="370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340" w:type="dxa"/>
            <w:vAlign w:val="bottom"/>
            <w:gridSpan w:val="17"/>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370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460" w:type="dxa"/>
            <w:vAlign w:val="bottom"/>
            <w:tcBorders>
              <w:bottom w:val="single" w:sz="8" w:color="0000FF"/>
            </w:tcBorders>
            <w:gridSpan w:val="18"/>
          </w:tcPr>
          <w:p>
            <w:pPr>
              <w:spacing w:after="0"/>
              <w:rPr>
                <w:rFonts w:ascii="Arial" w:cs="Arial" w:eastAsia="Arial" w:hAnsi="Arial"/>
                <w:sz w:val="18"/>
                <w:szCs w:val="18"/>
                <w:b w:val="1"/>
                <w:bCs w:val="1"/>
                <w:color w:val="0000FF"/>
                <w:w w:val="89"/>
              </w:rPr>
            </w:pPr>
            <w:hyperlink w:anchor="page18">
              <w:r>
                <w:rPr>
                  <w:rFonts w:ascii="Arial" w:cs="Arial" w:eastAsia="Arial" w:hAnsi="Arial"/>
                  <w:sz w:val="18"/>
                  <w:szCs w:val="18"/>
                  <w:b w:val="1"/>
                  <w:bCs w:val="1"/>
                  <w:color w:val="0000FF"/>
                  <w:w w:val="89"/>
                </w:rPr>
                <w:t>Item 2. Management's Discussion and Analysis of Financial Condition and Results of Operations.</w:t>
              </w:r>
            </w:hyperlink>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18</w:t>
              </w:r>
            </w:hyperlink>
          </w:p>
        </w:tc>
        <w:tc>
          <w:tcPr>
            <w:tcW w:w="0" w:type="dxa"/>
            <w:vAlign w:val="bottom"/>
          </w:tcPr>
          <w:p>
            <w:pPr>
              <w:spacing w:after="0"/>
              <w:rPr>
                <w:sz w:val="1"/>
                <w:szCs w:val="1"/>
                <w:color w:val="auto"/>
              </w:rPr>
            </w:pPr>
          </w:p>
        </w:tc>
      </w:tr>
      <w:tr>
        <w:trPr>
          <w:trHeight w:val="209"/>
        </w:trPr>
        <w:tc>
          <w:tcPr>
            <w:tcW w:w="560" w:type="dxa"/>
            <w:vAlign w:val="bottom"/>
            <w:gridSpan w:val="2"/>
          </w:tcPr>
          <w:p>
            <w:pPr>
              <w:spacing w:after="0"/>
              <w:rPr>
                <w:rFonts w:ascii="Arial" w:cs="Arial" w:eastAsia="Arial" w:hAnsi="Arial"/>
                <w:sz w:val="18"/>
                <w:szCs w:val="18"/>
                <w:b w:val="1"/>
                <w:bCs w:val="1"/>
                <w:color w:val="0000FF"/>
                <w:w w:val="94"/>
              </w:rPr>
            </w:pPr>
            <w:hyperlink w:anchor="page28">
              <w:r>
                <w:rPr>
                  <w:rFonts w:ascii="Arial" w:cs="Arial" w:eastAsia="Arial" w:hAnsi="Arial"/>
                  <w:sz w:val="18"/>
                  <w:szCs w:val="18"/>
                  <w:b w:val="1"/>
                  <w:bCs w:val="1"/>
                  <w:color w:val="0000FF"/>
                  <w:w w:val="94"/>
                </w:rPr>
                <w:t>Item 3.</w:t>
              </w:r>
            </w:hyperlink>
          </w:p>
        </w:tc>
        <w:tc>
          <w:tcPr>
            <w:tcW w:w="6900" w:type="dxa"/>
            <w:vAlign w:val="bottom"/>
            <w:gridSpan w:val="16"/>
          </w:tcPr>
          <w:p>
            <w:pPr>
              <w:ind w:left="40"/>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Quantitative and Qualitative Disclosures About Market Risk.</w:t>
              </w:r>
            </w:hyperlink>
          </w:p>
        </w:tc>
        <w:tc>
          <w:tcPr>
            <w:tcW w:w="370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c>
          <w:tcPr>
            <w:tcW w:w="0" w:type="dxa"/>
            <w:vAlign w:val="bottom"/>
          </w:tcPr>
          <w:p>
            <w:pPr>
              <w:spacing w:after="0"/>
              <w:rPr>
                <w:sz w:val="1"/>
                <w:szCs w:val="1"/>
                <w:color w:val="auto"/>
              </w:rPr>
            </w:pPr>
          </w:p>
        </w:tc>
      </w:tr>
      <w:tr>
        <w:trPr>
          <w:trHeight w:val="210"/>
        </w:trPr>
        <w:tc>
          <w:tcPr>
            <w:tcW w:w="560" w:type="dxa"/>
            <w:vAlign w:val="bottom"/>
            <w:tcBorders>
              <w:top w:val="single" w:sz="8" w:color="0000FF"/>
            </w:tcBorders>
            <w:gridSpan w:val="2"/>
          </w:tcPr>
          <w:p>
            <w:pPr>
              <w:spacing w:after="0"/>
              <w:rPr>
                <w:rFonts w:ascii="Arial" w:cs="Arial" w:eastAsia="Arial" w:hAnsi="Arial"/>
                <w:sz w:val="18"/>
                <w:szCs w:val="18"/>
                <w:b w:val="1"/>
                <w:bCs w:val="1"/>
                <w:color w:val="0000FF"/>
                <w:w w:val="94"/>
              </w:rPr>
            </w:pPr>
            <w:hyperlink w:anchor="page28">
              <w:r>
                <w:rPr>
                  <w:rFonts w:ascii="Arial" w:cs="Arial" w:eastAsia="Arial" w:hAnsi="Arial"/>
                  <w:sz w:val="18"/>
                  <w:szCs w:val="18"/>
                  <w:b w:val="1"/>
                  <w:bCs w:val="1"/>
                  <w:color w:val="0000FF"/>
                  <w:w w:val="94"/>
                </w:rPr>
                <w:t>Item 4.</w:t>
              </w:r>
            </w:hyperlink>
          </w:p>
        </w:tc>
        <w:tc>
          <w:tcPr>
            <w:tcW w:w="4740" w:type="dxa"/>
            <w:vAlign w:val="bottom"/>
            <w:tcBorders>
              <w:top w:val="single" w:sz="8" w:color="0000FF"/>
            </w:tcBorders>
            <w:gridSpan w:val="15"/>
          </w:tcPr>
          <w:p>
            <w:pPr>
              <w:ind w:left="40"/>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Controls and Procedures.</w:t>
              </w:r>
            </w:hyperlink>
          </w:p>
        </w:tc>
        <w:tc>
          <w:tcPr>
            <w:tcW w:w="2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27</w:t>
              </w:r>
            </w:hyperlink>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96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PART II — OTHER INFORMATION</w:t>
              </w:r>
            </w:hyperlink>
          </w:p>
        </w:tc>
        <w:tc>
          <w:tcPr>
            <w:tcW w:w="4500" w:type="dxa"/>
            <w:vAlign w:val="bottom"/>
            <w:gridSpan w:val="11"/>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c>
          <w:tcPr>
            <w:tcW w:w="0" w:type="dxa"/>
            <w:vAlign w:val="bottom"/>
          </w:tcPr>
          <w:p>
            <w:pPr>
              <w:spacing w:after="0"/>
              <w:rPr>
                <w:sz w:val="1"/>
                <w:szCs w:val="1"/>
                <w:color w:val="auto"/>
              </w:rPr>
            </w:pPr>
          </w:p>
        </w:tc>
      </w:tr>
      <w:tr>
        <w:trPr>
          <w:trHeight w:val="479"/>
        </w:trPr>
        <w:tc>
          <w:tcPr>
            <w:tcW w:w="1740" w:type="dxa"/>
            <w:vAlign w:val="bottom"/>
            <w:tcBorders>
              <w:bottom w:val="single" w:sz="8" w:color="0000FF"/>
            </w:tcBorders>
            <w:gridSpan w:val="5"/>
          </w:tcPr>
          <w:p>
            <w:pPr>
              <w:spacing w:after="0"/>
              <w:rPr>
                <w:rFonts w:ascii="Arial" w:cs="Arial" w:eastAsia="Arial" w:hAnsi="Arial"/>
                <w:sz w:val="18"/>
                <w:szCs w:val="18"/>
                <w:b w:val="1"/>
                <w:bCs w:val="1"/>
                <w:color w:val="0000FF"/>
                <w:w w:val="91"/>
              </w:rPr>
            </w:pPr>
            <w:hyperlink w:anchor="page29">
              <w:r>
                <w:rPr>
                  <w:rFonts w:ascii="Arial" w:cs="Arial" w:eastAsia="Arial" w:hAnsi="Arial"/>
                  <w:sz w:val="18"/>
                  <w:szCs w:val="18"/>
                  <w:b w:val="1"/>
                  <w:bCs w:val="1"/>
                  <w:color w:val="0000FF"/>
                  <w:w w:val="91"/>
                </w:rPr>
                <w:t>Item 1A. Risk Factors.</w:t>
              </w:r>
            </w:hyperlink>
          </w:p>
        </w:tc>
        <w:tc>
          <w:tcPr>
            <w:tcW w:w="5720" w:type="dxa"/>
            <w:vAlign w:val="bottom"/>
            <w:gridSpan w:val="13"/>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28</w:t>
              </w:r>
            </w:hyperlink>
          </w:p>
        </w:tc>
        <w:tc>
          <w:tcPr>
            <w:tcW w:w="0" w:type="dxa"/>
            <w:vAlign w:val="bottom"/>
          </w:tcPr>
          <w:p>
            <w:pPr>
              <w:spacing w:after="0"/>
              <w:rPr>
                <w:sz w:val="1"/>
                <w:szCs w:val="1"/>
                <w:color w:val="auto"/>
              </w:rPr>
            </w:pPr>
          </w:p>
        </w:tc>
      </w:tr>
      <w:tr>
        <w:trPr>
          <w:trHeight w:val="210"/>
        </w:trPr>
        <w:tc>
          <w:tcPr>
            <w:tcW w:w="560" w:type="dxa"/>
            <w:vAlign w:val="bottom"/>
            <w:gridSpan w:val="2"/>
          </w:tcPr>
          <w:p>
            <w:pPr>
              <w:spacing w:after="0"/>
              <w:rPr>
                <w:rFonts w:ascii="Arial" w:cs="Arial" w:eastAsia="Arial" w:hAnsi="Arial"/>
                <w:sz w:val="18"/>
                <w:szCs w:val="18"/>
                <w:b w:val="1"/>
                <w:bCs w:val="1"/>
                <w:color w:val="0000FF"/>
                <w:w w:val="94"/>
              </w:rPr>
            </w:pPr>
            <w:hyperlink w:anchor="page29">
              <w:r>
                <w:rPr>
                  <w:rFonts w:ascii="Arial" w:cs="Arial" w:eastAsia="Arial" w:hAnsi="Arial"/>
                  <w:sz w:val="18"/>
                  <w:szCs w:val="18"/>
                  <w:b w:val="1"/>
                  <w:bCs w:val="1"/>
                  <w:color w:val="0000FF"/>
                  <w:w w:val="94"/>
                </w:rPr>
                <w:t>Item 2.</w:t>
              </w:r>
            </w:hyperlink>
          </w:p>
        </w:tc>
        <w:tc>
          <w:tcPr>
            <w:tcW w:w="6900" w:type="dxa"/>
            <w:vAlign w:val="bottom"/>
            <w:gridSpan w:val="16"/>
          </w:tcPr>
          <w:p>
            <w:pPr>
              <w:ind w:left="40"/>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Unregistered Sales of Equity Securities and Use of Proceeds.</w:t>
              </w:r>
            </w:hyperlink>
          </w:p>
        </w:tc>
        <w:tc>
          <w:tcPr>
            <w:tcW w:w="370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9"/>
        </w:trPr>
        <w:tc>
          <w:tcPr>
            <w:tcW w:w="560" w:type="dxa"/>
            <w:vAlign w:val="bottom"/>
            <w:tcBorders>
              <w:top w:val="single" w:sz="8" w:color="0000FF"/>
              <w:bottom w:val="single" w:sz="8" w:color="0000FF"/>
            </w:tcBorders>
            <w:gridSpan w:val="2"/>
          </w:tcPr>
          <w:p>
            <w:pPr>
              <w:spacing w:after="0"/>
              <w:rPr>
                <w:rFonts w:ascii="Arial" w:cs="Arial" w:eastAsia="Arial" w:hAnsi="Arial"/>
                <w:sz w:val="18"/>
                <w:szCs w:val="18"/>
                <w:b w:val="1"/>
                <w:bCs w:val="1"/>
                <w:color w:val="0000FF"/>
                <w:w w:val="94"/>
              </w:rPr>
            </w:pPr>
            <w:hyperlink w:anchor="page30">
              <w:r>
                <w:rPr>
                  <w:rFonts w:ascii="Arial" w:cs="Arial" w:eastAsia="Arial" w:hAnsi="Arial"/>
                  <w:sz w:val="18"/>
                  <w:szCs w:val="18"/>
                  <w:b w:val="1"/>
                  <w:bCs w:val="1"/>
                  <w:color w:val="0000FF"/>
                  <w:w w:val="94"/>
                </w:rPr>
                <w:t>Item 6.</w:t>
              </w:r>
            </w:hyperlink>
          </w:p>
        </w:tc>
        <w:tc>
          <w:tcPr>
            <w:tcW w:w="720" w:type="dxa"/>
            <w:vAlign w:val="bottom"/>
            <w:tcBorders>
              <w:top w:val="single" w:sz="8" w:color="0000FF"/>
              <w:bottom w:val="single" w:sz="8" w:color="0000FF"/>
            </w:tcBorders>
            <w:gridSpan w:val="2"/>
          </w:tcPr>
          <w:p>
            <w:pPr>
              <w:ind w:left="40"/>
              <w:spacing w:after="0"/>
              <w:rPr>
                <w:rFonts w:ascii="Arial" w:cs="Arial" w:eastAsia="Arial" w:hAnsi="Arial"/>
                <w:sz w:val="18"/>
                <w:szCs w:val="18"/>
                <w:b w:val="1"/>
                <w:bCs w:val="1"/>
                <w:color w:val="0000FF"/>
                <w:w w:val="87"/>
              </w:rPr>
            </w:pPr>
            <w:hyperlink w:anchor="page30">
              <w:r>
                <w:rPr>
                  <w:rFonts w:ascii="Arial" w:cs="Arial" w:eastAsia="Arial" w:hAnsi="Arial"/>
                  <w:sz w:val="18"/>
                  <w:szCs w:val="18"/>
                  <w:b w:val="1"/>
                  <w:bCs w:val="1"/>
                  <w:color w:val="0000FF"/>
                  <w:w w:val="87"/>
                </w:rPr>
                <w:t>Exhibits.</w:t>
              </w:r>
            </w:hyperlink>
          </w:p>
        </w:tc>
        <w:tc>
          <w:tcPr>
            <w:tcW w:w="3920" w:type="dxa"/>
            <w:vAlign w:val="bottom"/>
            <w:tcBorders>
              <w:top w:val="single" w:sz="8" w:color="0000FF"/>
            </w:tcBorders>
            <w:gridSpan w:val="12"/>
          </w:tcPr>
          <w:p>
            <w:pPr>
              <w:spacing w:after="0"/>
              <w:rPr>
                <w:sz w:val="18"/>
                <w:szCs w:val="18"/>
                <w:color w:val="auto"/>
              </w:rPr>
            </w:pPr>
          </w:p>
        </w:tc>
        <w:tc>
          <w:tcPr>
            <w:tcW w:w="226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c>
          <w:tcPr>
            <w:tcW w:w="0" w:type="dxa"/>
            <w:vAlign w:val="bottom"/>
          </w:tcPr>
          <w:p>
            <w:pPr>
              <w:spacing w:after="0"/>
              <w:rPr>
                <w:sz w:val="1"/>
                <w:szCs w:val="1"/>
                <w:color w:val="auto"/>
              </w:rPr>
            </w:pPr>
          </w:p>
        </w:tc>
      </w:tr>
      <w:tr>
        <w:trPr>
          <w:trHeight w:val="480"/>
        </w:trPr>
        <w:tc>
          <w:tcPr>
            <w:tcW w:w="7460" w:type="dxa"/>
            <w:vAlign w:val="bottom"/>
            <w:gridSpan w:val="18"/>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SIGNATURES</w:t>
              </w:r>
            </w:hyperlink>
          </w:p>
        </w:tc>
        <w:tc>
          <w:tcPr>
            <w:tcW w:w="370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 2021</w:t>
            </w:r>
          </w:p>
        </w:tc>
        <w:tc>
          <w:tcPr>
            <w:tcW w:w="280" w:type="dxa"/>
            <w:vAlign w:val="bottom"/>
          </w:tcPr>
          <w:p>
            <w:pPr>
              <w:spacing w:after="0"/>
              <w:rPr>
                <w:sz w:val="16"/>
                <w:szCs w:val="16"/>
                <w:color w:val="auto"/>
              </w:rPr>
            </w:pPr>
          </w:p>
        </w:tc>
        <w:tc>
          <w:tcPr>
            <w:tcW w:w="1360" w:type="dxa"/>
            <w:vAlign w:val="bottom"/>
          </w:tcPr>
          <w:p>
            <w:pPr>
              <w:jc w:val="right"/>
              <w:ind w:right="331"/>
              <w:spacing w:after="0"/>
              <w:rPr>
                <w:sz w:val="20"/>
                <w:szCs w:val="20"/>
                <w:color w:val="auto"/>
              </w:rPr>
            </w:pPr>
            <w:r>
              <w:rPr>
                <w:rFonts w:ascii="Arial" w:cs="Arial" w:eastAsia="Arial" w:hAnsi="Arial"/>
                <w:sz w:val="14"/>
                <w:szCs w:val="14"/>
                <w:b w:val="1"/>
                <w:bCs w:val="1"/>
                <w:color w:val="auto"/>
              </w:rPr>
              <w:t>April 3, 2021</w:t>
            </w:r>
          </w:p>
        </w:tc>
        <w:tc>
          <w:tcPr>
            <w:tcW w:w="0" w:type="dxa"/>
            <w:vAlign w:val="bottom"/>
          </w:tcPr>
          <w:p>
            <w:pPr>
              <w:spacing w:after="0"/>
              <w:rPr>
                <w:sz w:val="1"/>
                <w:szCs w:val="1"/>
                <w:color w:val="auto"/>
              </w:rPr>
            </w:pPr>
          </w:p>
        </w:tc>
      </w:tr>
      <w:tr>
        <w:trPr>
          <w:trHeight w:val="216"/>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1,397,880</w:t>
            </w:r>
          </w:p>
        </w:tc>
        <w:tc>
          <w:tcPr>
            <w:tcW w:w="0" w:type="dxa"/>
            <w:vAlign w:val="bottom"/>
          </w:tcPr>
          <w:p>
            <w:pPr>
              <w:spacing w:after="0"/>
              <w:rPr>
                <w:sz w:val="1"/>
                <w:szCs w:val="1"/>
                <w:color w:val="auto"/>
              </w:rPr>
            </w:pPr>
          </w:p>
        </w:tc>
      </w:tr>
      <w:tr>
        <w:trPr>
          <w:trHeight w:val="176"/>
        </w:trPr>
        <w:tc>
          <w:tcPr>
            <w:tcW w:w="7860" w:type="dxa"/>
            <w:vAlign w:val="bottom"/>
          </w:tcPr>
          <w:p>
            <w:pPr>
              <w:ind w:left="360"/>
              <w:spacing w:after="0" w:line="176" w:lineRule="exact"/>
              <w:rPr>
                <w:sz w:val="20"/>
                <w:szCs w:val="20"/>
                <w:color w:val="auto"/>
              </w:rPr>
            </w:pPr>
            <w:r>
              <w:rPr>
                <w:rFonts w:ascii="Arial" w:cs="Arial" w:eastAsia="Arial" w:hAnsi="Arial"/>
                <w:sz w:val="18"/>
                <w:szCs w:val="18"/>
                <w:color w:val="auto"/>
                <w:w w:val="97"/>
              </w:rPr>
              <w:t>Accounts receivable, net of allowance of $464 and $331 as of October 2, 2021 and April 3, 2021,</w:t>
            </w: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662,787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457,431</w:t>
            </w:r>
          </w:p>
        </w:tc>
        <w:tc>
          <w:tcPr>
            <w:tcW w:w="0" w:type="dxa"/>
            <w:vAlign w:val="bottom"/>
          </w:tcPr>
          <w:p>
            <w:pPr>
              <w:spacing w:after="0"/>
              <w:rPr>
                <w:sz w:val="1"/>
                <w:szCs w:val="1"/>
                <w:color w:val="auto"/>
              </w:rPr>
            </w:pPr>
          </w:p>
        </w:tc>
      </w:tr>
      <w:tr>
        <w:trPr>
          <w:trHeight w:val="229"/>
        </w:trPr>
        <w:tc>
          <w:tcPr>
            <w:tcW w:w="786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507,787</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49,298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41,572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51,810</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2,541,267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2,483,804</w:t>
            </w:r>
          </w:p>
        </w:tc>
        <w:tc>
          <w:tcPr>
            <w:tcW w:w="0" w:type="dxa"/>
            <w:vAlign w:val="bottom"/>
          </w:tcPr>
          <w:p>
            <w:pPr>
              <w:spacing w:after="0"/>
              <w:rPr>
                <w:sz w:val="1"/>
                <w:szCs w:val="1"/>
                <w:color w:val="auto"/>
              </w:rPr>
            </w:pPr>
          </w:p>
        </w:tc>
      </w:tr>
      <w:tr>
        <w:trPr>
          <w:trHeight w:val="176"/>
        </w:trPr>
        <w:tc>
          <w:tcPr>
            <w:tcW w:w="7860" w:type="dxa"/>
            <w:vAlign w:val="bottom"/>
          </w:tcPr>
          <w:p>
            <w:pPr>
              <w:ind w:left="20"/>
              <w:spacing w:after="0" w:line="176" w:lineRule="exact"/>
              <w:rPr>
                <w:sz w:val="20"/>
                <w:szCs w:val="20"/>
                <w:color w:val="auto"/>
              </w:rPr>
            </w:pPr>
            <w:r>
              <w:rPr>
                <w:rFonts w:ascii="Arial" w:cs="Arial" w:eastAsia="Arial" w:hAnsi="Arial"/>
                <w:sz w:val="18"/>
                <w:szCs w:val="18"/>
                <w:color w:val="auto"/>
                <w:w w:val="93"/>
              </w:rPr>
              <w:t>Property and equipment, net of accumulated depreciation of $1,655,084 and $1,561,613 as of October 2,</w:t>
            </w: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1,276,810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1,266,031</w:t>
            </w:r>
          </w:p>
        </w:tc>
        <w:tc>
          <w:tcPr>
            <w:tcW w:w="0" w:type="dxa"/>
            <w:vAlign w:val="bottom"/>
          </w:tcPr>
          <w:p>
            <w:pPr>
              <w:spacing w:after="0"/>
              <w:rPr>
                <w:sz w:val="1"/>
                <w:szCs w:val="1"/>
                <w:color w:val="auto"/>
              </w:rPr>
            </w:pPr>
          </w:p>
        </w:tc>
      </w:tr>
      <w:tr>
        <w:trPr>
          <w:trHeight w:val="229"/>
        </w:trPr>
        <w:tc>
          <w:tcPr>
            <w:tcW w:w="7860" w:type="dxa"/>
            <w:vAlign w:val="bottom"/>
          </w:tcPr>
          <w:p>
            <w:pPr>
              <w:ind w:left="180"/>
              <w:spacing w:after="0"/>
              <w:rPr>
                <w:sz w:val="20"/>
                <w:szCs w:val="20"/>
                <w:color w:val="auto"/>
              </w:rPr>
            </w:pPr>
            <w:r>
              <w:rPr>
                <w:rFonts w:ascii="Arial" w:cs="Arial" w:eastAsia="Arial" w:hAnsi="Arial"/>
                <w:sz w:val="18"/>
                <w:szCs w:val="18"/>
                <w:color w:val="auto"/>
              </w:rPr>
              <w:t>2021 and April 3, 2021, respectively</w:t>
            </w: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2,642,708</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615,486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611,155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182,402</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7,576,456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7,221,470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521,569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313,868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255,060</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107,561</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902,495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681,581</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1,740,552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1,742,550</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167,914</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2,848,702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2,592,045</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(Note 9)</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w w:val="99"/>
              </w:rPr>
              <w:t>Preferred stock, $.0001 par value; 5,000 shares authorized; no shares issued and outstanding</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Common stock and additional paid-in capital, $.0001 par value; 405,000 shares authorized; 110,461 and</w:t>
            </w: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4,158,170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4,244,740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112,557 shares issued and outstanding at October 2, 2021 and April 3, 2021, respectively</w:t>
            </w:r>
          </w:p>
        </w:tc>
        <w:tc>
          <w:tcPr>
            <w:tcW w:w="2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23,431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29,649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355,036</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4,727,754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4,629,425</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7,576,456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7,221,470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3140" w:type="dxa"/>
            <w:vAlign w:val="bottom"/>
            <w:gridSpan w:val="4"/>
          </w:tcPr>
          <w:p>
            <w:pPr>
              <w:jc w:val="right"/>
              <w:ind w:right="10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44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October 2, 2021</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October 3, 2020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October 2, 2021</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October 3, 2020</w:t>
            </w:r>
          </w:p>
        </w:tc>
        <w:tc>
          <w:tcPr>
            <w:tcW w:w="0" w:type="dxa"/>
            <w:vAlign w:val="bottom"/>
          </w:tcPr>
          <w:p>
            <w:pPr>
              <w:spacing w:after="0"/>
              <w:rPr>
                <w:sz w:val="1"/>
                <w:szCs w:val="1"/>
                <w:color w:val="auto"/>
              </w:rPr>
            </w:pPr>
          </w:p>
        </w:tc>
      </w:tr>
      <w:tr>
        <w:trPr>
          <w:trHeight w:val="224"/>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1,255,248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1,060,292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2,365,599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1,847,743</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633,695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568,742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1,197,863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1,030,404</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817,339</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286,413</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93,489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109,372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183,788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195,976</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20,594</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259,193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502,983</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314,356</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(15,327)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(23,486)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(30,606)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(42,335)</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25,057</w:t>
            </w: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297,078</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(63,239)</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319,189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604,815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233,839</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w w:val="97"/>
              </w:rPr>
              <w:t>Weighted average shares of common stock outstanding:</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114,388</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112,411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116,177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113,088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116,395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3140" w:type="dxa"/>
            <w:vAlign w:val="bottom"/>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October 2, 2021</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October 3, 2020</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2, 2021</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October 3, 2020</w:t>
            </w:r>
          </w:p>
        </w:tc>
        <w:tc>
          <w:tcPr>
            <w:tcW w:w="0" w:type="dxa"/>
            <w:vAlign w:val="bottom"/>
          </w:tcPr>
          <w:p>
            <w:pPr>
              <w:spacing w:after="0"/>
              <w:rPr>
                <w:sz w:val="1"/>
                <w:szCs w:val="1"/>
                <w:color w:val="auto"/>
              </w:rPr>
            </w:pPr>
          </w:p>
        </w:tc>
      </w:tr>
      <w:tr>
        <w:trPr>
          <w:trHeight w:val="224"/>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604,815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233,839</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2"/>
              </w:rPr>
              <w:t>Foreign currency translation adjustment, including intra-</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6"/>
              </w:rPr>
              <w:t>entity foreign currency transactions that are of a long-</w:t>
            </w: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18,201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24,288</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term investment nature</w:t>
            </w: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Reclassification adjustments, net of tax:</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pension actuarial loss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24,328</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258,167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Accumulated Other</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4"/>
                <w:szCs w:val="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 Earnings</w:t>
            </w:r>
          </w:p>
        </w:tc>
        <w:tc>
          <w:tcPr>
            <w:tcW w:w="320" w:type="dxa"/>
            <w:vAlign w:val="bottom"/>
          </w:tcPr>
          <w:p>
            <w:pPr>
              <w:spacing w:after="0"/>
              <w:rPr>
                <w:sz w:val="4"/>
                <w:szCs w:val="4"/>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6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144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July 3,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111,210</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4,210,914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32,918</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404,562</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4,648,394</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319,189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319,189</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w:t>
            </w:r>
          </w:p>
        </w:tc>
        <w:tc>
          <w:tcPr>
            <w:tcW w:w="0" w:type="dxa"/>
            <w:vAlign w:val="bottom"/>
          </w:tcPr>
          <w:p>
            <w:pPr>
              <w:spacing w:after="0"/>
              <w:rPr>
                <w:sz w:val="1"/>
                <w:szCs w:val="1"/>
                <w:color w:val="auto"/>
              </w:rPr>
            </w:pPr>
          </w:p>
        </w:tc>
      </w:tr>
      <w:tr>
        <w:trPr>
          <w:trHeight w:val="176"/>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520"/>
              <w:spacing w:after="0" w:line="176" w:lineRule="exact"/>
              <w:rPr>
                <w:sz w:val="20"/>
                <w:szCs w:val="20"/>
                <w:color w:val="auto"/>
              </w:rPr>
            </w:pPr>
            <w:r>
              <w:rPr>
                <w:rFonts w:ascii="Arial" w:cs="Arial" w:eastAsia="Arial" w:hAnsi="Arial"/>
                <w:sz w:val="18"/>
                <w:szCs w:val="18"/>
                <w:color w:val="auto"/>
                <w:w w:val="92"/>
              </w:rPr>
              <w:t>restricted stock units, net of shares withheld</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(36,104)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(36,104)</w:t>
            </w:r>
          </w:p>
        </w:tc>
        <w:tc>
          <w:tcPr>
            <w:tcW w:w="0" w:type="dxa"/>
            <w:vAlign w:val="bottom"/>
          </w:tcPr>
          <w:p>
            <w:pPr>
              <w:spacing w:after="0"/>
              <w:rPr>
                <w:sz w:val="1"/>
                <w:szCs w:val="1"/>
                <w:color w:val="auto"/>
              </w:rPr>
            </w:pPr>
          </w:p>
        </w:tc>
      </w:tr>
      <w:tr>
        <w:trPr>
          <w:trHeight w:val="230"/>
        </w:trPr>
        <w:tc>
          <w:tcPr>
            <w:tcW w:w="3760" w:type="dxa"/>
            <w:vAlign w:val="bottom"/>
          </w:tcPr>
          <w:p>
            <w:pPr>
              <w:ind w:left="520"/>
              <w:spacing w:after="0"/>
              <w:rPr>
                <w:sz w:val="20"/>
                <w:szCs w:val="20"/>
                <w:color w:val="auto"/>
              </w:rPr>
            </w:pPr>
            <w:r>
              <w:rPr>
                <w:rFonts w:ascii="Arial" w:cs="Arial" w:eastAsia="Arial" w:hAnsi="Arial"/>
                <w:sz w:val="18"/>
                <w:szCs w:val="18"/>
                <w:color w:val="auto"/>
              </w:rPr>
              <w:t>for employee taxes</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(45,758)</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(177,598)</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(223,356)</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29,118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29,118</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October 2, 2021</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110,461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4,158,170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546,153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4,727,754</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27,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114,354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4,293,621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4,351,245</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136,917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136,917</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18,222</w:t>
            </w:r>
          </w:p>
        </w:tc>
        <w:tc>
          <w:tcPr>
            <w:tcW w:w="0" w:type="dxa"/>
            <w:vAlign w:val="bottom"/>
          </w:tcPr>
          <w:p>
            <w:pPr>
              <w:spacing w:after="0"/>
              <w:rPr>
                <w:sz w:val="1"/>
                <w:szCs w:val="1"/>
                <w:color w:val="auto"/>
              </w:rPr>
            </w:pPr>
          </w:p>
        </w:tc>
      </w:tr>
      <w:tr>
        <w:trPr>
          <w:trHeight w:val="176"/>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520"/>
              <w:spacing w:after="0" w:line="176" w:lineRule="exact"/>
              <w:rPr>
                <w:sz w:val="20"/>
                <w:szCs w:val="20"/>
                <w:color w:val="auto"/>
              </w:rPr>
            </w:pPr>
            <w:r>
              <w:rPr>
                <w:rFonts w:ascii="Arial" w:cs="Arial" w:eastAsia="Arial" w:hAnsi="Arial"/>
                <w:sz w:val="18"/>
                <w:szCs w:val="18"/>
                <w:color w:val="auto"/>
                <w:w w:val="92"/>
              </w:rPr>
              <w:t>restricted stock units, net of shares withheld</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594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(26,306)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(26,306)</w:t>
            </w:r>
          </w:p>
        </w:tc>
        <w:tc>
          <w:tcPr>
            <w:tcW w:w="0" w:type="dxa"/>
            <w:vAlign w:val="bottom"/>
          </w:tcPr>
          <w:p>
            <w:pPr>
              <w:spacing w:after="0"/>
              <w:rPr>
                <w:sz w:val="1"/>
                <w:szCs w:val="1"/>
                <w:color w:val="auto"/>
              </w:rPr>
            </w:pPr>
          </w:p>
        </w:tc>
      </w:tr>
      <w:tr>
        <w:trPr>
          <w:trHeight w:val="230"/>
        </w:trPr>
        <w:tc>
          <w:tcPr>
            <w:tcW w:w="3760" w:type="dxa"/>
            <w:vAlign w:val="bottom"/>
          </w:tcPr>
          <w:p>
            <w:pPr>
              <w:ind w:left="520"/>
              <w:spacing w:after="0"/>
              <w:rPr>
                <w:sz w:val="20"/>
                <w:szCs w:val="20"/>
                <w:color w:val="auto"/>
              </w:rPr>
            </w:pPr>
            <w:r>
              <w:rPr>
                <w:rFonts w:ascii="Arial" w:cs="Arial" w:eastAsia="Arial" w:hAnsi="Arial"/>
                <w:sz w:val="18"/>
                <w:szCs w:val="18"/>
                <w:color w:val="auto"/>
              </w:rPr>
              <w:t>for employee taxes</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(31,425)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(73,584)</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(105,009)</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32,097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32,097</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October 3, 2020</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114,111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4,267,987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112,563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4,407,166</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20" w:type="dxa"/>
            <w:vAlign w:val="bottom"/>
            <w:gridSpan w:val="3"/>
          </w:tcPr>
          <w:p>
            <w:pPr>
              <w:jc w:val="right"/>
              <w:ind w:right="831"/>
              <w:spacing w:after="0"/>
              <w:rPr>
                <w:sz w:val="20"/>
                <w:szCs w:val="20"/>
                <w:color w:val="auto"/>
              </w:rPr>
            </w:pPr>
            <w:r>
              <w:rPr>
                <w:rFonts w:ascii="Arial" w:cs="Arial" w:eastAsia="Arial" w:hAnsi="Arial"/>
                <w:sz w:val="14"/>
                <w:szCs w:val="14"/>
                <w:b w:val="1"/>
                <w:bCs w:val="1"/>
                <w:color w:val="auto"/>
              </w:rPr>
              <w:t>Common Stock</w:t>
            </w:r>
          </w:p>
        </w:tc>
        <w:tc>
          <w:tcPr>
            <w:tcW w:w="14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vMerge w:val="restart"/>
          </w:tcPr>
          <w:p>
            <w:pPr>
              <w:jc w:val="right"/>
              <w:ind w:right="73"/>
              <w:spacing w:after="0" w:line="122"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w:t>
            </w:r>
          </w:p>
        </w:tc>
        <w:tc>
          <w:tcPr>
            <w:tcW w:w="12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12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w w:val="92"/>
              </w:rPr>
              <w:t>Retained Earnings</w:t>
            </w:r>
          </w:p>
        </w:tc>
        <w:tc>
          <w:tcPr>
            <w:tcW w:w="160" w:type="dxa"/>
            <w:vAlign w:val="bottom"/>
          </w:tcPr>
          <w:p>
            <w:pPr>
              <w:spacing w:after="0"/>
              <w:rPr>
                <w:sz w:val="4"/>
                <w:szCs w:val="4"/>
                <w:color w:val="auto"/>
              </w:rPr>
            </w:pPr>
          </w:p>
        </w:tc>
        <w:tc>
          <w:tcPr>
            <w:tcW w:w="12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13"/>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0" w:type="dxa"/>
            <w:vAlign w:val="bottom"/>
          </w:tcPr>
          <w:p>
            <w:pPr>
              <w:spacing w:after="0"/>
              <w:rPr>
                <w:sz w:val="19"/>
                <w:szCs w:val="19"/>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April 3,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4,244,740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355,036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4,629,425</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604,815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604,815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600" w:type="dxa"/>
            <w:vAlign w:val="bottom"/>
          </w:tcPr>
          <w:p>
            <w:pPr>
              <w:ind w:left="34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600" w:type="dxa"/>
            <w:vAlign w:val="bottom"/>
          </w:tcPr>
          <w:p>
            <w:pPr>
              <w:ind w:left="500"/>
              <w:spacing w:after="0" w:line="176" w:lineRule="exact"/>
              <w:rPr>
                <w:sz w:val="20"/>
                <w:szCs w:val="20"/>
                <w:color w:val="auto"/>
              </w:rPr>
            </w:pPr>
            <w:r>
              <w:rPr>
                <w:rFonts w:ascii="Arial" w:cs="Arial" w:eastAsia="Arial" w:hAnsi="Arial"/>
                <w:sz w:val="18"/>
                <w:szCs w:val="18"/>
                <w:color w:val="auto"/>
              </w:rPr>
              <w:t>restricted stock units, net of shares</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642</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(49,452)</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(49,452)</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600" w:type="dxa"/>
            <w:vAlign w:val="bottom"/>
          </w:tcPr>
          <w:p>
            <w:pPr>
              <w:ind w:left="500"/>
              <w:spacing w:after="0"/>
              <w:rPr>
                <w:sz w:val="20"/>
                <w:szCs w:val="20"/>
                <w:color w:val="auto"/>
              </w:rPr>
            </w:pPr>
            <w:r>
              <w:rPr>
                <w:rFonts w:ascii="Arial" w:cs="Arial" w:eastAsia="Arial" w:hAnsi="Arial"/>
                <w:sz w:val="18"/>
                <w:szCs w:val="18"/>
                <w:color w:val="auto"/>
              </w:rPr>
              <w:t>withheld for employee taxes</w:t>
            </w:r>
          </w:p>
        </w:tc>
        <w:tc>
          <w:tcPr>
            <w:tcW w:w="12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6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9"/>
              </w:rPr>
              <w:t>Issuance of common stock in connection</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17,794</w:t>
            </w: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17,794</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with employee stock purchase plan</w:t>
            </w:r>
          </w:p>
        </w:tc>
        <w:tc>
          <w:tcPr>
            <w:tcW w:w="12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600" w:type="dxa"/>
            <w:vAlign w:val="bottom"/>
          </w:tcPr>
          <w:p>
            <w:pPr>
              <w:ind w:left="340"/>
              <w:spacing w:after="0" w:line="176" w:lineRule="exact"/>
              <w:rPr>
                <w:sz w:val="20"/>
                <w:szCs w:val="20"/>
                <w:color w:val="auto"/>
              </w:rPr>
            </w:pPr>
            <w:r>
              <w:rPr>
                <w:rFonts w:ascii="Arial" w:cs="Arial" w:eastAsia="Arial" w:hAnsi="Arial"/>
                <w:sz w:val="18"/>
                <w:szCs w:val="18"/>
                <w:color w:val="auto"/>
              </w:rPr>
              <w:t>Repurchase of common stock, including</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(2,903)</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(109,675)</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(413,698)</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(523,373)</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600" w:type="dxa"/>
            <w:vAlign w:val="bottom"/>
          </w:tcPr>
          <w:p>
            <w:pPr>
              <w:ind w:left="500"/>
              <w:spacing w:after="0"/>
              <w:rPr>
                <w:sz w:val="20"/>
                <w:szCs w:val="20"/>
                <w:color w:val="auto"/>
              </w:rPr>
            </w:pPr>
            <w:r>
              <w:rPr>
                <w:rFonts w:ascii="Arial" w:cs="Arial" w:eastAsia="Arial" w:hAnsi="Arial"/>
                <w:sz w:val="18"/>
                <w:szCs w:val="18"/>
                <w:color w:val="auto"/>
              </w:rPr>
              <w:t>transaction costs</w:t>
            </w:r>
          </w:p>
        </w:tc>
        <w:tc>
          <w:tcPr>
            <w:tcW w:w="12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54,763</w:t>
            </w:r>
          </w:p>
        </w:tc>
        <w:tc>
          <w:tcPr>
            <w:tcW w:w="16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54,763</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Balance, October 2, 2021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4,158,170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546,153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4,727,754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vMerge w:val="restart"/>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 w:type="dxa"/>
            <w:vAlign w:val="bottom"/>
            <w:vMerge w:val="continue"/>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Balance, March 28, 2020</w:t>
            </w:r>
          </w:p>
        </w:tc>
        <w:tc>
          <w:tcPr>
            <w:tcW w:w="1240" w:type="dxa"/>
            <w:vAlign w:val="bottom"/>
          </w:tcPr>
          <w:p>
            <w:pPr>
              <w:jc w:val="right"/>
              <w:spacing w:after="0"/>
              <w:rPr>
                <w:sz w:val="20"/>
                <w:szCs w:val="20"/>
                <w:color w:val="auto"/>
              </w:rPr>
            </w:pPr>
            <w:r>
              <w:rPr>
                <w:rFonts w:ascii="Arial" w:cs="Arial" w:eastAsia="Arial" w:hAnsi="Arial"/>
                <w:sz w:val="18"/>
                <w:szCs w:val="18"/>
                <w:color w:val="auto"/>
              </w:rPr>
              <w:t>114,625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4,290,377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40" w:type="dxa"/>
            <w:vAlign w:val="bottom"/>
          </w:tcPr>
          <w:p>
            <w:pPr>
              <w:jc w:val="right"/>
              <w:spacing w:after="0"/>
              <w:rPr>
                <w:sz w:val="20"/>
                <w:szCs w:val="20"/>
                <w:color w:val="auto"/>
              </w:rPr>
            </w:pPr>
            <w:r>
              <w:rPr>
                <w:rFonts w:ascii="Arial" w:cs="Arial" w:eastAsia="Arial" w:hAnsi="Arial"/>
                <w:sz w:val="18"/>
                <w:szCs w:val="18"/>
                <w:color w:val="auto"/>
              </w:rPr>
              <w:t>4,292,665</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233,839</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233,839</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24,328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24,328</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6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60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restricted stock units, net of shares</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(32,371)</w:t>
            </w: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(32,371)</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withheld for employee taxes</w:t>
            </w:r>
          </w:p>
        </w:tc>
        <w:tc>
          <w:tcPr>
            <w:tcW w:w="12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600" w:type="dxa"/>
            <w:vAlign w:val="bottom"/>
          </w:tcPr>
          <w:p>
            <w:pPr>
              <w:ind w:left="340"/>
              <w:spacing w:after="0" w:line="176" w:lineRule="exact"/>
              <w:rPr>
                <w:sz w:val="20"/>
                <w:szCs w:val="20"/>
                <w:color w:val="auto"/>
              </w:rPr>
            </w:pPr>
            <w:r>
              <w:rPr>
                <w:rFonts w:ascii="Arial" w:cs="Arial" w:eastAsia="Arial" w:hAnsi="Arial"/>
                <w:sz w:val="18"/>
                <w:szCs w:val="18"/>
                <w:color w:val="auto"/>
                <w:w w:val="99"/>
              </w:rPr>
              <w:t>Issuance of common stock in connection</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15,758</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15,758</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tcPr>
          <w:p>
            <w:pPr>
              <w:ind w:left="500"/>
              <w:spacing w:after="0"/>
              <w:rPr>
                <w:sz w:val="20"/>
                <w:szCs w:val="20"/>
                <w:color w:val="auto"/>
              </w:rPr>
            </w:pPr>
            <w:r>
              <w:rPr>
                <w:rFonts w:ascii="Arial" w:cs="Arial" w:eastAsia="Arial" w:hAnsi="Arial"/>
                <w:sz w:val="18"/>
                <w:szCs w:val="18"/>
                <w:color w:val="auto"/>
              </w:rPr>
              <w:t>with employee stock purchase plan</w:t>
            </w:r>
          </w:p>
        </w:tc>
        <w:tc>
          <w:tcPr>
            <w:tcW w:w="12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Cumulative-effect adoption of ASU 2016-13</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600" w:type="dxa"/>
            <w:vAlign w:val="bottom"/>
          </w:tcPr>
          <w:p>
            <w:pPr>
              <w:ind w:left="340"/>
              <w:spacing w:after="0" w:line="176" w:lineRule="exact"/>
              <w:rPr>
                <w:sz w:val="20"/>
                <w:szCs w:val="20"/>
                <w:color w:val="auto"/>
              </w:rPr>
            </w:pPr>
            <w:r>
              <w:rPr>
                <w:rFonts w:ascii="Arial" w:cs="Arial" w:eastAsia="Arial" w:hAnsi="Arial"/>
                <w:sz w:val="18"/>
                <w:szCs w:val="18"/>
                <w:color w:val="auto"/>
              </w:rPr>
              <w:t>Repurchase of common stock, including</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(1,569)</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(58,830)</w:t>
            </w: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(121,218)</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(180,048)</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tcPr>
          <w:p>
            <w:pPr>
              <w:ind w:left="500"/>
              <w:spacing w:after="0"/>
              <w:rPr>
                <w:sz w:val="20"/>
                <w:szCs w:val="20"/>
                <w:color w:val="auto"/>
              </w:rPr>
            </w:pPr>
            <w:r>
              <w:rPr>
                <w:rFonts w:ascii="Arial" w:cs="Arial" w:eastAsia="Arial" w:hAnsi="Arial"/>
                <w:sz w:val="18"/>
                <w:szCs w:val="18"/>
                <w:color w:val="auto"/>
              </w:rPr>
              <w:t>transaction costs</w:t>
            </w:r>
          </w:p>
        </w:tc>
        <w:tc>
          <w:tcPr>
            <w:tcW w:w="12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53,053</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Other</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October 3, 2020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114,111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4,267,987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112,563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4,407,166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031"/>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2, 2021</w:t>
            </w:r>
          </w:p>
        </w:tc>
        <w:tc>
          <w:tcPr>
            <w:tcW w:w="220" w:type="dxa"/>
            <w:vAlign w:val="bottom"/>
          </w:tcPr>
          <w:p>
            <w:pPr>
              <w:spacing w:after="0"/>
              <w:rPr>
                <w:sz w:val="16"/>
                <w:szCs w:val="16"/>
                <w:color w:val="auto"/>
              </w:rPr>
            </w:pPr>
          </w:p>
        </w:tc>
        <w:tc>
          <w:tcPr>
            <w:tcW w:w="1420" w:type="dxa"/>
            <w:vAlign w:val="bottom"/>
          </w:tcPr>
          <w:p>
            <w:pPr>
              <w:jc w:val="right"/>
              <w:ind w:right="251"/>
              <w:spacing w:after="0"/>
              <w:rPr>
                <w:sz w:val="20"/>
                <w:szCs w:val="20"/>
                <w:color w:val="auto"/>
              </w:rPr>
            </w:pPr>
            <w:r>
              <w:rPr>
                <w:rFonts w:ascii="Arial" w:cs="Arial" w:eastAsia="Arial" w:hAnsi="Arial"/>
                <w:sz w:val="14"/>
                <w:szCs w:val="14"/>
                <w:b w:val="1"/>
                <w:bCs w:val="1"/>
                <w:color w:val="auto"/>
              </w:rPr>
              <w:t>October 3, 2020</w:t>
            </w:r>
          </w:p>
        </w:tc>
      </w:tr>
      <w:tr>
        <w:trPr>
          <w:trHeight w:val="211"/>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604,815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233,839</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105,205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100,799</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amortization</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144,470</w:t>
            </w: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36,468</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51,907</w:t>
            </w: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(7,496)</w:t>
            </w: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(203,321)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(118,008)</w:t>
            </w: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41,844</w:t>
            </w: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(157,063)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(2,366)</w:t>
            </w: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16,230</w:t>
            </w: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Income taxes payable and receivable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9,671</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(12,109)</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495,249</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(112,560)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(73,386)</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businesses, net of cash acquired</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(47,520)</w:t>
            </w:r>
          </w:p>
        </w:tc>
      </w:tr>
      <w:tr>
        <w:trPr>
          <w:trHeight w:val="229"/>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investing activities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(111,325)</w:t>
            </w:r>
          </w:p>
        </w:tc>
      </w:tr>
      <w:tr>
        <w:trPr>
          <w:trHeight w:val="20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 of debt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Proceeds from borrowings and debt issuances</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1,206,750</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 of common stock, including transaction costs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(180,048)</w:t>
            </w: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Proceeds from the issuance of common stock</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21,792</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(36,354)</w:t>
            </w:r>
          </w:p>
        </w:tc>
      </w:tr>
      <w:tr>
        <w:trPr>
          <w:trHeight w:val="230"/>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financing activities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(11,705)</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(562,762)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900,435</w:t>
            </w:r>
          </w:p>
        </w:tc>
      </w:tr>
      <w:tr>
        <w:trPr>
          <w:trHeight w:val="196"/>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(245,048)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1,285,295</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1,398,309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715,612</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1,153,261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2,000,907</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7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2,000,257</w:t>
            </w:r>
          </w:p>
        </w:tc>
      </w:tr>
      <w:tr>
        <w:trPr>
          <w:trHeight w:val="230"/>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Restricted cash included in "Other current assets" and "Other non-current assets"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1,153,261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2,000,907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Capital expenditures included in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54,507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22,124</w:t>
            </w: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ind w:right="5540"/>
        <w:spacing w:after="0" w:line="260" w:lineRule="auto"/>
        <w:rPr>
          <w:sz w:val="20"/>
          <w:szCs w:val="20"/>
          <w:color w:val="auto"/>
        </w:rPr>
      </w:pPr>
      <w:r>
        <w:rPr>
          <w:rFonts w:ascii="Arial" w:cs="Arial" w:eastAsia="Arial" w:hAnsi="Arial"/>
          <w:sz w:val="18"/>
          <w:szCs w:val="18"/>
          <w:b w:val="1"/>
          <w:bCs w:val="1"/>
          <w:i w:val="1"/>
          <w:iCs w:val="1"/>
          <w:color w:val="auto"/>
        </w:rPr>
        <w:t xml:space="preserve">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56"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April 3, 2021.</w:t>
      </w:r>
    </w:p>
    <w:p>
      <w:pPr>
        <w:spacing w:after="0" w:line="20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 Certain items in the fiscal 2021 financial statements have been reclassified to conform with the fiscal 2022 presentation.</w:t>
      </w:r>
    </w:p>
    <w:p>
      <w:pPr>
        <w:spacing w:after="0" w:line="21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Each fiscal year, the first quarter ends on the Saturday closest to June 30, the second quarter ends on the Saturday closest to September 30 and the third quarter ends on the Saturday closest to December 31. Fiscal 2022 is a 52-week year, and fiscal 2021 was a 53-week year. The second quarter of fiscal 2022 included 13 weeks, compared to 14 weeks for the second quarter of fiscal 2021, and the first six months of fiscal 2022 included 26 weeks, compared to 27 weeks for the first six months of fiscal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December 2019, the Financial Accounting Standards Board issued Accounting Standards Update 2019-12, "</w:t>
      </w:r>
      <w:r>
        <w:rPr>
          <w:rFonts w:ascii="Arial" w:cs="Arial" w:eastAsia="Arial" w:hAnsi="Arial"/>
          <w:sz w:val="18"/>
          <w:szCs w:val="18"/>
          <w:i w:val="1"/>
          <w:iCs w:val="1"/>
          <w:color w:val="auto"/>
        </w:rPr>
        <w:t>Simplifying the Accounting for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which eliminates certain exceptions within Accounting Standards Codification Topic 740,</w:t>
      </w:r>
      <w:r>
        <w:rPr>
          <w:rFonts w:ascii="Arial" w:cs="Arial" w:eastAsia="Arial" w:hAnsi="Arial"/>
          <w:sz w:val="18"/>
          <w:szCs w:val="18"/>
          <w:i w:val="1"/>
          <w:iCs w:val="1"/>
          <w:color w:val="auto"/>
        </w:rPr>
        <w:t xml:space="preserve"> "Income Taxes</w:t>
      </w:r>
      <w:r>
        <w:rPr>
          <w:rFonts w:ascii="Arial" w:cs="Arial" w:eastAsia="Arial" w:hAnsi="Arial"/>
          <w:sz w:val="18"/>
          <w:szCs w:val="18"/>
          <w:color w:val="auto"/>
        </w:rPr>
        <w:t>" and clarifies and simplifies other aspects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current accounting guidance. The Company adopted this standard in the first quarter of fiscal 2022, and it did not have a material impact on the Company's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of reserves,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 2021</w:t>
            </w:r>
          </w:p>
        </w:tc>
        <w:tc>
          <w:tcPr>
            <w:tcW w:w="260" w:type="dxa"/>
            <w:vAlign w:val="bottom"/>
          </w:tcPr>
          <w:p>
            <w:pPr>
              <w:spacing w:after="0"/>
              <w:rPr>
                <w:sz w:val="16"/>
                <w:szCs w:val="16"/>
                <w:color w:val="auto"/>
              </w:rPr>
            </w:pPr>
          </w:p>
        </w:tc>
        <w:tc>
          <w:tcPr>
            <w:tcW w:w="1380" w:type="dxa"/>
            <w:vAlign w:val="bottom"/>
          </w:tcPr>
          <w:p>
            <w:pPr>
              <w:jc w:val="right"/>
              <w:ind w:right="334"/>
              <w:spacing w:after="0"/>
              <w:rPr>
                <w:sz w:val="20"/>
                <w:szCs w:val="20"/>
                <w:color w:val="auto"/>
              </w:rPr>
            </w:pPr>
            <w:r>
              <w:rPr>
                <w:rFonts w:ascii="Arial" w:cs="Arial" w:eastAsia="Arial" w:hAnsi="Arial"/>
                <w:sz w:val="14"/>
                <w:szCs w:val="14"/>
                <w:b w:val="1"/>
                <w:bCs w:val="1"/>
                <w:color w:val="auto"/>
              </w:rPr>
              <w:t>April 3, 2021</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179,390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134,959</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319,525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283,067</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98,648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89,761</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597,563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507,787</w:t>
            </w: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NextInput, Inc.</w:t>
      </w:r>
    </w:p>
    <w:p>
      <w:pPr>
        <w:spacing w:after="0" w:line="25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On April 5, 2021, the Company acquired all the outstanding equity interests of NextInput, Inc. ("NextInput"), a leader in microelectromechanical system ("MEMS")-based sensing solutions, for a total cash purchase price of $173.4 million. The acquisition expands the Company's offerings of MEMS-based products for mobile applications and provides sensing solutions for a broad range of applications in other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was preliminarily allocated based on the estimated fair values of the assets acquired and liabilities assumed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94,285</w:t>
            </w:r>
          </w:p>
        </w:tc>
      </w:tr>
      <w:tr>
        <w:trPr>
          <w:trHeight w:val="229"/>
        </w:trPr>
        <w:tc>
          <w:tcPr>
            <w:tcW w:w="9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tangible assets </w:t>
            </w:r>
            <w:r>
              <w:rPr>
                <w:rFonts w:ascii="Arial" w:cs="Arial" w:eastAsia="Arial" w:hAnsi="Arial"/>
                <w:sz w:val="21"/>
                <w:szCs w:val="21"/>
                <w:color w:val="auto"/>
                <w:vertAlign w:val="superscript"/>
              </w:rPr>
              <w:t>(1)</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 net</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(10,132)</w:t>
            </w:r>
          </w:p>
        </w:tc>
      </w:tr>
      <w:tr>
        <w:trPr>
          <w:trHeight w:val="248"/>
        </w:trPr>
        <w:tc>
          <w:tcPr>
            <w:tcW w:w="9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173,369</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Includes cash acquired of $5.8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more significant intangible assets acquired included developed technology of $73.0 million and customer relationships of $7.5 million.</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fair value of the developed technology acquired was determined based on an income approach using the "excess earnings method" which estimated the value of the intangible asset by discounting the future projected earnings of the asset to present value as of the valuation date. The acquired developed technology asset is being amortized on a straight-line basis over its estimated useful life of seven years.</w:t>
      </w:r>
    </w:p>
    <w:p>
      <w:pPr>
        <w:spacing w:after="0" w:line="19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fair value of the customer relationships acquired was determined based on an income approach using the "with and without method" in which the value of the intangible asset is determined by the difference in discounted cash flows of the profitability of the Company "with" the asset and the profitability of the Company "without" the asset. These customer relationships are being amortized on a straight-line basis over their estimated useful life of one year.</w:t>
      </w:r>
    </w:p>
    <w:p>
      <w:pPr>
        <w:spacing w:after="0" w:line="17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will continue to evaluate certain assets, liabilities and tax estimates over the measurement period (up to one year from the acquisition date). The goodwill resulting from the acquisition of NextInput is attributed to synergies and other benefits that are expected to be generated from this transaction and is not deductible for income tax purposes.</w:t>
      </w:r>
    </w:p>
    <w:p>
      <w:pPr>
        <w:spacing w:after="0" w:line="21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operating results of NextInput were not material and have been included in the Company's condensed consolidated financial statements as of the acquisition date. During the three and six months ended October 2, 2021, the Company recorded acquisition and integration related costs associated with the acquisition of NextInput totaling $0.5 million and $1.7 million in "Other operating expense" in the Condensed Consolidated Statements of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7Hugs Labs S.A.S.</w:t>
      </w:r>
    </w:p>
    <w:p>
      <w:pPr>
        <w:spacing w:after="0" w:line="25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On October 1, 2020, the Company acquired all the outstanding equity interests of 7Hugs Labs S.A.S. ("7Hugs"), a private developer of Ultra Wideband ("UWB") software and solutions, for a total cash purchase price of $48.7 million. The acquisition supports the ongoing development and adoption of the Company's UWB products and solutions.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six months ended October 2, 2021, the Company recognized a decrease to goodwill of approximately $0.1 million in connection with finalizing the purchase price allocation. The measurement period ended one year from the acquisition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six months ended October 2, 2021, are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Mobile Products</w:t>
            </w:r>
          </w:p>
        </w:tc>
        <w:tc>
          <w:tcPr>
            <w:tcW w:w="16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 and</w:t>
            </w:r>
          </w:p>
        </w:tc>
        <w:tc>
          <w:tcPr>
            <w:tcW w:w="380" w:type="dxa"/>
            <w:vAlign w:val="bottom"/>
          </w:tcPr>
          <w:p>
            <w:pPr>
              <w:spacing w:after="0"/>
              <w:rPr>
                <w:sz w:val="14"/>
                <w:szCs w:val="14"/>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Defense Products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Balance as of April 3, 2021 </w:t>
            </w:r>
            <w:r>
              <w:rPr>
                <w:rFonts w:ascii="Arial" w:cs="Arial" w:eastAsia="Arial" w:hAnsi="Arial"/>
                <w:sz w:val="10"/>
                <w:szCs w:val="10"/>
                <w:color w:val="auto"/>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2,034,383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608,325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2,642,708</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 xml:space="preserve">Goodwill resulting from NextInput acquisition </w:t>
            </w:r>
            <w:r>
              <w:rPr>
                <w:rFonts w:ascii="Arial" w:cs="Arial" w:eastAsia="Arial" w:hAnsi="Arial"/>
                <w:sz w:val="18"/>
                <w:szCs w:val="18"/>
                <w:i w:val="1"/>
                <w:iCs w:val="1"/>
                <w:color w:val="auto"/>
              </w:rPr>
              <w:t>(Note 4)</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94,285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94,285</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7Hugs measurement period adjustments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Effect of changes in foreign currency exchange rates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48"/>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Balance as of October 2, 2021 </w:t>
            </w:r>
            <w:r>
              <w:rPr>
                <w:rFonts w:ascii="Arial" w:cs="Arial" w:eastAsia="Arial" w:hAnsi="Arial"/>
                <w:sz w:val="10"/>
                <w:szCs w:val="10"/>
                <w:color w:val="auto"/>
              </w:rPr>
              <w:t>(1)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2,125,791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2,734,116</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Company’s goodwill balance is presented net of accumulated impairment losses and write-offs of $621.6 million.</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96"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regarding the gross carrying amounts and accumulated amortization of intangible assets (in thousands):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October 2, 2021</w:t>
            </w: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April 3, 2021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ind w:right="537"/>
              <w:spacing w:after="0" w:line="135"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right"/>
              <w:ind w:right="537"/>
              <w:spacing w:after="0" w:line="135"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ind w:right="377"/>
              <w:spacing w:after="0" w:line="135"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right"/>
              <w:ind w:right="397"/>
              <w:spacing w:after="0" w:line="135"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4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913,798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361,564</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1,295,113</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750,044</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86,033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33,652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459,052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403,407</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licenses</w:t>
            </w: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Backlog</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In-process research and development</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9,717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9,695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4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0"/>
                <w:szCs w:val="10"/>
                <w:color w:val="auto"/>
              </w:rPr>
              <w:t>(1)</w:t>
            </w: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 w:type="dxa"/>
            <w:vAlign w:val="bottom"/>
          </w:tcPr>
          <w:p>
            <w:pPr>
              <w:spacing w:after="0"/>
              <w:rPr>
                <w:sz w:val="21"/>
                <w:szCs w:val="21"/>
                <w:color w:val="auto"/>
              </w:rPr>
            </w:pPr>
          </w:p>
        </w:tc>
        <w:tc>
          <w:tcPr>
            <w:tcW w:w="3440" w:type="dxa"/>
            <w:vAlign w:val="bottom"/>
            <w:vMerge w:val="continue"/>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1,013,769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398,283</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1,768,918</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1,157,763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Amounts include the impact of foreign currency translation.</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intangible assets amortization expense was $36.6 million and $74.0 million for the three and six months ended October 2, 2021, respectively, and $72.4 million and $144.5 million for the three and six months ended October 3,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AND FAIR VALUE OF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invests in limited partnerships and accounts for these investments using the equity method. The carrying amounts of these investments as of October 2, 2021, and April 3, 2021, were $32.4 million and $29.8 million, respectively, and are classified as “Long-term investments” in the Condensed Consolidated Balance Sheets. During the three and six months ended October 2, 2021, the Company recorded income of $1.5 million and $16.0 million, respectively, based on its share of the limited partnerships' earnings. During the three and six months ended October 3, 2020, the Company recorded $0.1 million of expense and $15.6 million of income, respectively, based on its share of the limited partnerships' earnings. These amounts are included in “Other income, net” in the Condensed Consolidated Statements of Income. During the three and six months ended October 2, 2021, the Company received cash distributions of $9.6 million and $13.5 million, respectively, which were recognized as a reduction to the carrying value of the investment and included in the cash flows from investing activities in the Condensed Consolidated Statement of Cash Flows. There were no cash distributions received during the three and six months ended October 3,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financial assets and liabilities measured on a recurring basis was determined using the following levels of inputs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4"/>
                <w:szCs w:val="14"/>
                <w:color w:val="auto"/>
              </w:rPr>
            </w:pPr>
          </w:p>
        </w:tc>
        <w:tc>
          <w:tcPr>
            <w:tcW w:w="1380" w:type="dxa"/>
            <w:vAlign w:val="bottom"/>
          </w:tcPr>
          <w:p>
            <w:pPr>
              <w:jc w:val="center"/>
              <w:ind w:right="15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1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16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1"/>
                <w:szCs w:val="11"/>
                <w:color w:val="auto"/>
              </w:rPr>
            </w:pPr>
          </w:p>
        </w:tc>
        <w:tc>
          <w:tcPr>
            <w:tcW w:w="138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4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8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2, 2021</w:t>
            </w: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Marketable equity securities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9"/>
                <w:szCs w:val="9"/>
                <w:color w:val="auto"/>
              </w:rPr>
              <w:t>(1)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April 3, 2021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Marketable equity securities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9"/>
                <w:szCs w:val="9"/>
                <w:color w:val="auto"/>
              </w:rPr>
              <w:t>(1)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 xml:space="preserve">Contingent earn-out liability </w:t>
            </w:r>
            <w:r>
              <w:rPr>
                <w:rFonts w:ascii="Arial" w:cs="Arial" w:eastAsia="Arial" w:hAnsi="Arial"/>
                <w:sz w:val="9"/>
                <w:szCs w:val="9"/>
                <w:color w:val="auto"/>
              </w:rPr>
              <w:t>(2)</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92"/>
              </w:rPr>
              <w:t>(10,000)</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140" w:firstLine="8"/>
        <w:spacing w:after="0"/>
        <w:tabs>
          <w:tab w:leader="none" w:pos="163"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Invested funds under the Company's non-qualified deferred compensation plan are held in a rabbi trust and consist of mutual funds. The fair value of the mutual funds is calculated using the net asset value per share determined by quoted active market prices of the underlying investments.</w:t>
      </w:r>
    </w:p>
    <w:p>
      <w:pPr>
        <w:spacing w:after="0" w:line="1" w:lineRule="exact"/>
        <w:rPr>
          <w:rFonts w:ascii="Arial" w:cs="Arial" w:eastAsia="Arial" w:hAnsi="Arial"/>
          <w:sz w:val="19"/>
          <w:szCs w:val="19"/>
          <w:color w:val="auto"/>
          <w:vertAlign w:val="superscript"/>
        </w:rPr>
      </w:pPr>
    </w:p>
    <w:p>
      <w:pPr>
        <w:ind w:right="100" w:firstLine="8"/>
        <w:spacing w:after="0" w:line="234" w:lineRule="auto"/>
        <w:tabs>
          <w:tab w:leader="none" w:pos="163"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The Company recorded a contingent earn-out liability in conjunction with the acquisition of Custom MMIC Design Services, Inc. which was paid during the first quarter of fiscal 2022.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 2021</w:t>
            </w:r>
          </w:p>
        </w:tc>
        <w:tc>
          <w:tcPr>
            <w:tcW w:w="260" w:type="dxa"/>
            <w:vAlign w:val="bottom"/>
          </w:tcPr>
          <w:p>
            <w:pPr>
              <w:spacing w:after="0"/>
              <w:rPr>
                <w:sz w:val="16"/>
                <w:szCs w:val="16"/>
                <w:color w:val="auto"/>
              </w:rPr>
            </w:pPr>
          </w:p>
        </w:tc>
        <w:tc>
          <w:tcPr>
            <w:tcW w:w="1380" w:type="dxa"/>
            <w:vAlign w:val="bottom"/>
          </w:tcPr>
          <w:p>
            <w:pPr>
              <w:jc w:val="right"/>
              <w:ind w:right="332"/>
              <w:spacing w:after="0"/>
              <w:rPr>
                <w:sz w:val="20"/>
                <w:szCs w:val="20"/>
                <w:color w:val="auto"/>
              </w:rPr>
            </w:pPr>
            <w:r>
              <w:rPr>
                <w:rFonts w:ascii="Arial" w:cs="Arial" w:eastAsia="Arial" w:hAnsi="Arial"/>
                <w:sz w:val="14"/>
                <w:szCs w:val="14"/>
                <w:b w:val="1"/>
                <w:bCs w:val="1"/>
                <w:color w:val="auto"/>
              </w:rPr>
              <w:t>April 3, 2021</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197,500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4.375% senior notes due 2029</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850,000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3.375% senior notes due 2031</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1,617</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premium and issuance costs,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(5,092)</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1,740,552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1,742,550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September 29, 2020, the Company and certain of its U.S. subsidiaries (the “Guarantors”) entered into a five-year unsecured senior credit facility pursuant to a credit agreement (the “2020 Credit Agreement”) with Bank of America, N.A., acting as administrative agent, and a syndicate of lenders. The 2020 Credit Agreement amended and restated the previous credit agreement dated as of December 5, 2017 (the “2017 Credit Agreement”). The 2020 Credit Agreement includes a senior term loan (the “2020 Term Loan”) of up to $200.0 million and a senior revolving line of credit (the “Revolving Facility”) of up to $300.0 million. During the three and six months ended October 2, 2021, there were no borrowings under the Revolving Facility.</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the closing date of the 2020 Credit Agreement, the Company repaid the remaining principal balance of $97.5 million on the term loan under the 2017 Credit Agreement and concurrently drew $200.0 million under the 2020 Term Loan. During the three and six months ended October 2, 2021, the Company made principal payments of $1.3 million and $2.5 million, respectively. Interest paid during the three and six months ended October 2, 2021, was $0.6 million and $1.2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2020 Credit Agreement contains various conditions, covenants and representations with which the Company must be in compliance in order to borrow funds and to avoid an event of default. As of October 2, 2021, the Company was in compliance with these covenants.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together with the Initial 2029 Notes, the “2029 Notes”). The 2029 Notes will mature on October 15, 2029, unless earlier redeemed in accordance with their terms. The 2029 Notes are senior unsecured obligations of the Company and are guaranteed, jointly and severally, by the Guarantors.</w:t>
      </w:r>
    </w:p>
    <w:p>
      <w:pPr>
        <w:spacing w:after="0" w:line="21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customary events of default, including payment default, failure to provide certain notices thereunder and certain provisions related to bankruptcy events and also contains customary negative covenants.</w:t>
      </w:r>
    </w:p>
    <w:p>
      <w:pPr>
        <w:spacing w:after="0" w:line="2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Interest is payable on the 2029 Notes on April 15 and October 15 of each year. The Company paid no interest on the 2029 Notes during the three months ended October 2, 2021, and paid interest of $18.6 million on the 2029 Notes during the six months ended October 2, 2021. The Company paid no interest on the 2029 Notes during the three months ended October 3, 2020, and paid interest of $13.0 million on the 2029 Notes during the six months ended October 3,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2031</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spacing w:after="0" w:line="217"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The 2031 Notes were issued pursuant to an indenture, dated as of September 29, 2020, by and among the Company, the Guarantors and MUFG Union Bank, N.A., as trustee (the “2020 Indenture”). The 2020 Indenture contains the same customary events of default and negative covenants as the 2019 Indenture.</w:t>
      </w:r>
    </w:p>
    <w:p>
      <w:pPr>
        <w:spacing w:after="0" w:line="21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Interest is payable on the 2031 Notes on April 1 and October 1 of each year. During the three and six months ended October 2, 2021, the company paid interest of $11.8 million on the 2031 Notes. The Company paid no interest on the 2031 Notes during the three and six months ended October 3,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Company's debt is carried at amortized cost and is measured at fair value quarterly for disclosure purposes. The estimated fair value of the 2029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2031 Notes as of October 2, 2021, was $924.3 million and $739.6 million, respectively (compared to the outstanding principal amount of $850.0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and $700.0 million, respectively). The estimated fair value of the 2029 Notes and the 2031 Notes as of April 3, 2021, was $905.3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$689.5 million, respectively (compared to the outstanding principal amount of $850.0 million and $700.0 million, respectively). The Company considers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to be Level 2 in the fair value hierarchy. Fair values are estimated based on quoted market prices for identical or similar instruments. The 2029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2031 Notes currently trade over-the-counter, and the fair values were estimated based upon the value of the last trade at the end of the period.</w:t>
      </w:r>
    </w:p>
    <w:p>
      <w:pPr>
        <w:spacing w:after="0" w:line="2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2020 Term Loan carries a variable interest rate set at current market rates, and as such, the fair value of the 2020 Term Loan approximated carrying value as of October 2, 2021 and April 3,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During the three and six months ended October 2, 2021, the Company recognized total interest expense of $16.2 million and $32.5 million, respectively, primarily related to the 2029 Notes and the 2031 Notes, partially offset by interest capitalized to property and equipment of $0.9 million and $1.9 million, respectively. During the three and six months ended October 3, 2020, the Company recognized total interest expense of $24.6 million and $44.6 million, respectively, primarily related to its 5.50%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senior notes due July 15, 2026 (which were redeemed on October 16, 2020) and the 2029 Notes, partially offset by interest capitalized to property and equipment of $1.1 million and $2.3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REPURCHASES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May 5, 2021, the Company announced that its Board of Directors authorized a new share repurchase program to repurchase up to $2.0 billion of the Company's outstanding common stock, which included approximately $236.9 million authorized under the prior program terminated concurrent with the new authorization. Under this current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22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During the three and six months ended October 2, 2021, the Company repurchased approximately 1.2 million and 2.9 million shares, respectively, of its common stock for approximately $223.4 million and $523.4 million, respectively (including transaction costs). As of October 2, 2021, approximately $1,490.6 million remains available for repurchases under the current share repurchase program.</w:t>
      </w:r>
    </w:p>
    <w:p>
      <w:pPr>
        <w:spacing w:after="0" w:line="21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During the three and six months ended October 3, 2020, the Company repurchased approximately 0.8 million and 1.6 million shares, respectively, of its common stock for approximately $105.0 million and $180.0 million, respectively (including transaction costs) under the prior repurchase program.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 of October 2, 2021, the Company's purchase obligations totaled approximately $2.4 billion, of which approximately $600.0 million is expected to be paid during the last six months of fiscal 2022 and the remaining $1.8 billion is expected to be paid ratably over fiscal years 2023 through 2026. Noncancelable purchase obligations represent payments due related to the purchase of materials and manufacturing services, a majority of which are not recorded as liabilities in the Condensed Consolidated Balance Sheet because the Company has not received the related goods or services as of October 2, 2021.</w:t>
      </w:r>
    </w:p>
    <w:p>
      <w:pPr>
        <w:spacing w:after="0" w:line="204"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 an effort to support growth amidst ongoing industry-wide supply constraints, the Company entered into a long-term capacity reservation agreement with a foundry supplier during the second quarter ended October 2, 2021. The Company agreed to pay certain fees and deposits which are recorded in "Prepaid expenses" and "Other non-current assets" in the Condensed Consolidated Balance Sheet as of October 2, 2021. Under the agreement the Company is required to purchase, and the foundry supplier is required to supply, a certain number of wafers (at predetermined sales prices) for calendar years 2022 through 2025. The Company currently estimates that it is obligated to purchase a total of approximately $1.8 billion of wafers (included in the total purchase obligations above) under the capacity reservation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revenue disaggregated by geography, based on the location of the customers' headquarters (in thousands):</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gridSpan w:val="5"/>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3160" w:type="dxa"/>
            <w:vAlign w:val="bottom"/>
            <w:gridSpan w:val="4"/>
          </w:tcPr>
          <w:p>
            <w:pPr>
              <w:jc w:val="right"/>
              <w:ind w:right="1033"/>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40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2, 2021</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October 3, 2020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2, 2021</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October 3, 2020</w:t>
            </w:r>
          </w:p>
        </w:tc>
      </w:tr>
      <w:tr>
        <w:trPr>
          <w:trHeight w:val="224"/>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954,200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778,233</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560,992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459,416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880,173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707,661</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Asia</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160,645</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Taiwan</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92,067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53,350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177,281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106,679</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94,525</w:t>
            </w:r>
          </w:p>
        </w:tc>
      </w:tr>
      <w:tr>
        <w:trPr>
          <w:trHeight w:val="223"/>
        </w:trPr>
        <w:tc>
          <w:tcPr>
            <w:tcW w:w="400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1,255,248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1,060,292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2,365,599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1,847,743</w:t>
            </w:r>
          </w:p>
        </w:tc>
      </w:tr>
      <w:tr>
        <w:trPr>
          <w:trHeight w:val="21"/>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disaggregates revenue by operating segments (see Note 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 INFORMATION</w:t>
      </w:r>
    </w:p>
    <w:p>
      <w:pPr>
        <w:spacing w:after="0" w:line="256"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The Company's operating and reportable segments are Mobile Products ("MP") and Infrastructure and Defense Products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operating income.</w:t>
      </w:r>
    </w:p>
    <w:p>
      <w:pPr>
        <w:spacing w:after="0" w:line="19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MP is a global supplier of cellular, UWB, Wi-Fi and other solutions for a variety of applications, including smartphones, wearables, laptops, tablets and Internet of Things ("IoT").</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IDP is a global supplier of RF, system-on-a-chip and power management solutions for applications in wireless infrastructure, defense, Wi-Fi, smart home, automotive and IoT.</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"All other" category includes operating expenses such as stock-based compensation, amortization of intangible assets, acquisition and integration related costs, (loss) gain on assets, start-up costs, restructuring related charges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details of the Company’s operating and reportable segments and a reconciliation of the “All other” category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gridSpan w:val="8"/>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gridSpan w:val="4"/>
          </w:tcPr>
          <w:p>
            <w:pPr>
              <w:jc w:val="right"/>
              <w:ind w:right="10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October 2, 2021</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October 3, 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October 2, 2021</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October 3, 2020</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MP</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995,697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754,294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1,831,835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1,222,698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IDP</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625,045</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1,255,248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1,060,292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2,365,599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1,847,743</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MP</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385,589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262,858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685,279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372,841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IDP</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160,250</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(218,735)</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314,356</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(23,486)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(30,606)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(42,335)</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25,057</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297,078</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gridSpan w:val="8"/>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4"/>
          </w:tcPr>
          <w:p>
            <w:pPr>
              <w:jc w:val="right"/>
              <w:ind w:right="10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October 2, 2021</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3, 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October 2, 2021</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October 3, 2020</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“All other” category:</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(28,691)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(30,048)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(53,929)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(51,907)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(144,091)</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Acquisition and integration related costs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(19,922)</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(including (loss) gain on assets, start-up costs,</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5"/>
              </w:rPr>
              <w:t>restructuring related charges and other miscellaneous</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corporate overhead)</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 for “All other”</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(218,735)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56"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The Company’s income tax expense was $32.6 million and $45.6 million for the three and six months ended October 2, 2021, respectively, and $63.2 million for the three and six months ended October 3, 2020. The Company’s effective tax rate was 9.3% and 7.0% for the three and six months ended October 2, 2021, respectively, and 31.6% and 21.3% for the three and six months ended October 3, 2020, respectively.</w:t>
      </w:r>
    </w:p>
    <w:p>
      <w:pPr>
        <w:spacing w:after="0" w:line="19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Company's effective tax rate for the three and six months ended October 2, 2021, differed from the statutory rate primarily due to tax rate differences in foreign jurisdictions, global intangible low tax income (“GILTI”), domestic tax credits generated and discrete tax items recorded during the period. A discrete benefit of $10.3 million and $30.5 million was recorded during the three and six months ended October 2, 2021, respectively. The discrete tax benefits for the three and six months ended October 2, 2021 primarily related to stock-based compensation deductions and net tax benefits associated with other non-recurring restructuring activities, including a discrete charge associated with the intercompany restructuring of the NextInput intellectual property. The discrete tax benefit for the six months ended October 2, 2021 was also due in part to the recognition of previously unrecognized tax benefits due to the expiration of the statute of limitations.</w:t>
      </w:r>
    </w:p>
    <w:p>
      <w:pPr>
        <w:spacing w:after="0" w:line="20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Company's effective tax rate for the three and six months ended October 3, 2020, differed from the statutory rate primarily due to tax rate differences in foreign jurisdictions, GILTI, domestic tax credits generated and discrete tax items recorded during the period. A discrete charge of $45.2 million and $35.2 million was recorded during the three and six months ended October 3, 2020, respectively. The discrete charges for the three and six months ended October 3, 2020 primarily related to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intercompany restructuring of the intellectual property from the acquisition of Cavendish Kinetics Limited in fiscal 2020, partially offset by discrete tax benefits recognized for stock-based compensation deductions. The discrete charge for the six months ended October 3, 2020 was further offset by a retroactive incentive allowing previously non-deductible payments to be amortized.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3140" w:type="dxa"/>
            <w:vAlign w:val="bottom"/>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October 2, 2021</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October 3, 2020</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2, 2021</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October 3, 2020</w:t>
            </w:r>
          </w:p>
        </w:tc>
        <w:tc>
          <w:tcPr>
            <w:tcW w:w="0" w:type="dxa"/>
            <w:vAlign w:val="bottom"/>
          </w:tcPr>
          <w:p>
            <w:pPr>
              <w:spacing w:after="0"/>
              <w:rPr>
                <w:sz w:val="1"/>
                <w:szCs w:val="1"/>
                <w:color w:val="auto"/>
              </w:rPr>
            </w:pPr>
          </w:p>
        </w:tc>
      </w:tr>
      <w:tr>
        <w:trPr>
          <w:trHeight w:val="211"/>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w w:val="95"/>
              </w:rPr>
              <w:t>Numerator for basic and diluted net income per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136,917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604,815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233,839</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40" w:type="dxa"/>
            <w:vAlign w:val="bottom"/>
          </w:tcPr>
          <w:p>
            <w:pPr>
              <w:ind w:left="360"/>
              <w:spacing w:after="0" w:line="176" w:lineRule="exact"/>
              <w:rPr>
                <w:sz w:val="20"/>
                <w:szCs w:val="20"/>
                <w:color w:val="auto"/>
              </w:rPr>
            </w:pPr>
            <w:r>
              <w:rPr>
                <w:rFonts w:ascii="Arial" w:cs="Arial" w:eastAsia="Arial" w:hAnsi="Arial"/>
                <w:sz w:val="18"/>
                <w:szCs w:val="18"/>
                <w:color w:val="auto"/>
              </w:rPr>
              <w:t>Denominator for basic net income per share —</w:t>
            </w: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111,035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114,328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111,476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114,388</w:t>
            </w:r>
          </w:p>
        </w:tc>
        <w:tc>
          <w:tcPr>
            <w:tcW w:w="0" w:type="dxa"/>
            <w:vAlign w:val="bottom"/>
          </w:tcPr>
          <w:p>
            <w:pPr>
              <w:spacing w:after="0"/>
              <w:rPr>
                <w:sz w:val="1"/>
                <w:szCs w:val="1"/>
                <w:color w:val="auto"/>
              </w:rPr>
            </w:pPr>
          </w:p>
        </w:tc>
      </w:tr>
      <w:tr>
        <w:trPr>
          <w:trHeight w:val="229"/>
        </w:trPr>
        <w:tc>
          <w:tcPr>
            <w:tcW w:w="4440" w:type="dxa"/>
            <w:vAlign w:val="bottom"/>
          </w:tcPr>
          <w:p>
            <w:pPr>
              <w:ind w:left="520"/>
              <w:spacing w:after="0"/>
              <w:rPr>
                <w:sz w:val="20"/>
                <w:szCs w:val="20"/>
                <w:color w:val="auto"/>
              </w:rPr>
            </w:pPr>
            <w:r>
              <w:rPr>
                <w:rFonts w:ascii="Arial" w:cs="Arial" w:eastAsia="Arial" w:hAnsi="Arial"/>
                <w:sz w:val="18"/>
                <w:szCs w:val="18"/>
                <w:color w:val="auto"/>
              </w:rPr>
              <w:t>weighted average shares</w:t>
            </w: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Stock-based awards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156"/>
        </w:trPr>
        <w:tc>
          <w:tcPr>
            <w:tcW w:w="44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Denominator for diluted net income per share — adjusted</w:t>
            </w:r>
          </w:p>
        </w:tc>
        <w:tc>
          <w:tcPr>
            <w:tcW w:w="2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112,411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116,177</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113,088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116,395</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weighted average shares and assumed conversions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An immaterial number of the Company's outstanding stock-based awards was excluded from the computation of diluted net income per share for the three and six months ended October 2, 2021 and October 3, 2020, because the effect of their inclusion would have been anti-dilutive.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Silicon Carbide, Inc. Acquisition</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October 19, 2021, the Company acquired all the outstanding equity interests of United Silicon Carbide, Inc., a leading manufacturer of silicon carbide (SiC) power semiconductors, for cash consideration of approximately $227.1 million and contingent cash consideration of up to $31.3 million based on the achievement of certain revenue and gross margin targets subsequent to the close date and through December 31, 2022. The acquisition expands the Company's offerings with SiC power products that deliver leading performance for applications in electric vehicles, battery charging, IT infrastructure, renewables and circuit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56"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use of terms such as "may," "will," "should," "could," "expect," "plan," "anticipate," "believe," "estimate,"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our substantial dependence on developing new products and achieving design wins; our dependence on several large customers for a substantial portion of our revenue; the COVID-19 pandemic materially and adversely affecting our financial condition and results of operations; a loss of revenue if defense and aerospace contracts are canceled or delayed; our dependence on third parties; risks related to sales through distributors; risks associated with the operation of our manufacturing facilities; business disruptions; poor manufacturing yields; increased inventory risks and costs due to timing of customer forecasts; our inability to effectively manage or maintain evolving relationships with platform providers; our ability to continue to innovate in a very competitive industry; underutilization of manufacturing facilities as a result of industry overcapacity; unfavorable changes in interest rates, pricing of certain precious metals, utility rates and foreign currency exchange rates; our acquisitions and other strategic investments failing to achieve financial or strategic objectives; our ability to attract, retain and motivate key employees; warranty claims, product recalls and product liability; changes in our effective tax rate; changes in the favorable tax status of certain of our subsidiaries; enactment of international or domestic tax legislation, or changes in regulatory guidance; risks associated with environmental, health and safety regulations, and climate change; risks from international sales and operations; economic regulation in China; changes in government trade policies, including imposition of tariffs and export restrictions; we may not be able to generate sufficient cash to service all of our debt; restrictions imposed by the agreements governing our debt; our reliance on our intellectual property portfolio; claims of infringement of third-party intellectual property rights; security breaches and other similar disruptions compromising our information; theft, loss or misuse of personal data by or about our employees, customers or third parties; provisions in our governing documents and Delaware law may discourage takeovers and business combinations that our stockholders might consider to be in their best interests; and volatility in the price of our common stock. These and other risks and uncertainties, which are described in more detail in our most recent Annual Report on Form 10-K and in other reports and statements that we file with the SEC, could cause actual results and developments to be materially different from those expressed or implied by any of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660"/>
        <w:spacing w:after="0" w:line="31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 to Condensed Consolidated Financial Statements.</w:t>
      </w:r>
    </w:p>
    <w:p>
      <w:pPr>
        <w:spacing w:after="0" w:line="17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Qorvo is a leader in the development and commercialization of technologies and products for wireless and wired connectivity. We combine highly differentiated technologies, systems-level expertise and manufacturing scale to serve a diverse set of customers a broad portfolio of innovative solutions that enable a more connected world.</w:t>
      </w:r>
    </w:p>
    <w:p>
      <w:pPr>
        <w:spacing w:after="0" w:line="143"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We design, develop, manufacture and market our products to U.S. and international original equipment manufacturers and original design manufacturers in two operating segments, which are also our reportable segments: Mobile Products ("MP") and Infrastructure and Defense Products ("IDP").</w:t>
      </w:r>
    </w:p>
    <w:p>
      <w:pPr>
        <w:spacing w:after="0" w:line="1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MP is a global supplier of cellular, Ultra Wideband ("UWB"), Wi-Fi and other solutions for a variety of applications, including smartphones, wearables, laptops, tablets and Internet of Things ("IoT").</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IDP is a global supplier of RF, system-on-a-chip and power management solutions for applications in wireless infrastructure, defense, Wi-Fi, smart home, automotive and IoT.</w:t>
      </w:r>
    </w:p>
    <w:p>
      <w:pPr>
        <w:spacing w:after="0" w:line="197"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operating and reportable segment primarily based on operating income. See Note 11 of the Notes to Condensed Consolidated Financial Statements in Part I, Item 1 of this report for additional information regarding our reportable operating segments.</w:t>
      </w:r>
    </w:p>
    <w:p>
      <w:pPr>
        <w:spacing w:after="0" w:line="184"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In the first half of fiscal 2022, the semiconductor industry continued to experience supply constraints. While we expect the industry to address these constraints over time, we have taken strategic actions to provide flexibility in our supply chain. During the second quarter ended October 2, 2021, we entered into a long-term capacity agreement with a foundry supplier to reserve manufacturing supply capacity. Under the agreement we are required to purchase, and the foundry supplier is required to supply, a certain number of wafers for calendar years 2022 through 2025. See Note 9 of the Notes to Condensed Consolidated Financial Statements and Part II, Item 1A., "Risk Factors" for additional information regarding this agreement.</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COVID-19 pandemic has been a contributing factor of the semiconductor industry supply constraints and is likely to continue to cause volatility and uncertainty in customer demand, worldwide economies and financial markets for some period of time. To date, any negative impact of COVID-19 on the overall demand for our products, cash flow from operations, need for capital expenditures, and our liquidity position has been limited, although we are addressing capacity constraints in our supply chain as described above.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ind w:left="33"/>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3"/>
        <w:spacing w:after="0"/>
        <w:rPr>
          <w:sz w:val="20"/>
          <w:szCs w:val="20"/>
          <w:color w:val="auto"/>
        </w:rPr>
      </w:pPr>
      <w:r>
        <w:rPr>
          <w:rFonts w:ascii="Arial" w:cs="Arial" w:eastAsia="Arial" w:hAnsi="Arial"/>
          <w:sz w:val="18"/>
          <w:szCs w:val="18"/>
          <w:b w:val="1"/>
          <w:bCs w:val="1"/>
          <w:color w:val="auto"/>
        </w:rPr>
        <w:t>SECOND QUARTER FISCAL 2022 FINANCIAL HIGHLIGHTS</w:t>
      </w:r>
    </w:p>
    <w:p>
      <w:pPr>
        <w:spacing w:after="0" w:line="256" w:lineRule="exact"/>
        <w:rPr>
          <w:sz w:val="20"/>
          <w:szCs w:val="20"/>
          <w:color w:val="auto"/>
        </w:rPr>
      </w:pPr>
    </w:p>
    <w:p>
      <w:pPr>
        <w:ind w:left="33" w:right="300"/>
        <w:spacing w:after="0" w:line="342" w:lineRule="auto"/>
        <w:rPr>
          <w:sz w:val="20"/>
          <w:szCs w:val="20"/>
          <w:color w:val="auto"/>
        </w:rPr>
      </w:pPr>
      <w:r>
        <w:rPr>
          <w:rFonts w:ascii="Arial" w:cs="Arial" w:eastAsia="Arial" w:hAnsi="Arial"/>
          <w:sz w:val="16"/>
          <w:szCs w:val="16"/>
          <w:color w:val="auto"/>
        </w:rPr>
        <w:t>Fiscal 2022 is a 52-week year, and fiscal 2021 was a 53-week year. The second quarter of fiscal 2022 included 13 weeks, compared to 14 weeks for the second quarter of fiscal 2021, and the first six months of fiscal 2022 included 26 weeks, compared to 27 weeks for the first six months of fiscal 2021.</w:t>
      </w:r>
    </w:p>
    <w:p>
      <w:pPr>
        <w:spacing w:after="0" w:line="151" w:lineRule="exact"/>
        <w:rPr>
          <w:sz w:val="20"/>
          <w:szCs w:val="20"/>
          <w:color w:val="auto"/>
        </w:rPr>
      </w:pPr>
    </w:p>
    <w:p>
      <w:pPr>
        <w:ind w:left="333" w:hanging="333"/>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for the second quarter of fiscal 2022 increased 18.4% as compared to the second quarter of fiscal 2021, driven primarily by higher demand for our 5G mobile solutions, partially offset by lower demand for our base station products.</w:t>
      </w:r>
    </w:p>
    <w:p>
      <w:pPr>
        <w:spacing w:after="0" w:line="197" w:lineRule="exact"/>
        <w:rPr>
          <w:rFonts w:ascii="Arial" w:cs="Arial" w:eastAsia="Arial" w:hAnsi="Arial"/>
          <w:sz w:val="18"/>
          <w:szCs w:val="18"/>
          <w:color w:val="auto"/>
        </w:rPr>
      </w:pPr>
    </w:p>
    <w:p>
      <w:pPr>
        <w:ind w:left="333" w:right="360" w:hanging="333"/>
        <w:spacing w:after="0" w:line="263"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margin for the second quarter of fiscal 2022 was 49.5% as compared to 46.4% for the second quarter of fiscal 2021, primarily due to lower intangible amortization expense, lower unit costs on higher volume and productivity, and improved product mix, partially offset by average selling price erosion.</w:t>
      </w:r>
    </w:p>
    <w:p>
      <w:pPr>
        <w:spacing w:after="0" w:line="210" w:lineRule="exact"/>
        <w:rPr>
          <w:rFonts w:ascii="Arial" w:cs="Arial" w:eastAsia="Arial" w:hAnsi="Arial"/>
          <w:sz w:val="18"/>
          <w:szCs w:val="18"/>
          <w:color w:val="auto"/>
        </w:rPr>
      </w:pPr>
    </w:p>
    <w:p>
      <w:pPr>
        <w:jc w:val="both"/>
        <w:ind w:left="333" w:right="240" w:hanging="333"/>
        <w:spacing w:after="0" w:line="263"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was $362.4 million for the second quarter of fiscal 2022 as compared to $221.6 million for the second quarter of fiscal 2021. This increase was primarily due to higher revenue, favorable gross margin and lower operating expenses. Operating expenses decreased primarily due to lower intangible amortization expense.</w:t>
      </w:r>
    </w:p>
    <w:p>
      <w:pPr>
        <w:spacing w:after="0" w:line="210" w:lineRule="exact"/>
        <w:rPr>
          <w:rFonts w:ascii="Arial" w:cs="Arial" w:eastAsia="Arial" w:hAnsi="Arial"/>
          <w:sz w:val="18"/>
          <w:szCs w:val="18"/>
          <w:color w:val="auto"/>
        </w:rPr>
      </w:pPr>
    </w:p>
    <w:p>
      <w:pPr>
        <w:ind w:left="313" w:hanging="313"/>
        <w:spacing w:after="0"/>
        <w:tabs>
          <w:tab w:leader="none" w:pos="313"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per diluted share was $2.84 for the second quarter of fiscal 2022 as compared to $1.18 for the second quarter of fiscal 2021.</w:t>
      </w:r>
    </w:p>
    <w:p>
      <w:pPr>
        <w:spacing w:after="0" w:line="252" w:lineRule="exact"/>
        <w:rPr>
          <w:rFonts w:ascii="Arial" w:cs="Arial" w:eastAsia="Arial" w:hAnsi="Arial"/>
          <w:sz w:val="18"/>
          <w:szCs w:val="18"/>
          <w:color w:val="auto"/>
        </w:rPr>
      </w:pPr>
    </w:p>
    <w:p>
      <w:pPr>
        <w:ind w:left="313" w:hanging="313"/>
        <w:spacing w:after="0"/>
        <w:tabs>
          <w:tab w:leader="none" w:pos="313" w:val="left"/>
        </w:tabs>
        <w:numPr>
          <w:ilvl w:val="0"/>
          <w:numId w:val="7"/>
        </w:numPr>
        <w:rPr>
          <w:rFonts w:ascii="Arial" w:cs="Arial" w:eastAsia="Arial" w:hAnsi="Arial"/>
          <w:sz w:val="17"/>
          <w:szCs w:val="17"/>
          <w:color w:val="auto"/>
        </w:rPr>
      </w:pPr>
      <w:r>
        <w:rPr>
          <w:rFonts w:ascii="Arial" w:cs="Arial" w:eastAsia="Arial" w:hAnsi="Arial"/>
          <w:sz w:val="17"/>
          <w:szCs w:val="17"/>
          <w:color w:val="auto"/>
        </w:rPr>
        <w:t>Capital expenditures were $47.3 million for the second quarter of fiscal 2022 as compared to $43.6 million for the second quarter of fiscal 2021.</w:t>
      </w:r>
    </w:p>
    <w:p>
      <w:pPr>
        <w:spacing w:after="0" w:line="263" w:lineRule="exact"/>
        <w:rPr>
          <w:rFonts w:ascii="Arial" w:cs="Arial" w:eastAsia="Arial" w:hAnsi="Arial"/>
          <w:sz w:val="17"/>
          <w:szCs w:val="17"/>
          <w:color w:val="auto"/>
        </w:rPr>
      </w:pPr>
    </w:p>
    <w:p>
      <w:pPr>
        <w:ind w:left="313" w:hanging="313"/>
        <w:spacing w:after="0"/>
        <w:tabs>
          <w:tab w:leader="none" w:pos="313" w:val="left"/>
        </w:tabs>
        <w:numPr>
          <w:ilvl w:val="0"/>
          <w:numId w:val="7"/>
        </w:numPr>
        <w:rPr>
          <w:rFonts w:ascii="Arial" w:cs="Arial" w:eastAsia="Arial" w:hAnsi="Arial"/>
          <w:sz w:val="17"/>
          <w:szCs w:val="17"/>
          <w:color w:val="auto"/>
        </w:rPr>
      </w:pPr>
      <w:r>
        <w:rPr>
          <w:rFonts w:ascii="Arial" w:cs="Arial" w:eastAsia="Arial" w:hAnsi="Arial"/>
          <w:sz w:val="17"/>
          <w:szCs w:val="17"/>
          <w:color w:val="auto"/>
        </w:rPr>
        <w:t>During the second quarter of fiscal 2022, we repurchased approximately 1.2 million shares of our common stock for approximately $223.4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3"/>
          </w:cols>
          <w:pgMar w:left="287" w:top="121" w:right="37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results of operations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October 2, 2021</w:t>
            </w: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October 3, 2020</w:t>
            </w: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100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6"/>
                <w:szCs w:val="16"/>
                <w:color w:val="auto"/>
              </w:rPr>
            </w:pPr>
          </w:p>
        </w:tc>
        <w:tc>
          <w:tcPr>
            <w:tcW w:w="10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4"/>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1,255,248</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1,060,292</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194,956</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633,695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568,742</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64,953</w:t>
            </w:r>
          </w:p>
        </w:tc>
        <w:tc>
          <w:tcPr>
            <w:tcW w:w="1440" w:type="dxa"/>
            <w:vAlign w:val="bottom"/>
            <w:tcBorders>
              <w:bottom w:val="single" w:sz="8" w:color="CCEEFF"/>
            </w:tcBorders>
            <w:gridSpan w:val="2"/>
          </w:tcPr>
          <w:p>
            <w:pPr>
              <w:jc w:val="right"/>
              <w:ind w:right="14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621,553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491,550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130,003</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158,377</w:t>
            </w:r>
          </w:p>
        </w:tc>
        <w:tc>
          <w:tcPr>
            <w:tcW w:w="12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156,342</w:t>
            </w:r>
          </w:p>
        </w:tc>
        <w:tc>
          <w:tcPr>
            <w:tcW w:w="1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2,035</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109,372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(15,883)</w:t>
            </w:r>
          </w:p>
        </w:tc>
        <w:tc>
          <w:tcPr>
            <w:tcW w:w="14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expense</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7,327</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1440" w:type="dxa"/>
            <w:vAlign w:val="bottom"/>
            <w:tcBorders>
              <w:bottom w:val="single" w:sz="8" w:color="CCEEFF"/>
            </w:tcBorders>
            <w:gridSpan w:val="2"/>
          </w:tcPr>
          <w:p>
            <w:pPr>
              <w:jc w:val="right"/>
              <w:ind w:right="141"/>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362,360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221,644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140,716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63.5 %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October 2, 2021</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 of Revenue</w:t>
            </w:r>
          </w:p>
        </w:tc>
        <w:tc>
          <w:tcPr>
            <w:tcW w:w="14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October 3, 2020</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 of Revenue</w:t>
            </w:r>
          </w:p>
        </w:tc>
        <w:tc>
          <w:tcPr>
            <w:tcW w:w="180" w:type="dxa"/>
            <w:vAlign w:val="bottom"/>
          </w:tcPr>
          <w:p>
            <w:pPr>
              <w:spacing w:after="0"/>
              <w:rPr>
                <w:sz w:val="11"/>
                <w:szCs w:val="11"/>
                <w:color w:val="auto"/>
              </w:rPr>
            </w:pPr>
          </w:p>
        </w:tc>
        <w:tc>
          <w:tcPr>
            <w:tcW w:w="100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2,365,599</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1,847,743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517,856</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1,197,863</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1,030,404</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167,459</w:t>
            </w:r>
          </w:p>
        </w:tc>
        <w:tc>
          <w:tcPr>
            <w:tcW w:w="1440" w:type="dxa"/>
            <w:vAlign w:val="bottom"/>
            <w:tcBorders>
              <w:bottom w:val="single" w:sz="8" w:color="CCEEFF"/>
            </w:tcBorders>
            <w:gridSpan w:val="2"/>
          </w:tcPr>
          <w:p>
            <w:pPr>
              <w:jc w:val="right"/>
              <w:ind w:right="14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1,167,736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817,339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350,397</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310,456</w:t>
            </w:r>
          </w:p>
        </w:tc>
        <w:tc>
          <w:tcPr>
            <w:tcW w:w="12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286,413</w:t>
            </w:r>
          </w:p>
        </w:tc>
        <w:tc>
          <w:tcPr>
            <w:tcW w:w="1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24,043</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183,788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195,976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(12,188)</w:t>
            </w:r>
          </w:p>
        </w:tc>
        <w:tc>
          <w:tcPr>
            <w:tcW w:w="14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expense</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14,030</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20,594</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1440" w:type="dxa"/>
            <w:vAlign w:val="bottom"/>
            <w:tcBorders>
              <w:bottom w:val="single" w:sz="8" w:color="CCEEFF"/>
            </w:tcBorders>
            <w:gridSpan w:val="2"/>
          </w:tcPr>
          <w:p>
            <w:pPr>
              <w:jc w:val="right"/>
              <w:ind w:right="10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659,462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314,356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345,106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109.8 %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increased for the three months ended October 2, 2021, compared to the three months ended October 3, 2020, primarily due to higher demand for our 5G mobile solutions, partially offset by lower demand for our base station products. The higher demand for our 5G mobile solutions was driven by the continued 5G smartphone ramp and associated content increases with our largest customers. The lower demand for our base station products was attributed to the slower China 5G massive Multiple-Input/Multiple-Output ("mMIMO") deployment and supply chain disruptions.</w:t>
      </w:r>
    </w:p>
    <w:p>
      <w:pPr>
        <w:spacing w:after="0" w:line="19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Revenue increased for the six months ended October 2, 2021, compared to the six months ended October 3, 2020, primarily due to higher demand for our 5G mobile solutions and Wi-Fi and broadband products, partially offset by lower demand for our base station products. The higher demand for our 5G mobile solutions was driven by the continued 5G smartphone ramp and associated content increases with our largest customers. The increased demand for our Wi-Fi and broadband products was in support of technology upgrades and other connectivity trends. The lower demand for our base station products was attributed to the slower China 5G mMIMO deployment and supply chain disruptions.</w:t>
      </w:r>
    </w:p>
    <w:p>
      <w:pPr>
        <w:spacing w:after="0" w:line="2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Gross margin increased for the three and six months ended October 2, 2021, compared to the three and six months ended October 3, 2020, primarily due to lower intangible amortization expense, lower unit costs on higher volume and productivity, and improved product mix, partially offset by average selling price erosion.</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Operating expenses decreased for the three months ended October 2, 2021, compared to the three months ended October 3, 2020, primarily due to lower intangible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Operating expenses increased for the six months ended October 2, 2021, compared to the six months ended October 3, 2020, primarily due to additional headcount associated with the design and development of our UWB solutions and biotechnology testing solutions as well as the acquisition of NextInput, Inc. ("NextInput"). These increases were partially offset by lower intangible amortization expense and lower acquisition related legal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w w:val="93"/>
              </w:rPr>
              <w:t>Three Months Ended</w:t>
            </w:r>
          </w:p>
        </w:tc>
        <w:tc>
          <w:tcPr>
            <w:tcW w:w="1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920" w:type="dxa"/>
            <w:vAlign w:val="bottom"/>
            <w:vMerge w:val="restart"/>
          </w:tcPr>
          <w:p>
            <w:pPr>
              <w:spacing w:after="0"/>
              <w:rPr>
                <w:sz w:val="20"/>
                <w:szCs w:val="20"/>
                <w:color w:val="auto"/>
              </w:rPr>
            </w:pPr>
            <w:r>
              <w:rPr>
                <w:rFonts w:ascii="Arial" w:cs="Arial" w:eastAsia="Arial" w:hAnsi="Arial"/>
                <w:sz w:val="14"/>
                <w:szCs w:val="14"/>
                <w:color w:val="auto"/>
              </w:rPr>
              <w:t>(In thousands, except percentages)</w:t>
            </w:r>
          </w:p>
        </w:tc>
        <w:tc>
          <w:tcPr>
            <w:tcW w:w="18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October 2, 2021</w:t>
            </w:r>
          </w:p>
        </w:tc>
        <w:tc>
          <w:tcPr>
            <w:tcW w:w="24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October 3, 2020</w:t>
            </w:r>
          </w:p>
        </w:tc>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rPr>
              <w:t>Increase</w:t>
            </w: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6"/>
        </w:trPr>
        <w:tc>
          <w:tcPr>
            <w:tcW w:w="392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24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995,697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754,294</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241,403</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92"/>
              </w:rPr>
              <w:t>32.0 %</w:t>
            </w:r>
          </w:p>
        </w:tc>
        <w:tc>
          <w:tcPr>
            <w:tcW w:w="0" w:type="dxa"/>
            <w:vAlign w:val="bottom"/>
          </w:tcPr>
          <w:p>
            <w:pPr>
              <w:spacing w:after="0"/>
              <w:rPr>
                <w:sz w:val="1"/>
                <w:szCs w:val="1"/>
                <w:color w:val="auto"/>
              </w:rPr>
            </w:pPr>
          </w:p>
        </w:tc>
      </w:tr>
      <w:tr>
        <w:trPr>
          <w:trHeight w:val="230"/>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385,589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262,858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122,731</w:t>
            </w:r>
          </w:p>
        </w:tc>
        <w:tc>
          <w:tcPr>
            <w:tcW w:w="100" w:type="dxa"/>
            <w:vAlign w:val="bottom"/>
          </w:tcPr>
          <w:p>
            <w:pPr>
              <w:spacing w:after="0"/>
              <w:rPr>
                <w:sz w:val="19"/>
                <w:szCs w:val="19"/>
                <w:color w:val="auto"/>
              </w:rPr>
            </w:pPr>
          </w:p>
        </w:tc>
        <w:tc>
          <w:tcPr>
            <w:tcW w:w="1740" w:type="dxa"/>
            <w:vAlign w:val="bottom"/>
          </w:tcPr>
          <w:p>
            <w:pPr>
              <w:ind w:left="12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Pr>
          <w:p>
            <w:pPr>
              <w:spacing w:after="0"/>
              <w:rPr>
                <w:sz w:val="11"/>
                <w:szCs w:val="11"/>
                <w:color w:val="auto"/>
              </w:rPr>
            </w:pP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October 2, 2021</w:t>
            </w:r>
          </w:p>
        </w:tc>
        <w:tc>
          <w:tcPr>
            <w:tcW w:w="260" w:type="dxa"/>
            <w:vAlign w:val="bottom"/>
          </w:tcPr>
          <w:p>
            <w:pPr>
              <w:spacing w:after="0"/>
              <w:rPr>
                <w:sz w:val="11"/>
                <w:szCs w:val="11"/>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October 3, 2020</w:t>
            </w:r>
          </w:p>
        </w:tc>
        <w:tc>
          <w:tcPr>
            <w:tcW w:w="480" w:type="dxa"/>
            <w:vAlign w:val="bottom"/>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Increase</w:t>
            </w:r>
          </w:p>
        </w:tc>
        <w:tc>
          <w:tcPr>
            <w:tcW w:w="1740" w:type="dxa"/>
            <w:vAlign w:val="bottom"/>
          </w:tcPr>
          <w:p>
            <w:pPr>
              <w:ind w:left="520"/>
              <w:spacing w:after="0" w:line="135"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8"/>
        </w:trPr>
        <w:tc>
          <w:tcPr>
            <w:tcW w:w="3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1,831,835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1,222,698</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609,137</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92"/>
              </w:rPr>
              <w:t>49.8 %</w:t>
            </w:r>
          </w:p>
        </w:tc>
        <w:tc>
          <w:tcPr>
            <w:tcW w:w="0" w:type="dxa"/>
            <w:vAlign w:val="bottom"/>
          </w:tcPr>
          <w:p>
            <w:pPr>
              <w:spacing w:after="0"/>
              <w:rPr>
                <w:sz w:val="1"/>
                <w:szCs w:val="1"/>
                <w:color w:val="auto"/>
              </w:rPr>
            </w:pPr>
          </w:p>
        </w:tc>
      </w:tr>
      <w:tr>
        <w:trPr>
          <w:trHeight w:val="230"/>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685,279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372,841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312,438</w:t>
            </w:r>
          </w:p>
        </w:tc>
        <w:tc>
          <w:tcPr>
            <w:tcW w:w="100" w:type="dxa"/>
            <w:vAlign w:val="bottom"/>
          </w:tcPr>
          <w:p>
            <w:pPr>
              <w:spacing w:after="0"/>
              <w:rPr>
                <w:sz w:val="19"/>
                <w:szCs w:val="19"/>
                <w:color w:val="auto"/>
              </w:rPr>
            </w:pPr>
          </w:p>
        </w:tc>
        <w:tc>
          <w:tcPr>
            <w:tcW w:w="1740" w:type="dxa"/>
            <w:vAlign w:val="bottom"/>
          </w:tcPr>
          <w:p>
            <w:pPr>
              <w:ind w:left="12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MP revenue increased for the three and six months ended October 2, 2021, compared to the three and six months ended October 3, 2020, primarily due to higher demand for our 5G mobile solutions driven by the continued 5G smartphone ramp and associated content increases with our largest customers.</w:t>
      </w:r>
    </w:p>
    <w:p>
      <w:pPr>
        <w:spacing w:after="0" w:line="15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MP operating income increased for the three and six months ended October 2, 2021, compared to the three and six months ended October 3, 2020, primarily due to the effects of increased revenue, including lower unit costs on higher volume and productivity, and improved product mix. These increases were partially offset by average selling price erosion and higher operating expenses. Operating expenses increased primarily due to additional headcount associated with the design and development of our UWB solutions as well as the acquisition of NextInput.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640" w:type="dxa"/>
            <w:vAlign w:val="bottom"/>
            <w:vMerge w:val="restart"/>
          </w:tcPr>
          <w:p>
            <w:pPr>
              <w:spacing w:after="0"/>
              <w:rPr>
                <w:sz w:val="20"/>
                <w:szCs w:val="20"/>
                <w:color w:val="auto"/>
              </w:rPr>
            </w:pPr>
            <w:r>
              <w:rPr>
                <w:rFonts w:ascii="Arial" w:cs="Arial" w:eastAsia="Arial" w:hAnsi="Arial"/>
                <w:sz w:val="14"/>
                <w:szCs w:val="14"/>
                <w:color w:val="auto"/>
              </w:rPr>
              <w:t>(In thousands, except percentages)</w:t>
            </w:r>
          </w:p>
        </w:tc>
        <w:tc>
          <w:tcPr>
            <w:tcW w:w="16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October 2, 2021</w:t>
            </w:r>
          </w:p>
        </w:tc>
        <w:tc>
          <w:tcPr>
            <w:tcW w:w="17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October 3, 2020</w:t>
            </w:r>
          </w:p>
        </w:tc>
        <w:tc>
          <w:tcPr>
            <w:tcW w:w="15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Decrease</w:t>
            </w: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6"/>
        </w:trPr>
        <w:tc>
          <w:tcPr>
            <w:tcW w:w="464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259,551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305,998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(46,447)</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5"/>
              </w:rPr>
              <w:t>(15.2)%</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49,829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66,495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(16,666)</w:t>
            </w:r>
          </w:p>
        </w:tc>
        <w:tc>
          <w:tcPr>
            <w:tcW w:w="100" w:type="dxa"/>
            <w:vAlign w:val="bottom"/>
          </w:tcPr>
          <w:p>
            <w:pPr>
              <w:spacing w:after="0"/>
              <w:rPr>
                <w:sz w:val="19"/>
                <w:szCs w:val="19"/>
                <w:color w:val="auto"/>
              </w:rPr>
            </w:pPr>
          </w:p>
        </w:tc>
        <w:tc>
          <w:tcPr>
            <w:tcW w:w="1600" w:type="dxa"/>
            <w:vAlign w:val="bottom"/>
          </w:tcPr>
          <w:p>
            <w:pPr>
              <w:ind w:left="98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6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20" w:type="dxa"/>
            <w:vAlign w:val="bottom"/>
          </w:tcPr>
          <w:p>
            <w:pPr>
              <w:spacing w:after="0"/>
              <w:rPr>
                <w:sz w:val="11"/>
                <w:szCs w:val="11"/>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October 2, 2021</w:t>
            </w:r>
          </w:p>
        </w:tc>
        <w:tc>
          <w:tcPr>
            <w:tcW w:w="220" w:type="dxa"/>
            <w:vAlign w:val="bottom"/>
          </w:tcPr>
          <w:p>
            <w:pPr>
              <w:spacing w:after="0"/>
              <w:rPr>
                <w:sz w:val="11"/>
                <w:szCs w:val="11"/>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October 3, 2020</w:t>
            </w:r>
          </w:p>
        </w:tc>
        <w:tc>
          <w:tcPr>
            <w:tcW w:w="46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Decrease</w:t>
            </w:r>
          </w:p>
        </w:tc>
        <w:tc>
          <w:tcPr>
            <w:tcW w:w="1600" w:type="dxa"/>
            <w:vAlign w:val="bottom"/>
          </w:tcPr>
          <w:p>
            <w:pPr>
              <w:ind w:left="460"/>
              <w:spacing w:after="0" w:line="135"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8"/>
        </w:trPr>
        <w:tc>
          <w:tcPr>
            <w:tcW w:w="4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0" w:type="dxa"/>
            <w:vAlign w:val="bottom"/>
          </w:tcPr>
          <w:p>
            <w:pPr>
              <w:ind w:lef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533,764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625,045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(91,281)</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5"/>
              </w:rPr>
              <w:t>(14.6)%</w:t>
            </w:r>
          </w:p>
        </w:tc>
        <w:tc>
          <w:tcPr>
            <w:tcW w:w="0" w:type="dxa"/>
            <w:vAlign w:val="bottom"/>
          </w:tcPr>
          <w:p>
            <w:pPr>
              <w:spacing w:after="0"/>
              <w:rPr>
                <w:sz w:val="1"/>
                <w:szCs w:val="1"/>
                <w:color w:val="auto"/>
              </w:rPr>
            </w:pPr>
          </w:p>
        </w:tc>
      </w:tr>
      <w:tr>
        <w:trPr>
          <w:trHeight w:val="229"/>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117,168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160,250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(43,082)</w:t>
            </w:r>
          </w:p>
        </w:tc>
        <w:tc>
          <w:tcPr>
            <w:tcW w:w="100" w:type="dxa"/>
            <w:vAlign w:val="bottom"/>
          </w:tcPr>
          <w:p>
            <w:pPr>
              <w:spacing w:after="0"/>
              <w:rPr>
                <w:sz w:val="19"/>
                <w:szCs w:val="19"/>
                <w:color w:val="auto"/>
              </w:rPr>
            </w:pPr>
          </w:p>
        </w:tc>
        <w:tc>
          <w:tcPr>
            <w:tcW w:w="1600" w:type="dxa"/>
            <w:vAlign w:val="bottom"/>
          </w:tcPr>
          <w:p>
            <w:pPr>
              <w:ind w:left="98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IDP revenue decreased for the three months ended October 2, 2021, compared to the three months ended October 3, 2020, primarily due to lower demand for our base station products, partially offset by increased demand for our power management products. The lower demand for our base station products was attributed to the slower China 5G mMIMO deployment 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supply chain disruptions. The increased demand for our power management products was in support of the migration to battery-operated portable devices.</w:t>
      </w:r>
    </w:p>
    <w:p>
      <w:pPr>
        <w:spacing w:after="0" w:line="27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IDP revenue decreased for the six months ended October 2, 2021, compared to the six months ended October 3, 2020, primarily due to lower demand for our base station products, partially offset by increased demand for our Wi-Fi, broadband and power management products. The lower demand for our base station products was attributed to the slower China 5G mMIMO deployment and supply chain disruptions. The higher demand for our Wi-Fi, broadband and power management products was in support of technology upgrades, other connectivity trends and the migration to battery-operated portable devices.</w:t>
      </w:r>
    </w:p>
    <w:p>
      <w:pPr>
        <w:spacing w:after="0" w:line="184"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IDP operating income decreased for the three months ended October 2, 2021, compared to the three months ended October 3, 2020, primarily due to decreased revenue, partially offset by lower operating expenses. Operating expenses decreased primarily due to lower product development spend.</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IDP operating income decreased for the six months ended October 2, 2021, compared to the six months ended October 3, 2020, primarily due to decreased revenue and higher operating expenses, partially offset by favorable changes in gross margin. Operating expenses increased primarily due to additional headcount associated with our biotechnology testing solutions, partially offset by lower product development spend. Gross margin was favorable primarily due to lower unit costs.</w:t>
      </w:r>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Note 11 of the Notes to Condensed Consolidated Financial Statements for a reconciliation of reportable segment operating income to the consolidated operating income for the three and six months ended October 2, 2021 and October 3,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OTHER INCOME AND INCOME TAXES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3140" w:type="dxa"/>
            <w:vAlign w:val="bottom"/>
            <w:gridSpan w:val="4"/>
          </w:tcPr>
          <w:p>
            <w:pPr>
              <w:ind w:left="900"/>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44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October 2, 2021</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October 3, 2020</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2, 2021</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October 3, 2020</w:t>
            </w:r>
          </w:p>
        </w:tc>
      </w:tr>
      <w:tr>
        <w:trPr>
          <w:trHeight w:val="224"/>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center"/>
              <w:ind w:left="657"/>
              <w:spacing w:after="0"/>
              <w:rPr>
                <w:sz w:val="20"/>
                <w:szCs w:val="20"/>
                <w:color w:val="auto"/>
              </w:rPr>
            </w:pPr>
            <w:r>
              <w:rPr>
                <w:rFonts w:ascii="Arial" w:cs="Arial" w:eastAsia="Arial" w:hAnsi="Arial"/>
                <w:sz w:val="18"/>
                <w:szCs w:val="18"/>
                <w:color w:val="auto"/>
                <w:w w:val="89"/>
              </w:rPr>
              <w:t>(30,606)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center"/>
              <w:ind w:left="655"/>
              <w:spacing w:after="0"/>
              <w:rPr>
                <w:sz w:val="20"/>
                <w:szCs w:val="20"/>
                <w:color w:val="auto"/>
              </w:rPr>
            </w:pPr>
            <w:r>
              <w:rPr>
                <w:rFonts w:ascii="Arial" w:cs="Arial" w:eastAsia="Arial" w:hAnsi="Arial"/>
                <w:sz w:val="18"/>
                <w:szCs w:val="18"/>
                <w:color w:val="auto"/>
                <w:w w:val="92"/>
              </w:rPr>
              <w:t>(42,335)</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center"/>
              <w:ind w:left="677"/>
              <w:spacing w:after="0"/>
              <w:rPr>
                <w:sz w:val="20"/>
                <w:szCs w:val="20"/>
                <w:color w:val="auto"/>
              </w:rPr>
            </w:pPr>
            <w:r>
              <w:rPr>
                <w:rFonts w:ascii="Arial" w:cs="Arial" w:eastAsia="Arial" w:hAnsi="Arial"/>
                <w:sz w:val="18"/>
                <w:szCs w:val="18"/>
                <w:color w:val="auto"/>
                <w:w w:val="90"/>
              </w:rPr>
              <w:t>21,545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left="675"/>
              <w:spacing w:after="0"/>
              <w:rPr>
                <w:sz w:val="20"/>
                <w:szCs w:val="20"/>
                <w:color w:val="auto"/>
              </w:rPr>
            </w:pPr>
            <w:r>
              <w:rPr>
                <w:rFonts w:ascii="Arial" w:cs="Arial" w:eastAsia="Arial" w:hAnsi="Arial"/>
                <w:sz w:val="18"/>
                <w:szCs w:val="18"/>
                <w:color w:val="auto"/>
                <w:w w:val="87"/>
              </w:rPr>
              <w:t>25,057</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657"/>
              <w:spacing w:after="0"/>
              <w:rPr>
                <w:sz w:val="20"/>
                <w:szCs w:val="20"/>
                <w:color w:val="auto"/>
              </w:rPr>
            </w:pPr>
            <w:r>
              <w:rPr>
                <w:rFonts w:ascii="Arial" w:cs="Arial" w:eastAsia="Arial" w:hAnsi="Arial"/>
                <w:sz w:val="18"/>
                <w:szCs w:val="18"/>
                <w:color w:val="auto"/>
                <w:w w:val="89"/>
              </w:rPr>
              <w:t>(45,586)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655"/>
              <w:spacing w:after="0"/>
              <w:rPr>
                <w:sz w:val="20"/>
                <w:szCs w:val="20"/>
                <w:color w:val="auto"/>
              </w:rPr>
            </w:pPr>
            <w:r>
              <w:rPr>
                <w:rFonts w:ascii="Arial" w:cs="Arial" w:eastAsia="Arial" w:hAnsi="Arial"/>
                <w:sz w:val="18"/>
                <w:szCs w:val="18"/>
                <w:color w:val="auto"/>
                <w:w w:val="92"/>
              </w:rPr>
              <w:t>(63,239)</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During the three and six months ended October 2, 2021, we recorded interest expense primarily related to our 4.375% senior notes due 2029 (the "2029 Notes") and our 3.375% senior notes due 2031 (the "2031 Notes"). During the three and six months ended October 3, 2020, we recorded interest expense primarily related to our 5.50% senior notes due July 15, 2026 (which were redeemed on October 16, 2020) and our 2029 Notes. See Note 7 of the Notes to Condensed Consolidated Financial Statements for 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Other income is primarily related to our share of investments in limited partnerships' earnings and net gains from our other investments. See Note 6 of the Notes to Condensed Consolidated Financial Statements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the three and six months ended October 2, 2021, we recorded income tax expense of $32.6 million and $45.6 million, respectively, comprised primarily of tax expense related to domestic and international operations generating pre-tax book income, partially offset by tax benefits related to international operations generating pre-tax book losses, domestic tax credits and discrete tax items recorded during the period. The discrete tax benefits for the three and six months ended October 2, 2021 primarily related to stock-based compensation deductions and net tax benefits associated with other non-recurring restructuring activities, including a discrete charge associated with the intercompany restructuring of the NextInput intellectual property. The discrete tax benefit for the six months ended October 2, 2021 was also due in part to the recognition of previously unrecognized tax benefits due to the expiration of the statute of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During the three and six months ended October 3, 2020, we recorded income tax expense of $63.2 million comprised primarily of tax expense related to international operations generating pre-tax book income and discrete items recorded during the period. The discrete tax expense items primarily related to the intercompany restructuring of the intellectual property from the acquisition of Cavendish Kinetics Limited in fiscal 2020, partially offset by discrete tax benefits recognized for stock-based compensation deductions and a retroactive incentive allowing previously non-deductible payments to be amortized.</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Cash generated by operations is our primary source of liquidity. As of October 2, 2021, we had working capital of approximately $1,638.8 million, including $1,153.2 million in cash and cash equivalents, compared to working capital of approximately $1,802.2 million, including $1,397.9 million in cash and cash equivalents as of April 3, 2021.</w:t>
      </w:r>
    </w:p>
    <w:p>
      <w:pPr>
        <w:spacing w:after="0" w:line="2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$1,153.2 million of total cash and cash equivalents as of October 2, 2021, includes approximately $860.9 million held by our foreign subsidiaries, of which $730.1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the six months ended October 2, 2021, we repurchased approximately 2.9 million shares of our common stock for approximately $523.4 million, including transaction costs, under our prior and current share repurchase programs. As of October 2, 2021, approximately $1,490.6 million remained available for repurchases under the current program.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2"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Operating activities for the six months ended October 2, 2021 generated cash of $586.4 million, compared to $495.2 million for the six months ended October 3, 2020, primarily due to increased profitability, partially offset by changes in accounts receivable, inventory and accounts payable, primarily as a result of demand and revenue growth. In addition, certain fees and deposits associated with a long-term capacity reservation agreement were recorded in accounts payable and offset in prepaid expenses and other non-current assets. See Note 9 of the Notes to Condensed Consolidated Financial Statements for additional information regarding this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cash used in investing activities was $267.6 million for the six months ended October 2, 2021, compared to $111.3 million for the six months ended October 3, 2020. This increase in cash used in investing activities was primarily due to the acquisition of NextInput. See Note 4 of the Notes to Condensed Consolidated Financial Statements for additional information regarding our business acquisitions.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Net cash used in financing activities was $562.8 million for the six months ended October 2, 2021, primarily due to our stock repurchases. See Note 8 of the Notes to Condensed Consolidated Financial Statements for additional information regarding our stock repurchases. Net cash provided by financing activities was $900.4 million for the six months ended October 3, 2020, primarily due to our debt obligation activity. See Note 7 of the Notes to Condensed Consolidated Financial Statements for additional information regarding our long-term debt.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u w:val="single" w:color="auto"/>
          <w:color w:val="auto"/>
        </w:rPr>
        <w:t>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29, 2020, we and certain of our U.S. subsidiaries (the “Guarantors”) entered into a five-year unsecured senior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pursuant to a credit agreement (the “2020 Credit Agreement”) with Bank of America, N.A., acting as administrative agent, and a syndicate of lenders. The 2020 Credit Agreement amended and restated our previous credit agreement dated as of December 5, 2017 (the “2017 Credit Agreement”). The 2020 Credit Agreement includes a senior term loan (the “2020 Term Loan”) of up to $200.0 million and a senior revolving line of credit (the “Revolving Facility”) of up to $300.0 million (collectively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the closing date of the 2020 Credit Agreement, we repaid the remaining principal balance of $97.5 million on the previous term loan under the 2017 Credit Agreement and concurrently drew $200.0 million under the 2020 Term Loan.</w:t>
      </w:r>
    </w:p>
    <w:p>
      <w:pPr>
        <w:spacing w:after="0" w:line="19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Pursuant to the 2020 Credit Agreement, we may request one or more additional tranches of term loans or increases to the Revolving Facility, up to an aggregate of $500.0 million and subject to securing additional funding commitments from the existing or new lenders. The Revolving Facility includes a $25.0 million sublimit for the issuance of standby letters of credit and a $10.0 million sublimit for swing line loans. The Credit Facility is available to finance working capital, capital expenditures and other general corporate purposes. Outstanding amounts are due in full on the maturity date of September 29, 2025, subject to scheduled amortization of the 2020 Term Loan principal prior to the maturity date as set forth in the 2020 Credit Agreement. During the six months ended October 2, 2021, there were no borrowings under the Revolving Facility.</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2020 Credit Agreement contains various conditions, covenants and representations with which we must be in compliance in order to borrow funds and to avoid an event of default. As of October 2, 2021, we were in compliance with these covenants.</w:t>
      </w:r>
    </w:p>
    <w:p>
      <w:pPr>
        <w:spacing w:after="0" w:line="19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u w:val="single" w:color="auto"/>
          <w:color w:val="auto"/>
        </w:rPr>
        <w:t>2029 Notes</w:t>
      </w:r>
      <w:r>
        <w:rPr>
          <w:rFonts w:ascii="Arial" w:cs="Arial" w:eastAsia="Arial" w:hAnsi="Arial"/>
          <w:sz w:val="17"/>
          <w:szCs w:val="17"/>
          <w:i w:val="1"/>
          <w:iCs w:val="1"/>
          <w:color w:val="auto"/>
        </w:rPr>
        <w:t xml:space="preserve"> </w:t>
      </w:r>
      <w:r>
        <w:rPr>
          <w:rFonts w:ascii="Arial" w:cs="Arial" w:eastAsia="Arial" w:hAnsi="Arial"/>
          <w:sz w:val="17"/>
          <w:szCs w:val="17"/>
          <w:color w:val="auto"/>
        </w:rPr>
        <w:t>On September 30, 2019, we issued $350.0 million aggregate principal amount of our senior notes due 2029 (the "Initial 2029 Notes"). On</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 2019, and June 11, 2020, we issued an additional $200.0 million and $300.0 million, respectively, aggregate principal amount of such notes (together with the Initial 2029 Notes, the "2029 Notes"). Interest on the 2029 Notes is payable on April 15 and October 15 of each year at a rate of 4.375% per annum. The 2029 Notes will mature on October 15, 2029, unless earlier redeemed in accordance with their terms. The 2029 Notes are senior unsecured obligations of the Company and are guaranteed, jointly and severally, by the Guarantors.</w:t>
      </w:r>
    </w:p>
    <w:p>
      <w:pPr>
        <w:spacing w:after="0" w:line="203"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i w:val="1"/>
          <w:iCs w:val="1"/>
          <w:u w:val="single" w:color="auto"/>
          <w:color w:val="auto"/>
        </w:rPr>
        <w:t>2031 Notes</w:t>
      </w:r>
      <w:r>
        <w:rPr>
          <w:rFonts w:ascii="Arial" w:cs="Arial" w:eastAsia="Arial" w:hAnsi="Arial"/>
          <w:sz w:val="16"/>
          <w:szCs w:val="16"/>
          <w:i w:val="1"/>
          <w:iCs w:val="1"/>
          <w:color w:val="auto"/>
        </w:rPr>
        <w:t xml:space="preserve"> </w:t>
      </w:r>
      <w:r>
        <w:rPr>
          <w:rFonts w:ascii="Arial" w:cs="Arial" w:eastAsia="Arial" w:hAnsi="Arial"/>
          <w:sz w:val="16"/>
          <w:szCs w:val="16"/>
          <w:color w:val="auto"/>
        </w:rPr>
        <w:t>On September 29, 2020, we issued $700.0 million aggregate principal amount of our 2031 Notes. Interest on the 2031 Notes is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April 1 and October 1 of each year at a rate of 3.375% per annum. The 2031 Notes will mature on April 1, 2031, unless earlier redeemed in accordance with their terms. The 2031 Notes are senior unsecured obligations of the Company and are guaranteed, jointly and severally, by the Guarantors.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our long-term debt, see Note 7 of the Notes to Condensed Consolidated Financial Statements.</w:t>
      </w:r>
    </w:p>
    <w:p>
      <w:pPr>
        <w:spacing w:after="0" w:line="239"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i w:val="1"/>
          <w:iCs w:val="1"/>
          <w:u w:val="single" w:color="auto"/>
          <w:color w:val="auto"/>
        </w:rPr>
        <w:t>Capital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October 2, 2021, we had capital commitments of approximately $131.7 million primarily for increasing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expanding capability to support new products, equipment and facility upgrades and cost savings initiatives.</w:t>
      </w:r>
    </w:p>
    <w:p>
      <w:pPr>
        <w:spacing w:after="0" w:line="21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u w:val="single" w:color="auto"/>
          <w:color w:val="auto"/>
        </w:rPr>
        <w:t>Purchase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second quarter ended October 2, 2021, we entered into a long-term capacity agreement with a foundry supplier to reserve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supply capacity. See Note 9 of the Notes to Condensed Consolidated Financial Statements and Part II, Item 1A., "Risk Factors" for additional information regarding our purchase obligations.</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u w:val="single" w:color="auto"/>
          <w:color w:val="auto"/>
        </w:rPr>
        <w:t>Future Sources of Funding</w:t>
      </w:r>
      <w:r>
        <w:rPr>
          <w:rFonts w:ascii="Arial" w:cs="Arial" w:eastAsia="Arial" w:hAnsi="Arial"/>
          <w:sz w:val="18"/>
          <w:szCs w:val="18"/>
          <w:i w:val="1"/>
          <w:iCs w:val="1"/>
          <w:color w:val="auto"/>
        </w:rPr>
        <w:t xml:space="preserve"> </w:t>
      </w:r>
      <w:r>
        <w:rPr>
          <w:rFonts w:ascii="Arial" w:cs="Arial" w:eastAsia="Arial" w:hAnsi="Arial"/>
          <w:sz w:val="18"/>
          <w:szCs w:val="18"/>
          <w:color w:val="auto"/>
        </w:rPr>
        <w:t>Our future capital requirements may differ materially from those currently projected and will depend on many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 acceptance of and demand for our products, acquisition opportunities, technological advances and our relationships with suppliers and customers. Based on current and projected levels of cash flow from operations, coupled with our existing cash, cash equivalents and our Credit Facility, we believe that we have sufficient liquidity to meet both our short-term and long-term cash requirements. However, if there is a significant decrease in demand for our products, or in the event that growth is faster than we anticipate, operating cash flows may be insufficient to meet our needs. If our existing liquidity is not sufficient to meet our future requirements or if we perceive conditions to be favorable, we may seek additional debt or equity financing which could be dilutive to existing holders of our common stock. Furthermore, we cannot be certain that any additional debt or equity financing, if required, will be available on favorable terms, if at all.</w:t>
      </w:r>
    </w:p>
    <w:p>
      <w:pPr>
        <w:spacing w:after="0" w:line="21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 We</w:t>
      </w:r>
      <w:r>
        <w:rPr>
          <w:rFonts w:ascii="Arial" w:cs="Arial" w:eastAsia="Arial" w:hAnsi="Arial"/>
          <w:sz w:val="18"/>
          <w:szCs w:val="18"/>
          <w:i w:val="1"/>
          <w:iCs w:val="1"/>
          <w:color w:val="auto"/>
        </w:rPr>
        <w:t xml:space="preserve"> </w:t>
      </w:r>
      <w:r>
        <w:rPr>
          <w:rFonts w:ascii="Arial" w:cs="Arial" w:eastAsia="Arial" w:hAnsi="Arial"/>
          <w:sz w:val="18"/>
          <w:szCs w:val="18"/>
          <w:color w:val="auto"/>
        </w:rPr>
        <w:t>accrue a liability for legal contingencies when we believe that it is both probable that a liability has been incurred and the amount of the loss can be reasonably estimated. We regularly evaluate developments in our legal matters that could affect the amount of the previously accrued liability and record adjustments as appropriate. Although it is not possible to predict with certainty the outcome of the unresolved legal matters, it is the opinion of management that these matters will not, individually or in the aggregate, have a material adverse effect on our consolidated financial position or results of operations. The aggregate range of reasonably possible losses in excess of accrued liabilities, if any, associated with these unresolved legal matters is not material.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PARENT AND GUARANTOR FINANCIAL INFORMATION</w:t>
      </w:r>
    </w:p>
    <w:p>
      <w:pPr>
        <w:spacing w:after="0" w:line="25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accordance with the indentures governing the 2029 Notes and the 2031 Notes (together, the "Notes"), our obligations under the Notes are fully and unconditionally guaranteed on a joint and several unsecured basis by the Guarantors, which are listed on Exhibit 22 to this Quarterly Report on Form 10-Q. Each Guarantor is 100% owned, directly or indirectly, by Qorvo, Inc. ("Parent"). A Guarantor can be released in certain customary circumstances. Our other U.S. subsidiaries and our non-U.S. subsidiaries do not guarantee the Notes (such subsidiaries are referred to as the "Non-Guarantors").</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presents summarized financial information for the Parent and the Guarantors on a combined basis as of and for the periods indicated, after eliminating (i) intercompany transactions and balances among the Parent and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Summarized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 2021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 2021</w:t>
            </w:r>
          </w:p>
        </w:tc>
        <w:tc>
          <w:tcPr>
            <w:tcW w:w="0" w:type="dxa"/>
            <w:vAlign w:val="bottom"/>
          </w:tcPr>
          <w:p>
            <w:pPr>
              <w:spacing w:after="0"/>
              <w:rPr>
                <w:sz w:val="1"/>
                <w:szCs w:val="1"/>
                <w:color w:val="auto"/>
              </w:rPr>
            </w:pPr>
          </w:p>
        </w:tc>
      </w:tr>
      <w:tr>
        <w:trPr>
          <w:trHeight w:val="224"/>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from Non-Guarantors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250,842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596,376</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847,218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1,143,086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2,594,143</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2,450,960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421,551</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Non-Guarantors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535,124</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1,884,107</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1,855,343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2,419,231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2,250,666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Summarized Statement of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1"/>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October 2, 2021</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2"/>
              </w:rPr>
              <w:t>558,845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ind w:left="800"/>
              <w:spacing w:after="0"/>
              <w:rPr>
                <w:sz w:val="20"/>
                <w:szCs w:val="20"/>
                <w:color w:val="auto"/>
              </w:rPr>
            </w:pPr>
            <w:r>
              <w:rPr>
                <w:rFonts w:ascii="Arial" w:cs="Arial" w:eastAsia="Arial" w:hAnsi="Arial"/>
                <w:sz w:val="18"/>
                <w:szCs w:val="18"/>
                <w:color w:val="auto"/>
                <w:w w:val="92"/>
              </w:rPr>
              <w:t>131,649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from continuing operations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2"/>
              </w:rPr>
              <w:t>(39,193)</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820"/>
              <w:spacing w:after="0"/>
              <w:rPr>
                <w:sz w:val="20"/>
                <w:szCs w:val="20"/>
                <w:color w:val="auto"/>
              </w:rPr>
            </w:pPr>
            <w:r>
              <w:rPr>
                <w:rFonts w:ascii="Arial" w:cs="Arial" w:eastAsia="Arial" w:hAnsi="Arial"/>
                <w:sz w:val="18"/>
                <w:szCs w:val="18"/>
                <w:color w:val="auto"/>
                <w:w w:val="92"/>
              </w:rPr>
              <w:t>(39,193)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have been no material changes to our market risk exposures during the second quarter of fiscal 2022. For a discussion of our exposure to market risk, refer to Item 7A, “Quantitative and Qualitative Disclosures About Market Risk,” contained in Qorvo's Annual Report on Form 10-K for the fiscal year ended April 3,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As of the end of the period covered by this report, the Company’s management, with the participation of the Company’s Chief Executive Officer (CEO) and the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the Company’s CEO and the CFO, as appropriate, to allow timely decisions regarding required disclosure.</w:t>
      </w:r>
    </w:p>
    <w:p>
      <w:pPr>
        <w:spacing w:after="0" w:line="20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that occurred during the quarter ended October 2,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Other than the risk factor set forth below, there have been no material changes to the risk factors identified in Part I, Item 1A., "Risk Factors" in Qorvo's Annual Report on Form 10-K for the fiscal year ended April 3,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heavily on third parties.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purchase numerous component parts, substrates and silicon-based products from external suppliers. We also utilize third-party suppliers for numerous services, including die processing, wafer bumping, test and tape and reel. The use of external suppliers involves a number of risks, including the possibility of material disruptions in the supply of key components and the lack of control over delivery schedules, capacity constraints, manufacturing yields, product quality and cost increases. Furthermore, the COVID-19 pandemic has created heightened risk that external suppliers may be unable to meet their obligations to us. If we experience any significant difficulty in obtaining the materials or services used in the conduct of our business, these supply challenges may limit our ability to fully satisfy customer demand.</w:t>
      </w:r>
    </w:p>
    <w:p>
      <w:pPr>
        <w:spacing w:after="0" w:line="21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semiconductor industry has experienced supply constraints. In an effort to support our future expected supply needs in a constrained environment, we entered into a capacity reservation agreement with a foundry supplier during the second quarter ended October 2, 2021. Under the agreement we are required to purchase, and the supplier is required to supply, a certain number of wafers for calendar years 2022 through 2025. See Note 9 of the Notes to Condensed Consolidated Financial Statements for additional information. If our actual wafer requirements are less than the number of wafers required to meet the applicable wafer purchase requirements, we could have excess inventory or higher inventory unit costs, both of which may adversely impact our gross margin and our results of operations. Additionally, the agreement sets forth pricing for wafer purchases pursuant to the agreement through 2025. If market conditions change and wafer prices in the market decrease significantly below what is contemplated in the agreement, the agreement may put us at a competitive disadvantage relative to our competitors.</w:t>
      </w:r>
    </w:p>
    <w:p>
      <w:pPr>
        <w:spacing w:after="0" w:line="20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Even with long-term supply agreements, we are still subject to risks that a supplier will be unable to meet its supply commitments, achieve anticipated manufacturing yields, produce wafers on a timely basis, or provide additional wafer capacity beyond its current contractual commitments sufficient to meet our supply needs. If so, we may experience delays in product launches or supply shortages for certain products, which could cause an unanticipated decline in our sales and damage our existing customer relationships and our ability to establish new customer relationships. In addition, if a supplier experiences financial difficulties or goes into bankruptcy, it could be difficult or impossible, or may require substantial time and expense, for us to recover any or all of our fees and deposits made as part of any long-term agreement.</w:t>
      </w:r>
    </w:p>
    <w:p>
      <w:pPr>
        <w:spacing w:after="0" w:line="20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Although our key suppliers commit to us to be compliant with applicable ISO 9001 and/or TS-16949 quality standards, we have experienced quality and reliability issues with suppliers in the past. Quality or reliability issues in our supply chain could negatively affect our products, our reputation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Total number of shares</w:t>
            </w:r>
          </w:p>
        </w:tc>
        <w:tc>
          <w:tcPr>
            <w:tcW w:w="3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56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w w:val="94"/>
              </w:rPr>
              <w:t>Average price paid</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purchased as part of publicly</w:t>
            </w:r>
          </w:p>
        </w:tc>
        <w:tc>
          <w:tcPr>
            <w:tcW w:w="258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Approximate dollar value of shares</w:t>
            </w:r>
          </w:p>
        </w:tc>
        <w:tc>
          <w:tcPr>
            <w:tcW w:w="0" w:type="dxa"/>
            <w:vAlign w:val="bottom"/>
          </w:tcPr>
          <w:p>
            <w:pPr>
              <w:spacing w:after="0"/>
              <w:rPr>
                <w:sz w:val="1"/>
                <w:szCs w:val="1"/>
                <w:color w:val="auto"/>
              </w:rPr>
            </w:pPr>
          </w:p>
        </w:tc>
      </w:tr>
      <w:tr>
        <w:trPr>
          <w:trHeight w:val="162"/>
        </w:trPr>
        <w:tc>
          <w:tcPr>
            <w:tcW w:w="3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15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 xml:space="preserve">shares purchased </w:t>
            </w:r>
            <w:r>
              <w:rPr>
                <w:rFonts w:ascii="Arial" w:cs="Arial" w:eastAsia="Arial" w:hAnsi="Arial"/>
                <w:sz w:val="12"/>
                <w:szCs w:val="12"/>
                <w:b w:val="1"/>
                <w:bCs w:val="1"/>
                <w:color w:val="auto"/>
                <w:w w:val="88"/>
              </w:rPr>
              <w:t>(in</w:t>
            </w:r>
          </w:p>
        </w:tc>
        <w:tc>
          <w:tcPr>
            <w:tcW w:w="1560" w:type="dxa"/>
            <w:vAlign w:val="bottom"/>
            <w:gridSpan w:val="3"/>
            <w:vMerge w:val="continue"/>
          </w:tcPr>
          <w:p>
            <w:pPr>
              <w:spacing w:after="0"/>
              <w:rPr>
                <w:sz w:val="14"/>
                <w:szCs w:val="14"/>
                <w:color w:val="auto"/>
              </w:rPr>
            </w:pPr>
          </w:p>
        </w:tc>
        <w:tc>
          <w:tcPr>
            <w:tcW w:w="21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258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0"/>
              </w:rPr>
              <w:t>that may yet be purchased under the</w:t>
            </w:r>
          </w:p>
        </w:tc>
        <w:tc>
          <w:tcPr>
            <w:tcW w:w="0" w:type="dxa"/>
            <w:vAlign w:val="bottom"/>
          </w:tcPr>
          <w:p>
            <w:pPr>
              <w:spacing w:after="0"/>
              <w:rPr>
                <w:sz w:val="1"/>
                <w:szCs w:val="1"/>
                <w:color w:val="auto"/>
              </w:rPr>
            </w:pPr>
          </w:p>
        </w:tc>
      </w:tr>
      <w:tr>
        <w:trPr>
          <w:trHeight w:val="176"/>
        </w:trPr>
        <w:tc>
          <w:tcPr>
            <w:tcW w:w="3300" w:type="dxa"/>
            <w:vAlign w:val="bottom"/>
            <w:gridSpan w:val="2"/>
            <w:vMerge w:val="continue"/>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thousands)</w:t>
            </w:r>
          </w:p>
        </w:tc>
        <w:tc>
          <w:tcPr>
            <w:tcW w:w="260" w:type="dxa"/>
            <w:vAlign w:val="bottom"/>
          </w:tcPr>
          <w:p>
            <w:pPr>
              <w:spacing w:after="0"/>
              <w:rPr>
                <w:sz w:val="15"/>
                <w:szCs w:val="15"/>
                <w:color w:val="auto"/>
              </w:rPr>
            </w:pPr>
          </w:p>
        </w:tc>
        <w:tc>
          <w:tcPr>
            <w:tcW w:w="1300" w:type="dxa"/>
            <w:vAlign w:val="bottom"/>
            <w:gridSpan w:val="2"/>
          </w:tcPr>
          <w:p>
            <w:pPr>
              <w:ind w:left="140"/>
              <w:spacing w:after="0" w:line="175" w:lineRule="exact"/>
              <w:rPr>
                <w:sz w:val="20"/>
                <w:szCs w:val="20"/>
                <w:color w:val="auto"/>
              </w:rPr>
            </w:pPr>
            <w:r>
              <w:rPr>
                <w:rFonts w:ascii="Arial" w:cs="Arial" w:eastAsia="Arial" w:hAnsi="Arial"/>
                <w:sz w:val="16"/>
                <w:szCs w:val="16"/>
                <w:b w:val="1"/>
                <w:bCs w:val="1"/>
                <w:color w:val="auto"/>
              </w:rPr>
              <w:t>per share</w:t>
            </w:r>
          </w:p>
        </w:tc>
        <w:tc>
          <w:tcPr>
            <w:tcW w:w="218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91"/>
              </w:rPr>
              <w:t xml:space="preserve">programs </w:t>
            </w:r>
            <w:r>
              <w:rPr>
                <w:rFonts w:ascii="Arial" w:cs="Arial" w:eastAsia="Arial" w:hAnsi="Arial"/>
                <w:sz w:val="12"/>
                <w:szCs w:val="12"/>
                <w:b w:val="1"/>
                <w:bCs w:val="1"/>
                <w:color w:val="auto"/>
                <w:w w:val="91"/>
              </w:rPr>
              <w:t>(in thousands)</w:t>
            </w:r>
          </w:p>
        </w:tc>
        <w:tc>
          <w:tcPr>
            <w:tcW w:w="380" w:type="dxa"/>
            <w:vAlign w:val="bottom"/>
          </w:tcPr>
          <w:p>
            <w:pPr>
              <w:spacing w:after="0"/>
              <w:rPr>
                <w:sz w:val="15"/>
                <w:szCs w:val="15"/>
                <w:color w:val="auto"/>
              </w:rPr>
            </w:pPr>
          </w:p>
        </w:tc>
        <w:tc>
          <w:tcPr>
            <w:tcW w:w="2200" w:type="dxa"/>
            <w:vAlign w:val="bottom"/>
          </w:tcPr>
          <w:p>
            <w:pPr>
              <w:jc w:val="right"/>
              <w:ind w:right="572"/>
              <w:spacing w:after="0" w:line="175" w:lineRule="exact"/>
              <w:rPr>
                <w:sz w:val="20"/>
                <w:szCs w:val="20"/>
                <w:color w:val="auto"/>
              </w:rPr>
            </w:pPr>
            <w:r>
              <w:rPr>
                <w:rFonts w:ascii="Arial" w:cs="Arial" w:eastAsia="Arial" w:hAnsi="Arial"/>
                <w:sz w:val="16"/>
                <w:szCs w:val="16"/>
                <w:b w:val="1"/>
                <w:bCs w:val="1"/>
                <w:color w:val="auto"/>
              </w:rPr>
              <w:t>plans or programs</w:t>
            </w: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4, 2021 to July 31, 2021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191.34</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1,698.7 million</w:t>
            </w:r>
          </w:p>
        </w:tc>
        <w:tc>
          <w:tcPr>
            <w:tcW w:w="0" w:type="dxa"/>
            <w:vAlign w:val="bottom"/>
          </w:tcPr>
          <w:p>
            <w:pPr>
              <w:spacing w:after="0"/>
              <w:rPr>
                <w:sz w:val="1"/>
                <w:szCs w:val="1"/>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August 1, 2021 to August 28, 2021</w:t>
            </w:r>
          </w:p>
        </w:tc>
        <w:tc>
          <w:tcPr>
            <w:tcW w:w="146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185.28</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1,597.3 million</w:t>
            </w:r>
          </w:p>
        </w:tc>
        <w:tc>
          <w:tcPr>
            <w:tcW w:w="0" w:type="dxa"/>
            <w:vAlign w:val="bottom"/>
          </w:tcPr>
          <w:p>
            <w:pPr>
              <w:spacing w:after="0"/>
              <w:rPr>
                <w:sz w:val="1"/>
                <w:szCs w:val="1"/>
                <w:color w:val="auto"/>
              </w:rPr>
            </w:pPr>
          </w:p>
        </w:tc>
      </w:tr>
      <w:tr>
        <w:trPr>
          <w:trHeight w:val="229"/>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29, 2021 to October 2,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183.50</w:t>
            </w:r>
          </w:p>
        </w:tc>
        <w:tc>
          <w:tcPr>
            <w:tcW w:w="100" w:type="dxa"/>
            <w:vAlign w:val="bottom"/>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1,490.6 million</w:t>
            </w:r>
          </w:p>
        </w:tc>
        <w:tc>
          <w:tcPr>
            <w:tcW w:w="0" w:type="dxa"/>
            <w:vAlign w:val="bottom"/>
          </w:tcPr>
          <w:p>
            <w:pPr>
              <w:spacing w:after="0"/>
              <w:rPr>
                <w:sz w:val="1"/>
                <w:szCs w:val="1"/>
                <w:color w:val="auto"/>
              </w:rPr>
            </w:pPr>
          </w:p>
        </w:tc>
      </w:tr>
      <w:tr>
        <w:trPr>
          <w:trHeight w:val="223"/>
        </w:trPr>
        <w:tc>
          <w:tcPr>
            <w:tcW w:w="3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184.82</w:t>
            </w:r>
          </w:p>
        </w:tc>
        <w:tc>
          <w:tcPr>
            <w:tcW w:w="100" w:type="dxa"/>
            <w:vAlign w:val="bottom"/>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1,490.6 million</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May 5, 2021, we announced that our Board of Directors authorized a new share repurchase program to repurchase up to $2.0 billion of our outstanding common stock, which included approximately $236.9 million authorized under the prior program terminated concurrent with the new authorization. Under this current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left="600" w:hanging="277"/>
        <w:spacing w:after="0"/>
        <w:tabs>
          <w:tab w:leader="none" w:pos="600" w:val="left"/>
        </w:tabs>
        <w:numPr>
          <w:ilvl w:val="0"/>
          <w:numId w:val="8"/>
        </w:numPr>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List of Subsidiary Guarantors</w:t>
        </w:r>
      </w:hyperlink>
    </w:p>
    <w:p>
      <w:pPr>
        <w:spacing w:after="0" w:line="239" w:lineRule="exact"/>
        <w:rPr>
          <w:sz w:val="20"/>
          <w:szCs w:val="20"/>
          <w:color w:val="auto"/>
        </w:rPr>
      </w:pPr>
    </w:p>
    <w:p>
      <w:pPr>
        <w:ind w:left="600" w:right="14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31.1 </w:t>
      </w:r>
      <w:hyperlink w:anchor="page34">
        <w:r>
          <w:rPr>
            <w:rFonts w:ascii="Arial" w:cs="Arial" w:eastAsia="Arial" w:hAnsi="Arial"/>
            <w:sz w:val="18"/>
            <w:szCs w:val="18"/>
            <w:u w:val="single" w:color="auto"/>
            <w:color w:val="0000FF"/>
          </w:rPr>
          <w:t>Certification of Periodic Report by Robert A. Bruggeworth, as Chief Executive Officer, pursuant to Rule 13a-14(a) or 15d-14(a) of the Exchange</w:t>
        </w:r>
      </w:hyperlink>
      <w:r>
        <w:rPr>
          <w:rFonts w:ascii="Arial" w:cs="Arial" w:eastAsia="Arial" w:hAnsi="Arial"/>
          <w:sz w:val="18"/>
          <w:szCs w:val="18"/>
          <w:color w:val="auto"/>
        </w:rPr>
        <w:t xml:space="preserve"> </w:t>
      </w:r>
      <w:hyperlink w:anchor="page34">
        <w:r>
          <w:rPr>
            <w:rFonts w:ascii="Arial" w:cs="Arial" w:eastAsia="Arial" w:hAnsi="Arial"/>
            <w:sz w:val="18"/>
            <w:szCs w:val="18"/>
            <w:u w:val="single" w:color="auto"/>
            <w:color w:val="0000FF"/>
          </w:rPr>
          <w:t>Act, as adopted pursuant to Section 302 of the Sarbanes-Oxley Act of 2002</w:t>
        </w:r>
      </w:hyperlink>
    </w:p>
    <w:p>
      <w:pPr>
        <w:spacing w:after="0" w:line="216" w:lineRule="exact"/>
        <w:rPr>
          <w:sz w:val="20"/>
          <w:szCs w:val="20"/>
          <w:color w:val="auto"/>
        </w:rPr>
      </w:pPr>
    </w:p>
    <w:p>
      <w:pPr>
        <w:ind w:left="600" w:right="18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31.2 </w:t>
      </w:r>
      <w:hyperlink w:anchor="page35">
        <w:r>
          <w:rPr>
            <w:rFonts w:ascii="Arial" w:cs="Arial" w:eastAsia="Arial" w:hAnsi="Arial"/>
            <w:sz w:val="18"/>
            <w:szCs w:val="18"/>
            <w:u w:val="single" w:color="auto"/>
            <w:color w:val="0000FF"/>
          </w:rPr>
          <w:t>Certification of Periodic Report by Mark J. Murphy, as Chief Financial Officer, pursuant to Rule 13a-14(a) or 15d-14(a) of the Exchange Act, as</w:t>
        </w:r>
      </w:hyperlink>
      <w:r>
        <w:rPr>
          <w:rFonts w:ascii="Arial" w:cs="Arial" w:eastAsia="Arial" w:hAnsi="Arial"/>
          <w:sz w:val="18"/>
          <w:szCs w:val="18"/>
          <w:color w:val="auto"/>
        </w:rPr>
        <w:t xml:space="preserve"> </w:t>
      </w:r>
      <w:hyperlink w:anchor="page35">
        <w:r>
          <w:rPr>
            <w:rFonts w:ascii="Arial" w:cs="Arial" w:eastAsia="Arial" w:hAnsi="Arial"/>
            <w:sz w:val="18"/>
            <w:szCs w:val="18"/>
            <w:u w:val="single" w:color="auto"/>
            <w:color w:val="0000FF"/>
          </w:rPr>
          <w:t>adopted pursuant to Section 302 of the Sarbanes-Oxley Act of 2002</w:t>
        </w:r>
      </w:hyperlink>
    </w:p>
    <w:p>
      <w:pPr>
        <w:spacing w:after="0" w:line="216" w:lineRule="exact"/>
        <w:rPr>
          <w:sz w:val="20"/>
          <w:szCs w:val="20"/>
          <w:color w:val="auto"/>
        </w:rPr>
      </w:pPr>
    </w:p>
    <w:p>
      <w:pPr>
        <w:ind w:left="600" w:right="16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32.1 </w:t>
      </w:r>
      <w:hyperlink w:anchor="page36">
        <w:r>
          <w:rPr>
            <w:rFonts w:ascii="Arial" w:cs="Arial" w:eastAsia="Arial" w:hAnsi="Arial"/>
            <w:sz w:val="18"/>
            <w:szCs w:val="18"/>
            <w:u w:val="single" w:color="auto"/>
            <w:color w:val="0000FF"/>
          </w:rPr>
          <w:t>Certification of Periodic Report by Robert A. Bruggeworth, as Chief Executive Officer, pursuant to 18 U.S.C. Section 1350, as adopted pursuant</w:t>
        </w:r>
      </w:hyperlink>
      <w:r>
        <w:rPr>
          <w:rFonts w:ascii="Arial" w:cs="Arial" w:eastAsia="Arial" w:hAnsi="Arial"/>
          <w:sz w:val="18"/>
          <w:szCs w:val="18"/>
          <w:color w:val="auto"/>
        </w:rPr>
        <w:t xml:space="preserve"> </w:t>
      </w:r>
      <w:hyperlink w:anchor="page36">
        <w:r>
          <w:rPr>
            <w:rFonts w:ascii="Arial" w:cs="Arial" w:eastAsia="Arial" w:hAnsi="Arial"/>
            <w:sz w:val="18"/>
            <w:szCs w:val="18"/>
            <w:u w:val="single" w:color="auto"/>
            <w:color w:val="0000FF"/>
          </w:rPr>
          <w:t>to Section 906 of the Sarbanes-Oxley Act of 2002</w:t>
        </w:r>
      </w:hyperlink>
    </w:p>
    <w:p>
      <w:pPr>
        <w:spacing w:after="0" w:line="216" w:lineRule="exact"/>
        <w:rPr>
          <w:sz w:val="20"/>
          <w:szCs w:val="20"/>
          <w:color w:val="auto"/>
        </w:rPr>
      </w:pPr>
    </w:p>
    <w:p>
      <w:pPr>
        <w:ind w:left="180"/>
        <w:spacing w:after="0"/>
        <w:rPr>
          <w:rFonts w:ascii="Arial" w:cs="Arial" w:eastAsia="Arial" w:hAnsi="Arial"/>
          <w:sz w:val="16"/>
          <w:szCs w:val="16"/>
          <w:color w:val="auto"/>
        </w:rPr>
      </w:pPr>
      <w:r>
        <w:rPr>
          <w:rFonts w:ascii="Arial" w:cs="Arial" w:eastAsia="Arial" w:hAnsi="Arial"/>
          <w:sz w:val="16"/>
          <w:szCs w:val="16"/>
          <w:color w:val="auto"/>
        </w:rPr>
        <w:t xml:space="preserve">32.2 </w:t>
      </w:r>
      <w:hyperlink w:anchor="page37">
        <w:r>
          <w:rPr>
            <w:rFonts w:ascii="Arial" w:cs="Arial" w:eastAsia="Arial" w:hAnsi="Arial"/>
            <w:sz w:val="16"/>
            <w:szCs w:val="16"/>
            <w:u w:val="single" w:color="auto"/>
            <w:color w:val="0000FF"/>
          </w:rPr>
          <w:t>Certification of Periodic Report by Mark J. Murphy, as Chief Financial Officer, pursuant to 18 U.S.C. Section 1350, as adopted pursuant to Section</w:t>
        </w:r>
      </w:hyperlink>
    </w:p>
    <w:p>
      <w:pPr>
        <w:spacing w:after="0" w:line="8" w:lineRule="exact"/>
        <w:rPr>
          <w:sz w:val="20"/>
          <w:szCs w:val="20"/>
          <w:color w:val="auto"/>
        </w:rPr>
      </w:pPr>
    </w:p>
    <w:p>
      <w:pPr>
        <w:ind w:left="60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906 of the Sarbanes-Oxley Act of 2002</w:t>
        </w:r>
      </w:hyperlink>
    </w:p>
    <w:p>
      <w:pPr>
        <w:spacing w:after="0" w:line="223" w:lineRule="exact"/>
        <w:rPr>
          <w:sz w:val="20"/>
          <w:szCs w:val="20"/>
          <w:color w:val="auto"/>
        </w:rPr>
      </w:pPr>
    </w:p>
    <w:p>
      <w:pPr>
        <w:ind w:left="600" w:right="180" w:hanging="367"/>
        <w:spacing w:after="0" w:line="249"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materials from our Quarterly Report on Form 10-Q for the quarter ended October 2, 2021, formatted in iXBRL (Inline eXtensible Business Reporting Language): (i) the Condensed Consolidated Balance Sheets; (ii) the Condensed Consolidated Statements of Income; (iii) the Condensed Consolidated Statements of Comprehensive Income; (iv) the Condensed Consolidated Statements of Stockholders' Equity; (v) the Condensed Consolidated Statements of Cash Flows; and (vi) the Notes to Condensed Consolidated Financial Statements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104 The cover page from our Quarterly Report on Form 10-Q for the quarter ended October 2, 2021, formatted in iXBRL</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Qorvo, Inc.</w:t>
            </w:r>
          </w:p>
        </w:tc>
      </w:tr>
      <w:tr>
        <w:trPr>
          <w:trHeight w:val="418"/>
        </w:trPr>
        <w:tc>
          <w:tcPr>
            <w:tcW w:w="5460" w:type="dxa"/>
            <w:vAlign w:val="bottom"/>
          </w:tcPr>
          <w:p>
            <w:pPr>
              <w:spacing w:after="0"/>
              <w:rPr>
                <w:sz w:val="20"/>
                <w:szCs w:val="20"/>
                <w:color w:val="auto"/>
              </w:rPr>
            </w:pPr>
            <w:r>
              <w:rPr>
                <w:rFonts w:ascii="Arial" w:cs="Arial" w:eastAsia="Arial" w:hAnsi="Arial"/>
                <w:sz w:val="18"/>
                <w:szCs w:val="18"/>
                <w:color w:val="auto"/>
              </w:rPr>
              <w:t>Date:  November 4, 2021</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Murphy</w:t>
            </w:r>
          </w:p>
        </w:tc>
      </w:tr>
      <w:tr>
        <w:trPr>
          <w:trHeight w:val="222"/>
        </w:trPr>
        <w:tc>
          <w:tcPr>
            <w:tcW w:w="54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Mark J. Murphy</w:t>
            </w:r>
          </w:p>
        </w:tc>
      </w:tr>
      <w:tr>
        <w:trPr>
          <w:trHeight w:val="230"/>
        </w:trPr>
        <w:tc>
          <w:tcPr>
            <w:tcW w:w="546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20"/>
          </w:cols>
          <w:pgMar w:left="320" w:top="121" w:right="8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22</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List of Subsidiary Guarantors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4.375% Senior Notes due 2029 and the 3.375% Senior Notes due 2031 are guaranteed, jointly and severally, on an unsecured basis, by the following 100% owned subsidiaries of Qorvo, Inc., a Delaware corporation, as of October 2, 2021:</w:t>
      </w:r>
    </w:p>
    <w:p>
      <w:pPr>
        <w:spacing w:after="0" w:line="219" w:lineRule="exact"/>
        <w:rPr>
          <w:sz w:val="20"/>
          <w:szCs w:val="20"/>
          <w:color w:val="auto"/>
        </w:rPr>
      </w:pPr>
    </w:p>
    <w:tbl>
      <w:tblPr>
        <w:tblLayout w:type="fixed"/>
        <w:tblInd w:w="1550" w:type="dxa"/>
        <w:tblCellMar>
          <w:top w:w="0" w:type="dxa"/>
          <w:left w:w="0" w:type="dxa"/>
          <w:bottom w:w="0" w:type="dxa"/>
          <w:right w:w="0" w:type="dxa"/>
        </w:tblCellMar>
      </w:tblPr>
      <w:tr>
        <w:trPr>
          <w:trHeight w:val="238"/>
        </w:trPr>
        <w:tc>
          <w:tcPr>
            <w:tcW w:w="4220" w:type="dxa"/>
            <w:vAlign w:val="bottom"/>
            <w:tcBorders>
              <w:top w:val="single" w:sz="8" w:color="auto"/>
              <w:left w:val="single" w:sz="8" w:color="auto"/>
              <w:right w:val="single" w:sz="8" w:color="auto"/>
            </w:tcBorders>
            <w:shd w:val="clear" w:color="auto" w:fill="D9D9D9"/>
          </w:tcPr>
          <w:p>
            <w:pPr>
              <w:ind w:left="1860"/>
              <w:spacing w:after="0"/>
              <w:rPr>
                <w:sz w:val="20"/>
                <w:szCs w:val="20"/>
                <w:color w:val="auto"/>
              </w:rPr>
            </w:pPr>
            <w:r>
              <w:rPr>
                <w:rFonts w:ascii="Arial" w:cs="Arial" w:eastAsia="Arial" w:hAnsi="Arial"/>
                <w:sz w:val="18"/>
                <w:szCs w:val="18"/>
                <w:b w:val="1"/>
                <w:bCs w:val="1"/>
                <w:color w:val="auto"/>
              </w:rPr>
              <w:t>Entity</w:t>
            </w:r>
          </w:p>
        </w:tc>
        <w:tc>
          <w:tcPr>
            <w:tcW w:w="39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Jurisdiction of</w:t>
            </w:r>
          </w:p>
        </w:tc>
      </w:tr>
      <w:tr>
        <w:trPr>
          <w:trHeight w:val="266"/>
        </w:trPr>
        <w:tc>
          <w:tcPr>
            <w:tcW w:w="4220" w:type="dxa"/>
            <w:vAlign w:val="bottom"/>
            <w:tcBorders>
              <w:left w:val="single" w:sz="8" w:color="auto"/>
              <w:bottom w:val="single" w:sz="8" w:color="D9D9D9"/>
              <w:right w:val="single" w:sz="8" w:color="auto"/>
            </w:tcBorders>
            <w:shd w:val="clear" w:color="auto" w:fill="D9D9D9"/>
          </w:tcPr>
          <w:p>
            <w:pPr>
              <w:spacing w:after="0"/>
              <w:rPr>
                <w:sz w:val="22"/>
                <w:szCs w:val="22"/>
                <w:color w:val="auto"/>
              </w:rPr>
            </w:pPr>
          </w:p>
        </w:tc>
        <w:tc>
          <w:tcPr>
            <w:tcW w:w="3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Incorporation or Organization</w:t>
            </w:r>
          </w:p>
        </w:tc>
      </w:tr>
      <w:tr>
        <w:trPr>
          <w:trHeight w:val="237"/>
        </w:trPr>
        <w:tc>
          <w:tcPr>
            <w:tcW w:w="42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Amalfi Semiconductor, Inc.</w:t>
            </w:r>
          </w:p>
        </w:tc>
        <w:tc>
          <w:tcPr>
            <w:tcW w:w="39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RFMD, LLC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North Carolina</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California,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California</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US,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Texas, LLC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Texas</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Oregon,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Oregon</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20"/>
          </w:cols>
          <w:pgMar w:left="320" w:top="1417" w:right="5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52" w:lineRule="exact"/>
        <w:rPr>
          <w:rFonts w:ascii="Arial" w:cs="Arial" w:eastAsia="Arial" w:hAnsi="Arial"/>
          <w:sz w:val="18"/>
          <w:szCs w:val="18"/>
          <w:color w:val="auto"/>
        </w:rPr>
      </w:pPr>
    </w:p>
    <w:p>
      <w:pPr>
        <w:ind w:right="60" w:firstLine="8"/>
        <w:spacing w:after="0" w:line="342" w:lineRule="auto"/>
        <w:tabs>
          <w:tab w:leader="none" w:pos="64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0" w:firstLine="8"/>
        <w:spacing w:after="0" w:line="277"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0" w:firstLine="8"/>
        <w:spacing w:after="0" w:line="263"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20" w:hanging="4"/>
        <w:spacing w:after="0" w:line="263" w:lineRule="auto"/>
        <w:tabs>
          <w:tab w:leader="none" w:pos="129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hanging="4"/>
        <w:spacing w:after="0" w:line="263"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180" w:hanging="4"/>
        <w:spacing w:after="0" w:line="342" w:lineRule="auto"/>
        <w:tabs>
          <w:tab w:leader="none" w:pos="1299"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60" w:hanging="4"/>
        <w:spacing w:after="0" w:line="263"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20" w:firstLine="8"/>
        <w:spacing w:after="0" w:line="308" w:lineRule="auto"/>
        <w:tabs>
          <w:tab w:leader="none" w:pos="64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00" w:hanging="4"/>
        <w:spacing w:after="0" w:line="308" w:lineRule="auto"/>
        <w:tabs>
          <w:tab w:leader="none" w:pos="1299"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100" w:hanging="4"/>
        <w:spacing w:after="0" w:line="277"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November 4, 2021</w:t>
      </w:r>
    </w:p>
    <w:p>
      <w:pPr>
        <w:spacing w:after="0" w:line="200" w:lineRule="exact"/>
        <w:rPr>
          <w:sz w:val="20"/>
          <w:szCs w:val="20"/>
          <w:color w:val="auto"/>
        </w:rPr>
      </w:pPr>
    </w:p>
    <w:p>
      <w:pPr>
        <w:spacing w:after="0" w:line="214"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3056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Robert A. Bruggeworth</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80"/>
          </w:cols>
          <w:pgMar w:left="320" w:top="891"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52"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52" w:lineRule="exact"/>
        <w:rPr>
          <w:rFonts w:ascii="Arial" w:cs="Arial" w:eastAsia="Arial" w:hAnsi="Arial"/>
          <w:sz w:val="18"/>
          <w:szCs w:val="18"/>
          <w:color w:val="auto"/>
        </w:rPr>
      </w:pPr>
    </w:p>
    <w:p>
      <w:pPr>
        <w:ind w:right="220" w:firstLine="8"/>
        <w:spacing w:after="0" w:line="342" w:lineRule="auto"/>
        <w:tabs>
          <w:tab w:leader="none" w:pos="3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380" w:firstLine="8"/>
        <w:spacing w:after="0" w:line="277"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40" w:firstLine="8"/>
        <w:spacing w:after="0" w:line="263" w:lineRule="auto"/>
        <w:tabs>
          <w:tab w:leader="none" w:pos="3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0" w:hanging="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20" w:hanging="4"/>
        <w:spacing w:after="0" w:line="263" w:lineRule="auto"/>
        <w:tabs>
          <w:tab w:leader="none" w:pos="9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520" w:hanging="4"/>
        <w:spacing w:after="0" w:line="342"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hanging="4"/>
        <w:spacing w:after="0" w:line="263" w:lineRule="auto"/>
        <w:tabs>
          <w:tab w:leader="none" w:pos="9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120" w:firstLine="8"/>
        <w:spacing w:after="0" w:line="308" w:lineRule="auto"/>
        <w:tabs>
          <w:tab w:leader="none" w:pos="31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760" w:hanging="4"/>
        <w:spacing w:after="0" w:line="308" w:lineRule="auto"/>
        <w:tabs>
          <w:tab w:leader="none" w:pos="97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440" w:hanging="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November 4, 2021</w:t>
      </w:r>
    </w:p>
    <w:p>
      <w:pPr>
        <w:spacing w:after="0" w:line="200" w:lineRule="exact"/>
        <w:rPr>
          <w:sz w:val="20"/>
          <w:szCs w:val="20"/>
          <w:color w:val="auto"/>
        </w:rPr>
      </w:pPr>
    </w:p>
    <w:p>
      <w:pPr>
        <w:spacing w:after="0" w:line="2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27171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Mark J. Murphy</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891" w:right="37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86" w:lineRule="exact"/>
        <w:rPr>
          <w:sz w:val="20"/>
          <w:szCs w:val="20"/>
          <w:color w:val="auto"/>
        </w:rPr>
      </w:pPr>
    </w:p>
    <w:p>
      <w:pPr>
        <w:ind w:right="96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President and Chief Executive Officer of Qorvo, Inc. (the “Company”), certify pursuant to Section 906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27" w:lineRule="exact"/>
        <w:rPr>
          <w:sz w:val="20"/>
          <w:szCs w:val="20"/>
          <w:color w:val="auto"/>
        </w:rPr>
      </w:pPr>
    </w:p>
    <w:p>
      <w:pPr>
        <w:ind w:left="660" w:hanging="652"/>
        <w:spacing w:after="0" w:line="260" w:lineRule="auto"/>
        <w:tabs>
          <w:tab w:leader="none" w:pos="441"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October 2, 2021 (the “Report”) fully complies with the requirements of Section 13(a) or 15(d) of the Securities Exchange Act of 1934, as amended; and</w:t>
      </w:r>
    </w:p>
    <w:p>
      <w:pPr>
        <w:spacing w:after="0" w:line="203" w:lineRule="exact"/>
        <w:rPr>
          <w:rFonts w:ascii="Arial" w:cs="Arial" w:eastAsia="Arial" w:hAnsi="Arial"/>
          <w:sz w:val="20"/>
          <w:szCs w:val="20"/>
          <w:color w:val="auto"/>
        </w:rPr>
      </w:pPr>
    </w:p>
    <w:p>
      <w:pPr>
        <w:ind w:left="660" w:right="160" w:hanging="652"/>
        <w:spacing w:after="0" w:line="260" w:lineRule="auto"/>
        <w:tabs>
          <w:tab w:leader="none" w:pos="441"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27260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Robert A. Bruggeworth</w:t>
      </w:r>
    </w:p>
    <w:p>
      <w:pPr>
        <w:spacing w:after="0" w:line="20"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President and Chief Executive Officer</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20"/>
          <w:szCs w:val="20"/>
          <w:color w:val="auto"/>
        </w:rPr>
        <w:t>November 4, 2021</w:t>
      </w:r>
    </w:p>
    <w:p>
      <w:pPr>
        <w:sectPr>
          <w:pgSz w:w="11900" w:h="16838" w:orient="portrait"/>
          <w:cols w:equalWidth="0" w:num="1">
            <w:col w:w="11160"/>
          </w:cols>
          <w:pgMar w:left="320" w:top="886" w:right="41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86" w:lineRule="exact"/>
        <w:rPr>
          <w:sz w:val="20"/>
          <w:szCs w:val="20"/>
          <w:color w:val="auto"/>
        </w:rPr>
      </w:pPr>
    </w:p>
    <w:p>
      <w:pPr>
        <w:ind w:right="96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204" w:lineRule="exact"/>
        <w:rPr>
          <w:sz w:val="20"/>
          <w:szCs w:val="20"/>
          <w:color w:val="auto"/>
        </w:rPr>
      </w:pPr>
    </w:p>
    <w:p>
      <w:pPr>
        <w:ind w:left="660" w:hanging="652"/>
        <w:spacing w:after="0" w:line="260" w:lineRule="auto"/>
        <w:tabs>
          <w:tab w:leader="none" w:pos="441"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October 2, 2021 (the “Report”) fully complies with the requirements of Section 13(a) or 15(d) of the Securities Exchange Act of 1934, as amended; and</w:t>
      </w:r>
    </w:p>
    <w:p>
      <w:pPr>
        <w:spacing w:after="0" w:line="203" w:lineRule="exact"/>
        <w:rPr>
          <w:rFonts w:ascii="Arial" w:cs="Arial" w:eastAsia="Arial" w:hAnsi="Arial"/>
          <w:sz w:val="20"/>
          <w:szCs w:val="20"/>
          <w:color w:val="auto"/>
        </w:rPr>
      </w:pPr>
    </w:p>
    <w:p>
      <w:pPr>
        <w:ind w:left="660" w:right="160" w:hanging="652"/>
        <w:spacing w:after="0" w:line="260" w:lineRule="auto"/>
        <w:tabs>
          <w:tab w:leader="none" w:pos="441"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10160</wp:posOffset>
            </wp:positionV>
            <wp:extent cx="29317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Mark J. Murphy</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Chief Financial Officer</w:t>
      </w:r>
    </w:p>
    <w:p>
      <w:pPr>
        <w:spacing w:after="0" w:line="11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November 4, 2021</w:t>
      </w:r>
    </w:p>
    <w:sectPr>
      <w:pgSz w:w="11900" w:h="16838" w:orient="portrait"/>
      <w:cols w:equalWidth="0" w:num="1">
        <w:col w:w="11160"/>
      </w:cols>
      <w:pgMar w:left="320" w:top="88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22"/>
    </w:lvl>
  </w:abstractNum>
  <w:abstractNum w:abstractNumId="8">
    <w:nsid w:val="1F16E9E8"/>
    <w:multiLevelType w:val="hybridMultilevel"/>
    <w:lvl w:ilvl="0">
      <w:lvlJc w:val="left"/>
      <w:lvlText w:val="%1"/>
      <w:numFmt w:val="decimal"/>
      <w:start w:val="10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2021-11-04T16:01:02Z</dcterms:created>
  <dcterms:modified xsi:type="dcterms:W3CDTF">2021-11-04T16:01:02Z</dcterms:modified>
</cp:coreProperties>
</file>