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Koopmans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4"/>
        <w:gridCol w:w="922"/>
        <w:gridCol w:w="789"/>
        <w:gridCol w:w="662"/>
        <w:gridCol w:w="306"/>
        <w:gridCol w:w="863"/>
        <w:gridCol w:w="464"/>
        <w:gridCol w:w="629"/>
        <w:gridCol w:w="1187"/>
        <w:gridCol w:w="1018"/>
        <w:gridCol w:w="9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6,160</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that was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and (ii) each outstanding restricted stock unit award corresponding to shares of Qorvo common stock held by the Reporting Person was cancelled in consideration for the right to receive (x) the Merger Consideration in respect of each share of Qorvo common stock then subject thereto and (y) an amount in cash equal to all dividend equivalents accrued but unpaid with respect thereto.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6204"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4048</Characters>
  <CharactersWithSpaces>4731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