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535305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501015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ind w:left="640" w:right="46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January 2,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40" w:right="440" w:hanging="614"/>
        <w:spacing w:after="0" w:line="235"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3"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For the transition period from _____to 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55880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40" w:type="dxa"/>
            <w:vAlign w:val="bottom"/>
          </w:tcPr>
          <w:p>
            <w:pPr>
              <w:jc w:val="center"/>
              <w:ind w:right="774"/>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775"/>
              <w:spacing w:after="0"/>
              <w:rPr>
                <w:sz w:val="20"/>
                <w:szCs w:val="20"/>
                <w:color w:val="auto"/>
              </w:rPr>
            </w:pPr>
            <w:r>
              <w:rPr>
                <w:rFonts w:ascii="Arial" w:cs="Arial" w:eastAsia="Arial" w:hAnsi="Arial"/>
                <w:sz w:val="18"/>
                <w:szCs w:val="18"/>
                <w:b w:val="1"/>
                <w:bCs w:val="1"/>
                <w:color w:val="auto"/>
                <w:w w:val="89"/>
              </w:rPr>
              <w:t>46-5288992</w:t>
            </w:r>
          </w:p>
        </w:tc>
      </w:tr>
      <w:tr>
        <w:trPr>
          <w:trHeight w:val="210"/>
        </w:trPr>
        <w:tc>
          <w:tcPr>
            <w:tcW w:w="4740" w:type="dxa"/>
            <w:vAlign w:val="bottom"/>
          </w:tcPr>
          <w:p>
            <w:pPr>
              <w:jc w:val="center"/>
              <w:ind w:right="774"/>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160" w:type="dxa"/>
            <w:vAlign w:val="bottom"/>
          </w:tcPr>
          <w:p>
            <w:pPr>
              <w:jc w:val="center"/>
              <w:ind w:left="795"/>
              <w:spacing w:after="0"/>
              <w:rPr>
                <w:sz w:val="20"/>
                <w:szCs w:val="20"/>
                <w:color w:val="auto"/>
              </w:rPr>
            </w:pPr>
            <w:r>
              <w:rPr>
                <w:rFonts w:ascii="Arial" w:cs="Arial" w:eastAsia="Arial" w:hAnsi="Arial"/>
                <w:sz w:val="16"/>
                <w:szCs w:val="16"/>
                <w:color w:val="auto"/>
                <w:w w:val="94"/>
              </w:rPr>
              <w:t>(I.R.S. employer identification no.)</w:t>
            </w:r>
          </w:p>
        </w:tc>
      </w:tr>
      <w:tr>
        <w:trPr>
          <w:trHeight w:val="312"/>
        </w:trPr>
        <w:tc>
          <w:tcPr>
            <w:tcW w:w="4740" w:type="dxa"/>
            <w:vAlign w:val="bottom"/>
          </w:tcPr>
          <w:p>
            <w:pPr>
              <w:jc w:val="center"/>
              <w:ind w:right="774"/>
              <w:spacing w:after="0"/>
              <w:rPr>
                <w:sz w:val="20"/>
                <w:szCs w:val="20"/>
                <w:color w:val="auto"/>
              </w:rPr>
            </w:pPr>
            <w:r>
              <w:rPr>
                <w:rFonts w:ascii="Arial" w:cs="Arial" w:eastAsia="Arial" w:hAnsi="Arial"/>
                <w:sz w:val="18"/>
                <w:szCs w:val="18"/>
                <w:b w:val="1"/>
                <w:bCs w:val="1"/>
                <w:color w:val="auto"/>
                <w:w w:val="92"/>
              </w:rPr>
              <w:t>7628 Thorndike Road</w:t>
            </w:r>
          </w:p>
        </w:tc>
        <w:tc>
          <w:tcPr>
            <w:tcW w:w="3160" w:type="dxa"/>
            <w:vAlign w:val="bottom"/>
          </w:tcPr>
          <w:p>
            <w:pPr>
              <w:spacing w:after="0"/>
              <w:rPr>
                <w:sz w:val="24"/>
                <w:szCs w:val="24"/>
                <w:color w:val="auto"/>
              </w:rPr>
            </w:pPr>
          </w:p>
        </w:tc>
      </w:tr>
      <w:tr>
        <w:trPr>
          <w:trHeight w:val="234"/>
        </w:trPr>
        <w:tc>
          <w:tcPr>
            <w:tcW w:w="4740" w:type="dxa"/>
            <w:vAlign w:val="bottom"/>
          </w:tcPr>
          <w:p>
            <w:pPr>
              <w:jc w:val="center"/>
              <w:ind w:right="554"/>
              <w:spacing w:after="0"/>
              <w:rPr>
                <w:sz w:val="20"/>
                <w:szCs w:val="20"/>
                <w:color w:val="auto"/>
              </w:rPr>
            </w:pPr>
            <w:r>
              <w:rPr>
                <w:rFonts w:ascii="Arial" w:cs="Arial" w:eastAsia="Arial" w:hAnsi="Arial"/>
                <w:sz w:val="18"/>
                <w:szCs w:val="18"/>
                <w:b w:val="1"/>
                <w:bCs w:val="1"/>
                <w:color w:val="auto"/>
                <w:w w:val="91"/>
              </w:rPr>
              <w:t>Greensboro, North Carolina</w:t>
            </w:r>
          </w:p>
        </w:tc>
        <w:tc>
          <w:tcPr>
            <w:tcW w:w="3160" w:type="dxa"/>
            <w:vAlign w:val="bottom"/>
          </w:tcPr>
          <w:p>
            <w:pPr>
              <w:jc w:val="center"/>
              <w:ind w:left="775"/>
              <w:spacing w:after="0"/>
              <w:rPr>
                <w:sz w:val="20"/>
                <w:szCs w:val="20"/>
                <w:color w:val="auto"/>
              </w:rPr>
            </w:pPr>
            <w:r>
              <w:rPr>
                <w:rFonts w:ascii="Arial" w:cs="Arial" w:eastAsia="Arial" w:hAnsi="Arial"/>
                <w:sz w:val="18"/>
                <w:szCs w:val="18"/>
                <w:b w:val="1"/>
                <w:bCs w:val="1"/>
                <w:color w:val="auto"/>
                <w:w w:val="89"/>
              </w:rPr>
              <w:t>27409-9421</w:t>
            </w:r>
          </w:p>
        </w:tc>
      </w:tr>
      <w:tr>
        <w:trPr>
          <w:trHeight w:val="210"/>
        </w:trPr>
        <w:tc>
          <w:tcPr>
            <w:tcW w:w="4740" w:type="dxa"/>
            <w:vAlign w:val="bottom"/>
          </w:tcPr>
          <w:p>
            <w:pPr>
              <w:jc w:val="center"/>
              <w:ind w:right="514"/>
              <w:spacing w:after="0"/>
              <w:rPr>
                <w:sz w:val="20"/>
                <w:szCs w:val="20"/>
                <w:color w:val="auto"/>
              </w:rPr>
            </w:pPr>
            <w:r>
              <w:rPr>
                <w:rFonts w:ascii="Arial" w:cs="Arial" w:eastAsia="Arial" w:hAnsi="Arial"/>
                <w:sz w:val="16"/>
                <w:szCs w:val="16"/>
                <w:color w:val="auto"/>
                <w:w w:val="94"/>
              </w:rPr>
              <w:t>(Address of principal executive office)</w:t>
            </w:r>
          </w:p>
        </w:tc>
        <w:tc>
          <w:tcPr>
            <w:tcW w:w="3160" w:type="dxa"/>
            <w:vAlign w:val="bottom"/>
          </w:tcPr>
          <w:p>
            <w:pPr>
              <w:jc w:val="center"/>
              <w:ind w:left="795"/>
              <w:spacing w:after="0"/>
              <w:rPr>
                <w:sz w:val="20"/>
                <w:szCs w:val="20"/>
                <w:color w:val="auto"/>
              </w:rPr>
            </w:pPr>
            <w:r>
              <w:rPr>
                <w:rFonts w:ascii="Arial" w:cs="Arial" w:eastAsia="Arial" w:hAnsi="Arial"/>
                <w:sz w:val="16"/>
                <w:szCs w:val="16"/>
                <w:color w:val="auto"/>
                <w:w w:val="94"/>
              </w:rPr>
              <w:t>(Zip code)</w:t>
            </w:r>
          </w:p>
        </w:tc>
      </w:tr>
    </w:tbl>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(336) 664-1233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46"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gridSpan w:val="5"/>
          </w:tcPr>
          <w:p>
            <w:pPr>
              <w:jc w:val="center"/>
              <w:ind w:right="29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94"/>
        </w:trPr>
        <w:tc>
          <w:tcPr>
            <w:tcW w:w="580" w:type="dxa"/>
            <w:vAlign w:val="bottom"/>
          </w:tcPr>
          <w:p>
            <w:pPr>
              <w:spacing w:after="0"/>
              <w:rPr>
                <w:sz w:val="16"/>
                <w:szCs w:val="16"/>
                <w:color w:val="auto"/>
              </w:rPr>
            </w:pPr>
          </w:p>
        </w:tc>
        <w:tc>
          <w:tcPr>
            <w:tcW w:w="2000" w:type="dxa"/>
            <w:vAlign w:val="bottom"/>
            <w:gridSpan w:val="2"/>
          </w:tcPr>
          <w:p>
            <w:pPr>
              <w:jc w:val="center"/>
              <w:ind w:right="660"/>
              <w:spacing w:after="0" w:line="194" w:lineRule="exact"/>
              <w:rPr>
                <w:sz w:val="20"/>
                <w:szCs w:val="20"/>
                <w:color w:val="auto"/>
              </w:rPr>
            </w:pPr>
            <w:r>
              <w:rPr>
                <w:rFonts w:ascii="Arial" w:cs="Arial" w:eastAsia="Arial" w:hAnsi="Arial"/>
                <w:sz w:val="18"/>
                <w:szCs w:val="18"/>
                <w:b w:val="1"/>
                <w:bCs w:val="1"/>
                <w:color w:val="auto"/>
                <w:w w:val="86"/>
              </w:rPr>
              <w:t>Title of each class</w:t>
            </w:r>
          </w:p>
        </w:tc>
        <w:tc>
          <w:tcPr>
            <w:tcW w:w="1560" w:type="dxa"/>
            <w:vAlign w:val="bottom"/>
          </w:tcPr>
          <w:p>
            <w:pPr>
              <w:spacing w:after="0"/>
              <w:rPr>
                <w:sz w:val="16"/>
                <w:szCs w:val="16"/>
                <w:color w:val="auto"/>
              </w:rPr>
            </w:pPr>
          </w:p>
        </w:tc>
        <w:tc>
          <w:tcPr>
            <w:tcW w:w="2040" w:type="dxa"/>
            <w:vAlign w:val="bottom"/>
            <w:gridSpan w:val="2"/>
          </w:tcPr>
          <w:p>
            <w:pPr>
              <w:jc w:val="center"/>
              <w:ind w:right="600"/>
              <w:spacing w:after="0" w:line="194" w:lineRule="exact"/>
              <w:rPr>
                <w:sz w:val="20"/>
                <w:szCs w:val="20"/>
                <w:color w:val="auto"/>
              </w:rPr>
            </w:pPr>
            <w:r>
              <w:rPr>
                <w:rFonts w:ascii="Arial" w:cs="Arial" w:eastAsia="Arial" w:hAnsi="Arial"/>
                <w:sz w:val="18"/>
                <w:szCs w:val="18"/>
                <w:b w:val="1"/>
                <w:bCs w:val="1"/>
                <w:color w:val="auto"/>
                <w:w w:val="91"/>
              </w:rPr>
              <w:t>Trading Symbol(s)</w:t>
            </w:r>
          </w:p>
        </w:tc>
        <w:tc>
          <w:tcPr>
            <w:tcW w:w="3960" w:type="dxa"/>
            <w:vAlign w:val="bottom"/>
            <w:gridSpan w:val="2"/>
          </w:tcPr>
          <w:p>
            <w:pPr>
              <w:jc w:val="center"/>
              <w:ind w:left="530"/>
              <w:spacing w:after="0" w:line="194"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5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Common Stock, $0.0001 par value</w:t>
            </w:r>
          </w:p>
        </w:tc>
        <w:tc>
          <w:tcPr>
            <w:tcW w:w="156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QRVO</w:t>
            </w:r>
          </w:p>
        </w:tc>
        <w:tc>
          <w:tcPr>
            <w:tcW w:w="6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47"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ind w:left="880"/>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680" w:type="dxa"/>
            <w:vAlign w:val="bottom"/>
          </w:tcPr>
          <w:p>
            <w:pPr>
              <w:ind w:left="880"/>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268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800" w:type="dxa"/>
            <w:vAlign w:val="bottom"/>
          </w:tcPr>
          <w:p>
            <w:pPr>
              <w:ind w:left="268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994"/>
        </w:trPr>
        <w:tc>
          <w:tcPr>
            <w:tcW w:w="26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25, 2021, there were 113,262,707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60" w:type="dxa"/>
            <w:vAlign w:val="bottom"/>
            <w:gridSpan w:val="17"/>
            <w:vMerge w:val="restart"/>
          </w:tcPr>
          <w:p>
            <w:pPr>
              <w:ind w:left="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 FINANCIAL INFORMATION</w:t>
              </w:r>
            </w:hyperlink>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9"/>
        </w:trPr>
        <w:tc>
          <w:tcPr>
            <w:tcW w:w="10360" w:type="dxa"/>
            <w:vAlign w:val="bottom"/>
            <w:gridSpan w:val="17"/>
            <w:vMerge w:val="continue"/>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10360" w:type="dxa"/>
            <w:vAlign w:val="bottom"/>
            <w:gridSpan w:val="17"/>
          </w:tcPr>
          <w:p>
            <w:pPr>
              <w:ind w:left="20"/>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u w:val="single" w:color="auto"/>
                  <w:color w:val="0000FF"/>
                </w:rPr>
                <w:t>Item 1. Financial Statements</w:t>
              </w:r>
              <w:r>
                <w:rPr>
                  <w:rFonts w:ascii="Arial" w:cs="Arial" w:eastAsia="Arial" w:hAnsi="Arial"/>
                  <w:sz w:val="18"/>
                  <w:szCs w:val="18"/>
                  <w:b w:val="1"/>
                  <w:bCs w:val="1"/>
                  <w:color w:val="0000FF"/>
                </w:rPr>
                <w:t xml:space="preserve"> </w:t>
              </w:r>
            </w:hyperlink>
            <w:r>
              <w:rPr>
                <w:rFonts w:ascii="Arial" w:cs="Arial" w:eastAsia="Arial" w:hAnsi="Arial"/>
                <w:sz w:val="18"/>
                <w:szCs w:val="18"/>
                <w:b w:val="1"/>
                <w:bCs w:val="1"/>
                <w:color w:val="0000FF"/>
              </w:rPr>
              <w:t>(Unaudited).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22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Condensed Consolidated Balance Sheets as of January</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2, </w:t>
            </w:r>
            <w:hyperlink w:anchor="page4">
              <w:r>
                <w:rPr>
                  <w:rFonts w:ascii="Arial" w:cs="Arial" w:eastAsia="Arial" w:hAnsi="Arial"/>
                  <w:sz w:val="18"/>
                  <w:szCs w:val="18"/>
                  <w:u w:val="single" w:color="auto"/>
                  <w:color w:val="0000FF"/>
                </w:rPr>
                <w:t>2021 and March 28, 2020</w:t>
              </w:r>
            </w:hyperlink>
          </w:p>
        </w:tc>
        <w:tc>
          <w:tcPr>
            <w:tcW w:w="8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22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Statements of Income for the three and nine months ended </w:t>
              </w:r>
              <w:r>
                <w:rPr>
                  <w:rFonts w:ascii="Arial" w:cs="Arial" w:eastAsia="Arial" w:hAnsi="Arial"/>
                  <w:sz w:val="18"/>
                  <w:szCs w:val="18"/>
                  <w:u w:val="single" w:color="auto"/>
                  <w:color w:val="0000FF"/>
                </w:rPr>
                <w:t>January</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2, </w:t>
            </w:r>
            <w:hyperlink w:anchor="page4">
              <w:r>
                <w:rPr>
                  <w:rFonts w:ascii="Arial" w:cs="Arial" w:eastAsia="Arial" w:hAnsi="Arial"/>
                  <w:sz w:val="18"/>
                  <w:szCs w:val="18"/>
                  <w:color w:val="0000FF"/>
                </w:rPr>
                <w:t xml:space="preserve">2021 and December </w:t>
              </w:r>
              <w:r>
                <w:rPr>
                  <w:rFonts w:ascii="Arial" w:cs="Arial" w:eastAsia="Arial" w:hAnsi="Arial"/>
                  <w:sz w:val="18"/>
                  <w:szCs w:val="18"/>
                  <w:u w:val="single" w:color="auto"/>
                  <w:color w:val="0000FF"/>
                </w:rPr>
                <w:t>28, 2019</w:t>
              </w:r>
            </w:hyperlink>
          </w:p>
        </w:tc>
        <w:tc>
          <w:tcPr>
            <w:tcW w:w="8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40" w:type="dxa"/>
            <w:vAlign w:val="bottom"/>
            <w:gridSpan w:val="5"/>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220" w:type="dxa"/>
            <w:vAlign w:val="bottom"/>
            <w:gridSpan w:val="16"/>
          </w:tcPr>
          <w:p>
            <w:pPr>
              <w:spacing w:after="0"/>
              <w:rPr>
                <w:rFonts w:ascii="Arial" w:cs="Arial" w:eastAsia="Arial" w:hAnsi="Arial"/>
                <w:sz w:val="18"/>
                <w:szCs w:val="18"/>
                <w:color w:val="0000FF"/>
                <w:w w:val="93"/>
              </w:rPr>
            </w:pPr>
            <w:hyperlink w:anchor="page4">
              <w:r>
                <w:rPr>
                  <w:rFonts w:ascii="Arial" w:cs="Arial" w:eastAsia="Arial" w:hAnsi="Arial"/>
                  <w:sz w:val="18"/>
                  <w:szCs w:val="18"/>
                  <w:u w:val="single" w:color="auto"/>
                  <w:color w:val="0000FF"/>
                  <w:w w:val="93"/>
                </w:rPr>
                <w:t>Condensed Consolidated Statements of Comprehensive Income for the</w:t>
              </w:r>
              <w:r>
                <w:rPr>
                  <w:rFonts w:ascii="Arial" w:cs="Arial" w:eastAsia="Arial" w:hAnsi="Arial"/>
                  <w:sz w:val="18"/>
                  <w:szCs w:val="18"/>
                  <w:color w:val="0000FF"/>
                  <w:w w:val="93"/>
                </w:rPr>
                <w:t xml:space="preserve"> three and nine months ended January 2, 2021 and December 28,</w:t>
              </w:r>
            </w:hyperlink>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0" w:type="dxa"/>
            <w:vAlign w:val="bottom"/>
            <w:gridSpan w:val="2"/>
          </w:tcPr>
          <w:p>
            <w:pPr>
              <w:spacing w:after="0"/>
              <w:rPr>
                <w:sz w:val="13"/>
                <w:szCs w:val="13"/>
                <w:color w:val="auto"/>
              </w:rPr>
            </w:pPr>
          </w:p>
        </w:tc>
        <w:tc>
          <w:tcPr>
            <w:tcW w:w="1920" w:type="dxa"/>
            <w:vAlign w:val="bottom"/>
            <w:gridSpan w:val="3"/>
          </w:tcPr>
          <w:p>
            <w:pPr>
              <w:jc w:val="right"/>
              <w:ind w:right="1560"/>
              <w:spacing w:after="0" w:line="156"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2019</w:t>
              </w:r>
            </w:hyperlink>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line="156"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40" w:type="dxa"/>
            <w:vAlign w:val="bottom"/>
          </w:tcPr>
          <w:p>
            <w:pPr>
              <w:spacing w:after="0"/>
              <w:rPr>
                <w:sz w:val="21"/>
                <w:szCs w:val="21"/>
                <w:color w:val="auto"/>
              </w:rPr>
            </w:pPr>
          </w:p>
        </w:tc>
        <w:tc>
          <w:tcPr>
            <w:tcW w:w="10220" w:type="dxa"/>
            <w:vAlign w:val="bottom"/>
            <w:gridSpan w:val="16"/>
          </w:tcPr>
          <w:p>
            <w:pPr>
              <w:spacing w:after="0"/>
              <w:rPr>
                <w:rFonts w:ascii="Arial" w:cs="Arial" w:eastAsia="Arial" w:hAnsi="Arial"/>
                <w:sz w:val="18"/>
                <w:szCs w:val="18"/>
                <w:u w:val="single" w:color="auto"/>
                <w:color w:val="0000FF"/>
                <w:w w:val="91"/>
              </w:rPr>
            </w:pPr>
            <w:hyperlink w:anchor="page6">
              <w:r>
                <w:rPr>
                  <w:rFonts w:ascii="Arial" w:cs="Arial" w:eastAsia="Arial" w:hAnsi="Arial"/>
                  <w:sz w:val="18"/>
                  <w:szCs w:val="18"/>
                  <w:u w:val="single" w:color="auto"/>
                  <w:color w:val="0000FF"/>
                  <w:w w:val="91"/>
                </w:rPr>
                <w:t xml:space="preserve">Condensed Consolidated Statements of Stockholders' Equity for the </w:t>
              </w:r>
            </w:hyperlink>
            <w:hyperlink w:anchor="page4">
              <w:r>
                <w:rPr>
                  <w:rFonts w:ascii="Arial" w:cs="Arial" w:eastAsia="Arial" w:hAnsi="Arial"/>
                  <w:sz w:val="18"/>
                  <w:szCs w:val="18"/>
                  <w:u w:val="single" w:color="auto"/>
                  <w:color w:val="0000FF"/>
                  <w:w w:val="91"/>
                </w:rPr>
                <w:t>three and nine months ended January 2, 2021 and December 28, 2019</w:t>
              </w:r>
            </w:hyperlink>
          </w:p>
        </w:tc>
        <w:tc>
          <w:tcPr>
            <w:tcW w:w="8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0220" w:type="dxa"/>
            <w:vAlign w:val="bottom"/>
            <w:gridSpan w:val="16"/>
          </w:tcPr>
          <w:p>
            <w:pPr>
              <w:spacing w:after="0" w:line="190" w:lineRule="exact"/>
              <w:rPr>
                <w:rFonts w:ascii="Arial" w:cs="Arial" w:eastAsia="Arial" w:hAnsi="Arial"/>
                <w:sz w:val="18"/>
                <w:szCs w:val="18"/>
                <w:color w:val="0000FF"/>
              </w:rPr>
            </w:pPr>
            <w:hyperlink w:anchor="page8">
              <w:r>
                <w:rPr>
                  <w:rFonts w:ascii="Arial" w:cs="Arial" w:eastAsia="Arial" w:hAnsi="Arial"/>
                  <w:sz w:val="18"/>
                  <w:szCs w:val="18"/>
                  <w:color w:val="0000FF"/>
                </w:rPr>
                <w:t xml:space="preserve">Condensed Consolidated Statements of Cash Flows for the nine months ended </w:t>
              </w:r>
            </w:hyperlink>
            <w:hyperlink w:anchor="page4">
              <w:r>
                <w:rPr>
                  <w:rFonts w:ascii="Arial" w:cs="Arial" w:eastAsia="Arial" w:hAnsi="Arial"/>
                  <w:sz w:val="18"/>
                  <w:szCs w:val="18"/>
                  <w:u w:val="single" w:color="auto"/>
                  <w:color w:val="0000FF"/>
                </w:rPr>
                <w:t>January 2, 2021 and December 28, 2019</w:t>
              </w:r>
            </w:hyperlink>
          </w:p>
        </w:tc>
        <w:tc>
          <w:tcPr>
            <w:tcW w:w="880" w:type="dxa"/>
            <w:vAlign w:val="bottom"/>
          </w:tcPr>
          <w:p>
            <w:pPr>
              <w:jc w:val="right"/>
              <w:spacing w:after="0" w:line="190" w:lineRule="exact"/>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5680" w:type="dxa"/>
            <w:vAlign w:val="bottom"/>
            <w:tcBorders>
              <w:top w:val="single" w:sz="8" w:color="0000FF"/>
            </w:tcBorders>
            <w:gridSpan w:val="9"/>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w:t>
              </w:r>
            </w:hyperlink>
          </w:p>
        </w:tc>
        <w:tc>
          <w:tcPr>
            <w:tcW w:w="4540" w:type="dxa"/>
            <w:vAlign w:val="bottom"/>
            <w:gridSpan w:val="7"/>
          </w:tcPr>
          <w:p>
            <w:pPr>
              <w:spacing w:after="0"/>
              <w:rPr>
                <w:sz w:val="21"/>
                <w:szCs w:val="21"/>
                <w:color w:val="auto"/>
              </w:rPr>
            </w:pPr>
          </w:p>
        </w:tc>
        <w:tc>
          <w:tcPr>
            <w:tcW w:w="88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9</w:t>
              </w:r>
            </w:hyperlink>
          </w:p>
        </w:tc>
        <w:tc>
          <w:tcPr>
            <w:tcW w:w="0" w:type="dxa"/>
            <w:vAlign w:val="bottom"/>
          </w:tcPr>
          <w:p>
            <w:pPr>
              <w:spacing w:after="0"/>
              <w:rPr>
                <w:sz w:val="1"/>
                <w:szCs w:val="1"/>
                <w:color w:val="auto"/>
              </w:rPr>
            </w:pPr>
          </w:p>
        </w:tc>
      </w:tr>
      <w:tr>
        <w:trPr>
          <w:trHeight w:val="495"/>
        </w:trPr>
        <w:tc>
          <w:tcPr>
            <w:tcW w:w="10360" w:type="dxa"/>
            <w:vAlign w:val="bottom"/>
            <w:gridSpan w:val="17"/>
          </w:tcPr>
          <w:p>
            <w:pPr>
              <w:ind w:left="20"/>
              <w:spacing w:after="0"/>
              <w:rPr>
                <w:rFonts w:ascii="Arial" w:cs="Arial" w:eastAsia="Arial" w:hAnsi="Arial"/>
                <w:sz w:val="18"/>
                <w:szCs w:val="18"/>
                <w:b w:val="1"/>
                <w:bCs w:val="1"/>
                <w:u w:val="single" w:color="auto"/>
                <w:color w:val="0000FF"/>
              </w:rPr>
            </w:pPr>
            <w:hyperlink w:anchor="page21">
              <w:r>
                <w:rPr>
                  <w:rFonts w:ascii="Arial" w:cs="Arial" w:eastAsia="Arial" w:hAnsi="Arial"/>
                  <w:sz w:val="18"/>
                  <w:szCs w:val="18"/>
                  <w:b w:val="1"/>
                  <w:bCs w:val="1"/>
                  <w:u w:val="single" w:color="auto"/>
                  <w:color w:val="0000FF"/>
                </w:rPr>
                <w:t>Item 2. Management's Discussion and Analysis of Financial Condition and Results of Operations.</w:t>
              </w:r>
            </w:hyperlink>
          </w:p>
        </w:tc>
        <w:tc>
          <w:tcPr>
            <w:tcW w:w="88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21</w:t>
              </w:r>
            </w:hyperlink>
          </w:p>
        </w:tc>
        <w:tc>
          <w:tcPr>
            <w:tcW w:w="0" w:type="dxa"/>
            <w:vAlign w:val="bottom"/>
          </w:tcPr>
          <w:p>
            <w:pPr>
              <w:spacing w:after="0"/>
              <w:rPr>
                <w:sz w:val="1"/>
                <w:szCs w:val="1"/>
                <w:color w:val="auto"/>
              </w:rPr>
            </w:pPr>
          </w:p>
        </w:tc>
      </w:tr>
      <w:tr>
        <w:trPr>
          <w:trHeight w:val="230"/>
        </w:trPr>
        <w:tc>
          <w:tcPr>
            <w:tcW w:w="580" w:type="dxa"/>
            <w:vAlign w:val="bottom"/>
            <w:gridSpan w:val="3"/>
          </w:tcPr>
          <w:p>
            <w:pPr>
              <w:ind w:left="20"/>
              <w:spacing w:after="0"/>
              <w:rPr>
                <w:rFonts w:ascii="Arial" w:cs="Arial" w:eastAsia="Arial" w:hAnsi="Arial"/>
                <w:sz w:val="18"/>
                <w:szCs w:val="18"/>
                <w:b w:val="1"/>
                <w:bCs w:val="1"/>
                <w:u w:val="single" w:color="auto"/>
                <w:color w:val="0000FF"/>
                <w:w w:val="94"/>
              </w:rPr>
            </w:pPr>
            <w:hyperlink w:anchor="page30">
              <w:r>
                <w:rPr>
                  <w:rFonts w:ascii="Arial" w:cs="Arial" w:eastAsia="Arial" w:hAnsi="Arial"/>
                  <w:sz w:val="18"/>
                  <w:szCs w:val="18"/>
                  <w:b w:val="1"/>
                  <w:bCs w:val="1"/>
                  <w:u w:val="single" w:color="auto"/>
                  <w:color w:val="0000FF"/>
                  <w:w w:val="94"/>
                </w:rPr>
                <w:t>Item 3.</w:t>
              </w:r>
            </w:hyperlink>
          </w:p>
        </w:tc>
        <w:tc>
          <w:tcPr>
            <w:tcW w:w="9780" w:type="dxa"/>
            <w:vAlign w:val="bottom"/>
            <w:gridSpan w:val="14"/>
          </w:tcPr>
          <w:p>
            <w:pPr>
              <w:ind w:left="40"/>
              <w:spacing w:after="0"/>
              <w:rPr>
                <w:rFonts w:ascii="Arial" w:cs="Arial" w:eastAsia="Arial" w:hAnsi="Arial"/>
                <w:sz w:val="18"/>
                <w:szCs w:val="18"/>
                <w:b w:val="1"/>
                <w:bCs w:val="1"/>
                <w:u w:val="single" w:color="auto"/>
                <w:color w:val="0000FF"/>
              </w:rPr>
            </w:pPr>
            <w:hyperlink w:anchor="page30">
              <w:r>
                <w:rPr>
                  <w:rFonts w:ascii="Arial" w:cs="Arial" w:eastAsia="Arial" w:hAnsi="Arial"/>
                  <w:sz w:val="18"/>
                  <w:szCs w:val="18"/>
                  <w:b w:val="1"/>
                  <w:bCs w:val="1"/>
                  <w:u w:val="single" w:color="auto"/>
                  <w:color w:val="0000FF"/>
                </w:rPr>
                <w:t>Quantitative and Qualitative Disclosures About Market Risk.</w:t>
              </w:r>
            </w:hyperlink>
          </w:p>
        </w:tc>
        <w:tc>
          <w:tcPr>
            <w:tcW w:w="88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34"/>
        </w:trPr>
        <w:tc>
          <w:tcPr>
            <w:tcW w:w="580" w:type="dxa"/>
            <w:vAlign w:val="bottom"/>
            <w:gridSpan w:val="3"/>
          </w:tcPr>
          <w:p>
            <w:pPr>
              <w:ind w:left="20"/>
              <w:spacing w:after="0"/>
              <w:rPr>
                <w:rFonts w:ascii="Arial" w:cs="Arial" w:eastAsia="Arial" w:hAnsi="Arial"/>
                <w:sz w:val="18"/>
                <w:szCs w:val="18"/>
                <w:b w:val="1"/>
                <w:bCs w:val="1"/>
                <w:u w:val="single" w:color="auto"/>
                <w:color w:val="0000FF"/>
                <w:w w:val="94"/>
              </w:rPr>
            </w:pPr>
            <w:hyperlink w:anchor="page30">
              <w:r>
                <w:rPr>
                  <w:rFonts w:ascii="Arial" w:cs="Arial" w:eastAsia="Arial" w:hAnsi="Arial"/>
                  <w:sz w:val="18"/>
                  <w:szCs w:val="18"/>
                  <w:b w:val="1"/>
                  <w:bCs w:val="1"/>
                  <w:u w:val="single" w:color="auto"/>
                  <w:color w:val="0000FF"/>
                  <w:w w:val="94"/>
                </w:rPr>
                <w:t>Item 4.</w:t>
              </w:r>
            </w:hyperlink>
          </w:p>
        </w:tc>
        <w:tc>
          <w:tcPr>
            <w:tcW w:w="9780" w:type="dxa"/>
            <w:vAlign w:val="bottom"/>
            <w:gridSpan w:val="14"/>
          </w:tcPr>
          <w:p>
            <w:pPr>
              <w:ind w:left="40"/>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u w:val="single" w:color="auto"/>
                  <w:color w:val="0000FF"/>
                </w:rPr>
                <w:t>Controls and Procedures</w:t>
              </w:r>
              <w:r>
                <w:rPr>
                  <w:rFonts w:ascii="Arial" w:cs="Arial" w:eastAsia="Arial" w:hAnsi="Arial"/>
                  <w:sz w:val="18"/>
                  <w:szCs w:val="18"/>
                  <w:b w:val="1"/>
                  <w:bCs w:val="1"/>
                  <w:color w:val="0000FF"/>
                </w:rPr>
                <w:t>.</w:t>
              </w:r>
            </w:hyperlink>
          </w:p>
        </w:tc>
        <w:tc>
          <w:tcPr>
            <w:tcW w:w="88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500"/>
        </w:trPr>
        <w:tc>
          <w:tcPr>
            <w:tcW w:w="10360" w:type="dxa"/>
            <w:vAlign w:val="bottom"/>
            <w:gridSpan w:val="17"/>
          </w:tcPr>
          <w:p>
            <w:pPr>
              <w:ind w:left="20"/>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PART II — OTHER INFORMATION</w:t>
              </w:r>
            </w:hyperlink>
          </w:p>
        </w:tc>
        <w:tc>
          <w:tcPr>
            <w:tcW w:w="88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31</w:t>
              </w:r>
            </w:hyperlink>
          </w:p>
        </w:tc>
        <w:tc>
          <w:tcPr>
            <w:tcW w:w="0" w:type="dxa"/>
            <w:vAlign w:val="bottom"/>
          </w:tcPr>
          <w:p>
            <w:pPr>
              <w:spacing w:after="0"/>
              <w:rPr>
                <w:sz w:val="1"/>
                <w:szCs w:val="1"/>
                <w:color w:val="auto"/>
              </w:rPr>
            </w:pPr>
          </w:p>
        </w:tc>
      </w:tr>
      <w:tr>
        <w:trPr>
          <w:trHeight w:val="495"/>
        </w:trPr>
        <w:tc>
          <w:tcPr>
            <w:tcW w:w="10360" w:type="dxa"/>
            <w:vAlign w:val="bottom"/>
            <w:gridSpan w:val="17"/>
          </w:tcPr>
          <w:p>
            <w:pPr>
              <w:ind w:left="20"/>
              <w:spacing w:after="0"/>
              <w:rPr>
                <w:rFonts w:ascii="Arial" w:cs="Arial" w:eastAsia="Arial" w:hAnsi="Arial"/>
                <w:sz w:val="18"/>
                <w:szCs w:val="18"/>
                <w:b w:val="1"/>
                <w:bCs w:val="1"/>
                <w:u w:val="single" w:color="auto"/>
                <w:color w:val="0000FF"/>
              </w:rPr>
            </w:pPr>
            <w:hyperlink w:anchor="page32">
              <w:r>
                <w:rPr>
                  <w:rFonts w:ascii="Arial" w:cs="Arial" w:eastAsia="Arial" w:hAnsi="Arial"/>
                  <w:sz w:val="18"/>
                  <w:szCs w:val="18"/>
                  <w:b w:val="1"/>
                  <w:bCs w:val="1"/>
                  <w:u w:val="single" w:color="auto"/>
                  <w:color w:val="0000FF"/>
                </w:rPr>
                <w:t>Item 1A. Risk Factors.</w:t>
              </w:r>
            </w:hyperlink>
          </w:p>
        </w:tc>
        <w:tc>
          <w:tcPr>
            <w:tcW w:w="88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31</w:t>
              </w:r>
            </w:hyperlink>
          </w:p>
        </w:tc>
        <w:tc>
          <w:tcPr>
            <w:tcW w:w="0" w:type="dxa"/>
            <w:vAlign w:val="bottom"/>
          </w:tcPr>
          <w:p>
            <w:pPr>
              <w:spacing w:after="0"/>
              <w:rPr>
                <w:sz w:val="1"/>
                <w:szCs w:val="1"/>
                <w:color w:val="auto"/>
              </w:rPr>
            </w:pPr>
          </w:p>
        </w:tc>
      </w:tr>
      <w:tr>
        <w:trPr>
          <w:trHeight w:val="229"/>
        </w:trPr>
        <w:tc>
          <w:tcPr>
            <w:tcW w:w="580" w:type="dxa"/>
            <w:vAlign w:val="bottom"/>
            <w:gridSpan w:val="3"/>
          </w:tcPr>
          <w:p>
            <w:pPr>
              <w:ind w:left="20"/>
              <w:spacing w:after="0"/>
              <w:rPr>
                <w:rFonts w:ascii="Arial" w:cs="Arial" w:eastAsia="Arial" w:hAnsi="Arial"/>
                <w:sz w:val="18"/>
                <w:szCs w:val="18"/>
                <w:b w:val="1"/>
                <w:bCs w:val="1"/>
                <w:u w:val="single" w:color="auto"/>
                <w:color w:val="0000FF"/>
                <w:w w:val="94"/>
              </w:rPr>
            </w:pPr>
            <w:hyperlink w:anchor="page33">
              <w:r>
                <w:rPr>
                  <w:rFonts w:ascii="Arial" w:cs="Arial" w:eastAsia="Arial" w:hAnsi="Arial"/>
                  <w:sz w:val="18"/>
                  <w:szCs w:val="18"/>
                  <w:b w:val="1"/>
                  <w:bCs w:val="1"/>
                  <w:u w:val="single" w:color="auto"/>
                  <w:color w:val="0000FF"/>
                  <w:w w:val="94"/>
                </w:rPr>
                <w:t>Item 2.</w:t>
              </w:r>
            </w:hyperlink>
          </w:p>
        </w:tc>
        <w:tc>
          <w:tcPr>
            <w:tcW w:w="9780" w:type="dxa"/>
            <w:vAlign w:val="bottom"/>
            <w:gridSpan w:val="14"/>
          </w:tcPr>
          <w:p>
            <w:pPr>
              <w:ind w:left="4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Unregistered Sales of Equity Securities and Use of Proceeds.</w:t>
              </w:r>
            </w:hyperlink>
          </w:p>
        </w:tc>
        <w:tc>
          <w:tcPr>
            <w:tcW w:w="88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32</w:t>
              </w:r>
            </w:hyperlink>
          </w:p>
        </w:tc>
        <w:tc>
          <w:tcPr>
            <w:tcW w:w="0" w:type="dxa"/>
            <w:vAlign w:val="bottom"/>
          </w:tcPr>
          <w:p>
            <w:pPr>
              <w:spacing w:after="0"/>
              <w:rPr>
                <w:sz w:val="1"/>
                <w:szCs w:val="1"/>
                <w:color w:val="auto"/>
              </w:rPr>
            </w:pPr>
          </w:p>
        </w:tc>
      </w:tr>
      <w:tr>
        <w:trPr>
          <w:trHeight w:val="234"/>
        </w:trPr>
        <w:tc>
          <w:tcPr>
            <w:tcW w:w="580" w:type="dxa"/>
            <w:vAlign w:val="bottom"/>
            <w:gridSpan w:val="3"/>
          </w:tcPr>
          <w:p>
            <w:pPr>
              <w:ind w:left="20"/>
              <w:spacing w:after="0"/>
              <w:rPr>
                <w:rFonts w:ascii="Arial" w:cs="Arial" w:eastAsia="Arial" w:hAnsi="Arial"/>
                <w:sz w:val="18"/>
                <w:szCs w:val="18"/>
                <w:b w:val="1"/>
                <w:bCs w:val="1"/>
                <w:u w:val="single" w:color="auto"/>
                <w:color w:val="0000FF"/>
                <w:w w:val="94"/>
              </w:rPr>
            </w:pPr>
            <w:hyperlink w:anchor="page33">
              <w:r>
                <w:rPr>
                  <w:rFonts w:ascii="Arial" w:cs="Arial" w:eastAsia="Arial" w:hAnsi="Arial"/>
                  <w:sz w:val="18"/>
                  <w:szCs w:val="18"/>
                  <w:b w:val="1"/>
                  <w:bCs w:val="1"/>
                  <w:u w:val="single" w:color="auto"/>
                  <w:color w:val="0000FF"/>
                  <w:w w:val="94"/>
                </w:rPr>
                <w:t>Item 6.</w:t>
              </w:r>
            </w:hyperlink>
          </w:p>
        </w:tc>
        <w:tc>
          <w:tcPr>
            <w:tcW w:w="9780" w:type="dxa"/>
            <w:vAlign w:val="bottom"/>
            <w:gridSpan w:val="14"/>
          </w:tcPr>
          <w:p>
            <w:pPr>
              <w:ind w:left="40"/>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u w:val="single" w:color="auto"/>
                  <w:color w:val="0000FF"/>
                </w:rPr>
                <w:t>Exhibits</w:t>
              </w:r>
              <w:r>
                <w:rPr>
                  <w:rFonts w:ascii="Arial" w:cs="Arial" w:eastAsia="Arial" w:hAnsi="Arial"/>
                  <w:sz w:val="18"/>
                  <w:szCs w:val="18"/>
                  <w:b w:val="1"/>
                  <w:bCs w:val="1"/>
                  <w:color w:val="0000FF"/>
                </w:rPr>
                <w:t>.</w:t>
              </w:r>
            </w:hyperlink>
          </w:p>
        </w:tc>
        <w:tc>
          <w:tcPr>
            <w:tcW w:w="88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33</w:t>
              </w:r>
            </w:hyperlink>
          </w:p>
        </w:tc>
        <w:tc>
          <w:tcPr>
            <w:tcW w:w="0" w:type="dxa"/>
            <w:vAlign w:val="bottom"/>
          </w:tcPr>
          <w:p>
            <w:pPr>
              <w:spacing w:after="0"/>
              <w:rPr>
                <w:sz w:val="1"/>
                <w:szCs w:val="1"/>
                <w:color w:val="auto"/>
              </w:rPr>
            </w:pPr>
          </w:p>
        </w:tc>
      </w:tr>
      <w:tr>
        <w:trPr>
          <w:trHeight w:val="500"/>
        </w:trPr>
        <w:tc>
          <w:tcPr>
            <w:tcW w:w="10360" w:type="dxa"/>
            <w:vAlign w:val="bottom"/>
            <w:gridSpan w:val="17"/>
          </w:tcPr>
          <w:p>
            <w:pPr>
              <w:ind w:left="20"/>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SIGNATURES</w:t>
              </w:r>
            </w:hyperlink>
          </w:p>
        </w:tc>
        <w:tc>
          <w:tcPr>
            <w:tcW w:w="88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c>
          <w:tcPr>
            <w:tcW w:w="0" w:type="dxa"/>
            <w:vAlign w:val="bottom"/>
          </w:tcPr>
          <w:p>
            <w:pPr>
              <w:spacing w:after="0"/>
              <w:rPr>
                <w:sz w:val="1"/>
                <w:szCs w:val="1"/>
                <w:color w:val="auto"/>
              </w:rPr>
            </w:pPr>
          </w:p>
        </w:tc>
      </w:tr>
      <w:tr>
        <w:trPr>
          <w:trHeight w:val="1093"/>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40" w:type="dxa"/>
            <w:vAlign w:val="bottom"/>
            <w:gridSpan w:val="7"/>
          </w:tcPr>
          <w:p>
            <w:pPr>
              <w:ind w:left="500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 2021</w:t>
            </w:r>
          </w:p>
        </w:tc>
        <w:tc>
          <w:tcPr>
            <w:tcW w:w="220" w:type="dxa"/>
            <w:vAlign w:val="bottom"/>
          </w:tcPr>
          <w:p>
            <w:pPr>
              <w:spacing w:after="0"/>
              <w:rPr>
                <w:sz w:val="16"/>
                <w:szCs w:val="16"/>
                <w:color w:val="auto"/>
              </w:rPr>
            </w:pPr>
          </w:p>
        </w:tc>
        <w:tc>
          <w:tcPr>
            <w:tcW w:w="1420" w:type="dxa"/>
            <w:vAlign w:val="bottom"/>
          </w:tcPr>
          <w:p>
            <w:pPr>
              <w:jc w:val="right"/>
              <w:ind w:right="251"/>
              <w:spacing w:after="0"/>
              <w:rPr>
                <w:sz w:val="20"/>
                <w:szCs w:val="20"/>
                <w:color w:val="auto"/>
              </w:rPr>
            </w:pPr>
            <w:r>
              <w:rPr>
                <w:rFonts w:ascii="Arial" w:cs="Arial" w:eastAsia="Arial" w:hAnsi="Arial"/>
                <w:sz w:val="14"/>
                <w:szCs w:val="14"/>
                <w:b w:val="1"/>
                <w:bCs w:val="1"/>
                <w:color w:val="auto"/>
              </w:rPr>
              <w:t>March 28, 2020</w:t>
            </w:r>
          </w:p>
        </w:tc>
        <w:tc>
          <w:tcPr>
            <w:tcW w:w="0" w:type="dxa"/>
            <w:vAlign w:val="bottom"/>
          </w:tcPr>
          <w:p>
            <w:pPr>
              <w:spacing w:after="0"/>
              <w:rPr>
                <w:sz w:val="1"/>
                <w:szCs w:val="1"/>
                <w:color w:val="auto"/>
              </w:rPr>
            </w:pPr>
          </w:p>
        </w:tc>
      </w:tr>
      <w:tr>
        <w:trPr>
          <w:trHeight w:val="216"/>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1,234,415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714,939</w:t>
            </w:r>
          </w:p>
        </w:tc>
        <w:tc>
          <w:tcPr>
            <w:tcW w:w="0" w:type="dxa"/>
            <w:vAlign w:val="bottom"/>
          </w:tcPr>
          <w:p>
            <w:pPr>
              <w:spacing w:after="0"/>
              <w:rPr>
                <w:sz w:val="1"/>
                <w:szCs w:val="1"/>
                <w:color w:val="auto"/>
              </w:rPr>
            </w:pPr>
          </w:p>
        </w:tc>
      </w:tr>
      <w:tr>
        <w:trPr>
          <w:trHeight w:val="176"/>
        </w:trPr>
        <w:tc>
          <w:tcPr>
            <w:tcW w:w="7800" w:type="dxa"/>
            <w:vAlign w:val="bottom"/>
          </w:tcPr>
          <w:p>
            <w:pPr>
              <w:ind w:left="360"/>
              <w:spacing w:after="0" w:line="176" w:lineRule="exact"/>
              <w:rPr>
                <w:sz w:val="20"/>
                <w:szCs w:val="20"/>
                <w:color w:val="auto"/>
              </w:rPr>
            </w:pPr>
            <w:r>
              <w:rPr>
                <w:rFonts w:ascii="Arial" w:cs="Arial" w:eastAsia="Arial" w:hAnsi="Arial"/>
                <w:sz w:val="18"/>
                <w:szCs w:val="18"/>
                <w:color w:val="auto"/>
                <w:w w:val="94"/>
              </w:rPr>
              <w:t>Accounts receivable, net of allowance of $560 and $55 as of January 2, 2021 and March 28, 2020,</w:t>
            </w: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507,078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367,172</w:t>
            </w:r>
          </w:p>
        </w:tc>
        <w:tc>
          <w:tcPr>
            <w:tcW w:w="0" w:type="dxa"/>
            <w:vAlign w:val="bottom"/>
          </w:tcPr>
          <w:p>
            <w:pPr>
              <w:spacing w:after="0"/>
              <w:rPr>
                <w:sz w:val="1"/>
                <w:szCs w:val="1"/>
                <w:color w:val="auto"/>
              </w:rPr>
            </w:pPr>
          </w:p>
        </w:tc>
      </w:tr>
      <w:tr>
        <w:trPr>
          <w:trHeight w:val="229"/>
        </w:trPr>
        <w:tc>
          <w:tcPr>
            <w:tcW w:w="780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517,198</w:t>
            </w:r>
          </w:p>
        </w:tc>
        <w:tc>
          <w:tcPr>
            <w:tcW w:w="0" w:type="dxa"/>
            <w:vAlign w:val="bottom"/>
          </w:tcPr>
          <w:p>
            <w:pPr>
              <w:spacing w:after="0"/>
              <w:rPr>
                <w:sz w:val="1"/>
                <w:szCs w:val="1"/>
                <w:color w:val="auto"/>
              </w:rPr>
            </w:pP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42,793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37,872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15,016</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38,305</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2,322,257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1,690,502</w:t>
            </w:r>
          </w:p>
        </w:tc>
        <w:tc>
          <w:tcPr>
            <w:tcW w:w="0" w:type="dxa"/>
            <w:vAlign w:val="bottom"/>
          </w:tcPr>
          <w:p>
            <w:pPr>
              <w:spacing w:after="0"/>
              <w:rPr>
                <w:sz w:val="1"/>
                <w:szCs w:val="1"/>
                <w:color w:val="auto"/>
              </w:rPr>
            </w:pPr>
          </w:p>
        </w:tc>
      </w:tr>
      <w:tr>
        <w:trPr>
          <w:trHeight w:val="176"/>
        </w:trPr>
        <w:tc>
          <w:tcPr>
            <w:tcW w:w="7800" w:type="dxa"/>
            <w:vAlign w:val="bottom"/>
          </w:tcPr>
          <w:p>
            <w:pPr>
              <w:ind w:left="20"/>
              <w:spacing w:after="0" w:line="176" w:lineRule="exact"/>
              <w:rPr>
                <w:sz w:val="20"/>
                <w:szCs w:val="20"/>
                <w:color w:val="auto"/>
              </w:rPr>
            </w:pPr>
            <w:r>
              <w:rPr>
                <w:rFonts w:ascii="Arial" w:cs="Arial" w:eastAsia="Arial" w:hAnsi="Arial"/>
                <w:sz w:val="18"/>
                <w:szCs w:val="18"/>
                <w:color w:val="auto"/>
                <w:w w:val="92"/>
              </w:rPr>
              <w:t>Property and equipment, net of accumulated depreciation of $1,519,829 and $1,415,397 as of January 2,</w:t>
            </w: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1,232,374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1,259,203</w:t>
            </w:r>
          </w:p>
        </w:tc>
        <w:tc>
          <w:tcPr>
            <w:tcW w:w="0" w:type="dxa"/>
            <w:vAlign w:val="bottom"/>
          </w:tcPr>
          <w:p>
            <w:pPr>
              <w:spacing w:after="0"/>
              <w:rPr>
                <w:sz w:val="1"/>
                <w:szCs w:val="1"/>
                <w:color w:val="auto"/>
              </w:rPr>
            </w:pP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2021 and March 28, 2020, respectively</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2,650,912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2,614,274</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656,239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808,892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22,515</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165,296</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7,041,378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6,560,682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301,576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246,954</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217,801</w:t>
            </w:r>
          </w:p>
        </w:tc>
        <w:tc>
          <w:tcPr>
            <w:tcW w:w="0" w:type="dxa"/>
            <w:vAlign w:val="bottom"/>
          </w:tcPr>
          <w:p>
            <w:pPr>
              <w:spacing w:after="0"/>
              <w:rPr>
                <w:sz w:val="1"/>
                <w:szCs w:val="1"/>
                <w:color w:val="auto"/>
              </w:rPr>
            </w:pP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6,893</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67,355</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613,898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539,003</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1,743,794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1,567,231</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179,985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161,783</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2,537,677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2,268,017</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(Note 9)</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w w:val="99"/>
              </w:rPr>
              <w:t>Preferred stock, $.0001 par value; 5,000 shares authorized; no shares issued and outstanding</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Common stock and additional paid-in capital, $.0001 par value; 405,000 shares authorized; 113,299</w:t>
            </w: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4,262,883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4,290,377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and 114,625 shares issued and outstanding at January 2, 2021 and March 28, 2020, respectively</w:t>
            </w:r>
          </w:p>
        </w:tc>
        <w:tc>
          <w:tcPr>
            <w:tcW w:w="2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net of tax</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47,489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4,503,701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4,292,665</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7,041,378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6,560,682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3140" w:type="dxa"/>
            <w:vAlign w:val="bottom"/>
            <w:gridSpan w:val="4"/>
          </w:tcPr>
          <w:p>
            <w:pPr>
              <w:jc w:val="right"/>
              <w:ind w:right="971"/>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44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2, 2021</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December 28, 2019</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2, 2021</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December 28, 2019</w:t>
            </w:r>
          </w:p>
        </w:tc>
      </w:tr>
      <w:tr>
        <w:trPr>
          <w:trHeight w:val="224"/>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1,094,834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2,942,577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2,451,369</w:t>
            </w:r>
          </w:p>
        </w:tc>
      </w:tr>
      <w:tr>
        <w:trPr>
          <w:trHeight w:val="22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557,082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1,587,486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1,465,387</w:t>
            </w:r>
          </w:p>
        </w:tc>
      </w:tr>
      <w:tr>
        <w:trPr>
          <w:trHeight w:val="223"/>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985,982</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357,385</w:t>
            </w: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93,139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81,205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289,115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258,458</w:t>
            </w: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49,077</w:t>
            </w:r>
          </w:p>
        </w:tc>
      </w:tr>
      <w:tr>
        <w:trPr>
          <w:trHeight w:val="22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741,532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664,920</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321,062</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(59,788)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(41,457)</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w:t>
            </w:r>
          </w:p>
        </w:tc>
      </w:tr>
      <w:tr>
        <w:trPr>
          <w:trHeight w:val="22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42,737</w:t>
            </w:r>
          </w:p>
        </w:tc>
      </w:tr>
      <w:tr>
        <w:trPr>
          <w:trHeight w:val="250"/>
        </w:trPr>
        <w:tc>
          <w:tcPr>
            <w:tcW w:w="4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223,516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183,191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520,594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330,454</w:t>
            </w:r>
          </w:p>
        </w:tc>
      </w:tr>
      <w:tr>
        <w:trPr>
          <w:trHeight w:val="270"/>
        </w:trPr>
        <w:tc>
          <w:tcPr>
            <w:tcW w:w="4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2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(46,519)</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283,935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8"/>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Weighted average shares of common stock outstanding:</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113,811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116,129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117,436</w:t>
            </w: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119,712</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3140" w:type="dxa"/>
            <w:vAlign w:val="bottom"/>
            <w:gridSpan w:val="4"/>
          </w:tcPr>
          <w:p>
            <w:pPr>
              <w:jc w:val="right"/>
              <w:ind w:right="9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2, 2021</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December 28, 2019</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January 2, 2021</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December 28, 2019</w:t>
            </w:r>
          </w:p>
        </w:tc>
        <w:tc>
          <w:tcPr>
            <w:tcW w:w="0" w:type="dxa"/>
            <w:vAlign w:val="bottom"/>
          </w:tcPr>
          <w:p>
            <w:pPr>
              <w:spacing w:after="0"/>
              <w:rPr>
                <w:sz w:val="1"/>
                <w:szCs w:val="1"/>
                <w:color w:val="auto"/>
              </w:rPr>
            </w:pPr>
          </w:p>
        </w:tc>
      </w:tr>
      <w:tr>
        <w:trPr>
          <w:trHeight w:val="224"/>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161,356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283,935</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Foreign currency translation adjustment, including intra-</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6"/>
              </w:rPr>
              <w:t>entity foreign currency transactions that are of a long-</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45,125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term investment nature</w:t>
            </w: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Reclassification adjustments, net of tax:</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Foreign currency loss realized upon liquidation of</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subsidiary</w:t>
            </w: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Amortization of pension actuarial loss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162,171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283,716</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Accumulated Other</w:t>
            </w: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Retained Earnings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2"/>
            <w:vMerge w:val="restart"/>
          </w:tcPr>
          <w:p>
            <w:pPr>
              <w:jc w:val="center"/>
              <w:ind w:right="30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5"/>
                <w:szCs w:val="5"/>
                <w:color w:val="auto"/>
              </w:rPr>
            </w:pPr>
          </w:p>
        </w:tc>
        <w:tc>
          <w:tcPr>
            <w:tcW w:w="1280" w:type="dxa"/>
            <w:vAlign w:val="bottom"/>
            <w:gridSpan w:val="2"/>
            <w:vMerge w:val="restart"/>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(Accumulated</w:t>
            </w: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4"/>
                <w:szCs w:val="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6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Deficit)</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October 3,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114,111</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4,267,987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26,616</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112,563</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4,407,166</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201,035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201,035</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0" w:type="dxa"/>
            <w:vAlign w:val="bottom"/>
          </w:tcPr>
          <w:p>
            <w:pPr>
              <w:spacing w:after="0"/>
              <w:rPr>
                <w:sz w:val="1"/>
                <w:szCs w:val="1"/>
                <w:color w:val="auto"/>
              </w:rPr>
            </w:pPr>
          </w:p>
        </w:tc>
      </w:tr>
      <w:tr>
        <w:trPr>
          <w:trHeight w:val="176"/>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for employee taxes</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Issuance of common stock in connection with</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15,608</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15,608</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(1,063)</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(39,754)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(120,269)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(160,023)</w:t>
            </w:r>
          </w:p>
        </w:tc>
        <w:tc>
          <w:tcPr>
            <w:tcW w:w="0" w:type="dxa"/>
            <w:vAlign w:val="bottom"/>
          </w:tcPr>
          <w:p>
            <w:pPr>
              <w:spacing w:after="0"/>
              <w:rPr>
                <w:sz w:val="1"/>
                <w:szCs w:val="1"/>
                <w:color w:val="auto"/>
              </w:rPr>
            </w:pP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18,670</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Balance, January 2, 2021</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113,299</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4,262,883</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47,489</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193,329</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4,503,701</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Balance, September 28, 2019</w:t>
            </w:r>
          </w:p>
        </w:tc>
        <w:tc>
          <w:tcPr>
            <w:tcW w:w="1320" w:type="dxa"/>
            <w:vAlign w:val="bottom"/>
          </w:tcPr>
          <w:p>
            <w:pPr>
              <w:jc w:val="right"/>
              <w:spacing w:after="0"/>
              <w:rPr>
                <w:sz w:val="20"/>
                <w:szCs w:val="20"/>
                <w:color w:val="auto"/>
              </w:rPr>
            </w:pPr>
            <w:r>
              <w:rPr>
                <w:rFonts w:ascii="Arial" w:cs="Arial" w:eastAsia="Arial" w:hAnsi="Arial"/>
                <w:sz w:val="18"/>
                <w:szCs w:val="18"/>
                <w:color w:val="auto"/>
              </w:rPr>
              <w:t>116,294</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4,471,656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(7,658)</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(198,504)</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4,265,494</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161,356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161,356</w:t>
            </w:r>
          </w:p>
        </w:tc>
        <w:tc>
          <w:tcPr>
            <w:tcW w:w="0" w:type="dxa"/>
            <w:vAlign w:val="bottom"/>
          </w:tcPr>
          <w:p>
            <w:pPr>
              <w:spacing w:after="0"/>
              <w:rPr>
                <w:sz w:val="1"/>
                <w:szCs w:val="1"/>
                <w:color w:val="auto"/>
              </w:rPr>
            </w:pPr>
          </w:p>
        </w:tc>
      </w:tr>
      <w:tr>
        <w:trPr>
          <w:trHeight w:val="229"/>
        </w:trPr>
        <w:tc>
          <w:tcPr>
            <w:tcW w:w="376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 employee taxes</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w w:val="93"/>
              </w:rPr>
              <w:t>Issuance of common stock in connection with</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13,710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13,710</w:t>
            </w:r>
          </w:p>
        </w:tc>
        <w:tc>
          <w:tcPr>
            <w:tcW w:w="0" w:type="dxa"/>
            <w:vAlign w:val="bottom"/>
          </w:tcPr>
          <w:p>
            <w:pPr>
              <w:spacing w:after="0"/>
              <w:rPr>
                <w:sz w:val="1"/>
                <w:szCs w:val="1"/>
                <w:color w:val="auto"/>
              </w:rPr>
            </w:pP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(125,012)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(125,012)</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12,864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12,864</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28, 2019</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115,738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4,383,368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4,339,377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Accumulated Other</w:t>
            </w: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Retained Earnings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2"/>
            <w:vMerge w:val="restart"/>
          </w:tcPr>
          <w:p>
            <w:pPr>
              <w:jc w:val="center"/>
              <w:ind w:right="30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5"/>
                <w:szCs w:val="5"/>
                <w:color w:val="auto"/>
              </w:rPr>
            </w:pPr>
          </w:p>
        </w:tc>
        <w:tc>
          <w:tcPr>
            <w:tcW w:w="1280" w:type="dxa"/>
            <w:vAlign w:val="bottom"/>
            <w:gridSpan w:val="2"/>
            <w:vMerge w:val="restart"/>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(Accumulated</w:t>
            </w: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w:t>
            </w:r>
          </w:p>
        </w:tc>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4"/>
                <w:szCs w:val="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6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Deficit)</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March 28,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114,625</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4,290,377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4,292,665</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434,874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434,874</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45,201</w:t>
            </w:r>
          </w:p>
        </w:tc>
        <w:tc>
          <w:tcPr>
            <w:tcW w:w="0" w:type="dxa"/>
            <w:vAlign w:val="bottom"/>
          </w:tcPr>
          <w:p>
            <w:pPr>
              <w:spacing w:after="0"/>
              <w:rPr>
                <w:sz w:val="1"/>
                <w:szCs w:val="1"/>
                <w:color w:val="auto"/>
              </w:rPr>
            </w:pPr>
          </w:p>
        </w:tc>
      </w:tr>
      <w:tr>
        <w:trPr>
          <w:trHeight w:val="176"/>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(31,999)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(31,999)</w:t>
            </w:r>
          </w:p>
        </w:tc>
        <w:tc>
          <w:tcPr>
            <w:tcW w:w="0" w:type="dxa"/>
            <w:vAlign w:val="bottom"/>
          </w:tcPr>
          <w:p>
            <w:pPr>
              <w:spacing w:after="0"/>
              <w:rPr>
                <w:sz w:val="1"/>
                <w:szCs w:val="1"/>
                <w:color w:val="auto"/>
              </w:rPr>
            </w:pP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for employee taxes</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Issuance of common stock in connection with</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31,366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31,366</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360"/>
              <w:spacing w:after="0"/>
              <w:rPr>
                <w:sz w:val="20"/>
                <w:szCs w:val="20"/>
                <w:color w:val="auto"/>
              </w:rPr>
            </w:pPr>
            <w:r>
              <w:rPr>
                <w:rFonts w:ascii="Arial" w:cs="Arial" w:eastAsia="Arial" w:hAnsi="Arial"/>
                <w:sz w:val="18"/>
                <w:szCs w:val="18"/>
                <w:color w:val="auto"/>
                <w:w w:val="97"/>
              </w:rPr>
              <w:t>Cumulative-effect adoption of ASU 2016-13</w:t>
            </w: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(98,584)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(241,487)</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(340,071)</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71,723</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Balance, January 2, 2021</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113,299</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4,262,883</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47,489</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193,329</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4,503,701</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Balance, March 30, 2019</w:t>
            </w:r>
          </w:p>
        </w:tc>
        <w:tc>
          <w:tcPr>
            <w:tcW w:w="1320" w:type="dxa"/>
            <w:vAlign w:val="bottom"/>
          </w:tcPr>
          <w:p>
            <w:pPr>
              <w:jc w:val="right"/>
              <w:spacing w:after="0"/>
              <w:rPr>
                <w:sz w:val="20"/>
                <w:szCs w:val="20"/>
                <w:color w:val="auto"/>
              </w:rPr>
            </w:pPr>
            <w:r>
              <w:rPr>
                <w:rFonts w:ascii="Arial" w:cs="Arial" w:eastAsia="Arial" w:hAnsi="Arial"/>
                <w:sz w:val="18"/>
                <w:szCs w:val="18"/>
                <w:color w:val="auto"/>
              </w:rPr>
              <w:t>119,063</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4,687,455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(6,624)</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(321,152)</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4,359,679</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283,935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283,935</w:t>
            </w:r>
          </w:p>
        </w:tc>
        <w:tc>
          <w:tcPr>
            <w:tcW w:w="0" w:type="dxa"/>
            <w:vAlign w:val="bottom"/>
          </w:tcPr>
          <w:p>
            <w:pPr>
              <w:spacing w:after="0"/>
              <w:rPr>
                <w:sz w:val="1"/>
                <w:szCs w:val="1"/>
                <w:color w:val="auto"/>
              </w:rPr>
            </w:pPr>
          </w:p>
        </w:tc>
      </w:tr>
      <w:tr>
        <w:trPr>
          <w:trHeight w:val="229"/>
        </w:trPr>
        <w:tc>
          <w:tcPr>
            <w:tcW w:w="376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 employee taxes</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w w:val="93"/>
              </w:rPr>
              <w:t>Issuance of common stock in connection with</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28,658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28,658</w:t>
            </w:r>
          </w:p>
        </w:tc>
        <w:tc>
          <w:tcPr>
            <w:tcW w:w="0" w:type="dxa"/>
            <w:vAlign w:val="bottom"/>
          </w:tcPr>
          <w:p>
            <w:pPr>
              <w:spacing w:after="0"/>
              <w:rPr>
                <w:sz w:val="1"/>
                <w:szCs w:val="1"/>
                <w:color w:val="auto"/>
              </w:rPr>
            </w:pPr>
          </w:p>
        </w:tc>
      </w:tr>
      <w:tr>
        <w:trPr>
          <w:trHeight w:val="229"/>
        </w:trPr>
        <w:tc>
          <w:tcPr>
            <w:tcW w:w="376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Cumulative-effect adoption of ASU 2016-02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75"/>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(5,104)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(390,117)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(390,117)</w:t>
            </w:r>
          </w:p>
        </w:tc>
        <w:tc>
          <w:tcPr>
            <w:tcW w:w="0" w:type="dxa"/>
            <w:vAlign w:val="bottom"/>
          </w:tcPr>
          <w:p>
            <w:pPr>
              <w:spacing w:after="0"/>
              <w:rPr>
                <w:sz w:val="1"/>
                <w:szCs w:val="1"/>
                <w:color w:val="auto"/>
              </w:rPr>
            </w:pP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62,831</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Balance, December 28, 2019</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115,738</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4,383,368</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(6,843)</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(37,148)</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4,339,377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 2021</w:t>
            </w:r>
          </w:p>
        </w:tc>
        <w:tc>
          <w:tcPr>
            <w:tcW w:w="160" w:type="dxa"/>
            <w:vAlign w:val="bottom"/>
          </w:tcPr>
          <w:p>
            <w:pPr>
              <w:spacing w:after="0"/>
              <w:rPr>
                <w:sz w:val="16"/>
                <w:szCs w:val="16"/>
                <w:color w:val="auto"/>
              </w:rPr>
            </w:pPr>
          </w:p>
        </w:tc>
        <w:tc>
          <w:tcPr>
            <w:tcW w:w="148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28, 2019</w:t>
            </w:r>
          </w:p>
        </w:tc>
      </w:tr>
      <w:tr>
        <w:trPr>
          <w:trHeight w:val="211"/>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434,874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283,935</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152,337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172,314</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amortization</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177,930</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61,991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Gain on Cavendish investment</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(43,008)</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62,210</w:t>
            </w: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18,111</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(140,054)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(25,166)</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44,863</w:t>
            </w: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2,942</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41,723</w:t>
            </w: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Income taxes payable and receivable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3,917</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898,924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731,251</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(109,505)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(129,004)</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businesses, net of cash acquired</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(494,783)</w:t>
            </w: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Proceeds from sales of available-for-sale debt securities</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1,950</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(141,297)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(623,100)</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Payment of debt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(1,086,744)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borrowings and debt issuances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659,000</w:t>
            </w: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Repurchase of common stock, including transaction costs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(340,071)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(390,117)</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issuance of common stock</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37,530</w:t>
            </w: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(37,069)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(21,013)</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279,148</w:t>
            </w:r>
          </w:p>
        </w:tc>
      </w:tr>
      <w:tr>
        <w:trPr>
          <w:trHeight w:val="196"/>
        </w:trPr>
        <w:tc>
          <w:tcPr>
            <w:tcW w:w="7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386,798</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715,612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711,382</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1,234,920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1,098,180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information:</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Capital expenditure adjustments included in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45,592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26,152</w:t>
            </w:r>
          </w:p>
        </w:tc>
      </w:tr>
      <w:tr>
        <w:trPr>
          <w:trHeight w:val="216"/>
        </w:trPr>
        <w:tc>
          <w:tcPr>
            <w:tcW w:w="7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1,234,415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1,097,724</w:t>
            </w:r>
          </w:p>
        </w:tc>
      </w:tr>
      <w:tr>
        <w:trPr>
          <w:trHeight w:val="230"/>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cash included in "Other current assets" and "Other non-current assets"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1,234,920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1,098,180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5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28, 2020.</w:t>
      </w:r>
    </w:p>
    <w:p>
      <w:pPr>
        <w:spacing w:after="0" w:line="20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 Certain items in the fiscal 2020 financial statements have been reclassified to conform with the fiscal 2021 presentation.</w:t>
      </w:r>
    </w:p>
    <w:p>
      <w:pPr>
        <w:spacing w:after="0" w:line="21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2020 was a 52-week year and fiscal 2021 is a 53-week year with the additional week included in the second fiscal quarter ended October 3,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5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assesses recently issued accounting standards by the Financial Accounting Standards Board ("FASB") to determine the expected impacts on the Company's financial statements. The summary below describes impacts from newly issued standards as well as material updates to our previous assessments, if any, from Qorvo’s Annual Report on Form 10-K for the fiscal year ended March 28, 2020.</w:t>
      </w:r>
    </w:p>
    <w:p>
      <w:pPr>
        <w:spacing w:after="0" w:line="21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June 2016, the FASB issued Accounting Standards Update ("ASU") 2016-13, "</w:t>
      </w:r>
      <w:r>
        <w:rPr>
          <w:rFonts w:ascii="Arial" w:cs="Arial" w:eastAsia="Arial" w:hAnsi="Arial"/>
          <w:sz w:val="16"/>
          <w:szCs w:val="16"/>
          <w:i w:val="1"/>
          <w:iCs w:val="1"/>
          <w:color w:val="auto"/>
        </w:rPr>
        <w:t>Financial Instruments-Credit Losses (Topic 326):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on Financial Instruments</w:t>
      </w:r>
      <w:r>
        <w:rPr>
          <w:rFonts w:ascii="Arial" w:cs="Arial" w:eastAsia="Arial" w:hAnsi="Arial"/>
          <w:sz w:val="16"/>
          <w:szCs w:val="16"/>
          <w:color w:val="auto"/>
        </w:rPr>
        <w:t>," which requires a current lifetime expected credit loss methodology to be used to measure impairments of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and other financial assets. Using this methodology will result in earlier recognition of losses than under the previous incurred loss approach, which requires waiting to recognize a loss until it is probable of being incurred. The Company adopted this standard using the modified retrospective transition method, in the first quarter of fiscal 2021, which resulted in a cumulative-effect adjustment to retained earnings of less than $0.1 million.</w:t>
      </w:r>
    </w:p>
    <w:p>
      <w:pPr>
        <w:spacing w:after="0" w:line="188"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Under this new standard, the Company's trade receivables are now evaluated on a collective (pool) basis and aggregated on the basis of similar risk characteristics. These aggregated risk pools will be reassessed at each measurement date. A combination of factors is considered in determining the appropriate estimate of expected credit losses which include broad-based economic indicators as well as customers' financial strength, credit standing, payment history and any historical defaults. The adoption of this standard did not have a material impact on the Company's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 2021</w:t>
            </w:r>
          </w:p>
        </w:tc>
        <w:tc>
          <w:tcPr>
            <w:tcW w:w="220" w:type="dxa"/>
            <w:vAlign w:val="bottom"/>
          </w:tcPr>
          <w:p>
            <w:pPr>
              <w:spacing w:after="0"/>
              <w:rPr>
                <w:sz w:val="16"/>
                <w:szCs w:val="16"/>
                <w:color w:val="auto"/>
              </w:rPr>
            </w:pPr>
          </w:p>
        </w:tc>
        <w:tc>
          <w:tcPr>
            <w:tcW w:w="1420" w:type="dxa"/>
            <w:vAlign w:val="bottom"/>
          </w:tcPr>
          <w:p>
            <w:pPr>
              <w:jc w:val="right"/>
              <w:ind w:right="254"/>
              <w:spacing w:after="0"/>
              <w:rPr>
                <w:sz w:val="20"/>
                <w:szCs w:val="20"/>
                <w:color w:val="auto"/>
              </w:rPr>
            </w:pPr>
            <w:r>
              <w:rPr>
                <w:rFonts w:ascii="Arial" w:cs="Arial" w:eastAsia="Arial" w:hAnsi="Arial"/>
                <w:sz w:val="14"/>
                <w:szCs w:val="14"/>
                <w:b w:val="1"/>
                <w:bCs w:val="1"/>
                <w:color w:val="auto"/>
              </w:rPr>
              <w:t>March 28, 2020</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126,695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270,562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291,028</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82,083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113,499</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479,340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517,198</w:t>
            </w: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ACQUISITIONS</w:t>
      </w:r>
    </w:p>
    <w:p>
      <w:pPr>
        <w:spacing w:after="0" w:line="25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the second quarter of fiscal 2021, the Company completed the acquisition of 7Hugs Labs S.A.S. ("7Hugs"). During fiscal 2020, the Company completed the acquisitions of Decawave Limited ("Decawave"), Custom MMIC Design Services, Inc. ("Custom MMIC"), Cavendish Kinetics Limited ("Cavendish") and Active-Semi International, Inc. ("Active-Semi"). The operating results of these companies have been included in the Company's consolidated financial statements as of the acquisition dates.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7Hugs Labs S.A.S.</w:t>
      </w:r>
    </w:p>
    <w:p>
      <w:pPr>
        <w:spacing w:after="0" w:line="25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October 1, 2020, the Company acquired all of the outstanding equity interests of 7Hugs, a private developer of ultra-wide band ("UWB") software and solutions, for a total purchase price of $48.7 million, including cash acquired of $1.0 million. The acquisition expands the Company's product offerings and is expected to support the ongoing development and adoption of UWB products and solutions.</w:t>
      </w:r>
    </w:p>
    <w:p>
      <w:pPr>
        <w:spacing w:after="0" w:line="211" w:lineRule="exact"/>
        <w:rPr>
          <w:sz w:val="20"/>
          <w:szCs w:val="20"/>
          <w:color w:val="auto"/>
        </w:rPr>
      </w:pPr>
    </w:p>
    <w:p>
      <w:pPr>
        <w:ind w:right="180"/>
        <w:spacing w:after="0" w:line="308" w:lineRule="auto"/>
        <w:rPr>
          <w:sz w:val="20"/>
          <w:szCs w:val="20"/>
          <w:color w:val="auto"/>
        </w:rPr>
      </w:pPr>
      <w:r>
        <w:rPr>
          <w:rFonts w:ascii="Arial" w:cs="Arial" w:eastAsia="Arial" w:hAnsi="Arial"/>
          <w:sz w:val="16"/>
          <w:szCs w:val="16"/>
          <w:color w:val="auto"/>
        </w:rPr>
        <w:t>The purchase price was allocated to 7Hugs' net tangible liabilities (approximately $5.4 million, which includes debt assumed), deferred tax liability (approximately $8.2 million) and an intangible asset (approximately $40.1 million, entirely related to developed technology) based on their estimated fair</w:t>
      </w:r>
    </w:p>
    <w:p>
      <w:pPr>
        <w:spacing w:after="0"/>
        <w:rPr>
          <w:sz w:val="20"/>
          <w:szCs w:val="20"/>
          <w:color w:val="auto"/>
        </w:rPr>
      </w:pPr>
      <w:r>
        <w:rPr>
          <w:rFonts w:ascii="Arial" w:cs="Arial" w:eastAsia="Arial" w:hAnsi="Arial"/>
          <w:sz w:val="16"/>
          <w:szCs w:val="16"/>
          <w:color w:val="auto"/>
        </w:rPr>
        <w:t>values. The fair value of the developed technology was determined based on an income approach using the "relief from royalty method," which estimated</w:t>
      </w:r>
    </w:p>
    <w:p>
      <w:pPr>
        <w:spacing w:after="0" w:line="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value by discounting the royalties avoided by acquiring the technology to present value as of the valuation date. The acquired developed technology asset is being amortized on a straight-line basis over the estimated useful life of 10 years. The excess of the purchase price over the value of the net tangible liabilities, deferred tax liability and intangible asset resulted in goodwill of approximately $22.2 million.</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purchase price allocation includes net adjustments of approximately $3.7 million recorded in the third quarter of fiscal 2021. The Company will continue to evaluate certain assets, liabilities and tax estimates over the measurement period (up to one year from the acquisition date). During the three and nine months ended January 2, 2021, the Company recorded acquisition and integration costs associated with the acquisition of 7Hugs of $0.7 million and $2.1 million, respectively, in "Other operating expense" in the Condensed Consolidated Statements of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Decawave Limited</w:t>
      </w:r>
    </w:p>
    <w:p>
      <w:pPr>
        <w:spacing w:after="0" w:line="252"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On February 21, 2020, the Company acquired all of the outstanding equity interests of Decawave, a pioneer in UWB technology and provider of UWB solutions for mobile, automotive and Internet of Things ("IoT") applications, for a total purchase price of $372.2 million. The acquisition expands the Company's product and technology offerings that enable real-time, highly accurate and reliable local area precision-location services.</w:t>
      </w:r>
    </w:p>
    <w:p>
      <w:pPr>
        <w:spacing w:after="0" w:line="1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nine months ended January 2, 2021, the Company recognized a decrease to goodwill of approximately $3.1 million as a result of purchase price allocation adjustments. The Company will continue to evaluate certain assets, liabilities, and tax estimates over the measurement period (up to one year from the acquisition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 MMIC Design Services, Inc.</w:t>
      </w:r>
    </w:p>
    <w:p>
      <w:pPr>
        <w:spacing w:after="0" w:line="2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February 6, 2020, the Company acquired all of the outstanding equity interests of Custom MMIC, a supplier of high-performance gallium arsenide ("GaAs") and gallium nitride ("GaN") monolithic microwave integrated circuits ("MMICs") for defense and commercial applications, for a total purchase price of $91.7 million. The acquisition expands the Company's millimeter wave ("mmWave") capabilities in defense and commercial markets. On the acquisition date, the purchase price was comprised of cash consideration of $86.0 million and contingent consideration of $5.7 million (based on estimated fair value). The contingent consideration will be payable to the sellers in the first quarter of fiscal 2022 if certain revenue targets are attained over a one-year period from the acquisition date for a maximum amount payable of $10.0 million. The contingent consideration liability is included in "Accrued liabilities" and remeasured to fair value with changes recognized in "Other operating expense." The fair value of the contingent consideration liability as of January 2, 2021 was equal to the maximum amount payable of $10.0 million as a result of achieving revenue targets. See Note 6 for further information related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nine months ended January 2, 2021, the Company recognized a decrease to goodwill of approximately $0.6 million as a result of purchase price allocation adjustments. The Company will continue to evaluate certain assets, liabilities, and tax estimates over the measurement period (up to one year from the acquisition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Cavendish Kinetics Limited</w:t>
      </w:r>
    </w:p>
    <w:p>
      <w:pPr>
        <w:spacing w:after="0" w:line="252"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 xml:space="preserve">As of September 28, 2019, the Company had an investment in preferred shares in Cavendish, a private supplier of high-performance radio frequency ("RF") microelectromechanical system ("MEMS") technology for antenna tuning applications, with a carrying value of $59.4 million. The Company accounted for this investment as an equity investment without a readily determinable fair value using the measurement alternative in accordance with Accounting Standards Codification ("ASC") 321, </w:t>
      </w:r>
      <w:r>
        <w:rPr>
          <w:rFonts w:ascii="Arial" w:cs="Arial" w:eastAsia="Arial" w:hAnsi="Arial"/>
          <w:sz w:val="18"/>
          <w:szCs w:val="18"/>
          <w:i w:val="1"/>
          <w:iCs w:val="1"/>
          <w:color w:val="auto"/>
        </w:rPr>
        <w:t>"Investments-Equity Securities."</w:t>
      </w:r>
    </w:p>
    <w:p>
      <w:pPr>
        <w:spacing w:after="0" w:line="214"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On October 4, 2019, the Company acquired the remaining issued and outstanding capital of Cavendish for cash consideration of $198.4 million. The acquisition advances RF MEMS technology for applications across the Company's products and the technology will be transitioned into high-volume manufacturing for mobile devices and other markets.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purchase of the remaining equity interest in Cavendish was considered to be an acquisition achieved in stages, whereby the previously held equity interest was remeasured at its acquisition-date fair value. The Company determined that the fair value of its previously held equity investment was $102.4 million based on the purchase consideration exchanged to acquire the remaining issued and outstanding capital of Cavendish. This resulted in recognition of a gain of $43.0 million in the third quarter of fiscal 2020, which is recorded in "Other (expense) income, net" in the Condensed Consolidated Statements of Income.</w:t>
      </w:r>
    </w:p>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fiscal 2021, the Company recognized an increase to goodwill of approximately $2.0 million and a decrease to intangible assets of approximately $2.0 million as a result of finalizing the purchase price allocation.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Active-Semi International, Inc.</w:t>
      </w:r>
    </w:p>
    <w:p>
      <w:pPr>
        <w:spacing w:after="0" w:line="25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May 6, 2019, the Company acquired all of the outstanding equity interests of Active-Semi, a private fabless supplier of programmable analog power management solutions, for a total purchase price of $307.9 million. The acquisition expanded the Company's product offerings in power management markets.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 fiscal 2021, the Company recognized an increase to goodwill of approximately $0.1 million in connection with finalizing the purchase price allocation.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nine months ended January 2, 2021 are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Mobile Products</w:t>
            </w: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Infrastructure and</w:t>
            </w:r>
          </w:p>
        </w:tc>
        <w:tc>
          <w:tcPr>
            <w:tcW w:w="360" w:type="dxa"/>
            <w:vAlign w:val="bottom"/>
          </w:tcPr>
          <w:p>
            <w:pPr>
              <w:spacing w:after="0"/>
              <w:rPr>
                <w:sz w:val="14"/>
                <w:szCs w:val="14"/>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Defense Products</w:t>
            </w: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Balance as of March 28, 2020 </w:t>
            </w:r>
            <w:r>
              <w:rPr>
                <w:rFonts w:ascii="Arial" w:cs="Arial" w:eastAsia="Arial" w:hAnsi="Arial"/>
                <w:sz w:val="16"/>
                <w:szCs w:val="16"/>
                <w:color w:val="auto"/>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2,005,432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608,842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2,614,274</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Goodwill resulting from 7Hugs acquisition (</w:t>
            </w:r>
            <w:r>
              <w:rPr>
                <w:rFonts w:ascii="Arial" w:cs="Arial" w:eastAsia="Arial" w:hAnsi="Arial"/>
                <w:sz w:val="18"/>
                <w:szCs w:val="18"/>
                <w:i w:val="1"/>
                <w:iCs w:val="1"/>
                <w:color w:val="auto"/>
              </w:rPr>
              <w:t>Note 4</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22,195</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adjustments from prior acquisitions (</w:t>
            </w:r>
            <w:r>
              <w:rPr>
                <w:rFonts w:ascii="Arial" w:cs="Arial" w:eastAsia="Arial" w:hAnsi="Arial"/>
                <w:sz w:val="18"/>
                <w:szCs w:val="18"/>
                <w:i w:val="1"/>
                <w:iCs w:val="1"/>
                <w:color w:val="auto"/>
              </w:rPr>
              <w:t>Note 4</w:t>
            </w: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16,032</w:t>
            </w:r>
          </w:p>
        </w:tc>
        <w:tc>
          <w:tcPr>
            <w:tcW w:w="0" w:type="dxa"/>
            <w:vAlign w:val="bottom"/>
          </w:tcPr>
          <w:p>
            <w:pPr>
              <w:spacing w:after="0"/>
              <w:rPr>
                <w:sz w:val="1"/>
                <w:szCs w:val="1"/>
                <w:color w:val="auto"/>
              </w:rPr>
            </w:pPr>
          </w:p>
        </w:tc>
      </w:tr>
      <w:tr>
        <w:trPr>
          <w:trHeight w:val="248"/>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Balance as of January 2, 2021 </w:t>
            </w:r>
            <w:r>
              <w:rPr>
                <w:rFonts w:ascii="Arial" w:cs="Arial" w:eastAsia="Arial" w:hAnsi="Arial"/>
                <w:sz w:val="16"/>
                <w:szCs w:val="16"/>
                <w:color w:val="auto"/>
              </w:rPr>
              <w:t>(1)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2,042,584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2,650,912</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(1) The Company’s goodwill balance is presented net of accumulated impairment losses and write-offs of $621.6 million.</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Goodwill is allocated to the reporting units that are expected to benefit from the synergies of the business combinations generating the underlying goodwill.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regarding the gross carrying amounts and accumulated amortization of intangible assets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b w:val="1"/>
                <w:bCs w:val="1"/>
                <w:color w:val="auto"/>
              </w:rPr>
              <w:t>January 2, 2021</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March 28, 2020</w:t>
            </w:r>
          </w:p>
        </w:tc>
        <w:tc>
          <w:tcPr>
            <w:tcW w:w="0" w:type="dxa"/>
            <w:vAlign w:val="bottom"/>
          </w:tcPr>
          <w:p>
            <w:pPr>
              <w:spacing w:after="0"/>
              <w:rPr>
                <w:sz w:val="1"/>
                <w:szCs w:val="1"/>
                <w:color w:val="auto"/>
              </w:rPr>
            </w:pPr>
          </w:p>
        </w:tc>
      </w:tr>
      <w:tr>
        <w:trPr>
          <w:trHeight w:val="134"/>
        </w:trPr>
        <w:tc>
          <w:tcPr>
            <w:tcW w:w="4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144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3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300" w:type="dxa"/>
            <w:vAlign w:val="bottom"/>
          </w:tcPr>
          <w:p>
            <w:pPr>
              <w:jc w:val="right"/>
              <w:ind w:right="27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4"/>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1,272,572</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716,397</w:t>
            </w:r>
          </w:p>
        </w:tc>
        <w:tc>
          <w:tcPr>
            <w:tcW w:w="3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1,325,472</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652,400</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458,150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399,505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463,772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346,799</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licenses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In-process research and development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ind w:left="96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35,497</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6,064</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1,780,690</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1,124,451</w:t>
            </w:r>
          </w:p>
        </w:tc>
        <w:tc>
          <w:tcPr>
            <w:tcW w:w="3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1,810,979</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1,002,087</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expected economic benefit to be derived from the intangible assets.</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intangible assets amortization expense was $73.3 million and $217.8 million for the three and nine months ended January 2, 2021, respectively, and $63.1 million and $177.9 million for the three and nine months ended December 28, 2019,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AND FAIR VALUE OF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invests in limited partnerships which are accounted for using the equity method. The carrying amounts of these investments as of January 2, 2021 and March 28, 2020 were $25.7 million and $14.2 million, respectively, and are classified as “Long-term investments” in the Condensed Consolidated Balance Sheets. During the three and nine months ended January 2, 2021, the Company recorded $1.8 million and $17.4 million of income, respectively, based on its share of the limited partnerships' earnings. These amounts are included in “Other (expense) income, net” in the Condensed Consolidated Statements of Income. During the three months ended January 2, 2021, the Company received cash distributions of $5.9 million from one of these equity method investments. The distributions were recognized as a reduction to the carrying value of the investment, the majority of which represented a return of investment in cash flows from investing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 Without a Readily Determinable Fair Value</w:t>
      </w:r>
    </w:p>
    <w:p>
      <w:pPr>
        <w:spacing w:after="0" w:line="2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During the fourth quarter of fiscal 2020, the Company recorded an impairment of $18.3 million on an equity investment without a readily determinable fair value based on observable price changes present at the time. During the first quarter of fiscal 2021, the Company recorded an additional impairment of $2.8 million to fully impair this investment. This amount is recorded in “Other (expense) income, net” in the Condensed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fair value of the financial assets and liabilities measured on a recurring basis was determined using the following levels of inputs as of January 2, 2021 and March 28, 2020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4"/>
                <w:szCs w:val="14"/>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1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16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1"/>
                <w:szCs w:val="11"/>
                <w:color w:val="auto"/>
              </w:rPr>
            </w:pPr>
          </w:p>
        </w:tc>
        <w:tc>
          <w:tcPr>
            <w:tcW w:w="138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2, 2021</w:t>
            </w: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Marketable equity securities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(1)</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31,015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Total assets measured at fair value</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14"/>
                <w:szCs w:val="14"/>
                <w:color w:val="auto"/>
              </w:rPr>
              <w:t>(2)</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Total liabilities measured at fair value</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28, 2020</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Marketable equity securities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40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(1)</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Total assets measured at fair value</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400"/>
              <w:spacing w:after="0"/>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14"/>
                <w:szCs w:val="14"/>
                <w:color w:val="auto"/>
              </w:rPr>
              <w:t>(2)</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Total liabilities measured at fair value</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right="100" w:firstLine="8"/>
        <w:spacing w:after="0" w:line="251" w:lineRule="auto"/>
        <w:tabs>
          <w:tab w:leader="none" w:pos="22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non-qualified deferred compensation plan provides eligible employees and members of the Board of Directors with the opportunity to defer a specified percentage of their cash compensation. The Company includes the assets deferred by the participants in the “Other current assets” and “Other non-current assets” line items of its Condensed Consolidated Balance Sheets and the Company's obligation to deliver the deferred compensation in the “Other current liabilities” and “Other long-term liabilities” line items of its Condensed Consolidated Balance Sheets.</w:t>
      </w:r>
    </w:p>
    <w:p>
      <w:pPr>
        <w:ind w:firstLine="8"/>
        <w:spacing w:after="0" w:line="297" w:lineRule="auto"/>
        <w:tabs>
          <w:tab w:leader="none" w:pos="229"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recorded a contingent earn-out liability in conjunction with the Custom MMIC acquisition. The fair value of this liability is estimated using an option pricing model and is remeasured to fair value each period with changes in fair value reported in “Other operating expense” in the Condensed Consolidated Statements of Income. As of January 2, 2021, the fair value of the contingent consideration liability was equal to the maximum amount payable of $10.0 million. No payments have been made for the contingent liability as the earn-out assessment period is still ongoing. Any anticipated payments are expected to be settled during the first quarter of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as of January 2, 2021 and March 28, 2020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 2021</w:t>
            </w:r>
          </w:p>
        </w:tc>
        <w:tc>
          <w:tcPr>
            <w:tcW w:w="220" w:type="dxa"/>
            <w:vAlign w:val="bottom"/>
          </w:tcPr>
          <w:p>
            <w:pPr>
              <w:spacing w:after="0"/>
              <w:rPr>
                <w:sz w:val="16"/>
                <w:szCs w:val="16"/>
                <w:color w:val="auto"/>
              </w:rPr>
            </w:pPr>
          </w:p>
        </w:tc>
        <w:tc>
          <w:tcPr>
            <w:tcW w:w="1420" w:type="dxa"/>
            <w:vAlign w:val="bottom"/>
          </w:tcPr>
          <w:p>
            <w:pPr>
              <w:jc w:val="right"/>
              <w:ind w:right="252"/>
              <w:spacing w:after="0"/>
              <w:rPr>
                <w:sz w:val="20"/>
                <w:szCs w:val="20"/>
                <w:color w:val="auto"/>
              </w:rPr>
            </w:pPr>
            <w:r>
              <w:rPr>
                <w:rFonts w:ascii="Arial" w:cs="Arial" w:eastAsia="Arial" w:hAnsi="Arial"/>
                <w:sz w:val="14"/>
                <w:szCs w:val="14"/>
                <w:b w:val="1"/>
                <w:bCs w:val="1"/>
                <w:color w:val="auto"/>
              </w:rPr>
              <w:t>March 28, 2020</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198,750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7.00% senior notes due 2025</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23,404</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5.50% senior notes due 2026</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4.375% senior notes due 2029</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550,000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3.375% senior notes due 2031</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2,252</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premium and issuance costs,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1,743,794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1,567,231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September 29, 2020, the Company and certain of its U.S. subsidiaries (the “Guarantors”) entered into a five-year unsecured senior credit facility pursuant to a credit agreement (the “2020 Credit Agreement”) with Bank of America, N.A. acting as administrative agent (the “Administrative Agent”) and a syndicate of lenders. The 2020 Credit Agreement amended and restated the previous credit agreement dated as of December 5, 2017 (the “2017 Credit Agreement”). The 2020 Credit Agreement includes a senior term loan (the “2020 Term Loan”) of up to $200.0 million and a senior revolving line of credit (the “Revolving Facility”) of up to $300.0 million (collectively the “Credit Facility”).</w:t>
      </w:r>
    </w:p>
    <w:p>
      <w:pPr>
        <w:spacing w:after="0" w:line="21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the closing date of the 2020 Credit Agreement, the Company repaid the remaining principal balance of $97.5 million on the term loan under the 2017 Credit Agreement (the “2017 Term Loan”) and concurrently drew $200.0 million under the 2020 Term Loan.</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Principal paid on the 2020 Term Loan during the three months ended January 2, 2021 was $1.3 million. Interest paid on the 2017 Term Loan and 2020 Term Loan during the three and nine months ended January 2, 2021 was $0.7 million and $1.5 million, respectively.</w:t>
      </w:r>
    </w:p>
    <w:p>
      <w:pPr>
        <w:spacing w:after="0" w:line="19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Pursuant to the 2020 Credit Agreement, the Company may request one or more additional tranches of term loans or increases to the Revolving Facility, up to an aggregate of $500.0 million and subject to securing additional funding commitments from the existing or new lenders. The Revolving Facility includes a $25.0 million sublimit for the issuance of standby letters of credit and a $10.0 million sublimit for swing line loans. The Credit Facility is available to finance working capital, capital expenditures and other general corporate purposes. Outstanding amounts are due in full on the maturity date of September 29, 2025, subject to scheduled amortization of the 2020 Term Loan principal prior to the maturity date as set forth in the 2020 Credit Agreement. During the nine months ended January 2, 2021, there were no borrowings under the Revolving Facility.</w:t>
      </w:r>
    </w:p>
    <w:p>
      <w:pPr>
        <w:spacing w:after="0" w:line="205"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At the Company’s option, loans under the 2020 Credit Agreement will bear interest at (i) the Applicable Rate (as defined in the 2020 Credit Agreement) plus the Eurodollar Rate (as defined in the 2020 Credit Agreement) or (ii) the Applicable Rate plus a rate equal to the highest of (a) the federal funds rate plus 0.50%, (b) the prime rate as set by the Administrative Agent, and (c) the Eurodollar Rate plus 1.0% (the “Base Rate”). All swing line loans will bear interest at a rate equal to the Applicable Rate plus the Base Rate. The Eurodollar Rate is the rate per annum equal to the reserve adjusted London Interbank Offered Rate (or a comparable or successor rate), for dollar deposits for interest periods of one, two, three or six months, as selected by the Company. The Applicable Rate for Eurodollar Rate loans ranges from 1.000% per annum to 1.250% per annum and is set at 1.125% per annum until the delivery of the Company’s first compliance certificate to the lenders following the fiscal quarter ended January 2, 2021. The Applicable Rate for Base Rate loans ranges from 0.000% per annum to 0.250% per annum, and is set at 0.125% per annum until the delivery of the Company’s first compliance certificate to the lenders following the fiscal quarter ended January 2, 2021. Undrawn amounts under the Credit Facility are subject to a commitment fee ranging from</w:t>
      </w:r>
    </w:p>
    <w:p>
      <w:pPr>
        <w:spacing w:after="0" w:line="6"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0.150% to 0.200%. Interest for Eurodollar Rate loans is payable at the end of each applicable interest period or at three-month intervals if such interest period exceeds three months. Interest for Base Rate loans is payable quarterly in arrears.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2020 Credit Agreement contains various conditions, covenants and representations with which the Company must be in compliance in order to borrow funds and to avoid an event of default. As of January 2, 2021, the Company was in compliance with these covenants.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2025</w:t>
      </w:r>
    </w:p>
    <w:p>
      <w:pPr>
        <w:spacing w:after="0" w:line="23" w:lineRule="exact"/>
        <w:rPr>
          <w:sz w:val="20"/>
          <w:szCs w:val="20"/>
          <w:color w:val="auto"/>
        </w:rPr>
      </w:pPr>
    </w:p>
    <w:p>
      <w:pPr>
        <w:ind w:right="540"/>
        <w:spacing w:after="0" w:line="290" w:lineRule="auto"/>
        <w:rPr>
          <w:sz w:val="20"/>
          <w:szCs w:val="20"/>
          <w:color w:val="auto"/>
        </w:rPr>
      </w:pPr>
      <w:r>
        <w:rPr>
          <w:rFonts w:ascii="Arial" w:cs="Arial" w:eastAsia="Arial" w:hAnsi="Arial"/>
          <w:sz w:val="17"/>
          <w:szCs w:val="17"/>
          <w:color w:val="auto"/>
        </w:rPr>
        <w:t>On November 19, 2015, the Company issued $550.0 million aggregate principal amount of its 7.00% senior notes due December 1, 2025 (the “2025 Notes”). The 2025 Notes were senior unsecured obligations of the Company and guaranteed, jointly and severally, by the Guarantors.</w:t>
      </w:r>
    </w:p>
    <w:p>
      <w:pPr>
        <w:spacing w:after="0" w:line="18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fiscal years 2018 and 2019, the Company retired $526.6 million of the 2025 Notes. On December 1, 2020, the Company redeemed the remaining $23.4 million principal amount of the 2025 Notes using cash on hand, at a redemption price equal to 103.50% of the principal amount, plus accrued and unpaid interest. In connection with the redemption, the Company recognized a loss on debt extinguishment of $1.0 million as "Other (expense) income, net" in the Condensed Consolidated Statements of Income. The loss on debt extinguishment consisted of a $0.8 million redemption premium and a $0.2 million write-off of the unamortized portion of the debt issuance costs.</w:t>
      </w:r>
    </w:p>
    <w:p>
      <w:pPr>
        <w:spacing w:after="0" w:line="21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Interest on the 2025 Notes was payable on June 1 and December 1 of each year. Interest paid on the 2025 Notes during the three and nine months ended January 2, 2021 was $0.8 million and $1.6 million, respectively. Interest paid on the 2025 Notes during the three and nine months ended December 28, 2019 was $0.8 million and $1.6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2026</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July 16, 2018, the Company issued $500.0 million aggregate principal amount of its 5.50% senior notes due July 15, 2026 (the “Initial 2026 Notes”). On August 28, 2018 and March 5, 2019, the Company issued an additional $130.0 million and $270.0 million, respectively, aggregate principal amount of such notes (together with the Initial 2026 Notes, the “2026 Notes”). The 2026 Notes were senior unsecured obligations of the Company and guaranteed, jointly and severally, by the Guarantors.</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16, 2020, the Company redeemed all of the 2026 Notes at a redemption price equal to 106.363% of the $900.0 million principal amount, plus accrued and unpaid interest. The 2026 Notes were redeemed using proceeds from the issuance of the 2031 Notes (as defined below) combined with cash on hand plus borrowings under the 2020 Term Loan. In connection with the redemption, the Company recognized a loss on debt extinguishment of $61.0 million as "Other (expense) income, net" in the Condensed Consolidated Statements of Income. The loss on debt extinguishment consisted of a $57.3 million redemption premium and a $3.7 million net write-off of unamortized debt issuance costs and bond premium. The primary purpose of the redemption was to reduce future interest expense.</w:t>
      </w: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Interest on the 2026 Notes was payable on January 15 and July 15 of each year. No interest was paid on the 2026 Notes during the three months ended January 2, 2021 and December 28, 2019. Interest paid on the 2026 Notes during the nine months ended January 2, 2021 and December 28, 2019 was $24.8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together with the Initial 2029 Notes, the “2029 Notes”). The 2029 Notes will mature on October 15, 2029, unless earlier redeemed in accordance with their terms. The 2029 Notes are senior unsecured obligations of the Company and are guaranteed, jointly and severally, by the Guarantors.</w:t>
      </w: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customary events of default, including payment default, failure to provide certain notices thereunder and certain provisions related to bankruptcy events and also contains customary negative covenants.</w:t>
      </w:r>
    </w:p>
    <w:p>
      <w:pPr>
        <w:spacing w:after="0" w:line="21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Interest is payable on the 2029 Notes on April 15 and October 15 of each year. Interest paid on the 2029 Notes during the three and nine months ended January 2, 2021 was $18.6 million and $31.6 million, respectively.</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2031</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September 29, 2020, the Company issued $700.0 million aggregate principal amount of its 3.375% senior notes due 2031 (the “2031 Notes”). Interest is payable on the 2031 Notes on April 1 and October 1 of each year, commencing April 1, 2021. The 2031 Notes will mature on April 1, 2031, unless earlier redeemed in accordance with their terms. The 2031 Notes are senior unsecured obligations of the Company and are guaranteed, jointly and severally, by the Guarantors.</w:t>
      </w:r>
    </w:p>
    <w:p>
      <w:pPr>
        <w:spacing w:after="0" w:line="220"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The 2031 Notes were issued pursuant to an indenture, dated as of September 29, 2020, by and among the Company, the Guarantors and MUFG Union Bank, N.A., as trustee (the “2020 Indenture”). The 2020 Indenture contains customary events of default, including payment default, failure to provide certain notices thereunder and certain provisions related to bankruptcy events and also contains customary negative covenants.</w:t>
      </w:r>
    </w:p>
    <w:p>
      <w:pPr>
        <w:spacing w:after="0" w:line="17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2031 Notes have not been and will not be registered under the Securities Act of 1933, as amended (the “Securities Act”), or any state securities laws, and may not be offered or sold in the United States absent an applicable exemption from the registration requirements of the Securities Act and applicable state securities laws.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 Company's debt is carried at amortized cost and is measured at fair value quarterly for disclosure purposes. The estimated fair value of the 2029 Notes and the 2031 Notes as of January 2, 2021 was $935.2 million and $720.1 million, respectively (compared to a carrying value of $850.0 million and $700.0 million, respectively). The estimated fair value of the 2025 Notes, the 2026 Notes and the 2029 Notes as of March 28, 2020 was $23.9 million, $962.8 million, and $489.5 million, respectively (compared to a carrying value of $23.4 million, $900.0 million, and $550.0 million, respectively). The Company considers its debt to be Level 2 in the fair value hierarchy. Fair values are estimated based on quoted market prices for identical or similar instruments. The 2029 Notes and the 2031 Notes currently trade – and the 2025 Notes and the 2026 Notes previously traded – over the counter and their fair values were estimated based upon the value of their last trade at the end of the period.</w:t>
      </w:r>
    </w:p>
    <w:p>
      <w:pPr>
        <w:spacing w:after="0" w:line="2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2020 Term Loan carries a variable interest rate set at current market rates, and as such, the fair value of the 2020 Term Loan approximated book value as of January 2,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three and nine months ended January 2, 2021, the Company recognized total interest expense of $18.3 million and $62.9 million, respectively, primarily related to the 2026 Notes, the 2029 Notes and the 2031 Notes, which was partially offset by interest capitalized to property and equipment of $0.9 million and $3.1 million, respectively. During the three and nine months ended December 28, 2019, the Company recognized total interest expense of $18.3 million and $45.8 million, respectively, primarily related to the 2026 Notes and the 2029 Notes, which was partially offset by interest capitalized to property and equipment of $1.4 million and $4.4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REPURCHASES</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31, 2019, the Company announced that its Board of Directors authorized a new share repurchase program to repurchase up to $1.0 billion of the Company's outstanding common stock, which included approximately $117.0 million authorized under the prior program which was terminated concurrent with the new authorization. 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22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During the three and nine months ended January 2, 2021, the Company repurchased approximately 1.1 million and 2.6 million shares, respectively, of its common stock for approximately $160.0 million and $340.1 million, respectively, under the current share repurchase program. As of January 2, 2021, approximately $425.8 million remained available for repurchases under the current share repurchase program.</w:t>
      </w:r>
    </w:p>
    <w:p>
      <w:pPr>
        <w:spacing w:after="0" w:line="19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During the three and nine months ended December 28, 2019, the Company repurchased approximately 1.3 million and 5.1 million shares, respectively, of its common stock for approximately $125.0 million and $390.1 million, respectively, under the prior and current share repurchase programs.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accrues a liability for legal contingencies when it believes that it is both probable that a liability has been incurred and that it can reasonably estimate the amount of the loss. The Company reviews these accruals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determination is made.</w:t>
      </w:r>
    </w:p>
    <w:p>
      <w:pPr>
        <w:spacing w:after="0" w:line="21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is involved in various legal proceedings and claims that have arisen in the ordinary course of its business that have not been fully adjudicated. The aggregate range of reasonably possible losses in excess of accrued liabilities, if any, associated with these unresolved legal actions is not material. In some cases, the Company cannot reasonably estimate a range of loss because there is insufficient information regarding the matter. However, the Company believes there is no more than a remote chance that any liability arising from these matters would be material. Although it is not possible to predict with certainty the outcome of these unresolved legal actions, it is the opinion of management that these actions will not individually or in the aggregate have a material adverse effect on the Company’s consolidated financial position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revenue disaggregated by geography, based on the location of the customers' headquarters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316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44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2, 2021</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December 28, 2019</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January 2, 2021</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December 28, 2019</w:t>
            </w:r>
          </w:p>
        </w:tc>
      </w:tr>
      <w:tr>
        <w:trPr>
          <w:trHeight w:val="224"/>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587,737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1,295,398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1,143,995</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China</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305,887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281,024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1,084,120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842,112</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Asia</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229,344</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Taiwan</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69,492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122,189</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113,729</w:t>
            </w: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1,094,834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2,942,577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2,451,369</w:t>
            </w: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disaggregates revenue by operating segments (see Note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fiscal 2019, the Company initiated restructuring actions to reduce operating expenses and improve its manufacturing cost structure, including the phased closure of a wafer fabrication facility in Florida and idling production at a wafer fabrication facility in Texas. As a result of these restructuring actions, the Company has recorded cumulative restructuring related charges totaling $93.1 million as of the end of the third quarter of fiscal 2021, including accelerated depreciation of $47.4 million (to reflect changes in estimated useful lives of certain property and equipment), impairment charges of $15.9 million (to adjust the carrying value of certain property and equipment to reflect its fair value), employee termination benefits of $13.8 million and other exit costs of $16.0 million. The Company expects to record additional expenses of approximately $0.1 million for employee termination benefits and other exit costs as a result of these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restructuring charges resulting from the 2019 restructuring event (in thousands):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center"/>
              <w:ind w:left="538"/>
              <w:spacing w:after="0"/>
              <w:rPr>
                <w:sz w:val="20"/>
                <w:szCs w:val="20"/>
                <w:color w:val="auto"/>
              </w:rPr>
            </w:pPr>
            <w:r>
              <w:rPr>
                <w:rFonts w:ascii="Arial" w:cs="Arial" w:eastAsia="Arial" w:hAnsi="Arial"/>
                <w:sz w:val="14"/>
                <w:szCs w:val="14"/>
                <w:b w:val="1"/>
                <w:bCs w:val="1"/>
                <w:color w:val="auto"/>
                <w:w w:val="94"/>
              </w:rPr>
              <w:t>Three Months Ended January 2, 2021</w:t>
            </w:r>
          </w:p>
        </w:tc>
        <w:tc>
          <w:tcPr>
            <w:tcW w:w="7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tcPr>
          <w:p>
            <w:pPr>
              <w:jc w:val="center"/>
              <w:ind w:right="54"/>
              <w:spacing w:after="0"/>
              <w:rPr>
                <w:sz w:val="20"/>
                <w:szCs w:val="20"/>
                <w:color w:val="auto"/>
              </w:rPr>
            </w:pPr>
            <w:r>
              <w:rPr>
                <w:rFonts w:ascii="Arial" w:cs="Arial" w:eastAsia="Arial" w:hAnsi="Arial"/>
                <w:sz w:val="14"/>
                <w:szCs w:val="14"/>
                <w:b w:val="1"/>
                <w:bCs w:val="1"/>
                <w:color w:val="auto"/>
                <w:w w:val="93"/>
              </w:rPr>
              <w:t>Three Months Ended December 28, 2019</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Cost of Goods</w:t>
            </w:r>
          </w:p>
        </w:tc>
        <w:tc>
          <w:tcPr>
            <w:tcW w:w="13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Other Operating</w:t>
            </w:r>
          </w:p>
        </w:tc>
        <w:tc>
          <w:tcPr>
            <w:tcW w:w="440" w:type="dxa"/>
            <w:vAlign w:val="bottom"/>
          </w:tcPr>
          <w:p>
            <w:pPr>
              <w:spacing w:after="0"/>
              <w:rPr>
                <w:sz w:val="11"/>
                <w:szCs w:val="11"/>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Cost of Goods</w:t>
            </w:r>
          </w:p>
        </w:tc>
        <w:tc>
          <w:tcPr>
            <w:tcW w:w="13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Other Operating</w:t>
            </w:r>
          </w:p>
        </w:tc>
        <w:tc>
          <w:tcPr>
            <w:tcW w:w="280" w:type="dxa"/>
            <w:vAlign w:val="bottom"/>
          </w:tcPr>
          <w:p>
            <w:pPr>
              <w:spacing w:after="0"/>
              <w:rPr>
                <w:sz w:val="11"/>
                <w:szCs w:val="11"/>
                <w:color w:val="auto"/>
              </w:rPr>
            </w:pPr>
          </w:p>
        </w:tc>
        <w:tc>
          <w:tcPr>
            <w:tcW w:w="9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Sold</w:t>
            </w:r>
          </w:p>
        </w:tc>
        <w:tc>
          <w:tcPr>
            <w:tcW w:w="22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Expense</w:t>
            </w:r>
          </w:p>
        </w:tc>
        <w:tc>
          <w:tcPr>
            <w:tcW w:w="4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Sold</w:t>
            </w:r>
          </w:p>
        </w:tc>
        <w:tc>
          <w:tcPr>
            <w:tcW w:w="2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Expense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 xml:space="preserve">One-time employee termination benefits </w:t>
            </w:r>
            <w:r>
              <w:rPr>
                <w:rFonts w:ascii="Arial" w:cs="Arial" w:eastAsia="Arial" w:hAnsi="Arial"/>
                <w:sz w:val="14"/>
                <w:szCs w:val="14"/>
                <w:color w:val="auto"/>
                <w:w w:val="96"/>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w w:val="98"/>
              </w:rPr>
              <w:t>Contract termination and other associated</w:t>
            </w:r>
          </w:p>
        </w:tc>
        <w:tc>
          <w:tcPr>
            <w:tcW w:w="140" w:type="dxa"/>
            <w:vAlign w:val="bottom"/>
          </w:tcPr>
          <w:p>
            <w:pPr>
              <w:spacing w:after="0"/>
              <w:rPr>
                <w:sz w:val="15"/>
                <w:szCs w:val="15"/>
                <w:color w:val="auto"/>
              </w:rPr>
            </w:pPr>
          </w:p>
        </w:tc>
        <w:tc>
          <w:tcPr>
            <w:tcW w:w="118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3,437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809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costs</w:t>
            </w: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Accelerated depreciation</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23"/>
        </w:trPr>
        <w:tc>
          <w:tcPr>
            <w:tcW w:w="334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3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left="538"/>
              <w:spacing w:after="0"/>
              <w:rPr>
                <w:sz w:val="20"/>
                <w:szCs w:val="20"/>
                <w:color w:val="auto"/>
              </w:rPr>
            </w:pPr>
            <w:r>
              <w:rPr>
                <w:rFonts w:ascii="Arial" w:cs="Arial" w:eastAsia="Arial" w:hAnsi="Arial"/>
                <w:sz w:val="14"/>
                <w:szCs w:val="14"/>
                <w:b w:val="1"/>
                <w:bCs w:val="1"/>
                <w:color w:val="auto"/>
                <w:w w:val="93"/>
              </w:rPr>
              <w:t>Nine Months Ended January 2, 2021</w:t>
            </w:r>
          </w:p>
        </w:tc>
        <w:tc>
          <w:tcPr>
            <w:tcW w:w="7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center"/>
              <w:ind w:right="34"/>
              <w:spacing w:after="0"/>
              <w:rPr>
                <w:sz w:val="20"/>
                <w:szCs w:val="20"/>
                <w:color w:val="auto"/>
              </w:rPr>
            </w:pPr>
            <w:r>
              <w:rPr>
                <w:rFonts w:ascii="Arial" w:cs="Arial" w:eastAsia="Arial" w:hAnsi="Arial"/>
                <w:sz w:val="14"/>
                <w:szCs w:val="14"/>
                <w:b w:val="1"/>
                <w:bCs w:val="1"/>
                <w:color w:val="auto"/>
                <w:w w:val="93"/>
              </w:rPr>
              <w:t>Nine Months Ended December 28, 2019</w:t>
            </w:r>
          </w:p>
        </w:tc>
        <w:tc>
          <w:tcPr>
            <w:tcW w:w="0" w:type="dxa"/>
            <w:vAlign w:val="bottom"/>
          </w:tcPr>
          <w:p>
            <w:pPr>
              <w:spacing w:after="0"/>
              <w:rPr>
                <w:sz w:val="1"/>
                <w:szCs w:val="1"/>
                <w:color w:val="auto"/>
              </w:rPr>
            </w:pPr>
          </w:p>
        </w:tc>
      </w:tr>
      <w:tr>
        <w:trPr>
          <w:trHeight w:val="134"/>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Cost of Goods</w:t>
            </w:r>
          </w:p>
        </w:tc>
        <w:tc>
          <w:tcPr>
            <w:tcW w:w="13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Other Operating</w:t>
            </w:r>
          </w:p>
        </w:tc>
        <w:tc>
          <w:tcPr>
            <w:tcW w:w="440" w:type="dxa"/>
            <w:vAlign w:val="bottom"/>
          </w:tcPr>
          <w:p>
            <w:pPr>
              <w:spacing w:after="0"/>
              <w:rPr>
                <w:sz w:val="11"/>
                <w:szCs w:val="11"/>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Cost of Goods</w:t>
            </w:r>
          </w:p>
        </w:tc>
        <w:tc>
          <w:tcPr>
            <w:tcW w:w="13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Other Operating</w:t>
            </w:r>
          </w:p>
        </w:tc>
        <w:tc>
          <w:tcPr>
            <w:tcW w:w="280" w:type="dxa"/>
            <w:vAlign w:val="bottom"/>
          </w:tcPr>
          <w:p>
            <w:pPr>
              <w:spacing w:after="0"/>
              <w:rPr>
                <w:sz w:val="11"/>
                <w:szCs w:val="11"/>
                <w:color w:val="auto"/>
              </w:rPr>
            </w:pPr>
          </w:p>
        </w:tc>
        <w:tc>
          <w:tcPr>
            <w:tcW w:w="9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Sold</w:t>
            </w:r>
          </w:p>
        </w:tc>
        <w:tc>
          <w:tcPr>
            <w:tcW w:w="22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Expense</w:t>
            </w:r>
          </w:p>
        </w:tc>
        <w:tc>
          <w:tcPr>
            <w:tcW w:w="4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Sold</w:t>
            </w:r>
          </w:p>
        </w:tc>
        <w:tc>
          <w:tcPr>
            <w:tcW w:w="2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Expense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 xml:space="preserve">One-time employee termination benefits </w:t>
            </w:r>
            <w:r>
              <w:rPr>
                <w:rFonts w:ascii="Arial" w:cs="Arial" w:eastAsia="Arial" w:hAnsi="Arial"/>
                <w:sz w:val="14"/>
                <w:szCs w:val="14"/>
                <w:color w:val="auto"/>
                <w:w w:val="96"/>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176"/>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w w:val="98"/>
              </w:rPr>
              <w:t>Contract termination and other associated</w:t>
            </w:r>
          </w:p>
        </w:tc>
        <w:tc>
          <w:tcPr>
            <w:tcW w:w="140" w:type="dxa"/>
            <w:vAlign w:val="bottom"/>
          </w:tcPr>
          <w:p>
            <w:pPr>
              <w:spacing w:after="0"/>
              <w:rPr>
                <w:sz w:val="15"/>
                <w:szCs w:val="15"/>
                <w:color w:val="auto"/>
              </w:rPr>
            </w:pPr>
          </w:p>
        </w:tc>
        <w:tc>
          <w:tcPr>
            <w:tcW w:w="118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6,307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4,791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11,098</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costs</w:t>
            </w: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Accelerated depreciation</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0" w:type="dxa"/>
            <w:vAlign w:val="bottom"/>
          </w:tcPr>
          <w:p>
            <w:pPr>
              <w:spacing w:after="0"/>
              <w:rPr>
                <w:sz w:val="1"/>
                <w:szCs w:val="1"/>
                <w:color w:val="auto"/>
              </w:rPr>
            </w:pPr>
          </w:p>
        </w:tc>
      </w:tr>
      <w:tr>
        <w:trPr>
          <w:trHeight w:val="223"/>
        </w:trPr>
        <w:tc>
          <w:tcPr>
            <w:tcW w:w="334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32,147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11,082</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43,229</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(1) Includes reversal due to true-up of previously accrued restructuring charges.</w:t>
      </w:r>
    </w:p>
    <w:p>
      <w:pPr>
        <w:spacing w:after="0" w:line="244"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Company has entered into other individually immaterial restructuring plans. The Company's restructuring charges related to these plans were $0.3 million and $1.0 million for the three and nine months ended January 2, 2021, respectively, and less than $0.1 million and $0.5 million for the three and nine months ended December 28, 2019,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the Company's restructuring liabilities for the nine months ended January 2, 2021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One-Time Employee</w:t>
            </w:r>
          </w:p>
        </w:tc>
        <w:tc>
          <w:tcPr>
            <w:tcW w:w="16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Contract Termination</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66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and Other Associated</w:t>
            </w:r>
          </w:p>
        </w:tc>
        <w:tc>
          <w:tcPr>
            <w:tcW w:w="360" w:type="dxa"/>
            <w:vAlign w:val="bottom"/>
          </w:tcPr>
          <w:p>
            <w:pPr>
              <w:spacing w:after="0"/>
              <w:rPr>
                <w:sz w:val="11"/>
                <w:szCs w:val="11"/>
                <w:color w:val="auto"/>
              </w:rPr>
            </w:pPr>
          </w:p>
        </w:tc>
        <w:tc>
          <w:tcPr>
            <w:tcW w:w="11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Termination Benefits</w:t>
            </w:r>
          </w:p>
        </w:tc>
        <w:tc>
          <w:tcPr>
            <w:tcW w:w="340" w:type="dxa"/>
            <w:vAlign w:val="bottom"/>
          </w:tcPr>
          <w:p>
            <w:pPr>
              <w:spacing w:after="0"/>
              <w:rPr>
                <w:sz w:val="16"/>
                <w:szCs w:val="16"/>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Costs</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restructuring balance as of March 28,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Costs incurred and charged to expense</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Non-cash activity</w:t>
            </w:r>
          </w:p>
        </w:tc>
        <w:tc>
          <w:tcPr>
            <w:tcW w:w="10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8"/>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restructuring balance as of January 2,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OPERATING SEGMENT INFORMATION</w:t>
      </w:r>
    </w:p>
    <w:p>
      <w:pPr>
        <w:spacing w:after="0" w:line="25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Company's operating and reportable segments as of January 2, 2021 are Mobile Products ("MP") and Infrastructure and Defense Products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operating income.</w:t>
      </w:r>
    </w:p>
    <w:p>
      <w:pPr>
        <w:spacing w:after="0" w:line="1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MP is a global supplier of cellular, UWB and Wi-Fi solutions for a variety of high-volume markets, including smartphones, wearables, laptops, tablets and IoT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wireless infrastructure, defense, Wi-Fi, smart home, automotive, and IoT.</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"All other" category includes operating expenses such as stock-based compensation, amortization of intangible assets, acquisition and integration related costs, restructuring related charges, start-up costs, accelerated depreciation and asset impairment, (loss) gain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details of the Company’s operating and reportable segments and a reconciliation of the “All other” category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8"/>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44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92"/>
              </w:rPr>
              <w:t>January 2,</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ind w:right="193"/>
              <w:spacing w:after="0" w:line="135" w:lineRule="exact"/>
              <w:rPr>
                <w:sz w:val="20"/>
                <w:szCs w:val="20"/>
                <w:color w:val="auto"/>
              </w:rPr>
            </w:pPr>
            <w:r>
              <w:rPr>
                <w:rFonts w:ascii="Arial" w:cs="Arial" w:eastAsia="Arial" w:hAnsi="Arial"/>
                <w:sz w:val="14"/>
                <w:szCs w:val="14"/>
                <w:b w:val="1"/>
                <w:bCs w:val="1"/>
                <w:color w:val="auto"/>
                <w:w w:val="92"/>
              </w:rPr>
              <w:t>December 28,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2"/>
              </w:rPr>
              <w:t>January 2,</w:t>
            </w: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73"/>
              <w:spacing w:after="0" w:line="135" w:lineRule="exact"/>
              <w:rPr>
                <w:sz w:val="20"/>
                <w:szCs w:val="20"/>
                <w:color w:val="auto"/>
              </w:rPr>
            </w:pPr>
            <w:r>
              <w:rPr>
                <w:rFonts w:ascii="Arial" w:cs="Arial" w:eastAsia="Arial" w:hAnsi="Arial"/>
                <w:sz w:val="14"/>
                <w:szCs w:val="14"/>
                <w:b w:val="1"/>
                <w:bCs w:val="1"/>
                <w:color w:val="auto"/>
                <w:w w:val="92"/>
              </w:rPr>
              <w:t>December 28,</w:t>
            </w:r>
          </w:p>
        </w:tc>
        <w:tc>
          <w:tcPr>
            <w:tcW w:w="0" w:type="dxa"/>
            <w:vAlign w:val="bottom"/>
          </w:tcPr>
          <w:p>
            <w:pPr>
              <w:spacing w:after="0"/>
              <w:rPr>
                <w:sz w:val="1"/>
                <w:szCs w:val="1"/>
                <w:color w:val="auto"/>
              </w:rPr>
            </w:pPr>
          </w:p>
        </w:tc>
      </w:tr>
      <w:tr>
        <w:trPr>
          <w:trHeight w:val="188"/>
        </w:trPr>
        <w:tc>
          <w:tcPr>
            <w:tcW w:w="44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MP</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826,021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662,109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2,048,719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1,841,468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IDP</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609,901</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1,094,834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2,942,577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2,451,369</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MP</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342,118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219,778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714,959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553,144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IDP</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97,721</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(329,803)</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321,062</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(59,788)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(41,457)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(58,701)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42,737</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330,454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8"/>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4"/>
          </w:tcPr>
          <w:p>
            <w:pPr>
              <w:jc w:val="right"/>
              <w:ind w:right="9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400"/>
              <w:spacing w:after="0" w:line="135" w:lineRule="exact"/>
              <w:rPr>
                <w:sz w:val="20"/>
                <w:szCs w:val="20"/>
                <w:color w:val="auto"/>
              </w:rPr>
            </w:pPr>
            <w:r>
              <w:rPr>
                <w:rFonts w:ascii="Arial" w:cs="Arial" w:eastAsia="Arial" w:hAnsi="Arial"/>
                <w:sz w:val="14"/>
                <w:szCs w:val="14"/>
                <w:b w:val="1"/>
                <w:bCs w:val="1"/>
                <w:color w:val="auto"/>
                <w:w w:val="95"/>
              </w:rPr>
              <w:t>January 2,</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December 28,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5"/>
              </w:rPr>
              <w:t>January 2,</w:t>
            </w: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73"/>
              <w:spacing w:after="0" w:line="135" w:lineRule="exact"/>
              <w:rPr>
                <w:sz w:val="20"/>
                <w:szCs w:val="20"/>
                <w:color w:val="auto"/>
              </w:rPr>
            </w:pPr>
            <w:r>
              <w:rPr>
                <w:rFonts w:ascii="Arial" w:cs="Arial" w:eastAsia="Arial" w:hAnsi="Arial"/>
                <w:sz w:val="14"/>
                <w:szCs w:val="14"/>
                <w:b w:val="1"/>
                <w:bCs w:val="1"/>
                <w:color w:val="auto"/>
                <w:w w:val="92"/>
              </w:rPr>
              <w:t>December 28,</w:t>
            </w:r>
          </w:p>
        </w:tc>
        <w:tc>
          <w:tcPr>
            <w:tcW w:w="0" w:type="dxa"/>
            <w:vAlign w:val="bottom"/>
          </w:tcPr>
          <w:p>
            <w:pPr>
              <w:spacing w:after="0"/>
              <w:rPr>
                <w:sz w:val="1"/>
                <w:szCs w:val="1"/>
                <w:color w:val="auto"/>
              </w:rPr>
            </w:pPr>
          </w:p>
        </w:tc>
      </w:tr>
      <w:tr>
        <w:trPr>
          <w:trHeight w:val="188"/>
        </w:trPr>
        <w:tc>
          <w:tcPr>
            <w:tcW w:w="4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“All other” category: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(19,247)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(16,381)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(71,154)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(62,210)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(177,380)</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Acquisition and integration related costs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(37,905)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related charges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(17,850)</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Accelerated depreciation and asset impairment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(26,897)</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Other (including (loss) gain on assets, start-up costs and</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(7,561)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miscellaneous corporate overhead)</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 for “All other”</w:t>
            </w: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(329,803)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5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Company’s provision for income taxes for the three and nine months ended January 2, 2021 and December 28, 2019 was calculated by applying an estimate of the annual effective tax rate for the full fiscal year to “ordinary” income or loss (pre-tax income or loss excluding unusual or infrequently occurring discrete items) for those respective periods.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income tax expense was $22.5 million and $85.7 million for the three and nine months ended January 2, 2021, respectively, and the Company’s income tax expense was $21.8 million and $46.5 million for the three and nine months ended December 28, 2019, respectively. The Company’s effective tax rate was 10.1% and 16.5% for the three and nine months ended January 2, 2021, respectively, and 11.9% and 14.1% for the three and nine months ended December 28, 2019, respectively.</w:t>
      </w:r>
    </w:p>
    <w:p>
      <w:pPr>
        <w:spacing w:after="0" w:line="21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Company's effective tax rate for the three and nine months ended January 2, 2021 differed from the statutory rate primarily due to tax rate differences in foreign jurisdictions, global intangible low tax income (“GILTI”), domestic tax credits generated, and discrete tax items recorded during the period. A discrete benefit of $3.8 million and a discrete charge of $31.4 million was recorded during the three and nine months ended January 2, 2021, respectively. The discrete charge primarily relates to the intercompany restructuring of the Cavendish intellectual property, partially offset by discrete tax benefits recognized for stock-based compensation deductions and a retroactive incentive allowing previously non-deductible payments to be amortized.</w:t>
      </w:r>
    </w:p>
    <w:p>
      <w:pPr>
        <w:spacing w:after="0" w:line="188" w:lineRule="exact"/>
        <w:rPr>
          <w:sz w:val="20"/>
          <w:szCs w:val="20"/>
          <w:color w:val="auto"/>
        </w:rPr>
      </w:pPr>
    </w:p>
    <w:p>
      <w:pPr>
        <w:ind w:right="540"/>
        <w:spacing w:after="0" w:line="301" w:lineRule="auto"/>
        <w:rPr>
          <w:sz w:val="20"/>
          <w:szCs w:val="20"/>
          <w:color w:val="auto"/>
        </w:rPr>
      </w:pPr>
      <w:r>
        <w:rPr>
          <w:rFonts w:ascii="Arial" w:cs="Arial" w:eastAsia="Arial" w:hAnsi="Arial"/>
          <w:sz w:val="16"/>
          <w:szCs w:val="16"/>
          <w:color w:val="auto"/>
        </w:rPr>
        <w:t>The Company's effective tax rate for the three and nine months ended December 28, 2019 differed from the statutory rate primarily due to tax rate differences in foreign jurisdictions, GILTI, domestic tax credits generated, foreign permanent differences, the discrete treatment of post-combination compensation related expenses due to the Active-Semi and Cavendish acquisitions, and a discrete expense related to the Company’s change in its permanent reinvestment assertion for certain unrepatriated foreign earnings previously subject to U.S. federal taxation.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3140" w:type="dxa"/>
            <w:vAlign w:val="bottom"/>
            <w:gridSpan w:val="4"/>
          </w:tcPr>
          <w:p>
            <w:pPr>
              <w:jc w:val="right"/>
              <w:ind w:right="9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2, 2021</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December 28, 2019</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January 2, 2021</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December 28, 2019</w:t>
            </w:r>
          </w:p>
        </w:tc>
        <w:tc>
          <w:tcPr>
            <w:tcW w:w="0" w:type="dxa"/>
            <w:vAlign w:val="bottom"/>
          </w:tcPr>
          <w:p>
            <w:pPr>
              <w:spacing w:after="0"/>
              <w:rPr>
                <w:sz w:val="1"/>
                <w:szCs w:val="1"/>
                <w:color w:val="auto"/>
              </w:rPr>
            </w:pPr>
          </w:p>
        </w:tc>
      </w:tr>
      <w:tr>
        <w:trPr>
          <w:trHeight w:val="211"/>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360"/>
              <w:spacing w:after="0" w:line="176" w:lineRule="exact"/>
              <w:rPr>
                <w:sz w:val="20"/>
                <w:szCs w:val="20"/>
                <w:color w:val="auto"/>
              </w:rPr>
            </w:pPr>
            <w:r>
              <w:rPr>
                <w:rFonts w:ascii="Arial" w:cs="Arial" w:eastAsia="Arial" w:hAnsi="Arial"/>
                <w:sz w:val="18"/>
                <w:szCs w:val="18"/>
                <w:color w:val="auto"/>
                <w:w w:val="90"/>
              </w:rPr>
              <w:t>Numerator for basic and diluted net income per share —</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201,035</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161,356</w:t>
            </w: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434,874</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283,935</w:t>
            </w:r>
          </w:p>
        </w:tc>
        <w:tc>
          <w:tcPr>
            <w:tcW w:w="0" w:type="dxa"/>
            <w:vAlign w:val="bottom"/>
          </w:tcPr>
          <w:p>
            <w:pPr>
              <w:spacing w:after="0"/>
              <w:rPr>
                <w:sz w:val="1"/>
                <w:szCs w:val="1"/>
                <w:color w:val="auto"/>
              </w:rPr>
            </w:pPr>
          </w:p>
        </w:tc>
      </w:tr>
      <w:tr>
        <w:trPr>
          <w:trHeight w:val="207"/>
        </w:trPr>
        <w:tc>
          <w:tcPr>
            <w:tcW w:w="4440" w:type="dxa"/>
            <w:vAlign w:val="bottom"/>
          </w:tcPr>
          <w:p>
            <w:pPr>
              <w:ind w:left="520"/>
              <w:spacing w:after="0" w:line="202" w:lineRule="exact"/>
              <w:rPr>
                <w:sz w:val="20"/>
                <w:szCs w:val="20"/>
                <w:color w:val="auto"/>
              </w:rPr>
            </w:pPr>
            <w:r>
              <w:rPr>
                <w:rFonts w:ascii="Arial" w:cs="Arial" w:eastAsia="Arial" w:hAnsi="Arial"/>
                <w:sz w:val="18"/>
                <w:szCs w:val="18"/>
                <w:color w:val="auto"/>
              </w:rPr>
              <w:t>net income available to common stockholders</w:t>
            </w:r>
          </w:p>
        </w:tc>
        <w:tc>
          <w:tcPr>
            <w:tcW w:w="22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40" w:type="dxa"/>
            <w:vAlign w:val="bottom"/>
          </w:tcPr>
          <w:p>
            <w:pPr>
              <w:ind w:left="360"/>
              <w:spacing w:after="0" w:line="176" w:lineRule="exact"/>
              <w:rPr>
                <w:sz w:val="20"/>
                <w:szCs w:val="20"/>
                <w:color w:val="auto"/>
              </w:rPr>
            </w:pPr>
            <w:r>
              <w:rPr>
                <w:rFonts w:ascii="Arial" w:cs="Arial" w:eastAsia="Arial" w:hAnsi="Arial"/>
                <w:sz w:val="18"/>
                <w:szCs w:val="18"/>
                <w:color w:val="auto"/>
              </w:rPr>
              <w:t>Denominator for basic net income per share —</w:t>
            </w: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113,811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116,129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114,292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117,436</w:t>
            </w:r>
          </w:p>
        </w:tc>
        <w:tc>
          <w:tcPr>
            <w:tcW w:w="0" w:type="dxa"/>
            <w:vAlign w:val="bottom"/>
          </w:tcPr>
          <w:p>
            <w:pPr>
              <w:spacing w:after="0"/>
              <w:rPr>
                <w:sz w:val="1"/>
                <w:szCs w:val="1"/>
                <w:color w:val="auto"/>
              </w:rPr>
            </w:pPr>
          </w:p>
        </w:tc>
      </w:tr>
      <w:tr>
        <w:trPr>
          <w:trHeight w:val="230"/>
        </w:trPr>
        <w:tc>
          <w:tcPr>
            <w:tcW w:w="4440" w:type="dxa"/>
            <w:vAlign w:val="bottom"/>
          </w:tcPr>
          <w:p>
            <w:pPr>
              <w:ind w:left="520"/>
              <w:spacing w:after="0"/>
              <w:rPr>
                <w:sz w:val="20"/>
                <w:szCs w:val="20"/>
                <w:color w:val="auto"/>
              </w:rPr>
            </w:pPr>
            <w:r>
              <w:rPr>
                <w:rFonts w:ascii="Arial" w:cs="Arial" w:eastAsia="Arial" w:hAnsi="Arial"/>
                <w:sz w:val="18"/>
                <w:szCs w:val="18"/>
                <w:color w:val="auto"/>
              </w:rPr>
              <w:t>weighted average shares</w:t>
            </w: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Stock-based awards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156"/>
        </w:trPr>
        <w:tc>
          <w:tcPr>
            <w:tcW w:w="44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Denominator for diluted net income per share — adjusted</w:t>
            </w:r>
          </w:p>
        </w:tc>
        <w:tc>
          <w:tcPr>
            <w:tcW w:w="2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115,690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118,455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116,257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119,712</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weighted average shares and assumed conversions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An immaterial number of the Company's outstanding stock-based awards was excluded from the computation of diluted net income per share for the three and nine months ended January 2, 2021 and December 28, 2019, because the effect of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56" w:lineRule="exact"/>
        <w:rPr>
          <w:sz w:val="20"/>
          <w:szCs w:val="20"/>
          <w:color w:val="auto"/>
        </w:rPr>
      </w:pPr>
    </w:p>
    <w:p>
      <w:pPr>
        <w:spacing w:after="0" w:line="282"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"plan," "anticipate," "believe," "estimate,"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our substantial dependence on developing new products and achieving design wins; our dependence on a few large customers for a substantial portion of our revenue; a loss of revenue if contracts with the United States government or defense and aerospace contractors are canceled or delayed or if defense spending is reduced; the COVID-19 pandemic, which has and will likely continue to negatively impact the global economy and disrupt normal business activities, and which may have an adverse effect on our results of operations; our dependence on third parties; risks related to sales through distributors; risks associated with the operation of our manufacturing facilities; business disruptions; poor manufacturing yields; increased inventory risks and costs due to timing of customer forecasts; our inability to effectively manage or maintain evolving relationships with platform providers; risks from international sales and operations; economic regulation in China; changes in government trade policies, including imposition of tariffs and export restrictions; our ability to implement innovative technologies; underutilization of manufacturing facilities as a result of industry overcapacity; we may not be able to borrow funds under our credit facility or secure future financing; we may not be able to generate sufficient cash to service all of our debt; restrictions imposed by the agreements governing our debt; volatility in the price of our common stock; damage to our reputation or brand; fluctuations in the amount and frequency of our stock repurchases; our recent and future acquisitions and other strategic investments could fail to achieve financial or strategic objectives; our ability to attract, retain and motivate key employees; our reliance on our intellectual property portfolio; claims of infringement of third-party intellectual property rights; security breaches and other similar disruptions compromising our information; theft, loss or misuse of personal data by or about our employees, customers or third parties; warranty claims, product recalls and product liability; and risks associated with environmental, health and safety regulations and climate change. Many of the foregoing risks and uncertainties are, and will continue to be exacerbated by the COVID-</w:t>
      </w:r>
    </w:p>
    <w:p>
      <w:pPr>
        <w:spacing w:after="0" w:line="10"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i w:val="1"/>
          <w:iCs w:val="1"/>
          <w:color w:val="auto"/>
        </w:rPr>
        <w:t>19 pandemic and any worsening of the global business and economic environment as a result. These and other risks and uncertainties, which are described in more detail in our most recent Annual Report on Form 10-K and in other reports and statements that we file with the SEC, could cause actual results and developments to be materially different from those expressed or implied by any of these forward-looking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720"/>
        <w:spacing w:after="0" w:line="31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76"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Qorvo® is a leader in the development and commercialization of technologies and products for wireless and wired connectivity. We combine a broad portfolio of innovative radio frequency ("RF") solutions, highly differentiated semiconductor technologies, systems-level expertise and global manufacturing scale to supply a diverse set of customers a broad range of products that enable a more connected world.</w:t>
      </w:r>
    </w:p>
    <w:p>
      <w:pPr>
        <w:spacing w:after="0" w:line="19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COVID-19 pandemic and the resulting economic downturn are affecting business conditions in our industry. During the nine months ended January 2, 2021, we did not encounter material disruptions to our global supply chain or operations, and we believe that our cash on hand, cash flows from operations and availability under our revolving credit facility provide us with sufficient liquidity. The duration, severity, and future impact of the COVID-19 pandemic remains highly uncertain and may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33"/>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 w:right="240"/>
        <w:spacing w:after="0" w:line="277" w:lineRule="auto"/>
        <w:rPr>
          <w:sz w:val="20"/>
          <w:szCs w:val="20"/>
          <w:color w:val="auto"/>
        </w:rPr>
      </w:pPr>
      <w:r>
        <w:rPr>
          <w:rFonts w:ascii="Arial" w:cs="Arial" w:eastAsia="Arial" w:hAnsi="Arial"/>
          <w:sz w:val="18"/>
          <w:szCs w:val="18"/>
          <w:color w:val="auto"/>
        </w:rPr>
        <w:t>result in significant disruptions to our operations, including our supply chain, as well as negative impacts to our financial condition. We will continue to monitor the implications of the COVID-19 pandemic on our business, as well as our customers' and suppliers' businesses.</w:t>
      </w:r>
    </w:p>
    <w:p>
      <w:pPr>
        <w:spacing w:after="0" w:line="197" w:lineRule="exact"/>
        <w:rPr>
          <w:sz w:val="20"/>
          <w:szCs w:val="20"/>
          <w:color w:val="auto"/>
        </w:rPr>
      </w:pPr>
    </w:p>
    <w:p>
      <w:pPr>
        <w:ind w:left="33"/>
        <w:spacing w:after="0" w:line="342" w:lineRule="auto"/>
        <w:rPr>
          <w:sz w:val="20"/>
          <w:szCs w:val="20"/>
          <w:color w:val="auto"/>
        </w:rPr>
      </w:pPr>
      <w:r>
        <w:rPr>
          <w:rFonts w:ascii="Arial" w:cs="Arial" w:eastAsia="Arial" w:hAnsi="Arial"/>
          <w:sz w:val="16"/>
          <w:szCs w:val="16"/>
          <w:color w:val="auto"/>
        </w:rPr>
        <w:t>We design, develop, manufacture and market our products to U.S. and international original equipment manufacturers and original design manufacturers in two operating segments, which are also our reportable segments: Mobile Products ("MP") and Infrastructure and Defense Products ("IDP").</w:t>
      </w:r>
    </w:p>
    <w:p>
      <w:pPr>
        <w:spacing w:after="0" w:line="151" w:lineRule="exact"/>
        <w:rPr>
          <w:sz w:val="20"/>
          <w:szCs w:val="20"/>
          <w:color w:val="auto"/>
        </w:rPr>
      </w:pPr>
    </w:p>
    <w:p>
      <w:pPr>
        <w:ind w:left="33" w:right="160"/>
        <w:spacing w:after="0" w:line="277" w:lineRule="auto"/>
        <w:rPr>
          <w:sz w:val="20"/>
          <w:szCs w:val="20"/>
          <w:color w:val="auto"/>
        </w:rPr>
      </w:pPr>
      <w:r>
        <w:rPr>
          <w:rFonts w:ascii="Arial" w:cs="Arial" w:eastAsia="Arial" w:hAnsi="Arial"/>
          <w:sz w:val="18"/>
          <w:szCs w:val="18"/>
          <w:color w:val="auto"/>
        </w:rPr>
        <w:t>MP is a global supplier of cellular, ultra-wide band and Wi-Fi solutions for a variety of high-volume markets, including smartphones, wearables, laptops, tablets and Internet of Things ("IoT") applications.</w:t>
      </w:r>
    </w:p>
    <w:p>
      <w:pPr>
        <w:spacing w:after="0" w:line="197" w:lineRule="exact"/>
        <w:rPr>
          <w:sz w:val="20"/>
          <w:szCs w:val="20"/>
          <w:color w:val="auto"/>
        </w:rPr>
      </w:pPr>
    </w:p>
    <w:p>
      <w:pPr>
        <w:ind w:left="33"/>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wireless infrastructure, defense, Wi-Fi, smart home, automotive, and IoT.</w:t>
      </w:r>
    </w:p>
    <w:p>
      <w:pPr>
        <w:spacing w:after="0" w:line="197" w:lineRule="exact"/>
        <w:rPr>
          <w:sz w:val="20"/>
          <w:szCs w:val="20"/>
          <w:color w:val="auto"/>
        </w:rPr>
      </w:pPr>
    </w:p>
    <w:p>
      <w:pPr>
        <w:ind w:left="33" w:right="20"/>
        <w:spacing w:after="0" w:line="279" w:lineRule="auto"/>
        <w:rPr>
          <w:sz w:val="20"/>
          <w:szCs w:val="20"/>
          <w:color w:val="auto"/>
        </w:rPr>
      </w:pPr>
      <w:r>
        <w:rPr>
          <w:rFonts w:ascii="Arial" w:cs="Arial" w:eastAsia="Arial" w:hAnsi="Arial"/>
          <w:sz w:val="17"/>
          <w:szCs w:val="17"/>
          <w:color w:val="auto"/>
        </w:rPr>
        <w:t>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segment primarily based on operating income. See Note 12 of the Notes to Condensed Consolidated Financial Statements in Part I, Item 1 of this report for additional information regarding our operating segments.</w:t>
      </w:r>
    </w:p>
    <w:p>
      <w:pPr>
        <w:spacing w:after="0" w:line="194" w:lineRule="exact"/>
        <w:rPr>
          <w:sz w:val="20"/>
          <w:szCs w:val="20"/>
          <w:color w:val="auto"/>
        </w:rPr>
      </w:pPr>
    </w:p>
    <w:p>
      <w:pPr>
        <w:ind w:left="33"/>
        <w:spacing w:after="0"/>
        <w:rPr>
          <w:sz w:val="20"/>
          <w:szCs w:val="20"/>
          <w:color w:val="auto"/>
        </w:rPr>
      </w:pPr>
      <w:r>
        <w:rPr>
          <w:rFonts w:ascii="Arial" w:cs="Arial" w:eastAsia="Arial" w:hAnsi="Arial"/>
          <w:sz w:val="18"/>
          <w:szCs w:val="18"/>
          <w:b w:val="1"/>
          <w:bCs w:val="1"/>
          <w:color w:val="auto"/>
        </w:rPr>
        <w:t>THIRD QUARTER FISCAL 2021 FINANCIAL HIGHLIGHTS:</w:t>
      </w:r>
    </w:p>
    <w:p>
      <w:pPr>
        <w:spacing w:after="0" w:line="256" w:lineRule="exact"/>
        <w:rPr>
          <w:sz w:val="20"/>
          <w:szCs w:val="20"/>
          <w:color w:val="auto"/>
        </w:rPr>
      </w:pPr>
    </w:p>
    <w:p>
      <w:pPr>
        <w:ind w:left="333" w:right="20" w:hanging="333"/>
        <w:spacing w:after="0" w:line="263"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for the third quarter of fiscal 2021 increased 26.0% as compared to the third quarter of fiscal 2020, driven primarily by higher demand for our 5G mobile solutions and Wi-Fi products, partially offset by lower shipments of our mobile products to Huawei Technologies Co., Ltd. and affiliates ("Huawei").</w:t>
      </w:r>
    </w:p>
    <w:p>
      <w:pPr>
        <w:spacing w:after="0" w:line="210" w:lineRule="exact"/>
        <w:rPr>
          <w:rFonts w:ascii="Arial" w:cs="Arial" w:eastAsia="Arial" w:hAnsi="Arial"/>
          <w:sz w:val="18"/>
          <w:szCs w:val="18"/>
          <w:color w:val="auto"/>
        </w:rPr>
      </w:pPr>
    </w:p>
    <w:p>
      <w:pPr>
        <w:ind w:left="333" w:right="220" w:hanging="333"/>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for the third quarter of fiscal 2021 was 49.1% as compared to 42.4% for the third quarter of fiscal 2020, primarily due to the effects of increased revenue, including product mix and favorable fixed cost absorption resulting from improved factory utilization.</w:t>
      </w:r>
    </w:p>
    <w:p>
      <w:pPr>
        <w:spacing w:after="0" w:line="197" w:lineRule="exact"/>
        <w:rPr>
          <w:rFonts w:ascii="Arial" w:cs="Arial" w:eastAsia="Arial" w:hAnsi="Arial"/>
          <w:sz w:val="18"/>
          <w:szCs w:val="18"/>
          <w:color w:val="auto"/>
        </w:rPr>
      </w:pPr>
    </w:p>
    <w:p>
      <w:pPr>
        <w:ind w:left="333" w:right="40" w:hanging="333"/>
        <w:spacing w:after="0" w:line="259"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was $299.2 million for the third quarter of fiscal 2021 as compared to $153.1 million for the third quarter of fiscal 2020. This increase was primarily due to higher revenue and gross margin, partially offset by higher operating expenses. Operating expenses increased primarily due to higher personnel and commission expenses and increased product development spend as a result of recent acquisitions, partially offset by lower travel expense.</w:t>
      </w:r>
    </w:p>
    <w:p>
      <w:pPr>
        <w:spacing w:after="0" w:line="213"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per diluted share was $1.74 for the third quarter of fiscal 2021 as compared to $1.36 for the third quarter of fiscal 2020.</w:t>
      </w:r>
    </w:p>
    <w:p>
      <w:pPr>
        <w:spacing w:after="0" w:line="252"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7"/>
          <w:szCs w:val="17"/>
          <w:color w:val="auto"/>
        </w:rPr>
      </w:pPr>
      <w:r>
        <w:rPr>
          <w:rFonts w:ascii="Arial" w:cs="Arial" w:eastAsia="Arial" w:hAnsi="Arial"/>
          <w:sz w:val="17"/>
          <w:szCs w:val="17"/>
          <w:color w:val="auto"/>
        </w:rPr>
        <w:t>Capital expenditures were $36.1 million for the third quarter of fiscal 2021 as compared to $40.7 million for the third quarter of fiscal 2020.</w:t>
      </w:r>
    </w:p>
    <w:p>
      <w:pPr>
        <w:spacing w:after="0" w:line="263" w:lineRule="exact"/>
        <w:rPr>
          <w:rFonts w:ascii="Arial" w:cs="Arial" w:eastAsia="Arial" w:hAnsi="Arial"/>
          <w:sz w:val="17"/>
          <w:szCs w:val="17"/>
          <w:color w:val="auto"/>
        </w:rPr>
      </w:pPr>
    </w:p>
    <w:p>
      <w:pPr>
        <w:ind w:left="313" w:hanging="313"/>
        <w:spacing w:after="0"/>
        <w:tabs>
          <w:tab w:leader="none" w:pos="313"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third quarter of fiscal 2021, we repurchased approximately 1.1 million shares of our common stock for approximately $160.0 million.</w:t>
      </w:r>
    </w:p>
    <w:p>
      <w:pPr>
        <w:spacing w:after="0" w:line="263" w:lineRule="exact"/>
        <w:rPr>
          <w:rFonts w:ascii="Arial" w:cs="Arial" w:eastAsia="Arial" w:hAnsi="Arial"/>
          <w:sz w:val="17"/>
          <w:szCs w:val="17"/>
          <w:color w:val="auto"/>
        </w:rPr>
      </w:pPr>
    </w:p>
    <w:p>
      <w:pPr>
        <w:ind w:left="333" w:right="60" w:hanging="333"/>
        <w:spacing w:after="0" w:line="263"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third quarter of fiscal 2021, we redeemed all of our 5.50% senior notes due July 15, 2026 (the "2026 Notes") at a redemption price equal to 106.363% of the $900.0 million outstanding principal amount, plus accrued and unpaid interest. In connection with the redemption, we recognized a loss on debt extinguishment of $61.0 million.</w:t>
      </w:r>
    </w:p>
    <w:p>
      <w:pPr>
        <w:spacing w:after="0" w:line="210" w:lineRule="exact"/>
        <w:rPr>
          <w:rFonts w:ascii="Arial" w:cs="Arial" w:eastAsia="Arial" w:hAnsi="Arial"/>
          <w:sz w:val="18"/>
          <w:szCs w:val="18"/>
          <w:color w:val="auto"/>
        </w:rPr>
      </w:pPr>
    </w:p>
    <w:p>
      <w:pPr>
        <w:ind w:left="333" w:hanging="333"/>
        <w:spacing w:after="0" w:line="263"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third quarter of fiscal 2021, we redeemed the remaining 7.00% senior notes due December 1, 2025 (the "2025 Notes") at a redemption price equal to 103.50% of the $23.4 million outstanding principal amount, plus accrued and unpaid interest. In connection with the redemption, we recognized a loss on debt extinguishment of $1.0 million.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3"/>
          </w:cols>
          <w:pgMar w:left="287" w:top="121" w:right="39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a summary of our results of operations for the three and nine months ended January 2, 2021 and December 28, 2019 (in thousands, except percentages):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January 2,</w:t>
            </w: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December 28,</w:t>
            </w: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96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Revenue</w:t>
            </w:r>
          </w:p>
        </w:tc>
        <w:tc>
          <w:tcPr>
            <w:tcW w:w="160" w:type="dxa"/>
            <w:vAlign w:val="bottom"/>
          </w:tcPr>
          <w:p>
            <w:pPr>
              <w:spacing w:after="0"/>
              <w:rPr>
                <w:sz w:val="16"/>
                <w:szCs w:val="16"/>
                <w:color w:val="auto"/>
              </w:rPr>
            </w:pPr>
          </w:p>
        </w:tc>
        <w:tc>
          <w:tcPr>
            <w:tcW w:w="11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6"/>
                <w:szCs w:val="16"/>
                <w:color w:val="auto"/>
              </w:rPr>
            </w:pPr>
          </w:p>
        </w:tc>
        <w:tc>
          <w:tcPr>
            <w:tcW w:w="96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4"/>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1,094,834</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869,073</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225,761</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557,082</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500,962</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56,120</w:t>
            </w:r>
          </w:p>
        </w:tc>
        <w:tc>
          <w:tcPr>
            <w:tcW w:w="1440" w:type="dxa"/>
            <w:vAlign w:val="bottom"/>
            <w:tcBorders>
              <w:bottom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537,752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368,111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169,641</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136,697</w:t>
            </w:r>
          </w:p>
        </w:tc>
        <w:tc>
          <w:tcPr>
            <w:tcW w:w="12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122,851</w:t>
            </w:r>
          </w:p>
        </w:tc>
        <w:tc>
          <w:tcPr>
            <w:tcW w:w="12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13,846</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93,139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11,934</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10,986</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1440" w:type="dxa"/>
            <w:vAlign w:val="bottom"/>
            <w:tcBorders>
              <w:bottom w:val="single" w:sz="8" w:color="CCEEFF"/>
            </w:tcBorders>
            <w:gridSpan w:val="2"/>
          </w:tcPr>
          <w:p>
            <w:pPr>
              <w:jc w:val="right"/>
              <w:ind w:right="10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299,203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153,069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146,134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95.5 %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January 2, 2021</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 of Revenue</w:t>
            </w: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December 28, 2019</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 of Revenue</w:t>
            </w:r>
          </w:p>
        </w:tc>
        <w:tc>
          <w:tcPr>
            <w:tcW w:w="180" w:type="dxa"/>
            <w:vAlign w:val="bottom"/>
          </w:tcPr>
          <w:p>
            <w:pPr>
              <w:spacing w:after="0"/>
              <w:rPr>
                <w:sz w:val="11"/>
                <w:szCs w:val="11"/>
                <w:color w:val="auto"/>
              </w:rPr>
            </w:pPr>
          </w:p>
        </w:tc>
        <w:tc>
          <w:tcPr>
            <w:tcW w:w="96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2,942,577</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2,451,369</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491,208</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1,587,486</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1,465,387</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122,099</w:t>
            </w:r>
          </w:p>
        </w:tc>
        <w:tc>
          <w:tcPr>
            <w:tcW w:w="1440" w:type="dxa"/>
            <w:vAlign w:val="bottom"/>
            <w:tcBorders>
              <w:bottom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1,355,091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985,982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369,109</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9"/>
        </w:trPr>
        <w:tc>
          <w:tcPr>
            <w:tcW w:w="31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423,110</w:t>
            </w:r>
          </w:p>
        </w:tc>
        <w:tc>
          <w:tcPr>
            <w:tcW w:w="12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357,385</w:t>
            </w:r>
          </w:p>
        </w:tc>
        <w:tc>
          <w:tcPr>
            <w:tcW w:w="12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65,725</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289,115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258,458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30,657</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29,307</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49,077</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(19,770)</w:t>
            </w:r>
          </w:p>
        </w:tc>
        <w:tc>
          <w:tcPr>
            <w:tcW w:w="1440" w:type="dxa"/>
            <w:vAlign w:val="bottom"/>
            <w:tcBorders>
              <w:bottom w:val="single" w:sz="8" w:color="CCEEFF"/>
            </w:tcBorders>
            <w:gridSpan w:val="2"/>
          </w:tcPr>
          <w:p>
            <w:pPr>
              <w:jc w:val="right"/>
              <w:ind w:right="10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613,559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321,062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292,497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91.1 %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Revenue increased for the three months ended January 2, 2021 as compared to the three months ended December 28, 2019, driven primarily by higher demand for our 5G mobile solutions and Wi-Fi products, partially offset by lower shipments of our mobile products to Huawei.</w:t>
      </w:r>
    </w:p>
    <w:p>
      <w:pPr>
        <w:spacing w:after="0" w:line="17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Revenue increased for the nine months ended January 2, 2021 as compared to the nine months ended December 28, 2019, driven primarily by higher demand for our 5G mobile solutions, 5G base station products and Wi-Fi products, partially offset by lower shipments of our mobile products to Huawei.</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2019, the Bureau of Industry and Security of the U.S. Department of Commerce ("Commerce") added Huawei Technologies Co., Ltd. and over 100 of its affiliates to the Entity List maintained by Commerce, which caused us to temporarily suspend the export, reexport, and transfer of products to Huawei. In August 2020, Commerce issued a final rule adding additional Huawei non-U.S. affiliates to the Entity List, confirming the expiration of a temporary general license applicable to Huawei, and amending the foreign-produced direct product rule in a manner that represents a significant expansion of its application to Huawei. While we were able to ship certain products to Huawei in fiscal 2020, trade restrictions and our ability to secure any required licenses will continue to impact sales to Huawei.</w:t>
      </w:r>
    </w:p>
    <w:p>
      <w:pPr>
        <w:spacing w:after="0" w:line="21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Gross margin increased for the three and nine months ended January 2, 2021 as compared to the three and nine months ended December 28, 2019, primarily due to the effects of increased revenue, including product mix and favorable fixed cost absorption resulting from improved factory utilization.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Research and development expense increased for the three and nine months ended January 2, 2021 as compared to the three and nine months ended December 28, 2019, primarily due to higher personnel costs and increased product development spend as a result of recent acquisitions.</w:t>
      </w:r>
    </w:p>
    <w:p>
      <w:pPr>
        <w:spacing w:after="0" w:line="15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Selling, general and administrative expense increased for the three and nine months ended January 2, 2021 as compared to the three and nine months ended December 28, 2019, primarily due to higher personnel and commission expenses and increased intangible amortization expense as a result of recent acquisitions. These increases were partially offset by lower travel expense.</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Other operating expense decreased for the three months ended January 2, 2021 as compared to the three months ended December 28, 2019, primarily due to lower restructuring expenses and lower acquisition and integration-related expenses. Other operating expense decreased for the nine months ended January 2, 2021 as compared to the nine months ended December 28, 2019, primarily due to lower restructuring expenses, lower acquisition and integration-related expenses and realized gains on the sale of fixed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w w:val="93"/>
              </w:rPr>
              <w:t>Three Months Ended</w:t>
            </w:r>
          </w:p>
        </w:tc>
        <w:tc>
          <w:tcPr>
            <w:tcW w:w="1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920" w:type="dxa"/>
            <w:vAlign w:val="bottom"/>
            <w:vMerge w:val="restart"/>
          </w:tcPr>
          <w:p>
            <w:pPr>
              <w:spacing w:after="0"/>
              <w:rPr>
                <w:sz w:val="20"/>
                <w:szCs w:val="20"/>
                <w:color w:val="auto"/>
              </w:rPr>
            </w:pPr>
            <w:r>
              <w:rPr>
                <w:rFonts w:ascii="Arial" w:cs="Arial" w:eastAsia="Arial" w:hAnsi="Arial"/>
                <w:sz w:val="14"/>
                <w:szCs w:val="14"/>
                <w:color w:val="auto"/>
              </w:rPr>
              <w:t>(In thousands, except percentages)</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January 2,</w:t>
            </w:r>
          </w:p>
        </w:tc>
        <w:tc>
          <w:tcPr>
            <w:tcW w:w="2480" w:type="dxa"/>
            <w:vAlign w:val="bottom"/>
          </w:tcPr>
          <w:p>
            <w:pPr>
              <w:jc w:val="center"/>
              <w:ind w:right="448"/>
              <w:spacing w:after="0" w:line="135" w:lineRule="exact"/>
              <w:rPr>
                <w:sz w:val="20"/>
                <w:szCs w:val="20"/>
                <w:color w:val="auto"/>
              </w:rPr>
            </w:pPr>
            <w:r>
              <w:rPr>
                <w:rFonts w:ascii="Arial" w:cs="Arial" w:eastAsia="Arial" w:hAnsi="Arial"/>
                <w:sz w:val="14"/>
                <w:szCs w:val="14"/>
                <w:b w:val="1"/>
                <w:bCs w:val="1"/>
                <w:color w:val="auto"/>
                <w:w w:val="92"/>
              </w:rPr>
              <w:t>December 28,</w:t>
            </w:r>
          </w:p>
        </w:tc>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rPr>
              <w:t>Increase</w:t>
            </w: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6"/>
        </w:trPr>
        <w:tc>
          <w:tcPr>
            <w:tcW w:w="3920" w:type="dxa"/>
            <w:vAlign w:val="bottom"/>
            <w:vMerge w:val="continue"/>
          </w:tcPr>
          <w:p>
            <w:pPr>
              <w:spacing w:after="0"/>
              <w:rPr>
                <w:sz w:val="16"/>
                <w:szCs w:val="16"/>
                <w:color w:val="auto"/>
              </w:rPr>
            </w:pPr>
          </w:p>
        </w:tc>
        <w:tc>
          <w:tcPr>
            <w:tcW w:w="1740" w:type="dxa"/>
            <w:vAlign w:val="bottom"/>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2480" w:type="dxa"/>
            <w:vAlign w:val="bottom"/>
          </w:tcPr>
          <w:p>
            <w:pPr>
              <w:jc w:val="right"/>
              <w:ind w:right="1288"/>
              <w:spacing w:after="0"/>
              <w:rPr>
                <w:sz w:val="20"/>
                <w:szCs w:val="20"/>
                <w:color w:val="auto"/>
              </w:rPr>
            </w:pPr>
            <w:r>
              <w:rPr>
                <w:rFonts w:ascii="Arial" w:cs="Arial" w:eastAsia="Arial" w:hAnsi="Arial"/>
                <w:sz w:val="14"/>
                <w:szCs w:val="14"/>
                <w:b w:val="1"/>
                <w:bCs w:val="1"/>
                <w:color w:val="auto"/>
              </w:rPr>
              <w:t>2019</w:t>
            </w:r>
          </w:p>
        </w:tc>
        <w:tc>
          <w:tcPr>
            <w:tcW w:w="1100" w:type="dxa"/>
            <w:vAlign w:val="bottom"/>
            <w:vMerge w:val="continue"/>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826,021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662,109</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163,912</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92"/>
              </w:rPr>
              <w:t>24.8 %</w:t>
            </w:r>
          </w:p>
        </w:tc>
        <w:tc>
          <w:tcPr>
            <w:tcW w:w="0" w:type="dxa"/>
            <w:vAlign w:val="bottom"/>
          </w:tcPr>
          <w:p>
            <w:pPr>
              <w:spacing w:after="0"/>
              <w:rPr>
                <w:sz w:val="1"/>
                <w:szCs w:val="1"/>
                <w:color w:val="auto"/>
              </w:rPr>
            </w:pPr>
          </w:p>
        </w:tc>
      </w:tr>
      <w:tr>
        <w:trPr>
          <w:trHeight w:val="229"/>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8"/>
                <w:szCs w:val="18"/>
                <w:color w:val="auto"/>
              </w:rPr>
              <w:t>342,118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36"/>
              <w:spacing w:after="0"/>
              <w:rPr>
                <w:sz w:val="20"/>
                <w:szCs w:val="20"/>
                <w:color w:val="auto"/>
              </w:rPr>
            </w:pPr>
            <w:r>
              <w:rPr>
                <w:rFonts w:ascii="Arial" w:cs="Arial" w:eastAsia="Arial" w:hAnsi="Arial"/>
                <w:sz w:val="18"/>
                <w:szCs w:val="18"/>
                <w:color w:val="auto"/>
              </w:rPr>
              <w:t>219,778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122,340</w:t>
            </w:r>
          </w:p>
        </w:tc>
        <w:tc>
          <w:tcPr>
            <w:tcW w:w="100" w:type="dxa"/>
            <w:vAlign w:val="bottom"/>
          </w:tcPr>
          <w:p>
            <w:pPr>
              <w:spacing w:after="0"/>
              <w:rPr>
                <w:sz w:val="19"/>
                <w:szCs w:val="19"/>
                <w:color w:val="auto"/>
              </w:rPr>
            </w:pPr>
          </w:p>
        </w:tc>
        <w:tc>
          <w:tcPr>
            <w:tcW w:w="1740" w:type="dxa"/>
            <w:vAlign w:val="bottom"/>
          </w:tcPr>
          <w:p>
            <w:pPr>
              <w:ind w:left="12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340" w:type="dxa"/>
            <w:vAlign w:val="bottom"/>
          </w:tcPr>
          <w:p>
            <w:pPr>
              <w:spacing w:after="0"/>
              <w:rPr>
                <w:sz w:val="11"/>
                <w:szCs w:val="11"/>
                <w:color w:val="auto"/>
              </w:rPr>
            </w:pPr>
          </w:p>
        </w:tc>
        <w:tc>
          <w:tcPr>
            <w:tcW w:w="150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January 2,</w:t>
            </w:r>
          </w:p>
        </w:tc>
        <w:tc>
          <w:tcPr>
            <w:tcW w:w="280" w:type="dxa"/>
            <w:vAlign w:val="bottom"/>
          </w:tcPr>
          <w:p>
            <w:pPr>
              <w:spacing w:after="0"/>
              <w:rPr>
                <w:sz w:val="11"/>
                <w:szCs w:val="11"/>
                <w:color w:val="auto"/>
              </w:rPr>
            </w:pPr>
          </w:p>
        </w:tc>
        <w:tc>
          <w:tcPr>
            <w:tcW w:w="158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December 28,</w:t>
            </w:r>
          </w:p>
        </w:tc>
        <w:tc>
          <w:tcPr>
            <w:tcW w:w="50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w:t>
            </w:r>
          </w:p>
        </w:tc>
        <w:tc>
          <w:tcPr>
            <w:tcW w:w="1740" w:type="dxa"/>
            <w:vAlign w:val="bottom"/>
          </w:tcPr>
          <w:p>
            <w:pPr>
              <w:ind w:left="520"/>
              <w:spacing w:after="0" w:line="135"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8"/>
        </w:trPr>
        <w:tc>
          <w:tcPr>
            <w:tcW w:w="39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63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2,048,719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1,841,468</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207,251</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92"/>
              </w:rPr>
              <w:t>11.3 %</w:t>
            </w: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8"/>
                <w:szCs w:val="18"/>
                <w:color w:val="auto"/>
              </w:rPr>
              <w:t>714,959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36"/>
              <w:spacing w:after="0"/>
              <w:rPr>
                <w:sz w:val="20"/>
                <w:szCs w:val="20"/>
                <w:color w:val="auto"/>
              </w:rPr>
            </w:pPr>
            <w:r>
              <w:rPr>
                <w:rFonts w:ascii="Arial" w:cs="Arial" w:eastAsia="Arial" w:hAnsi="Arial"/>
                <w:sz w:val="18"/>
                <w:szCs w:val="18"/>
                <w:color w:val="auto"/>
              </w:rPr>
              <w:t>553,144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161,815</w:t>
            </w:r>
          </w:p>
        </w:tc>
        <w:tc>
          <w:tcPr>
            <w:tcW w:w="100" w:type="dxa"/>
            <w:vAlign w:val="bottom"/>
          </w:tcPr>
          <w:p>
            <w:pPr>
              <w:spacing w:after="0"/>
              <w:rPr>
                <w:sz w:val="19"/>
                <w:szCs w:val="19"/>
                <w:color w:val="auto"/>
              </w:rPr>
            </w:pPr>
          </w:p>
        </w:tc>
        <w:tc>
          <w:tcPr>
            <w:tcW w:w="1740" w:type="dxa"/>
            <w:vAlign w:val="bottom"/>
          </w:tcPr>
          <w:p>
            <w:pPr>
              <w:ind w:left="12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MP revenue increased for the three and nine months ended January 2, 2021 as compared to the three and nine months ended December 28, 2019, driven primarily by higher demand for our 5G mobile solutions and Wi-Fi products, partially offset by lower shipments of our mobile products to Huawei.</w:t>
      </w:r>
    </w:p>
    <w:p>
      <w:pPr>
        <w:spacing w:after="0" w:line="15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MP operating income increased for the three and nine months ended January 2, 2021 as compared to the three and nine months ended December 28, 2019, primarily due to the effects of increased revenue, including product mix and favorable fixed cost absorption resulting from improved factory utilization, partially offset by higher operating expenses. Operating expenses increased primarily due to higher personnel and commission expenses and increased product development spend as a result of recent acquisitions, partially offset by lower travel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640" w:type="dxa"/>
            <w:vAlign w:val="bottom"/>
            <w:vMerge w:val="restart"/>
          </w:tcPr>
          <w:p>
            <w:pPr>
              <w:spacing w:after="0"/>
              <w:rPr>
                <w:sz w:val="20"/>
                <w:szCs w:val="20"/>
                <w:color w:val="auto"/>
              </w:rPr>
            </w:pPr>
            <w:r>
              <w:rPr>
                <w:rFonts w:ascii="Arial" w:cs="Arial" w:eastAsia="Arial" w:hAnsi="Arial"/>
                <w:sz w:val="14"/>
                <w:szCs w:val="14"/>
                <w:color w:val="auto"/>
              </w:rPr>
              <w:t>(In thousands, except percentages)</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January 2,</w:t>
            </w: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December 28,</w:t>
            </w:r>
          </w:p>
        </w:tc>
        <w:tc>
          <w:tcPr>
            <w:tcW w:w="15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Increase</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6"/>
        </w:trPr>
        <w:tc>
          <w:tcPr>
            <w:tcW w:w="4640" w:type="dxa"/>
            <w:vAlign w:val="bottom"/>
            <w:vMerge w:val="continue"/>
          </w:tcPr>
          <w:p>
            <w:pPr>
              <w:spacing w:after="0"/>
              <w:rPr>
                <w:sz w:val="16"/>
                <w:szCs w:val="16"/>
                <w:color w:val="auto"/>
              </w:rPr>
            </w:pPr>
          </w:p>
        </w:tc>
        <w:tc>
          <w:tcPr>
            <w:tcW w:w="1600" w:type="dxa"/>
            <w:vAlign w:val="bottom"/>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800" w:type="dxa"/>
            <w:vAlign w:val="bottom"/>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1500" w:type="dxa"/>
            <w:vAlign w:val="bottom"/>
            <w:vMerge w:val="continue"/>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268,813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206,964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61,849</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29.9 %</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59,241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32,628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26,613</w:t>
            </w:r>
          </w:p>
        </w:tc>
        <w:tc>
          <w:tcPr>
            <w:tcW w:w="100" w:type="dxa"/>
            <w:vAlign w:val="bottom"/>
          </w:tcPr>
          <w:p>
            <w:pPr>
              <w:spacing w:after="0"/>
              <w:rPr>
                <w:sz w:val="19"/>
                <w:szCs w:val="19"/>
                <w:color w:val="auto"/>
              </w:rPr>
            </w:pPr>
          </w:p>
        </w:tc>
        <w:tc>
          <w:tcPr>
            <w:tcW w:w="1600" w:type="dxa"/>
            <w:vAlign w:val="bottom"/>
          </w:tcPr>
          <w:p>
            <w:pPr>
              <w:jc w:val="right"/>
              <w:ind w:right="136"/>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Nine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66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300" w:type="dxa"/>
            <w:vAlign w:val="bottom"/>
          </w:tcPr>
          <w:p>
            <w:pPr>
              <w:spacing w:after="0"/>
              <w:rPr>
                <w:sz w:val="11"/>
                <w:szCs w:val="11"/>
                <w:color w:val="auto"/>
              </w:rPr>
            </w:pPr>
          </w:p>
        </w:tc>
        <w:tc>
          <w:tcPr>
            <w:tcW w:w="14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2,</w:t>
            </w:r>
          </w:p>
        </w:tc>
        <w:tc>
          <w:tcPr>
            <w:tcW w:w="240" w:type="dxa"/>
            <w:vAlign w:val="bottom"/>
          </w:tcPr>
          <w:p>
            <w:pPr>
              <w:spacing w:after="0"/>
              <w:rPr>
                <w:sz w:val="11"/>
                <w:szCs w:val="11"/>
                <w:color w:val="auto"/>
              </w:rPr>
            </w:pPr>
          </w:p>
        </w:tc>
        <w:tc>
          <w:tcPr>
            <w:tcW w:w="14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December 28,</w:t>
            </w:r>
          </w:p>
        </w:tc>
        <w:tc>
          <w:tcPr>
            <w:tcW w:w="300" w:type="dxa"/>
            <w:vAlign w:val="bottom"/>
          </w:tcPr>
          <w:p>
            <w:pPr>
              <w:spacing w:after="0"/>
              <w:rPr>
                <w:sz w:val="11"/>
                <w:szCs w:val="11"/>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Increase</w:t>
            </w:r>
          </w:p>
        </w:tc>
        <w:tc>
          <w:tcPr>
            <w:tcW w:w="1600" w:type="dxa"/>
            <w:vAlign w:val="bottom"/>
          </w:tcPr>
          <w:p>
            <w:pPr>
              <w:jc w:val="right"/>
              <w:ind w:right="376"/>
              <w:spacing w:after="0" w:line="135"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8"/>
        </w:trPr>
        <w:tc>
          <w:tcPr>
            <w:tcW w:w="4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893,858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609,901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283,957</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46.6 %</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219,491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97,721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121,770</w:t>
            </w:r>
          </w:p>
        </w:tc>
        <w:tc>
          <w:tcPr>
            <w:tcW w:w="100" w:type="dxa"/>
            <w:vAlign w:val="bottom"/>
          </w:tcPr>
          <w:p>
            <w:pPr>
              <w:spacing w:after="0"/>
              <w:rPr>
                <w:sz w:val="19"/>
                <w:szCs w:val="19"/>
                <w:color w:val="auto"/>
              </w:rPr>
            </w:pPr>
          </w:p>
        </w:tc>
        <w:tc>
          <w:tcPr>
            <w:tcW w:w="1600" w:type="dxa"/>
            <w:vAlign w:val="bottom"/>
          </w:tcPr>
          <w:p>
            <w:pPr>
              <w:jc w:val="right"/>
              <w:ind w:right="136"/>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IDP revenue increased for the three months ended January 2, 2021 as compared to the three months ended December 28, 2019, primarily due to higher demand for our Wi-Fi products and defense and aerospace products.</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IDP revenue increased for the nine months ended January 2, 2021 as compared to the nine months ended December 28, 2019, primarily due to higher demand for our 5G base station products, Wi-Fi products and defense and aerospace products.</w:t>
      </w:r>
    </w:p>
    <w:p>
      <w:pPr>
        <w:spacing w:after="0" w:line="19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IDP operating income increased for the three and nine months ended January 2, 2021 as compared to the three and nine months ended December 28, 2019, primarily due to increased revenue, higher factory utilization and lower inventory adjustments, partially offset by unfavorable changes in product mix and increased operating expenses. Operating expenses increased primarily due to higher personnel and commission expenses and increased product development spend as a result of recent acquisitions, partially offset by lower travel expense.</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12 of the Notes to Condensed Consolidated Financial Statements for a reconciliation of segment operating income to the consolidated operating income for the three and nine months ended January 2, 2021 and December 28,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OTHER (EXPENSE) INCOME AND INCOME TAXES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3140" w:type="dxa"/>
            <w:vAlign w:val="bottom"/>
            <w:gridSpan w:val="4"/>
          </w:tcPr>
          <w:p>
            <w:pPr>
              <w:jc w:val="right"/>
              <w:ind w:right="974"/>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44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2, 2021</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December 28, 2019</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2, 2021</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December 28, 2019</w:t>
            </w:r>
          </w:p>
        </w:tc>
      </w:tr>
      <w:tr>
        <w:trPr>
          <w:trHeight w:val="224"/>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(41,457)</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8,112</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42,737</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(22,481)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(21,835)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(85,720)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(46,519)</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three and nine months ended January 2, 2021, we recorded interest expense of $18.3 million and $62.9 million, respectively, which was partially offset by $0.9 million and $3.1 million, respectively, of capitalized interest. During the three and nine months ended December 28, 2019, we recorded interest expense of $18.3 million and $45.8 million, respectively, which was partially offset by $1.4 million and $4.4 million, respectively, of capitalized interest. See Note 7 of the Notes to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In the third quarter of fiscal 2021, we recognized a loss on debt extinguishment of $62.0 million. See Note 7 of the Notes to Condensed Consolidated Financial Statements for information regarding our debt extinguishment activity. During the three and nine months ended January 2, 2021, we recorded $1.8 million and $17.4 million of income, respectively, based on our share of the earnings from our equity method investments.</w:t>
      </w:r>
    </w:p>
    <w:p>
      <w:pPr>
        <w:spacing w:after="0" w:line="18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the third quarter of fiscal 2020, we recorded a gain of $43.0 million related to the remeasurement of our previously held equity interest in Cavendish Kinetics Limited ("Cavendish") in connection with our purchase of the remaining issued and outstanding capital of the entity. See Note 4 of the Notes to Condensed Consolidated Financial Statements for information regarding the Cavendish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provision for income taxes for the three and nine months ended January 2, 2021 and December 28, 2019 was calculated by applying an estimate of the annual effective tax rate for the full fiscal year to “ordinary” income or loss (pre-tax income or loss excluding unusual or discrete items) for those respective periods.</w:t>
      </w:r>
    </w:p>
    <w:p>
      <w:pPr>
        <w:spacing w:after="0" w:line="2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During the three and nine months ended January 2, 2021, we recorded income tax expense of $22.5 million and $85.7 million, respectively, which was comprised primarily of tax expense related to international operations generating pre-tax book income, and discrete tax items recorded during the period. The discrete tax expense items primarily relate to the intercompany restructuring of the Cavendish intellectual property, partially offset by discrete tax benefits recognized for stock-based compensation deductions and a retroactive incentive allowing previously non-deductible payments to be amortized.</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and nine months ended December 28, 2019, we recorded income tax expense of $21.8 million and $46.5 million, respectively, which was comprised primarily of tax expense related to international operations generating pre-tax book income and the reversal of the permanent reinvestment assertion with regards to unrepatriated foreign earnings, partially offset by a tax benefit related to domestic and international operations generating pre-tax book losses and domestic tax credits.</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generated by operations is our primary source of liquidity. As of January 2, 2021, we had working capital of approximately $1,708.4 million, including $1,234.4 million in cash and cash equivalents, compared to working capital of approximately $1,151.5 million, including $714.9 million in cash and cash equivalents as of March 28, 2020.</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$1,234.4 million of total cash and cash equivalents as of January 2, 2021 includes approximately $1,003.5 million held by our foreign subsidiaries, of which $896.2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During the nine months ended January 2, 2021, we repurchased approximately 2.6 million shares of our common stock for approximately $340.1 million under our share repurchase program. As of January 2, 2021, approximately $425.8 million remained available for repurchases under the program.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Operating activities for the nine months ended January 2, 2021 generated cash of $898.9 million, compared to $731.3 million for the nine months ended December 28, 2019, primarily due to increased profitability, partially offset by changes in working capital driven by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Net cash used in investing activities was $141.3 million for the nine months ended January 2, 2021, compared to $623.1 million for the nine months ended December 28, 2019. During the nine months ended January 2, 2021, we acquired 7Hugs Labs S.A.S. for $47.7 million and during the nine months ended December 28, 2019, we acquired Active-Semi International, Inc. and Cavendish, which resulted in net cash outflows of $297.9 million and $196.8 million, respectively. See Note 4 of the Notes to Condensed Consolidated Financial Statements for additional information regarding our business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Net cash used in financing activities was $240.9 million for the nine months ended January 2, 2021, compared to net cash provided by financing activities of $279.1 million for the nine months ended December 28, 2019. This decrease in cash flows was due primarily to our debt financing activity. See Note 7 of the Notes to Condensed Consolidated Financial Statements for additional information regarding our long-term debt.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u w:val="single" w:color="auto"/>
          <w:color w:val="auto"/>
        </w:rPr>
        <w:t>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29, 2020, we and certain of our U.S. subsidiaries (the “Guarantors”) entered into a five-year unsecured senior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pursuant to a credit agreement (the “2020 Credit Agreement”) with Bank of America, N.A. acting as administrative agent and a syndicate of lenders. The 2020 Credit Agreement amended and restated our previous credit agreement dated as of December 5, 2017 (the “2017 Credit Agreement”). The 2020 Credit Agreement includes a senior term loan (the “2020 Term Loan”) of up to $200.0 million and a senior revolving line of credit (the “Revolving Facility”) of up to $300.0 million (collectively the “Credit Facility”).</w:t>
      </w:r>
    </w:p>
    <w:p>
      <w:pPr>
        <w:spacing w:after="0" w:line="2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the closing date of the 2020 Credit Agreement, we repaid the remaining principal balance of $97.5 million on the previous term loan under the 2017 Credit Agreement and concurrently drew $200.0 million under the 2020 Term Loan.</w:t>
      </w:r>
    </w:p>
    <w:p>
      <w:pPr>
        <w:spacing w:after="0" w:line="19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Pursuant to the 2020 Credit Agreement, we may request one or more additional tranches of term loans or increases to the Revolving Facility, up to an aggregate of $500.0 million and subject to securing additional funding commitments from the existing or new lenders. The Revolving Facility includes a $25.0 million sublimit for the issuance of standby letters of credit and a $10.0 million sublimit for swing line loans. The Credit Facility is available to finance working capital, capital expenditures and other general corporate purposes. Outstanding amounts are due in full on the maturity date of September 29, 2025, subject to scheduled amortization of the 2020 Term Loan principal prior to the maturity date as set forth in the 2020 Credit Agreement. During the nine months ended January 2, 2021, there were no borrowings under the Revolving Facility.</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2020 Credit Agreement contains various conditions, covenants and representations with which we must be in compliance in order to borrow funds and to avoid an event of default. As of January 2, 2021, we were in compliance with these covenants.</w:t>
      </w:r>
    </w:p>
    <w:p>
      <w:pPr>
        <w:spacing w:after="0" w:line="19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i w:val="1"/>
          <w:iCs w:val="1"/>
          <w:u w:val="single" w:color="auto"/>
          <w:color w:val="auto"/>
        </w:rPr>
        <w:t>2025 Notes</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19, 2015, we issued $550.0 million aggregate principal amount of the 2025 Notes. Interest on the 2025 Notes was payable on</w:t>
      </w:r>
      <w:r>
        <w:rPr>
          <w:rFonts w:ascii="Arial" w:cs="Arial" w:eastAsia="Arial" w:hAnsi="Arial"/>
          <w:sz w:val="18"/>
          <w:szCs w:val="18"/>
          <w:i w:val="1"/>
          <w:iCs w:val="1"/>
          <w:color w:val="auto"/>
        </w:rPr>
        <w:t xml:space="preserve"> </w:t>
      </w:r>
      <w:r>
        <w:rPr>
          <w:rFonts w:ascii="Arial" w:cs="Arial" w:eastAsia="Arial" w:hAnsi="Arial"/>
          <w:sz w:val="18"/>
          <w:szCs w:val="18"/>
          <w:color w:val="auto"/>
        </w:rPr>
        <w:t>June 1 and December 1 of each year at a rate of 7.00% per annum. The 2025 Notes were senior unsecured obligations of the Company and guaranteed, jointly and severally, by the Guarantors.</w:t>
      </w:r>
    </w:p>
    <w:p>
      <w:pPr>
        <w:spacing w:after="0" w:line="21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fiscal years 2018 and 2019, we retired $526.6 million of the 2025 Notes. On December 1, 2020, we redeemed the remaining $23.4 million principal amount of the 2025 Notes using cash on hand, at a redemption price equal to 103.50% of the principal amount, plus accrued and unpaid interest. In connection with the redemption, we recognized a loss on debt extinguishment of $1.0 million as “Other (expense) income, net” in the Condensed Consolidated Statements of Income. The loss on debt extinguishment consisted of a $0.8 million redemption premium and a $0.2 million write-off of the unamortized portion of the debt issuance costs.</w:t>
      </w:r>
    </w:p>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2026 Notes</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16, 2018, we issued $500.0 million aggregate principal amount of the 2026 Notes. On August 28, 2018 and March 5, 2019, we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an additional $130.0 million and $270.0 million, respectively, aggregate principal amount of the 2026 Notes. Interest on the 2026 Notes was payable on January 15 and July 15 of each year at a rate of 5.50% per annum. The 2026 Notes were senior unsecured obligations of the Company and guaranteed, jointly and severally, by the Guarantors.</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16, 2020, we redeemed all of the 2026 Notes at a redemption price equal to 106.363% of the $900.0 million principal amount, plus accrued and unpaid interest. The 2026 Notes were redeemed using proceeds from the issuance of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3.375% senior notes due 2031 (the "2031 Notes") combined with cash on hand plus borrowings under the 2020 Term Loan. In connection with the redemption, we recognized a loss on debt extinguishment of $61.0 million as “Other (expense) income, net” in the Condensed Consolidated Statements of Income. The loss on debt extinguishment consisted of a $57.3 million redemption premium and a $3.7 million net write-off of the unamortized portion of the debt issuance costs and the bond premium. The primary purpose of the redemption was to reduce future interest expense.</w:t>
      </w:r>
    </w:p>
    <w:p>
      <w:pPr>
        <w:spacing w:after="0" w:line="18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i w:val="1"/>
          <w:iCs w:val="1"/>
          <w:u w:val="single" w:color="auto"/>
          <w:color w:val="auto"/>
        </w:rPr>
        <w:t>2029 Notes</w:t>
      </w:r>
      <w:r>
        <w:rPr>
          <w:rFonts w:ascii="Arial" w:cs="Arial" w:eastAsia="Arial" w:hAnsi="Arial"/>
          <w:sz w:val="16"/>
          <w:szCs w:val="16"/>
          <w:i w:val="1"/>
          <w:iCs w:val="1"/>
          <w:color w:val="auto"/>
        </w:rPr>
        <w:t xml:space="preserve"> </w:t>
      </w:r>
      <w:r>
        <w:rPr>
          <w:rFonts w:ascii="Arial" w:cs="Arial" w:eastAsia="Arial" w:hAnsi="Arial"/>
          <w:sz w:val="16"/>
          <w:szCs w:val="16"/>
          <w:color w:val="auto"/>
        </w:rPr>
        <w:t>On September 30, 2019, we issued $350.0 million aggregate principal amount of senior notes due 2029 (the "Initial 2029 Notes").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 2019 and June 11, 2020, we issued an additional $200.0 million and $300.0 million, respectively, aggregate principal amount of such notes (together with the Initial 2029 Notes, the "2029 Notes"). Interest on the 2029 Notes is payable on April 15 and October 15 of each year at a rate of 4.375% per annum. The 2029 Notes are senior unsecured obligations of the Company and are guaranteed, jointly and severally, by the Guarantors.</w:t>
      </w:r>
    </w:p>
    <w:p>
      <w:pPr>
        <w:spacing w:after="0" w:line="18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i w:val="1"/>
          <w:iCs w:val="1"/>
          <w:u w:val="single" w:color="auto"/>
          <w:color w:val="auto"/>
        </w:rPr>
        <w:t>2031 Notes</w:t>
      </w:r>
      <w:r>
        <w:rPr>
          <w:rFonts w:ascii="Arial" w:cs="Arial" w:eastAsia="Arial" w:hAnsi="Arial"/>
          <w:sz w:val="16"/>
          <w:szCs w:val="16"/>
          <w:i w:val="1"/>
          <w:iCs w:val="1"/>
          <w:color w:val="auto"/>
        </w:rPr>
        <w:t xml:space="preserve"> </w:t>
      </w:r>
      <w:r>
        <w:rPr>
          <w:rFonts w:ascii="Arial" w:cs="Arial" w:eastAsia="Arial" w:hAnsi="Arial"/>
          <w:sz w:val="16"/>
          <w:szCs w:val="16"/>
          <w:color w:val="auto"/>
        </w:rPr>
        <w:t>On September 29, 2020, we issued $700.0 million aggregate principal amount of our 2031 Notes. Interest on the 2031 Notes is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April 1 and October 1 of each year, commencing April 1, 2021. The 2031 Notes will mature on April 1, 2031, unless earlier redeemed in accordance with their terms. The 2031 Notes are senior unsecured obligations of the Company and are guaranteed, jointly and severally, by the Guarantors.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our long-term debt, see Note 7 of the Notes to Condensed Consolidated Financial Statements.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u w:val="single" w:color="auto"/>
          <w:color w:val="auto"/>
        </w:rPr>
        <w:t>Capital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At January 2, 2021, we had capital commitments of approximately $116.0 million primarily for increasing manufacturing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expanding capability to support new products, equipment upgrades and cost savings initiatives.</w:t>
      </w:r>
    </w:p>
    <w:p>
      <w:pPr>
        <w:spacing w:after="0" w:line="1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u w:val="single" w:color="auto"/>
          <w:color w:val="auto"/>
        </w:rPr>
        <w:t>Future Sources of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future capital requirements may differ materially from those currently projected and will depend on many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long-term impact of the COVID-19 pandemic on our business, financial conditions, results of operations, cash flow, as well as market acceptance of and demand for our products, acquisition opportunities, technological advances and our relationships with suppliers and customers. Based on current and projected levels of cash flow from operations, coupled with our existing cash, cash equivalents and our Credit Facility, we believe that we have sufficient liquidity to meet both our short-term and long-term cash requirements. However, if there is a significant decrease in demand for our products, or in the event that growth is faster than we anticipate, operating cash flows may be insufficient to meet our needs. If our existing liquidity combined with cash from operations are not sufficient to meet our future requirements or if we perceive conditions to be favorable, we may seek additional debt or equity financing. We cannot be sure that any additional debt or equity financing will not be dilutive to holders of our common stock or that additional debt or equity financing, if required, will be available on favorable terms, if at all.</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range of reasonably possible losses in excess of accrued liabilities, if any, associated with these unresolved legal actions is not material. In some cases, we cannot reasonably estimate a range of loss because there is insufficient information regarding the matter. However, we believe there is no more than a remote chance that any liability arising from these matters would be material. Although it is not possible to predict with certainty the outcome of these unresolved legal actions, it is our opinion that these actions will not individually or in the aggregate have a material adverse effect on our consolidated financial position or results of operations.</w:t>
      </w:r>
    </w:p>
    <w:p>
      <w:pPr>
        <w:spacing w:after="0" w:line="21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PARENT AND GUARANTOR FINANCIAL INFORMATION</w:t>
      </w:r>
    </w:p>
    <w:p>
      <w:pPr>
        <w:spacing w:after="0" w:line="2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accordance with the indentures governing the 2029 Notes and the 2031 Notes (collectively, the "Notes"), our obligations under the Notes are fully and unconditionally guaranteed on a joint and several unsecured basis by the Guarantors, which are listed on Exhibit 22 to this Quarterly Report on Form 10-Q. Each Guarantor is 100% owned, directly or indirectly, by Qorvo, Inc. ("Parent"). A Guarantor can be released in certain customary circumstances. Our other U.S. subsidiaries and our non-U.S. subsidiaries do not guarantee the Notes (such subsidiaries are referred to as the "Non-Guarantors").</w:t>
      </w:r>
    </w:p>
    <w:p>
      <w:pPr>
        <w:spacing w:after="0" w:line="18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following presents summarized financial information for the Parent and the Guarantors on a combined basis as of and for the period indicated, after eliminating (i) intercompany transactions and balances among the Parent and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Summarized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 2021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March 28,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Due from Non-Guarantors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519,078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511,978</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1,031,056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1,112,828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2,460,754</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2,346,759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222,684</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Payable to Non-Guarantors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120,299</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1,861,146</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1,651,818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1,981,445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1,901,756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Summarized Statement of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3"/>
              </w:rPr>
              <w:t>January 2, 2021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434,489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46,581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There have been no material changes to our market risk exposures during the third quarter of fiscal 2021. For a discussion of our exposure to market risk, refer to Item 7A, “Quantitative and Qualitative Disclosures About Market Risk,” contained in Qorvo's Annual Report on Form 10-K for the fiscal year ended March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of the end of the period covered by this report, the Company’s management, with the participation of the Company’s Chief Executive Officer (CEO) and the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the Company’s CEO and the CFO, as appropriate, to allow timely decisions regarding required disclosure.</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that occurred during the quarter ended January 2, 2021 that have materially affected, or are reasonably likely to materially affect, our internal control over financial reporting.</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Due to the ongoing COVID-19 pandemic, a significant number of our employees are working from home. The design of our processes, systems, and controls allows for remote execution with accessibility to secure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Other than the risk factor set forth below, there have been no material changes to the risk factors included in Qorvo’s Annual Report on Form 10-K for the fiscal year ended March 28, 2020. In addition to the risk factor set forth below and the other information set forth in this report and in our other reports and statements that we file with the SEC, careful consideration should be given to the factors discussed in Part I, Item 1A., “Risk Factors” in Qorvo's Annual Report on Form 10-K for the fiscal year ended March 28, 2020, which could materially affect our business, financial condition or future results. The risks described in Qorvo's Annual Report on Form 10-K and Quarterly Reports on Form 10-Q are not the only risks that we face. Additional risks and uncertainties not currently known to us or that we currently deem to be immaterial also may materially adversely affect our business, financial condition and/or operating results.</w:t>
      </w:r>
    </w:p>
    <w:p>
      <w:pPr>
        <w:spacing w:after="0" w:line="22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Changes in government trade policies, including the imposition of tariffs and export restrictions, have limited and could continue to limit our ability to sell or provide our products and other items to certain customers and suppliers, which may materially adversely affect our sales and results of operations.</w:t>
      </w:r>
    </w:p>
    <w:p>
      <w:pPr>
        <w:spacing w:after="0" w:line="21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U.S. or foreign governments have taken and may continue to take administrative, legislative or regulatory action that could materially interfere with our ability to export, reexport, and transfer products and other items in certain countries, particularly in China. For example, between July 2018 and June 2019, the Office of the United States Trade Representative imposed 25% tariffs on specified product lists, including certain electronic components and equipment, totaling approximately $250 billion in Chinese imports. China imposed retaliatory tariffs in response to these tariffs and subsequent additional tariffs imposed by the U.S. government. While the imposition of these tariffs has not had a direct, material adverse impact on our business, the direct and indirect effects of tariffs and other restrictive trade policies are difficult to measure and are only one part of a larger U.S./China economic and trade policy disagreement. For example, imposition of tariffs on our customers’ products that are imported from China to the U.S. could harm sales of such products, which would harm our business. We cannot predict what further actions may ultimately be taken with respect to tariffs or trade relations between the U.S. and China or other countries, what products may be subject to such actions, or what actions may be taken by the other countries in retaliation.</w:t>
      </w:r>
    </w:p>
    <w:p>
      <w:pPr>
        <w:spacing w:after="0" w:line="19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Furthermore, we have experienced restrictions on our ability to export, reexport, and transfer our products and other items to certain foreign customers and suppliers where exports, reexports, or transfers of products require export licenses or are prohibited by government action. The U.S. government has in the past imposed export restrictions that effectively banned American companies from exporting, reexporting, and transferring products to ZTE Corporation, one of our customers. In May 2019, the Bureau of Industry and Security of the U.S. Department of Commerce (“Commerce”) added Huawei Technologies Co., Ltd. and over 100 of its affiliates to the “Entity List” maintained by Commerce, which caused us to temporarily suspend the export, reexport, and transfer of products to Huawei. In August 2020, Commerce issued a final rule adding additional Huawei non-U.S. affiliates to the Entity List, confirming the expiration of a temporary general license applicable to Huawei, and amending the foreign-produced direct product rule in a manner that represents a significant expansion of its application to Huawei. Huawei accounted for 10%, 15% and 8% of our total revenue during fiscal years 2020, 2019 and 2018, respectively. While we were able to ship certain products to Huawei in fiscal 2020, trade restrictions and our ability to secure any required licenses will continue to impact sales to Huawei.</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the date of this report, we are unable to predict the scope and duration of the export restrictions imposed on Huawei and the corresponding future effects on our business. Even if such restrictions are lifted, any financial or other penalties or continuing export restrictions imposed on Huawei could have a continuing negative impact on our future revenue and results of operations. In addition, Huawei or other foreign customers or suppliers affected by future U.S. government sanctions or threats of sanctions may respond by developing their own solutions to replace our products or by adopting our foreign competitors’ solutions. Moreover, U.S. government actions targeting exports of certain technologies to China are becoming more pervasive. For example, in 2018, the U.S. adopted new laws designed to address concerns about the export of emerging and foundational technologies to China. In addition, in May 2019, an executive order invoked national emergency economic powers to implement a framework to regulate the acquisition or transfer of information communications technology in transactions that impose undue national security risks, and Commerce recently published an interim rule with regulations to implement provisions of the order. These actions could lead to additional restrictions on the export of products that include or enable certain technologies, including products we provide to China-based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loss or temporary loss of Huawei or other foreign customers or suppliers or the imposition of restrictions on our ability to sell or transfer products to such customers or suppliers as a result of tariffs, export restrictions or other U.S. regulatory actions could materially adversely affect our sales, business and results of operations.</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00" w:lineRule="exact"/>
        <w:rPr>
          <w:sz w:val="20"/>
          <w:szCs w:val="20"/>
          <w:color w:val="auto"/>
        </w:rPr>
      </w:pP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Total number</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4"/>
              </w:rPr>
              <w:t>of shares</w:t>
            </w:r>
          </w:p>
        </w:tc>
        <w:tc>
          <w:tcPr>
            <w:tcW w:w="10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Average price paid</w:t>
            </w: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 publicly</w:t>
            </w:r>
          </w:p>
        </w:tc>
        <w:tc>
          <w:tcPr>
            <w:tcW w:w="0" w:type="dxa"/>
            <w:vAlign w:val="bottom"/>
          </w:tcPr>
          <w:p>
            <w:pPr>
              <w:spacing w:after="0"/>
              <w:rPr>
                <w:sz w:val="1"/>
                <w:szCs w:val="1"/>
                <w:color w:val="auto"/>
              </w:rPr>
            </w:pPr>
          </w:p>
        </w:tc>
      </w:tr>
      <w:tr>
        <w:trPr>
          <w:trHeight w:val="162"/>
        </w:trPr>
        <w:tc>
          <w:tcPr>
            <w:tcW w:w="33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Period</w:t>
            </w:r>
          </w:p>
        </w:tc>
        <w:tc>
          <w:tcPr>
            <w:tcW w:w="13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7"/>
              </w:rPr>
              <w:t xml:space="preserve">purchased </w:t>
            </w:r>
            <w:r>
              <w:rPr>
                <w:rFonts w:ascii="Arial" w:cs="Arial" w:eastAsia="Arial" w:hAnsi="Arial"/>
                <w:sz w:val="12"/>
                <w:szCs w:val="12"/>
                <w:b w:val="1"/>
                <w:bCs w:val="1"/>
                <w:color w:val="auto"/>
                <w:w w:val="87"/>
              </w:rPr>
              <w:t>(in</w:t>
            </w:r>
          </w:p>
        </w:tc>
        <w:tc>
          <w:tcPr>
            <w:tcW w:w="1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announced plans or programs</w:t>
            </w:r>
          </w:p>
        </w:tc>
        <w:tc>
          <w:tcPr>
            <w:tcW w:w="0" w:type="dxa"/>
            <w:vAlign w:val="bottom"/>
          </w:tcPr>
          <w:p>
            <w:pPr>
              <w:spacing w:after="0"/>
              <w:rPr>
                <w:sz w:val="1"/>
                <w:szCs w:val="1"/>
                <w:color w:val="auto"/>
              </w:rPr>
            </w:pPr>
          </w:p>
        </w:tc>
      </w:tr>
      <w:tr>
        <w:trPr>
          <w:trHeight w:val="176"/>
        </w:trPr>
        <w:tc>
          <w:tcPr>
            <w:tcW w:w="3360" w:type="dxa"/>
            <w:vAlign w:val="bottom"/>
            <w:gridSpan w:val="2"/>
            <w:vMerge w:val="continue"/>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thousands)</w:t>
            </w:r>
          </w:p>
        </w:tc>
        <w:tc>
          <w:tcPr>
            <w:tcW w:w="100" w:type="dxa"/>
            <w:vAlign w:val="bottom"/>
          </w:tcPr>
          <w:p>
            <w:pPr>
              <w:spacing w:after="0"/>
              <w:rPr>
                <w:sz w:val="15"/>
                <w:szCs w:val="15"/>
                <w:color w:val="auto"/>
              </w:rPr>
            </w:pPr>
          </w:p>
        </w:tc>
        <w:tc>
          <w:tcPr>
            <w:tcW w:w="164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8"/>
              </w:rPr>
              <w:t>per share</w:t>
            </w: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0" w:type="dxa"/>
            <w:vAlign w:val="bottom"/>
          </w:tcPr>
          <w:p>
            <w:pPr>
              <w:spacing w:after="0"/>
              <w:rPr>
                <w:sz w:val="1"/>
                <w:szCs w:val="1"/>
                <w:color w:val="auto"/>
              </w:rPr>
            </w:pPr>
          </w:p>
        </w:tc>
      </w:tr>
      <w:tr>
        <w:trPr>
          <w:trHeight w:val="176"/>
        </w:trPr>
        <w:tc>
          <w:tcPr>
            <w:tcW w:w="3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October 4, 2020 to October 31, 2020</w:t>
            </w:r>
          </w:p>
        </w:tc>
        <w:tc>
          <w:tcPr>
            <w:tcW w:w="160" w:type="dxa"/>
            <w:vAlign w:val="bottom"/>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134.53</w:t>
            </w:r>
          </w:p>
        </w:tc>
        <w:tc>
          <w:tcPr>
            <w:tcW w:w="160" w:type="dxa"/>
            <w:vAlign w:val="bottom"/>
          </w:tcPr>
          <w:p>
            <w:pPr>
              <w:spacing w:after="0"/>
              <w:rPr>
                <w:sz w:val="15"/>
                <w:szCs w:val="15"/>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4"/>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November 1, 2020 to November 28, 2020</w:t>
            </w:r>
          </w:p>
        </w:tc>
        <w:tc>
          <w:tcPr>
            <w:tcW w:w="1120" w:type="dxa"/>
            <w:vAlign w:val="bottom"/>
          </w:tcPr>
          <w:p>
            <w:pPr>
              <w:jc w:val="right"/>
              <w:spacing w:after="0"/>
              <w:rPr>
                <w:sz w:val="20"/>
                <w:szCs w:val="20"/>
                <w:color w:val="auto"/>
              </w:rPr>
            </w:pPr>
            <w:r>
              <w:rPr>
                <w:rFonts w:ascii="Arial" w:cs="Arial" w:eastAsia="Arial" w:hAnsi="Arial"/>
                <w:sz w:val="14"/>
                <w:szCs w:val="14"/>
                <w:color w:val="auto"/>
              </w:rPr>
              <w:t>512</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146.94</w:t>
            </w:r>
          </w:p>
        </w:tc>
        <w:tc>
          <w:tcPr>
            <w:tcW w:w="16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95"/>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November 29, 2020 to January 2, 2021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157.87</w:t>
            </w:r>
          </w:p>
        </w:tc>
        <w:tc>
          <w:tcPr>
            <w:tcW w:w="160" w:type="dxa"/>
            <w:vAlign w:val="bottom"/>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88"/>
        </w:trPr>
        <w:tc>
          <w:tcPr>
            <w:tcW w:w="336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150.54</w:t>
            </w:r>
          </w:p>
        </w:tc>
        <w:tc>
          <w:tcPr>
            <w:tcW w:w="160" w:type="dxa"/>
            <w:vAlign w:val="bottom"/>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40"/>
        <w:spacing w:after="0" w:line="227" w:lineRule="auto"/>
        <w:rPr>
          <w:sz w:val="20"/>
          <w:szCs w:val="20"/>
          <w:color w:val="auto"/>
        </w:rPr>
      </w:pPr>
      <w:r>
        <w:rPr>
          <w:rFonts w:ascii="Arial" w:cs="Arial" w:eastAsia="Arial" w:hAnsi="Arial"/>
          <w:sz w:val="16"/>
          <w:szCs w:val="16"/>
          <w:b w:val="1"/>
          <w:bCs w:val="1"/>
          <w:color w:val="auto"/>
        </w:rPr>
        <w:t>Approximate dollar value of shares that may yet be purchased under the plans or programs</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$573.2 million</w:t>
      </w:r>
    </w:p>
    <w:p>
      <w:pPr>
        <w:spacing w:after="0" w:line="40"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$498.0 million</w:t>
      </w:r>
    </w:p>
    <w:p>
      <w:pPr>
        <w:spacing w:after="0" w:line="40"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$425.8 million</w:t>
      </w:r>
    </w:p>
    <w:p>
      <w:pPr>
        <w:spacing w:after="0" w:line="80"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$425.8 million</w:t>
      </w:r>
    </w:p>
    <w:p>
      <w:pPr>
        <w:spacing w:after="0" w:line="260" w:lineRule="exact"/>
        <w:rPr>
          <w:sz w:val="20"/>
          <w:szCs w:val="20"/>
          <w:color w:val="auto"/>
        </w:rPr>
      </w:pPr>
    </w:p>
    <w:p>
      <w:pPr>
        <w:sectPr>
          <w:pgSz w:w="11900" w:h="16838" w:orient="portrait"/>
          <w:cols w:equalWidth="0" w:num="2">
            <w:col w:w="8680" w:space="280"/>
            <w:col w:w="2280"/>
          </w:cols>
          <w:pgMar w:left="320" w:top="121" w:right="339" w:bottom="1440" w:gutter="0" w:footer="0" w:header="0"/>
          <w:type w:val="continuous"/>
        </w:sectPr>
      </w:pPr>
    </w:p>
    <w:p>
      <w:pPr>
        <w:spacing w:after="0" w:line="1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October 31, 2019, we announced that our Board of Directors authorized a new share repurchase program to repurchase up to $1.0 billion of the Company's outstanding common stock, which included approximately $117.0 million authorized under the prior program which was terminated concurrent with the new authorization. Under this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 xml:space="preserve">10.1 </w:t>
      </w:r>
      <w:hyperlink w:anchor="page36">
        <w:r>
          <w:rPr>
            <w:rFonts w:ascii="Arial" w:cs="Arial" w:eastAsia="Arial" w:hAnsi="Arial"/>
            <w:sz w:val="18"/>
            <w:szCs w:val="18"/>
            <w:u w:val="single" w:color="auto"/>
            <w:color w:val="0000FF"/>
          </w:rPr>
          <w:t>2020 Declaration of Amendment to Qorvo, Inc. Nonqualified Deferred Compensation Plan, dated as of December 17, 2020</w:t>
        </w:r>
      </w:hyperlink>
    </w:p>
    <w:p>
      <w:pPr>
        <w:spacing w:after="0" w:line="266" w:lineRule="exact"/>
        <w:rPr>
          <w:sz w:val="20"/>
          <w:szCs w:val="20"/>
          <w:color w:val="auto"/>
        </w:rPr>
      </w:pPr>
    </w:p>
    <w:p>
      <w:pPr>
        <w:ind w:left="600" w:hanging="277"/>
        <w:spacing w:after="0"/>
        <w:tabs>
          <w:tab w:leader="none" w:pos="600" w:val="left"/>
        </w:tabs>
        <w:numPr>
          <w:ilvl w:val="0"/>
          <w:numId w:val="5"/>
        </w:numPr>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List of Subsidiary Guarantors</w:t>
        </w:r>
      </w:hyperlink>
    </w:p>
    <w:p>
      <w:pPr>
        <w:spacing w:after="0" w:line="239" w:lineRule="exact"/>
        <w:rPr>
          <w:sz w:val="20"/>
          <w:szCs w:val="20"/>
          <w:color w:val="auto"/>
        </w:rPr>
      </w:pPr>
    </w:p>
    <w:p>
      <w:pPr>
        <w:ind w:left="600" w:right="10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31.1 </w:t>
      </w:r>
      <w:hyperlink w:anchor="page38">
        <w:r>
          <w:rPr>
            <w:rFonts w:ascii="Arial" w:cs="Arial" w:eastAsia="Arial" w:hAnsi="Arial"/>
            <w:sz w:val="18"/>
            <w:szCs w:val="18"/>
            <w:u w:val="single" w:color="auto"/>
            <w:color w:val="0000FF"/>
          </w:rPr>
          <w:t>Certification of Periodic Report by Robert A. Bruggeworth, as Chief Executive Officer, pursuant to Rule 13a-14(a) or 15d-14 (a) of the Exchange</w:t>
        </w:r>
      </w:hyperlink>
      <w:r>
        <w:rPr>
          <w:rFonts w:ascii="Arial" w:cs="Arial" w:eastAsia="Arial" w:hAnsi="Arial"/>
          <w:sz w:val="18"/>
          <w:szCs w:val="18"/>
          <w:color w:val="auto"/>
        </w:rPr>
        <w:t xml:space="preserve"> </w:t>
      </w:r>
      <w:hyperlink w:anchor="page38">
        <w:r>
          <w:rPr>
            <w:rFonts w:ascii="Arial" w:cs="Arial" w:eastAsia="Arial" w:hAnsi="Arial"/>
            <w:sz w:val="18"/>
            <w:szCs w:val="18"/>
            <w:u w:val="single" w:color="auto"/>
            <w:color w:val="0000FF"/>
          </w:rPr>
          <w:t>Act, as adopted pursuant to Section 302 of the Sarbanes-Oxley Act of 2002</w:t>
        </w:r>
      </w:hyperlink>
    </w:p>
    <w:p>
      <w:pPr>
        <w:spacing w:after="0" w:line="216" w:lineRule="exact"/>
        <w:rPr>
          <w:sz w:val="20"/>
          <w:szCs w:val="20"/>
          <w:color w:val="auto"/>
        </w:rPr>
      </w:pPr>
    </w:p>
    <w:p>
      <w:pPr>
        <w:ind w:left="600" w:right="14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31.2 </w:t>
      </w:r>
      <w:hyperlink w:anchor="page39">
        <w:r>
          <w:rPr>
            <w:rFonts w:ascii="Arial" w:cs="Arial" w:eastAsia="Arial" w:hAnsi="Arial"/>
            <w:sz w:val="18"/>
            <w:szCs w:val="18"/>
            <w:u w:val="single" w:color="auto"/>
            <w:color w:val="0000FF"/>
          </w:rPr>
          <w:t>Certification of Periodic Report by Mark J. Murphy, as Chief Financial Officer, pursuant to Rule 13a-14(a) or 15d-14 (a) of the Exchange Act, as</w:t>
        </w:r>
      </w:hyperlink>
      <w:r>
        <w:rPr>
          <w:rFonts w:ascii="Arial" w:cs="Arial" w:eastAsia="Arial" w:hAnsi="Arial"/>
          <w:sz w:val="18"/>
          <w:szCs w:val="18"/>
          <w:color w:val="auto"/>
        </w:rPr>
        <w:t xml:space="preserve"> </w:t>
      </w:r>
      <w:hyperlink w:anchor="page39">
        <w:r>
          <w:rPr>
            <w:rFonts w:ascii="Arial" w:cs="Arial" w:eastAsia="Arial" w:hAnsi="Arial"/>
            <w:sz w:val="18"/>
            <w:szCs w:val="18"/>
            <w:u w:val="single" w:color="auto"/>
            <w:color w:val="0000FF"/>
          </w:rPr>
          <w:t>adopted pursuant to Section 302 of the Sarbanes-Oxley Act of 2002</w:t>
        </w:r>
      </w:hyperlink>
    </w:p>
    <w:p>
      <w:pPr>
        <w:spacing w:after="0" w:line="216" w:lineRule="exact"/>
        <w:rPr>
          <w:sz w:val="20"/>
          <w:szCs w:val="20"/>
          <w:color w:val="auto"/>
        </w:rPr>
      </w:pPr>
    </w:p>
    <w:p>
      <w:pPr>
        <w:ind w:left="600" w:right="16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32.1 </w:t>
      </w:r>
      <w:hyperlink w:anchor="page40">
        <w:r>
          <w:rPr>
            <w:rFonts w:ascii="Arial" w:cs="Arial" w:eastAsia="Arial" w:hAnsi="Arial"/>
            <w:sz w:val="18"/>
            <w:szCs w:val="18"/>
            <w:u w:val="single" w:color="auto"/>
            <w:color w:val="0000FF"/>
          </w:rPr>
          <w:t>Certification of Periodic Report by Robert A. Bruggeworth, as Chief Executive Officer, pursuant to 18 U.S.C. Section 1350, as adopted pursuant</w:t>
        </w:r>
      </w:hyperlink>
      <w:r>
        <w:rPr>
          <w:rFonts w:ascii="Arial" w:cs="Arial" w:eastAsia="Arial" w:hAnsi="Arial"/>
          <w:sz w:val="18"/>
          <w:szCs w:val="18"/>
          <w:color w:val="auto"/>
        </w:rPr>
        <w:t xml:space="preserve"> </w:t>
      </w:r>
      <w:hyperlink w:anchor="page40">
        <w:r>
          <w:rPr>
            <w:rFonts w:ascii="Arial" w:cs="Arial" w:eastAsia="Arial" w:hAnsi="Arial"/>
            <w:sz w:val="18"/>
            <w:szCs w:val="18"/>
            <w:u w:val="single" w:color="auto"/>
            <w:color w:val="0000FF"/>
          </w:rPr>
          <w:t>to Section 906 of the Sarbanes-Oxley Act of 2002</w:t>
        </w:r>
      </w:hyperlink>
    </w:p>
    <w:p>
      <w:pPr>
        <w:spacing w:after="0" w:line="216" w:lineRule="exact"/>
        <w:rPr>
          <w:sz w:val="20"/>
          <w:szCs w:val="20"/>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 xml:space="preserve">32.2 </w:t>
      </w:r>
      <w:hyperlink w:anchor="page41">
        <w:r>
          <w:rPr>
            <w:rFonts w:ascii="Arial" w:cs="Arial" w:eastAsia="Arial" w:hAnsi="Arial"/>
            <w:sz w:val="16"/>
            <w:szCs w:val="16"/>
            <w:u w:val="single" w:color="auto"/>
            <w:color w:val="0000FF"/>
          </w:rPr>
          <w:t>Certification of Periodic Report by Mark J. Murphy, as Chief Financial Officer, pursuant to 18 U.S.C. Section 1350, as adopted pursuant to Section</w:t>
        </w:r>
      </w:hyperlink>
    </w:p>
    <w:p>
      <w:pPr>
        <w:spacing w:after="0" w:line="8" w:lineRule="exact"/>
        <w:rPr>
          <w:sz w:val="20"/>
          <w:szCs w:val="20"/>
          <w:color w:val="auto"/>
        </w:rPr>
      </w:pPr>
    </w:p>
    <w:p>
      <w:pPr>
        <w:ind w:left="6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906 of the Sarbanes-Oxley Act of 2002</w:t>
        </w:r>
      </w:hyperlink>
    </w:p>
    <w:p>
      <w:pPr>
        <w:spacing w:after="0" w:line="223" w:lineRule="exact"/>
        <w:rPr>
          <w:sz w:val="20"/>
          <w:szCs w:val="20"/>
          <w:color w:val="auto"/>
        </w:rPr>
      </w:pPr>
    </w:p>
    <w:p>
      <w:pPr>
        <w:ind w:left="600" w:right="60" w:hanging="367"/>
        <w:spacing w:after="0" w:line="212"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materials from our Quarterly Report on Form 10-Q for the quarter ended January 2, 2021, formatted in iXBRL (Inline eXtensible Business Reporting Language): (i) the Condensed Consolidated Balance Sheets as of January 2, 2021 and March 28, 2020; (ii) the Condensed Consolidated Statements of Income for the three and nine months ended January 2, 2021 and December 28, 2019; (iii) the Condensed Consolidated Statements of Comprehensive Income for the three and nine months ended January 2, 2021 and December 28, 2019; (iv) the Condensed Consolidated Statements of Stockholders' Equity for the three and nine months ended January 2, 2021 and December 28, 2019; (v) the Condensed Consolidated Statements of Cash Flows for the nine months ended January 2, 2021 and December 28, 2019; and (vi) the Notes to Condensed Consolidated Financial Statements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104 The cover page from our Quarterly Report on Form 10-Q for the quarter ended January 2, 2021, formatted in iXBRL</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Qorvo, Inc.</w:t>
            </w:r>
          </w:p>
        </w:tc>
      </w:tr>
      <w:tr>
        <w:trPr>
          <w:trHeight w:val="418"/>
        </w:trPr>
        <w:tc>
          <w:tcPr>
            <w:tcW w:w="5460" w:type="dxa"/>
            <w:vAlign w:val="bottom"/>
          </w:tcPr>
          <w:p>
            <w:pPr>
              <w:spacing w:after="0"/>
              <w:rPr>
                <w:sz w:val="20"/>
                <w:szCs w:val="20"/>
                <w:color w:val="auto"/>
              </w:rPr>
            </w:pPr>
            <w:r>
              <w:rPr>
                <w:rFonts w:ascii="Arial" w:cs="Arial" w:eastAsia="Arial" w:hAnsi="Arial"/>
                <w:sz w:val="18"/>
                <w:szCs w:val="18"/>
                <w:color w:val="auto"/>
              </w:rPr>
              <w:t>Date:  February 4, 2021</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Murphy</w:t>
            </w:r>
          </w:p>
        </w:tc>
      </w:tr>
      <w:tr>
        <w:trPr>
          <w:trHeight w:val="222"/>
        </w:trPr>
        <w:tc>
          <w:tcPr>
            <w:tcW w:w="54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Mark J. Murphy</w:t>
            </w:r>
          </w:p>
        </w:tc>
      </w:tr>
      <w:tr>
        <w:trPr>
          <w:trHeight w:val="230"/>
        </w:trPr>
        <w:tc>
          <w:tcPr>
            <w:tcW w:w="546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20"/>
          </w:cols>
          <w:pgMar w:left="320" w:top="121" w:right="859" w:bottom="1440" w:gutter="0" w:footer="0" w:header="0"/>
        </w:sectPr>
      </w:pPr>
    </w:p>
    <w:bookmarkStart w:id="35" w:name="page36"/>
    <w:bookmarkEnd w:id="35"/>
    <w:p>
      <w:pPr>
        <w:ind w:left="1300"/>
        <w:spacing w:after="0"/>
        <w:rPr>
          <w:sz w:val="20"/>
          <w:szCs w:val="20"/>
          <w:color w:val="auto"/>
        </w:rPr>
      </w:pPr>
      <w:r>
        <w:rPr>
          <w:rFonts w:ascii="Arial" w:cs="Arial" w:eastAsia="Arial" w:hAnsi="Arial"/>
          <w:sz w:val="20"/>
          <w:szCs w:val="20"/>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DECLARATION OF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QORVO, INC.</w:t>
      </w:r>
    </w:p>
    <w:p>
      <w:pPr>
        <w:jc w:val="center"/>
        <w:spacing w:after="0"/>
        <w:rPr>
          <w:sz w:val="20"/>
          <w:szCs w:val="20"/>
          <w:color w:val="auto"/>
        </w:rPr>
      </w:pPr>
      <w:r>
        <w:rPr>
          <w:rFonts w:ascii="Arial" w:cs="Arial" w:eastAsia="Arial" w:hAnsi="Arial"/>
          <w:sz w:val="20"/>
          <w:szCs w:val="20"/>
          <w:b w:val="1"/>
          <w:bCs w:val="1"/>
          <w:color w:val="auto"/>
        </w:rPr>
        <w:t>NONQUALIFIED DEFERRED COMPENSATION PLAN</w:t>
      </w:r>
    </w:p>
    <w:p>
      <w:pPr>
        <w:spacing w:after="0" w:line="227" w:lineRule="exact"/>
        <w:rPr>
          <w:sz w:val="20"/>
          <w:szCs w:val="20"/>
          <w:color w:val="auto"/>
        </w:rPr>
      </w:pPr>
    </w:p>
    <w:p>
      <w:pPr>
        <w:ind w:firstLine="1296"/>
        <w:spacing w:after="0" w:line="222" w:lineRule="auto"/>
        <w:rPr>
          <w:sz w:val="20"/>
          <w:szCs w:val="20"/>
          <w:color w:val="auto"/>
        </w:rPr>
      </w:pPr>
      <w:r>
        <w:rPr>
          <w:rFonts w:ascii="Arial" w:cs="Arial" w:eastAsia="Arial" w:hAnsi="Arial"/>
          <w:sz w:val="20"/>
          <w:szCs w:val="20"/>
          <w:color w:val="auto"/>
        </w:rPr>
        <w:t>THIS DECLARATION OF AMENDMENT, made the 17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December, 2020, by Qorvo, Inc. (the “Company”), as sponsor of the Qorvo, Inc. Nonqualified Deferred Compensation Plan (the “Plan”).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49" w:lineRule="exact"/>
        <w:rPr>
          <w:sz w:val="20"/>
          <w:szCs w:val="20"/>
          <w:color w:val="auto"/>
        </w:rPr>
      </w:pPr>
    </w:p>
    <w:p>
      <w:pPr>
        <w:ind w:right="20" w:firstLine="1296"/>
        <w:spacing w:after="0" w:line="260" w:lineRule="auto"/>
        <w:rPr>
          <w:sz w:val="20"/>
          <w:szCs w:val="20"/>
          <w:color w:val="auto"/>
        </w:rPr>
      </w:pPr>
      <w:r>
        <w:rPr>
          <w:rFonts w:ascii="Arial" w:cs="Arial" w:eastAsia="Arial" w:hAnsi="Arial"/>
          <w:sz w:val="20"/>
          <w:szCs w:val="20"/>
          <w:color w:val="auto"/>
        </w:rPr>
        <w:t>It is deemed advisable to amend the Plan to limit the bonuses and commissions eligible for deferral under the Plan to those payable pursuant to the Company’s short-term incentive plan and sales incentive plan, respectively.</w:t>
      </w:r>
    </w:p>
    <w:p>
      <w:pPr>
        <w:spacing w:after="0" w:line="204"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NOW, THEREFORE, it is declared that the Plan shall be and hereby is amended, effective with respect to Plan Years beginning on and after January 1, 2021, by deleting Section 1.1(f) in its entirety and substituting therefor the following new Section 1.1(f):</w:t>
      </w:r>
    </w:p>
    <w:p>
      <w:pPr>
        <w:spacing w:after="0" w:line="157"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color w:val="auto"/>
        </w:rPr>
        <w:t>“Bonuses and Commissions”</w:t>
      </w:r>
      <w:r>
        <w:rPr>
          <w:rFonts w:ascii="Arial" w:cs="Arial" w:eastAsia="Arial" w:hAnsi="Arial"/>
          <w:sz w:val="18"/>
          <w:szCs w:val="18"/>
          <w:color w:val="auto"/>
        </w:rPr>
        <w:t xml:space="preserve"> means bonuses payable by the Employer to the Participant pursuant to the Employer’s short-term incentive plan and commissions payable by the Employer to the Participant pursuant to the sales incentive plan. Bonuses and Commissions shall not include any amounts considered Base Salary. For purposes of the Plan, bonuses that do not constitute “performance-based compensation” described in Section 1.1(n) are subject to deferral according to the Deferral Election made by a Participant with respect to the Plan Year in which the performance period begins, and sales commissions are subject to deferral according to the Deferral Election made by a Participant with respect to the Plan Year in which the sale occurs.”</w:t>
      </w:r>
    </w:p>
    <w:p>
      <w:pPr>
        <w:spacing w:after="0" w:line="186" w:lineRule="exact"/>
        <w:rPr>
          <w:sz w:val="20"/>
          <w:szCs w:val="20"/>
          <w:color w:val="auto"/>
        </w:rPr>
      </w:pPr>
    </w:p>
    <w:p>
      <w:pPr>
        <w:ind w:right="20" w:firstLine="1282"/>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this Declaration of Amendment has been executed on behalf of the Company as of the date and</w:t>
      </w:r>
      <w:r>
        <w:rPr>
          <w:rFonts w:ascii="Arial" w:cs="Arial" w:eastAsia="Arial" w:hAnsi="Arial"/>
          <w:sz w:val="20"/>
          <w:szCs w:val="20"/>
          <w:b w:val="1"/>
          <w:bCs w:val="1"/>
          <w:color w:val="auto"/>
        </w:rPr>
        <w:t xml:space="preserve"> </w:t>
      </w:r>
      <w:r>
        <w:rPr>
          <w:rFonts w:ascii="Arial" w:cs="Arial" w:eastAsia="Arial" w:hAnsi="Arial"/>
          <w:sz w:val="20"/>
          <w:szCs w:val="20"/>
          <w:color w:val="auto"/>
        </w:rPr>
        <w:t>year first above written.</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auto"/>
        </w:rPr>
        <w:t>QORVO, INC.</w:t>
      </w:r>
    </w:p>
    <w:p>
      <w:pPr>
        <w:spacing w:after="0" w:line="24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A. Bruggeworth</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Robert A. Bruggeworth</w:t>
      </w:r>
    </w:p>
    <w:p>
      <w:pPr>
        <w:ind w:left="1960"/>
        <w:spacing w:after="0"/>
        <w:rPr>
          <w:sz w:val="20"/>
          <w:szCs w:val="20"/>
          <w:color w:val="auto"/>
        </w:rPr>
      </w:pPr>
      <w:r>
        <w:rPr>
          <w:rFonts w:ascii="Arial" w:cs="Arial" w:eastAsia="Arial" w:hAnsi="Arial"/>
          <w:sz w:val="20"/>
          <w:szCs w:val="20"/>
          <w:color w:val="auto"/>
        </w:rPr>
        <w:t>Chief Executive Officer</w:t>
      </w:r>
    </w:p>
    <w:p>
      <w:pPr>
        <w:sectPr>
          <w:pgSz w:w="11900" w:h="16838" w:orient="portrait"/>
          <w:cols w:equalWidth="0" w:num="1">
            <w:col w:w="11240"/>
          </w:cols>
          <w:pgMar w:left="320" w:top="141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Exhibit 22</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List of Subsidiary Guarantors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4.375% Senior Notes due 2029 and the 3.375% Senior Notes due 2031 are guaranteed, jointly and severally, on an unsecured basis, by the following 100% owned subsidiaries of Qorvo, Inc., a Delaware corporation, as of January 2, 2021:</w:t>
      </w:r>
    </w:p>
    <w:p>
      <w:pPr>
        <w:spacing w:after="0" w:line="219" w:lineRule="exact"/>
        <w:rPr>
          <w:sz w:val="20"/>
          <w:szCs w:val="20"/>
          <w:color w:val="auto"/>
        </w:rPr>
      </w:pPr>
    </w:p>
    <w:tbl>
      <w:tblPr>
        <w:tblLayout w:type="fixed"/>
        <w:tblInd w:w="1550" w:type="dxa"/>
        <w:tblCellMar>
          <w:top w:w="0" w:type="dxa"/>
          <w:left w:w="0" w:type="dxa"/>
          <w:bottom w:w="0" w:type="dxa"/>
          <w:right w:w="0" w:type="dxa"/>
        </w:tblCellMar>
      </w:tblPr>
      <w:tr>
        <w:trPr>
          <w:trHeight w:val="238"/>
        </w:trPr>
        <w:tc>
          <w:tcPr>
            <w:tcW w:w="4220" w:type="dxa"/>
            <w:vAlign w:val="bottom"/>
            <w:tcBorders>
              <w:top w:val="single" w:sz="8" w:color="auto"/>
              <w:left w:val="single" w:sz="8" w:color="auto"/>
              <w:right w:val="single" w:sz="8" w:color="auto"/>
            </w:tcBorders>
            <w:shd w:val="clear" w:color="auto" w:fill="D9D9D9"/>
          </w:tcPr>
          <w:p>
            <w:pPr>
              <w:ind w:left="1860"/>
              <w:spacing w:after="0"/>
              <w:rPr>
                <w:sz w:val="20"/>
                <w:szCs w:val="20"/>
                <w:color w:val="auto"/>
              </w:rPr>
            </w:pPr>
            <w:r>
              <w:rPr>
                <w:rFonts w:ascii="Arial" w:cs="Arial" w:eastAsia="Arial" w:hAnsi="Arial"/>
                <w:sz w:val="18"/>
                <w:szCs w:val="18"/>
                <w:b w:val="1"/>
                <w:bCs w:val="1"/>
                <w:color w:val="auto"/>
              </w:rPr>
              <w:t>Entity</w:t>
            </w:r>
          </w:p>
        </w:tc>
        <w:tc>
          <w:tcPr>
            <w:tcW w:w="3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Jurisdiction of</w:t>
            </w:r>
          </w:p>
        </w:tc>
      </w:tr>
      <w:tr>
        <w:trPr>
          <w:trHeight w:val="266"/>
        </w:trPr>
        <w:tc>
          <w:tcPr>
            <w:tcW w:w="422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3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Incorporation or Organization</w:t>
            </w:r>
          </w:p>
        </w:tc>
      </w:tr>
      <w:tr>
        <w:trPr>
          <w:trHeight w:val="237"/>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Amalfi Semiconductor, Inc.</w:t>
            </w:r>
          </w:p>
        </w:tc>
        <w:tc>
          <w:tcPr>
            <w:tcW w:w="39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RFMD,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North Carolina</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California,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California</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US,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Texas,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Texas</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Oregon,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Oregon</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20"/>
          </w:cols>
          <w:pgMar w:left="320" w:top="1417" w:right="5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52" w:lineRule="exact"/>
        <w:rPr>
          <w:rFonts w:ascii="Arial" w:cs="Arial" w:eastAsia="Arial" w:hAnsi="Arial"/>
          <w:sz w:val="18"/>
          <w:szCs w:val="18"/>
          <w:color w:val="auto"/>
        </w:rPr>
      </w:pPr>
    </w:p>
    <w:p>
      <w:pPr>
        <w:ind w:right="60" w:firstLine="8"/>
        <w:spacing w:after="0" w:line="342" w:lineRule="auto"/>
        <w:tabs>
          <w:tab w:leader="none" w:pos="64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0" w:firstLine="8"/>
        <w:spacing w:after="0" w:line="277"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0" w:firstLine="8"/>
        <w:spacing w:after="0" w:line="263"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20" w:hanging="4"/>
        <w:spacing w:after="0" w:line="263" w:lineRule="auto"/>
        <w:tabs>
          <w:tab w:leader="none" w:pos="129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hanging="4"/>
        <w:spacing w:after="0" w:line="263" w:lineRule="auto"/>
        <w:tabs>
          <w:tab w:leader="none" w:pos="129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180" w:hanging="4"/>
        <w:spacing w:after="0" w:line="342" w:lineRule="auto"/>
        <w:tabs>
          <w:tab w:leader="none" w:pos="1299"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60" w:hanging="4"/>
        <w:spacing w:after="0" w:line="263" w:lineRule="auto"/>
        <w:tabs>
          <w:tab w:leader="none" w:pos="1296"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20" w:firstLine="8"/>
        <w:spacing w:after="0" w:line="308" w:lineRule="auto"/>
        <w:tabs>
          <w:tab w:leader="none" w:pos="64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00" w:hanging="4"/>
        <w:spacing w:after="0" w:line="308" w:lineRule="auto"/>
        <w:tabs>
          <w:tab w:leader="none" w:pos="1299"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100" w:hanging="4"/>
        <w:spacing w:after="0" w:line="277" w:lineRule="auto"/>
        <w:tabs>
          <w:tab w:leader="none" w:pos="1296"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February 4, 2021</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3056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Robert A. Bruggeworth</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80"/>
          </w:cols>
          <w:pgMar w:left="320" w:top="891"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52"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52" w:lineRule="exact"/>
        <w:rPr>
          <w:rFonts w:ascii="Arial" w:cs="Arial" w:eastAsia="Arial" w:hAnsi="Arial"/>
          <w:sz w:val="18"/>
          <w:szCs w:val="18"/>
          <w:color w:val="auto"/>
        </w:rPr>
      </w:pPr>
    </w:p>
    <w:p>
      <w:pPr>
        <w:ind w:right="220" w:firstLine="8"/>
        <w:spacing w:after="0" w:line="342" w:lineRule="auto"/>
        <w:tabs>
          <w:tab w:leader="none" w:pos="31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380" w:firstLine="8"/>
        <w:spacing w:after="0" w:line="277"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40" w:firstLine="8"/>
        <w:spacing w:after="0" w:line="263" w:lineRule="auto"/>
        <w:tabs>
          <w:tab w:leader="none" w:pos="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9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520" w:hanging="4"/>
        <w:spacing w:after="0" w:line="342" w:lineRule="auto"/>
        <w:tabs>
          <w:tab w:leader="none" w:pos="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hanging="4"/>
        <w:spacing w:after="0" w:line="263" w:lineRule="auto"/>
        <w:tabs>
          <w:tab w:leader="none" w:pos="99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120" w:firstLine="8"/>
        <w:spacing w:after="0" w:line="308" w:lineRule="auto"/>
        <w:tabs>
          <w:tab w:leader="none" w:pos="31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760" w:hanging="4"/>
        <w:spacing w:after="0" w:line="308" w:lineRule="auto"/>
        <w:tabs>
          <w:tab w:leader="none" w:pos="97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440" w:hanging="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February 4, 2021</w:t>
      </w:r>
    </w:p>
    <w:p>
      <w:pPr>
        <w:spacing w:after="0" w:line="200" w:lineRule="exact"/>
        <w:rPr>
          <w:sz w:val="20"/>
          <w:szCs w:val="20"/>
          <w:color w:val="auto"/>
        </w:rPr>
      </w:pPr>
    </w:p>
    <w:p>
      <w:pPr>
        <w:spacing w:after="0" w:line="2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27171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Mark J. Murphy</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891" w:right="37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86" w:lineRule="exact"/>
        <w:rPr>
          <w:sz w:val="20"/>
          <w:szCs w:val="20"/>
          <w:color w:val="auto"/>
        </w:rPr>
      </w:pPr>
    </w:p>
    <w:p>
      <w:pPr>
        <w:ind w:right="94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President and Chief Executive Officer of Qorvo, Inc. (the “Company”), certify pursuant to Section 906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27" w:lineRule="exact"/>
        <w:rPr>
          <w:sz w:val="20"/>
          <w:szCs w:val="20"/>
          <w:color w:val="auto"/>
        </w:rPr>
      </w:pPr>
    </w:p>
    <w:p>
      <w:pPr>
        <w:ind w:left="660" w:hanging="652"/>
        <w:spacing w:after="0" w:line="260" w:lineRule="auto"/>
        <w:tabs>
          <w:tab w:leader="none" w:pos="441"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January 2, 2021 (the “Report”) fully complies with the requirements of Section 13(a) or 15(d) of the Securities Exchange Act of 1934, as amended; and</w:t>
      </w:r>
    </w:p>
    <w:p>
      <w:pPr>
        <w:spacing w:after="0" w:line="203" w:lineRule="exact"/>
        <w:rPr>
          <w:rFonts w:ascii="Arial" w:cs="Arial" w:eastAsia="Arial" w:hAnsi="Arial"/>
          <w:sz w:val="20"/>
          <w:szCs w:val="20"/>
          <w:color w:val="auto"/>
        </w:rPr>
      </w:pPr>
    </w:p>
    <w:p>
      <w:pPr>
        <w:ind w:left="660" w:right="140" w:hanging="652"/>
        <w:spacing w:after="0" w:line="260" w:lineRule="auto"/>
        <w:tabs>
          <w:tab w:leader="none" w:pos="441"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27260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Robert A. Bruggeworth</w:t>
      </w:r>
    </w:p>
    <w:p>
      <w:pPr>
        <w:spacing w:after="0" w:line="20"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President and Chief Executive Officer</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20"/>
          <w:szCs w:val="20"/>
          <w:color w:val="auto"/>
        </w:rPr>
        <w:t>February 4, 2021</w:t>
      </w:r>
    </w:p>
    <w:p>
      <w:pPr>
        <w:sectPr>
          <w:pgSz w:w="11900" w:h="16838" w:orient="portrait"/>
          <w:cols w:equalWidth="0" w:num="1">
            <w:col w:w="11140"/>
          </w:cols>
          <w:pgMar w:left="320" w:top="886" w:right="4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86" w:lineRule="exact"/>
        <w:rPr>
          <w:sz w:val="20"/>
          <w:szCs w:val="20"/>
          <w:color w:val="auto"/>
        </w:rPr>
      </w:pPr>
    </w:p>
    <w:p>
      <w:pPr>
        <w:ind w:right="94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204" w:lineRule="exact"/>
        <w:rPr>
          <w:sz w:val="20"/>
          <w:szCs w:val="20"/>
          <w:color w:val="auto"/>
        </w:rPr>
      </w:pPr>
    </w:p>
    <w:p>
      <w:pPr>
        <w:ind w:left="660" w:hanging="652"/>
        <w:spacing w:after="0" w:line="260" w:lineRule="auto"/>
        <w:tabs>
          <w:tab w:leader="none" w:pos="441"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January 2, 2021 (the “Report”) fully complies with the requirements of Section 13(a) or 15(d) of the Securities Exchange Act of 1934, as amended; and</w:t>
      </w:r>
    </w:p>
    <w:p>
      <w:pPr>
        <w:spacing w:after="0" w:line="203" w:lineRule="exact"/>
        <w:rPr>
          <w:rFonts w:ascii="Arial" w:cs="Arial" w:eastAsia="Arial" w:hAnsi="Arial"/>
          <w:sz w:val="20"/>
          <w:szCs w:val="20"/>
          <w:color w:val="auto"/>
        </w:rPr>
      </w:pPr>
    </w:p>
    <w:p>
      <w:pPr>
        <w:ind w:left="660" w:right="140" w:hanging="652"/>
        <w:spacing w:after="0" w:line="260" w:lineRule="auto"/>
        <w:tabs>
          <w:tab w:leader="none" w:pos="441"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10160</wp:posOffset>
            </wp:positionV>
            <wp:extent cx="29317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Mark J. Murphy</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Chief Financial Officer</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February 4, 2021</w:t>
      </w:r>
    </w:p>
    <w:sectPr>
      <w:pgSz w:w="11900" w:h="16838" w:orient="portrait"/>
      <w:cols w:equalWidth="0" w:num="1">
        <w:col w:w="11140"/>
      </w:cols>
      <w:pgMar w:left="320" w:top="88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22"/>
    </w:lvl>
  </w:abstractNum>
  <w:abstractNum w:abstractNumId="5">
    <w:nsid w:val="7545E146"/>
    <w:multiLevelType w:val="hybridMultilevel"/>
    <w:lvl w:ilvl="0">
      <w:lvlJc w:val="left"/>
      <w:lvlText w:val="%1"/>
      <w:numFmt w:val="decimal"/>
      <w:start w:val="10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2021-02-04T15:57:03Z</dcterms:created>
  <dcterms:modified xsi:type="dcterms:W3CDTF">2021-02-04T15:57:03Z</dcterms:modified>
</cp:coreProperties>
</file>