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4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29, 2019</w:t>
      </w:r>
    </w:p>
    <w:p>
      <w:pPr>
        <w:spacing w:after="0" w:line="63"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540" w:type="dxa"/>
        <w:tblCellMar>
          <w:top w:w="0" w:type="dxa"/>
          <w:left w:w="0" w:type="dxa"/>
          <w:bottom w:w="0" w:type="dxa"/>
          <w:right w:w="0" w:type="dxa"/>
        </w:tblCellMar>
      </w:tblPr>
      <w:tr>
        <w:trPr>
          <w:trHeight w:val="234"/>
        </w:trPr>
        <w:tc>
          <w:tcPr>
            <w:tcW w:w="4660" w:type="dxa"/>
            <w:vAlign w:val="bottom"/>
          </w:tcPr>
          <w:p>
            <w:pPr>
              <w:jc w:val="center"/>
              <w:ind w:right="857"/>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839"/>
              <w:spacing w:after="0"/>
              <w:rPr>
                <w:sz w:val="20"/>
                <w:szCs w:val="20"/>
                <w:color w:val="auto"/>
              </w:rPr>
            </w:pPr>
            <w:r>
              <w:rPr>
                <w:rFonts w:ascii="Arial" w:cs="Arial" w:eastAsia="Arial" w:hAnsi="Arial"/>
                <w:sz w:val="18"/>
                <w:szCs w:val="18"/>
                <w:b w:val="1"/>
                <w:bCs w:val="1"/>
                <w:color w:val="auto"/>
                <w:w w:val="89"/>
              </w:rPr>
              <w:t>46-5288992</w:t>
            </w:r>
          </w:p>
        </w:tc>
      </w:tr>
      <w:tr>
        <w:trPr>
          <w:trHeight w:val="285"/>
        </w:trPr>
        <w:tc>
          <w:tcPr>
            <w:tcW w:w="4660" w:type="dxa"/>
            <w:vAlign w:val="bottom"/>
          </w:tcPr>
          <w:p>
            <w:pPr>
              <w:jc w:val="center"/>
              <w:ind w:right="8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060" w:type="dxa"/>
            <w:vAlign w:val="bottom"/>
          </w:tcPr>
          <w:p>
            <w:pPr>
              <w:jc w:val="center"/>
              <w:ind w:left="839"/>
              <w:spacing w:after="0"/>
              <w:rPr>
                <w:sz w:val="20"/>
                <w:szCs w:val="20"/>
                <w:color w:val="auto"/>
              </w:rPr>
            </w:pPr>
            <w:r>
              <w:rPr>
                <w:rFonts w:ascii="Arial" w:cs="Arial" w:eastAsia="Arial" w:hAnsi="Arial"/>
                <w:sz w:val="14"/>
                <w:szCs w:val="14"/>
                <w:b w:val="1"/>
                <w:bCs w:val="1"/>
                <w:color w:val="auto"/>
                <w:w w:val="94"/>
              </w:rPr>
              <w:t>(I.R.S. employer identification no.)</w:t>
            </w:r>
          </w:p>
        </w:tc>
      </w:tr>
      <w:tr>
        <w:trPr>
          <w:trHeight w:val="377"/>
        </w:trPr>
        <w:tc>
          <w:tcPr>
            <w:tcW w:w="4660" w:type="dxa"/>
            <w:vAlign w:val="bottom"/>
          </w:tcPr>
          <w:p>
            <w:pPr>
              <w:jc w:val="center"/>
              <w:ind w:right="857"/>
              <w:spacing w:after="0"/>
              <w:rPr>
                <w:sz w:val="20"/>
                <w:szCs w:val="20"/>
                <w:color w:val="auto"/>
              </w:rPr>
            </w:pPr>
            <w:r>
              <w:rPr>
                <w:rFonts w:ascii="Arial" w:cs="Arial" w:eastAsia="Arial" w:hAnsi="Arial"/>
                <w:sz w:val="18"/>
                <w:szCs w:val="18"/>
                <w:b w:val="1"/>
                <w:bCs w:val="1"/>
                <w:color w:val="auto"/>
                <w:w w:val="92"/>
              </w:rPr>
              <w:t>7628 Thorndike Road</w:t>
            </w:r>
          </w:p>
        </w:tc>
        <w:tc>
          <w:tcPr>
            <w:tcW w:w="3060" w:type="dxa"/>
            <w:vAlign w:val="bottom"/>
          </w:tcPr>
          <w:p>
            <w:pPr>
              <w:spacing w:after="0"/>
              <w:rPr>
                <w:sz w:val="24"/>
                <w:szCs w:val="24"/>
                <w:color w:val="auto"/>
              </w:rPr>
            </w:pPr>
          </w:p>
        </w:tc>
      </w:tr>
      <w:tr>
        <w:trPr>
          <w:trHeight w:val="270"/>
        </w:trPr>
        <w:tc>
          <w:tcPr>
            <w:tcW w:w="4660" w:type="dxa"/>
            <w:vAlign w:val="bottom"/>
          </w:tcPr>
          <w:p>
            <w:pPr>
              <w:jc w:val="center"/>
              <w:ind w:right="597"/>
              <w:spacing w:after="0"/>
              <w:rPr>
                <w:sz w:val="20"/>
                <w:szCs w:val="20"/>
                <w:color w:val="auto"/>
              </w:rPr>
            </w:pPr>
            <w:r>
              <w:rPr>
                <w:rFonts w:ascii="Arial" w:cs="Arial" w:eastAsia="Arial" w:hAnsi="Arial"/>
                <w:sz w:val="18"/>
                <w:szCs w:val="18"/>
                <w:b w:val="1"/>
                <w:bCs w:val="1"/>
                <w:color w:val="auto"/>
                <w:w w:val="92"/>
              </w:rPr>
              <w:t>Greensboro North Carolina</w:t>
            </w:r>
          </w:p>
        </w:tc>
        <w:tc>
          <w:tcPr>
            <w:tcW w:w="3060" w:type="dxa"/>
            <w:vAlign w:val="bottom"/>
          </w:tcPr>
          <w:p>
            <w:pPr>
              <w:jc w:val="center"/>
              <w:ind w:left="839"/>
              <w:spacing w:after="0"/>
              <w:rPr>
                <w:sz w:val="20"/>
                <w:szCs w:val="20"/>
                <w:color w:val="auto"/>
              </w:rPr>
            </w:pPr>
            <w:r>
              <w:rPr>
                <w:rFonts w:ascii="Arial" w:cs="Arial" w:eastAsia="Arial" w:hAnsi="Arial"/>
                <w:sz w:val="18"/>
                <w:szCs w:val="18"/>
                <w:b w:val="1"/>
                <w:bCs w:val="1"/>
                <w:color w:val="auto"/>
                <w:w w:val="89"/>
              </w:rPr>
              <w:t>27409-9421</w:t>
            </w:r>
          </w:p>
        </w:tc>
      </w:tr>
      <w:tr>
        <w:trPr>
          <w:trHeight w:val="285"/>
        </w:trPr>
        <w:tc>
          <w:tcPr>
            <w:tcW w:w="4660" w:type="dxa"/>
            <w:vAlign w:val="bottom"/>
          </w:tcPr>
          <w:p>
            <w:pPr>
              <w:jc w:val="center"/>
              <w:ind w:right="617"/>
              <w:spacing w:after="0"/>
              <w:rPr>
                <w:sz w:val="20"/>
                <w:szCs w:val="20"/>
                <w:color w:val="auto"/>
              </w:rPr>
            </w:pPr>
            <w:r>
              <w:rPr>
                <w:rFonts w:ascii="Arial" w:cs="Arial" w:eastAsia="Arial" w:hAnsi="Arial"/>
                <w:sz w:val="14"/>
                <w:szCs w:val="14"/>
                <w:b w:val="1"/>
                <w:bCs w:val="1"/>
                <w:color w:val="auto"/>
                <w:w w:val="91"/>
              </w:rPr>
              <w:t>(Address of principal executive office)</w:t>
            </w:r>
          </w:p>
        </w:tc>
        <w:tc>
          <w:tcPr>
            <w:tcW w:w="3060" w:type="dxa"/>
            <w:vAlign w:val="bottom"/>
          </w:tcPr>
          <w:p>
            <w:pPr>
              <w:jc w:val="center"/>
              <w:ind w:left="839"/>
              <w:spacing w:after="0"/>
              <w:rPr>
                <w:sz w:val="20"/>
                <w:szCs w:val="20"/>
                <w:color w:val="auto"/>
              </w:rPr>
            </w:pPr>
            <w:r>
              <w:rPr>
                <w:rFonts w:ascii="Arial" w:cs="Arial" w:eastAsia="Arial" w:hAnsi="Arial"/>
                <w:sz w:val="14"/>
                <w:szCs w:val="14"/>
                <w:b w:val="1"/>
                <w:bCs w:val="1"/>
                <w:color w:val="auto"/>
                <w:w w:val="92"/>
              </w:rPr>
              <w:t>(Zip code)</w:t>
            </w:r>
          </w:p>
        </w:tc>
      </w:tr>
    </w:tbl>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2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Title of each class</w:t>
            </w:r>
          </w:p>
        </w:tc>
        <w:tc>
          <w:tcPr>
            <w:tcW w:w="1600" w:type="dxa"/>
            <w:vAlign w:val="bottom"/>
          </w:tcPr>
          <w:p>
            <w:pPr>
              <w:spacing w:after="0"/>
              <w:rPr>
                <w:sz w:val="19"/>
                <w:szCs w:val="19"/>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Trading Symbol(s)</w:t>
            </w: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507"/>
        </w:trPr>
        <w:tc>
          <w:tcPr>
            <w:tcW w:w="26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 Stock, $0.0001 par value</w:t>
            </w:r>
          </w:p>
        </w:tc>
        <w:tc>
          <w:tcPr>
            <w:tcW w:w="1600" w:type="dxa"/>
            <w:vAlign w:val="bottom"/>
          </w:tcPr>
          <w:p>
            <w:pPr>
              <w:spacing w:after="0"/>
              <w:rPr>
                <w:sz w:val="24"/>
                <w:szCs w:val="24"/>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79"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ind w:right="4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240" w:top="229" w:right="39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4" w:lineRule="exact"/>
        <w:rPr>
          <w:sz w:val="20"/>
          <w:szCs w:val="20"/>
          <w:color w:val="auto"/>
        </w:rPr>
      </w:pPr>
    </w:p>
    <w:tbl>
      <w:tblPr>
        <w:tblLayout w:type="fixed"/>
        <w:tblInd w:w="920" w:type="dxa"/>
        <w:tblCellMar>
          <w:top w:w="0" w:type="dxa"/>
          <w:left w:w="0" w:type="dxa"/>
          <w:bottom w:w="0" w:type="dxa"/>
          <w:right w:w="0" w:type="dxa"/>
        </w:tblCellMar>
      </w:tblPr>
      <w:tr>
        <w:trPr>
          <w:trHeight w:val="268"/>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0"/>
          <w:szCs w:val="20"/>
          <w:color w:val="auto"/>
        </w:rPr>
      </w:pPr>
    </w:p>
    <w:p>
      <w:pPr>
        <w:jc w:val="both"/>
        <w:ind w:left="40" w:righ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July 26, 2019, there were 117,784,657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240" w:type="dxa"/>
            <w:vAlign w:val="bottom"/>
            <w:gridSpan w:val="20"/>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80" w:type="dxa"/>
            <w:vAlign w:val="bottom"/>
            <w:gridSpan w:val="9"/>
          </w:tcPr>
          <w:p>
            <w:pPr>
              <w:jc w:val="center"/>
              <w:ind w:right="2960"/>
              <w:spacing w:after="0"/>
              <w:rPr>
                <w:sz w:val="20"/>
                <w:szCs w:val="20"/>
                <w:color w:val="auto"/>
              </w:rPr>
            </w:pPr>
            <w:r>
              <w:rPr>
                <w:rFonts w:ascii="Arial" w:cs="Arial" w:eastAsia="Arial" w:hAnsi="Arial"/>
                <w:sz w:val="18"/>
                <w:szCs w:val="18"/>
                <w:b w:val="1"/>
                <w:bCs w:val="1"/>
                <w:color w:val="auto"/>
                <w:w w:val="99"/>
              </w:rPr>
              <w:t>QORVO, INC. AND SUBSIDIARIES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180" w:type="dxa"/>
            <w:vAlign w:val="bottom"/>
            <w:gridSpan w:val="19"/>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9"/>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6960" w:type="dxa"/>
            <w:vAlign w:val="bottom"/>
            <w:gridSpan w:val="10"/>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29, 2019 and March 30, 2019</w:t>
              </w:r>
            </w:hyperlink>
          </w:p>
        </w:tc>
        <w:tc>
          <w:tcPr>
            <w:tcW w:w="4200" w:type="dxa"/>
            <w:vAlign w:val="bottom"/>
            <w:gridSpan w:val="6"/>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June 29, 2019 and June 30, 2018</w:t>
              </w:r>
            </w:hyperlink>
          </w:p>
        </w:tc>
        <w:tc>
          <w:tcPr>
            <w:tcW w:w="11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 (Loss) for the three months ended June 29, 2019 and June 30, 2018</w:t>
              </w:r>
            </w:hyperlink>
          </w:p>
        </w:tc>
        <w:tc>
          <w:tcPr>
            <w:tcW w:w="60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7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Stockholders' Equity for the three months ended June 29, 2019 and June 30, 2018</w:t>
              </w:r>
            </w:hyperlink>
          </w:p>
        </w:tc>
        <w:tc>
          <w:tcPr>
            <w:tcW w:w="132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June 29, 2019 and June 30, 2018</w:t>
              </w:r>
            </w:hyperlink>
          </w:p>
        </w:tc>
        <w:tc>
          <w:tcPr>
            <w:tcW w:w="11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80" w:type="dxa"/>
            <w:vAlign w:val="bottom"/>
            <w:tcBorders>
              <w:top w:val="single" w:sz="8" w:color="0000EE"/>
            </w:tcBorders>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980" w:type="dxa"/>
            <w:vAlign w:val="bottom"/>
            <w:gridSpan w:val="3"/>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4"/>
          </w:tcPr>
          <w:p>
            <w:pPr>
              <w:spacing w:after="0"/>
              <w:rPr>
                <w:rFonts w:ascii="Arial" w:cs="Arial" w:eastAsia="Arial" w:hAnsi="Arial"/>
                <w:sz w:val="18"/>
                <w:szCs w:val="18"/>
                <w:b w:val="1"/>
                <w:bCs w:val="1"/>
                <w:color w:val="0000FF"/>
                <w:w w:val="89"/>
              </w:rPr>
            </w:pPr>
            <w:hyperlink w:anchor="page27">
              <w:r>
                <w:rPr>
                  <w:rFonts w:ascii="Arial" w:cs="Arial" w:eastAsia="Arial" w:hAnsi="Arial"/>
                  <w:sz w:val="18"/>
                  <w:szCs w:val="18"/>
                  <w:b w:val="1"/>
                  <w:bCs w:val="1"/>
                  <w:color w:val="0000FF"/>
                  <w:w w:val="89"/>
                </w:rPr>
                <w:t>Item 2. 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2"/>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740" w:type="dxa"/>
            <w:vAlign w:val="bottom"/>
            <w:gridSpan w:val="5"/>
          </w:tcPr>
          <w:p>
            <w:pPr>
              <w:spacing w:after="0"/>
              <w:rPr>
                <w:sz w:val="21"/>
                <w:szCs w:val="21"/>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6"/>
          </w:tcPr>
          <w:p>
            <w:pPr>
              <w:spacing w:after="0"/>
              <w:rPr>
                <w:rFonts w:ascii="Arial" w:cs="Arial" w:eastAsia="Arial" w:hAnsi="Arial"/>
                <w:sz w:val="18"/>
                <w:szCs w:val="18"/>
                <w:b w:val="1"/>
                <w:bCs w:val="1"/>
                <w:color w:val="0000FF"/>
                <w:w w:val="88"/>
              </w:rPr>
            </w:pPr>
            <w:hyperlink w:anchor="page34">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4900" w:type="dxa"/>
            <w:vAlign w:val="bottom"/>
            <w:gridSpan w:val="7"/>
          </w:tcPr>
          <w:p>
            <w:pPr>
              <w:spacing w:after="0"/>
              <w:rPr>
                <w:sz w:val="21"/>
                <w:szCs w:val="21"/>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 OTHER INFORMATION</w:t>
              </w:r>
            </w:hyperlink>
          </w:p>
        </w:tc>
        <w:tc>
          <w:tcPr>
            <w:tcW w:w="11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1A. Risk Factors.</w:t>
              </w:r>
            </w:hyperlink>
          </w:p>
        </w:tc>
        <w:tc>
          <w:tcPr>
            <w:tcW w:w="7260" w:type="dxa"/>
            <w:vAlign w:val="bottom"/>
            <w:gridSpan w:val="12"/>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1"/>
          </w:tcPr>
          <w:p>
            <w:pPr>
              <w:spacing w:after="0"/>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Item 2. Unregistered Sales of Equity Securities and Use of Proceeds.</w:t>
              </w:r>
            </w:hyperlink>
          </w:p>
        </w:tc>
        <w:tc>
          <w:tcPr>
            <w:tcW w:w="5000" w:type="dxa"/>
            <w:vAlign w:val="bottom"/>
            <w:gridSpan w:val="8"/>
          </w:tcPr>
          <w:p>
            <w:pPr>
              <w:spacing w:after="0"/>
              <w:rPr>
                <w:sz w:val="21"/>
                <w:szCs w:val="21"/>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40" w:type="dxa"/>
            <w:vAlign w:val="bottom"/>
            <w:gridSpan w:val="7"/>
            <w:shd w:val="clear" w:color="auto" w:fill="0000EE"/>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1"/>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5000" w:type="dxa"/>
            <w:vAlign w:val="bottom"/>
            <w:gridSpan w:val="8"/>
          </w:tcPr>
          <w:p>
            <w:pPr>
              <w:spacing w:after="0"/>
              <w:rPr>
                <w:sz w:val="21"/>
                <w:szCs w:val="21"/>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94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240" w:type="dxa"/>
            <w:vAlign w:val="bottom"/>
            <w:gridSpan w:val="4"/>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SIGNATURES</w:t>
              </w:r>
            </w:hyperlink>
          </w:p>
        </w:tc>
        <w:tc>
          <w:tcPr>
            <w:tcW w:w="8940" w:type="dxa"/>
            <w:vAlign w:val="bottom"/>
            <w:gridSpan w:val="15"/>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507"/>
        </w:trPr>
        <w:tc>
          <w:tcPr>
            <w:tcW w:w="60" w:type="dxa"/>
            <w:vAlign w:val="bottom"/>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4840" w:type="dxa"/>
            <w:vAlign w:val="bottom"/>
            <w:gridSpan w:val="10"/>
          </w:tcPr>
          <w:p>
            <w:pPr>
              <w:jc w:val="center"/>
              <w:ind w:left="4090"/>
              <w:spacing w:after="0"/>
              <w:rPr>
                <w:sz w:val="20"/>
                <w:szCs w:val="20"/>
                <w:color w:val="auto"/>
              </w:rPr>
            </w:pPr>
            <w:r>
              <w:rPr>
                <w:rFonts w:ascii="Arial" w:cs="Arial" w:eastAsia="Arial" w:hAnsi="Arial"/>
                <w:sz w:val="18"/>
                <w:szCs w:val="18"/>
                <w:color w:val="auto"/>
                <w:w w:val="99"/>
              </w:rPr>
              <w:t>2</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 2019</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711,035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less allowance of $32 and $40 as of June 29, 2019 and March 30, 2019,</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326,714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378,172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511,793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1,684,841</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$1,271,785 at June 29, 2019 and $1,218,507 at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March 30, 2019</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1,309,471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1,366,513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4)</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2,300,912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 4)</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508,159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408,210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5)</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 6)</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153,016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5,926,381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224,735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160,516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Current portion of long-term debt </w:t>
            </w:r>
            <w:r>
              <w:rPr>
                <w:rFonts w:ascii="Arial" w:cs="Arial" w:eastAsia="Arial" w:hAnsi="Arial"/>
                <w:sz w:val="18"/>
                <w:szCs w:val="18"/>
                <w:i w:val="1"/>
                <w:iCs w:val="1"/>
                <w:color w:val="auto"/>
              </w:rPr>
              <w:t>(Note 7)</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(Note 6)</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452,146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7)</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 6)</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118,278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91,796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1,448,345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117,943</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6"/>
              </w:rPr>
              <w:t>and 119,063 shares issued and outstanding at June 29, 2019 and March 30, 2019,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4,625,566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4,687,455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(321,152)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4,337,343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5,926,381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29, 2019</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692,670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481,309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455,937</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236,733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110,903</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88,979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135,930</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4 and 10)</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9,115</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239,063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255,948</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7)</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(14,353)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7)</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(31,955)</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18"/>
        </w:trPr>
        <w:tc>
          <w:tcPr>
            <w:tcW w:w="7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45,197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(62,129)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7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12)</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32,136</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per share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67"/>
        </w:trPr>
        <w:tc>
          <w:tcPr>
            <w:tcW w:w="78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56"/>
        </w:trPr>
        <w:tc>
          <w:tcPr>
            <w:tcW w:w="78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13):</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118,756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126,198</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121,123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126,198</w:t>
            </w:r>
          </w:p>
        </w:tc>
      </w:tr>
      <w:tr>
        <w:trPr>
          <w:trHeight w:val="27"/>
        </w:trPr>
        <w:tc>
          <w:tcPr>
            <w:tcW w:w="7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2019</w:t>
            </w:r>
          </w:p>
        </w:tc>
        <w:tc>
          <w:tcPr>
            <w:tcW w:w="240" w:type="dxa"/>
            <w:vAlign w:val="bottom"/>
          </w:tcPr>
          <w:p>
            <w:pPr>
              <w:spacing w:after="0"/>
              <w:rPr>
                <w:sz w:val="22"/>
                <w:szCs w:val="22"/>
                <w:color w:val="auto"/>
              </w:rPr>
            </w:pPr>
          </w:p>
        </w:tc>
        <w:tc>
          <w:tcPr>
            <w:tcW w:w="136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2018</w:t>
            </w:r>
          </w:p>
        </w:tc>
      </w:tr>
      <w:tr>
        <w:trPr>
          <w:trHeight w:val="27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(29,993)</w:t>
            </w:r>
          </w:p>
        </w:tc>
      </w:tr>
      <w:tr>
        <w:trPr>
          <w:trHeight w:val="223"/>
        </w:trPr>
        <w:tc>
          <w:tcPr>
            <w:tcW w:w="8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1"/>
        </w:trPr>
        <w:tc>
          <w:tcPr>
            <w:tcW w:w="8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w w:val="95"/>
              </w:rPr>
              <w:t>Foreign currency translation adjustment, including intra-entity foreign currency transactions that are of a</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long-term investment nature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(2,213)</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Foreign currency loss included in net income (loss)</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3000" w:type="dxa"/>
            <w:vAlign w:val="bottom"/>
            <w:gridSpan w:val="5"/>
            <w:vMerge w:val="restart"/>
          </w:tcPr>
          <w:p>
            <w:pPr>
              <w:ind w:left="92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30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180" w:type="dxa"/>
            <w:vAlign w:val="bottom"/>
          </w:tcPr>
          <w:p>
            <w:pPr>
              <w:spacing w:after="0"/>
              <w:rPr>
                <w:sz w:val="8"/>
                <w:szCs w:val="8"/>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500" w:type="dxa"/>
            <w:vAlign w:val="bottom"/>
            <w:gridSpan w:val="2"/>
          </w:tcPr>
          <w:p>
            <w:pPr>
              <w:ind w:left="460"/>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2019</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39,541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Cumulative-effect adoption of ASU 2016-02</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(100,073)</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29, 2019</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117,943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4,625,566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4,337,343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Cumulative-effect adoption of ASU 2014-09</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9"/>
        </w:trPr>
        <w:tc>
          <w:tcPr>
            <w:tcW w:w="4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(100,004)</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125,598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5,167,311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4,678,105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2019</w:t>
            </w:r>
          </w:p>
        </w:tc>
        <w:tc>
          <w:tcPr>
            <w:tcW w:w="280" w:type="dxa"/>
            <w:vAlign w:val="bottom"/>
          </w:tcPr>
          <w:p>
            <w:pPr>
              <w:spacing w:after="0"/>
              <w:rPr>
                <w:sz w:val="22"/>
                <w:szCs w:val="22"/>
                <w:color w:val="auto"/>
              </w:rPr>
            </w:pPr>
          </w:p>
        </w:tc>
        <w:tc>
          <w:tcPr>
            <w:tcW w:w="1420" w:type="dxa"/>
            <w:vAlign w:val="bottom"/>
          </w:tcPr>
          <w:p>
            <w:pPr>
              <w:jc w:val="right"/>
              <w:ind w:right="35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39,541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63,904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43,451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133,321</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8"/>
                <w:szCs w:val="18"/>
                <w:i w:val="1"/>
                <w:iCs w:val="1"/>
                <w:color w:val="auto"/>
              </w:rPr>
              <w:t>(Note 7)</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33,373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19,345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(29,587)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 and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75,259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available-for-sale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Purchase of a business, net of cash acquired </w:t>
            </w:r>
            <w:r>
              <w:rPr>
                <w:rFonts w:ascii="Arial" w:cs="Arial" w:eastAsia="Arial" w:hAnsi="Arial"/>
                <w:sz w:val="18"/>
                <w:szCs w:val="18"/>
                <w:i w:val="1"/>
                <w:iCs w:val="1"/>
                <w:color w:val="auto"/>
              </w:rPr>
              <w:t>(Note 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sales of available-for-sale debt securities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(342,132)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(109,960)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8"/>
                <w:szCs w:val="18"/>
                <w:i w:val="1"/>
                <w:iCs w:val="1"/>
                <w:color w:val="auto"/>
              </w:rPr>
              <w:t>(Note 7)</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(458,172)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Proceeds from borrowings </w:t>
            </w:r>
            <w:r>
              <w:rPr>
                <w:rFonts w:ascii="Arial" w:cs="Arial" w:eastAsia="Arial" w:hAnsi="Arial"/>
                <w:sz w:val="18"/>
                <w:szCs w:val="18"/>
                <w:i w:val="1"/>
                <w:iCs w:val="1"/>
                <w:color w:val="auto"/>
              </w:rPr>
              <w:t>(Note 7)</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Repurchase of common stock, including transaction costs </w:t>
            </w:r>
            <w:r>
              <w:rPr>
                <w:rFonts w:ascii="Arial" w:cs="Arial" w:eastAsia="Arial" w:hAnsi="Arial"/>
                <w:sz w:val="18"/>
                <w:szCs w:val="18"/>
                <w:i w:val="1"/>
                <w:iCs w:val="1"/>
                <w:color w:val="auto"/>
              </w:rPr>
              <w:t>(Note 8)</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(555,303)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(592,018)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711,382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334,384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Non-cash investing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35,394</w:t>
            </w:r>
          </w:p>
        </w:tc>
        <w:tc>
          <w:tcPr>
            <w:tcW w:w="0" w:type="dxa"/>
            <w:vAlign w:val="bottom"/>
          </w:tcPr>
          <w:p>
            <w:pPr>
              <w:spacing w:after="0"/>
              <w:rPr>
                <w:sz w:val="1"/>
                <w:szCs w:val="1"/>
                <w:color w:val="auto"/>
              </w:rPr>
            </w:pPr>
          </w:p>
        </w:tc>
      </w:tr>
      <w:tr>
        <w:trPr>
          <w:trHeight w:val="284"/>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629,599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334,039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included in "Other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629,950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334,384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30, 2019.</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2019 financial statements have been reclassified to conform with the fiscal 2020 presentation.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2020 and 2019 are 52-week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30, 2019.</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with multiple amendments subsequently issued. The new guidance requires that lease arrangements be presented on the lessee's balance sheet by recording a right-of-use asset and a lease liability equal to the present value of the related future minimum lease payments. The Company adopted the standard in the first quarter of fiscal 2020, using the modified retrospective approach which permits lessees to recognize a cumulative-effect adjustment to the opening balance of accumulated deficit in the period of adoption. Upon adoption, the Company recorded a right-of-use asset of $70.7 million and a lease liability of $75.0 million. The difference between the right-of-use asset and lease liability is primarily attributed to a deferred rent liability which existed under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Company elected the transition package of practical expedients, under which the Company does not have to reassess (1) whether any expired or existing contracts are leases, or contain leases, (2) the lease classification for any expired or existing leases, and (3) initial direct costs for any existing leases. Further,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leases with an initial term of 12 months or less from the balance sheet.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adoption of this standard resulted in a cumulative-effect adjustment to accumulated deficit of less than $0.1 million. This standard did not have a material impact on the Condensed Consolidated Statement of Operations or Condensed Consolidated Statement of Cash Flows. See Note 6 for further disclosures resulting from the adoption of this new standard.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 2019</w:t>
            </w:r>
          </w:p>
        </w:tc>
        <w:tc>
          <w:tcPr>
            <w:tcW w:w="24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265,794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272,469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142,358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120,716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517,755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511,793</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6, 2019, the Company completed its acquisition of Active-Semi International, Inc. ("Active-Semi"), a private fabless supplier of programmable analog power solutions. The acquisition expanded the Company's product offerings for existing customers and new customers in power management markets. The purchase price of $309.4 million was allocated to Active-Semi's net tangible assets (approximately $24.1 million) and intangible assets (approximately $158.3 million) based on their estimated fair values as of May 6, 2019. The excess of the purchase price over the value of the net tangible assets and intangible assets resulted in goodwill of approximately $127.0 million. The more significant intangible assets acquired included developed technology of $76.6 million (being amortized over 5 to 9 years), customer relationships of $40.9 million (being amortized over 5 years) and in-process research and development ("IPRD") of $40.6 million. The purchase price allocation is based on the estimated fair value of assets acquired and liabilities assumed. The Company will continue to evaluate certain assets, liabilities and tax estimates that are subject to change within the measurement period (up to one year from the acquisition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29, 2019, total cash payments associated with this acquisition were $291.6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acquisition date, the Company recognized approximately $15.0 million in postcombination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for the three months ended June 29, 2019,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9"/>
              </w:rPr>
              <w:t>Mobile Products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5"/>
              </w:rPr>
              <w:t>Defense Products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30, 2019</w:t>
            </w:r>
          </w:p>
        </w:tc>
        <w:tc>
          <w:tcPr>
            <w:tcW w:w="2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1,751,503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Goodwill resulting from Active-Semi acquisition</w:t>
            </w: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127,023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127,023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29, 2019</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1,751,503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549,409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2,300,912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 assets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2019</w:t>
            </w:r>
          </w:p>
        </w:tc>
        <w:tc>
          <w:tcPr>
            <w:tcW w:w="11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30,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3"/>
                <w:szCs w:val="13"/>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3"/>
                <w:szCs w:val="13"/>
                <w:color w:val="auto"/>
              </w:rPr>
            </w:pP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840,772</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519,348</w:t>
            </w:r>
          </w:p>
        </w:tc>
        <w:tc>
          <w:tcPr>
            <w:tcW w:w="3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1,246,335</w:t>
            </w:r>
          </w:p>
        </w:tc>
        <w:tc>
          <w:tcPr>
            <w:tcW w:w="2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960,793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426,522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291,985</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1,272,725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1,161,735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29,391</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3,219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1,754</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14,704</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36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IPRD</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50,600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1,321,313</w:t>
            </w:r>
          </w:p>
        </w:tc>
        <w:tc>
          <w:tcPr>
            <w:tcW w:w="2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813,154</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2,574,181</w:t>
            </w:r>
          </w:p>
        </w:tc>
        <w:tc>
          <w:tcPr>
            <w:tcW w:w="2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2,165,971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first quarter of each fiscal year, the Company removes the fully amortized balances from the gross asset and accumulated amortization amounts of those intangible assets that were fully amortized as of the prior fiscal year end.</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intangible assets amortization expense was $58.4 million for the three months ended June 29, 2019 and $133.3 million for the three months ended June 30,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June 29, 2019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30,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29, 2019</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tcPr>
          <w:p>
            <w:pPr>
              <w:spacing w:after="0"/>
              <w:rPr>
                <w:sz w:val="21"/>
                <w:szCs w:val="21"/>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20,101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vMerge w:val="restart"/>
          </w:tcPr>
          <w:p>
            <w:pPr>
              <w:jc w:val="right"/>
              <w:ind w:right="34"/>
              <w:spacing w:after="0"/>
              <w:rPr>
                <w:sz w:val="20"/>
                <w:szCs w:val="20"/>
                <w:color w:val="auto"/>
              </w:rPr>
            </w:pPr>
            <w:r>
              <w:rPr>
                <w:rFonts w:ascii="Arial" w:cs="Arial" w:eastAsia="Arial" w:hAnsi="Arial"/>
                <w:sz w:val="18"/>
                <w:szCs w:val="18"/>
                <w:color w:val="auto"/>
              </w:rPr>
              <w:t>20,101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20,101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March 30, 2019</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(2)</w:t>
            </w:r>
          </w:p>
        </w:tc>
        <w:tc>
          <w:tcPr>
            <w:tcW w:w="400" w:type="dxa"/>
            <w:vAlign w:val="bottom"/>
          </w:tcPr>
          <w:p>
            <w:pPr>
              <w:spacing w:after="0"/>
              <w:rPr>
                <w:sz w:val="21"/>
                <w:szCs w:val="21"/>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30" w:lineRule="exact"/>
        <w:rPr>
          <w:rFonts w:ascii="Arial" w:cs="Arial" w:eastAsia="Arial" w:hAnsi="Arial"/>
          <w:sz w:val="15"/>
          <w:szCs w:val="15"/>
          <w:color w:val="auto"/>
        </w:rPr>
      </w:pPr>
    </w:p>
    <w:p>
      <w:pPr>
        <w:ind w:right="100"/>
        <w:spacing w:after="0" w:line="246"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 w:lineRule="exact"/>
        <w:rPr>
          <w:rFonts w:ascii="Arial" w:cs="Arial" w:eastAsia="Arial" w:hAnsi="Arial"/>
          <w:sz w:val="15"/>
          <w:szCs w:val="15"/>
          <w:color w:val="auto"/>
        </w:rPr>
      </w:pPr>
    </w:p>
    <w:p>
      <w:pPr>
        <w:ind w:right="280" w:firstLine="8"/>
        <w:spacing w:after="0" w:line="328" w:lineRule="auto"/>
        <w:tabs>
          <w:tab w:leader="none" w:pos="23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Level 2 auction rate securities were debt instruments with interest rates that reset through periodic short-term auctions and were valued based on quoted prices for identical or similar instruments in markets that were not active. During the first quarter of fiscal 2020, the Company sold its auction rate securities at par value.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of June 29, 2019 and March 30, 2019,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Without a Readily Determinable Fair Value</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As of June 29, 2019, the Company has invested $60.0 million to acquire preferred shares of a private limited company. This investment was determined to be an equity investment without a readily determinable fair value and is accounted for using the measurement alternative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29, 2019, there was no impairment or observable price change for this investment. This investment is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"Long-term investments" in the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Marketable securities are measured at fair value and recorded in "Cash and cash equivalents," "Other current assets" and "Long-term investments" in the Condensed Consolidated Balance Sheets, and the related unrealized gains and losses are included in "Accumulated other comprehensive loss," a component of stockholders’ equity, net of tax (debt securities) and "Other income (expense)" in the Condensed Consolidated Statements of Operations (equity securities).</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The carrying values of cash and cash equivalents, accounts receivable, accounts payable and other accrued liabilities approximate fair values because of the relatively short-term maturities of these instruments. See Note 7 for further disclosures related to the fair value of the Company's 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fiscal 2018, the Company entered into a finance lease which is expected to commence in fiscal 2021 and is not recorded in the Condensed Consolidated Balance Sheet as of June 29, 2019. The Company’s other finance lease is immaterial.</w:t>
      </w:r>
    </w:p>
    <w:p>
      <w:pPr>
        <w:spacing w:after="0" w:line="17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Right-of-use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operating leases for the three months ended June 29,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250"/>
        </w:trPr>
        <w:tc>
          <w:tcPr>
            <w:tcW w:w="9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16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1,965</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414</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 lease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5,833</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information and non-cash activities related to operating leases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Three Months Ended</w:t>
            </w:r>
          </w:p>
        </w:tc>
      </w:tr>
      <w:tr>
        <w:trPr>
          <w:trHeight w:val="250"/>
        </w:trPr>
        <w:tc>
          <w:tcPr>
            <w:tcW w:w="5400" w:type="dxa"/>
            <w:vAlign w:val="bottom"/>
            <w:tcBorders>
              <w:bottom w:val="single" w:sz="8" w:color="CCEEFF"/>
            </w:tcBorders>
          </w:tcPr>
          <w:p>
            <w:pPr>
              <w:spacing w:after="0"/>
              <w:rPr>
                <w:sz w:val="21"/>
                <w:szCs w:val="21"/>
                <w:color w:val="auto"/>
              </w:rPr>
            </w:pPr>
          </w:p>
        </w:tc>
        <w:tc>
          <w:tcPr>
            <w:tcW w:w="4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Cash paid for amounts included in measurement of lease liabilities:</w:t>
            </w:r>
          </w:p>
        </w:tc>
        <w:tc>
          <w:tcPr>
            <w:tcW w:w="4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
              <w:spacing w:after="0"/>
              <w:rPr>
                <w:sz w:val="20"/>
                <w:szCs w:val="20"/>
                <w:color w:val="auto"/>
              </w:rPr>
            </w:pPr>
            <w:r>
              <w:rPr>
                <w:rFonts w:ascii="Arial" w:cs="Arial" w:eastAsia="Arial" w:hAnsi="Arial"/>
                <w:sz w:val="18"/>
                <w:szCs w:val="18"/>
                <w:color w:val="auto"/>
              </w:rPr>
              <w:t>4,492</w:t>
            </w:r>
          </w:p>
        </w:tc>
      </w:tr>
      <w:tr>
        <w:trPr>
          <w:trHeight w:val="27"/>
        </w:trPr>
        <w:tc>
          <w:tcPr>
            <w:tcW w:w="5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4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Non-cash activities:</w:t>
            </w:r>
          </w:p>
        </w:tc>
        <w:tc>
          <w:tcPr>
            <w:tcW w:w="4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Operating lease assets obtained in exchange for new lease liabilities</w:t>
            </w:r>
          </w:p>
        </w:tc>
        <w:tc>
          <w:tcPr>
            <w:tcW w:w="4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1,870</w:t>
            </w:r>
          </w:p>
        </w:tc>
      </w:tr>
      <w:tr>
        <w:trPr>
          <w:trHeight w:val="675"/>
        </w:trPr>
        <w:tc>
          <w:tcPr>
            <w:tcW w:w="5400" w:type="dxa"/>
            <w:vAlign w:val="bottom"/>
          </w:tcPr>
          <w:p>
            <w:pPr>
              <w:spacing w:after="0"/>
              <w:rPr>
                <w:sz w:val="24"/>
                <w:szCs w:val="24"/>
                <w:color w:val="auto"/>
              </w:rPr>
            </w:pPr>
          </w:p>
        </w:tc>
        <w:tc>
          <w:tcPr>
            <w:tcW w:w="4320" w:type="dxa"/>
            <w:vAlign w:val="bottom"/>
          </w:tcPr>
          <w:p>
            <w:pPr>
              <w:jc w:val="right"/>
              <w:ind w:right="38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line="96" w:lineRule="exact"/>
        <w:rPr>
          <w:sz w:val="20"/>
          <w:szCs w:val="20"/>
          <w:color w:val="auto"/>
        </w:rPr>
      </w:pPr>
    </w:p>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Classification on the Condensed Consolidated Balance Sheet</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514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66,232</w:t>
            </w: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580" w:type="dxa"/>
            <w:vAlign w:val="bottom"/>
            <w:shd w:val="clear" w:color="auto" w:fill="CCEEFF"/>
          </w:tcPr>
          <w:p>
            <w:pPr>
              <w:spacing w:after="0"/>
              <w:rPr>
                <w:sz w:val="23"/>
                <w:szCs w:val="23"/>
                <w:color w:val="auto"/>
              </w:rPr>
            </w:pPr>
          </w:p>
        </w:tc>
        <w:tc>
          <w:tcPr>
            <w:tcW w:w="5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current liabilities</w:t>
            </w:r>
          </w:p>
        </w:tc>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13,055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lease non-current liabilities</w:t>
            </w:r>
          </w:p>
        </w:tc>
        <w:tc>
          <w:tcPr>
            <w:tcW w:w="514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60,061</w:t>
            </w:r>
          </w:p>
        </w:tc>
      </w:tr>
      <w:tr>
        <w:trPr>
          <w:trHeight w:val="608"/>
        </w:trPr>
        <w:tc>
          <w:tcPr>
            <w:tcW w:w="9720" w:type="dxa"/>
            <w:vAlign w:val="bottom"/>
            <w:gridSpan w:val="4"/>
          </w:tcPr>
          <w:p>
            <w:pPr>
              <w:spacing w:after="0"/>
              <w:rPr>
                <w:sz w:val="20"/>
                <w:szCs w:val="20"/>
                <w:color w:val="auto"/>
              </w:rPr>
            </w:pPr>
            <w:r>
              <w:rPr>
                <w:rFonts w:ascii="Arial" w:cs="Arial" w:eastAsia="Arial" w:hAnsi="Arial"/>
                <w:sz w:val="18"/>
                <w:szCs w:val="18"/>
                <w:color w:val="auto"/>
              </w:rPr>
              <w:t>Weighted-average remaining lease term and discount rate related to operating leases are as follows: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3"/>
        </w:trPr>
        <w:tc>
          <w:tcPr>
            <w:tcW w:w="458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9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 -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8.78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Arial" w:cs="Arial" w:eastAsia="Arial" w:hAnsi="Arial"/>
                <w:sz w:val="18"/>
                <w:szCs w:val="18"/>
                <w:color w:val="auto"/>
                <w:w w:val="93"/>
              </w:rPr>
              <w:t>4.21%</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under operating leases by fiscal year as of June 29, 2019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29, 2019</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32,166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87,331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73,116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7. DEBT</w:t>
            </w: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Long-term debt as of June 29, 2019 and March 30, 2019 is as follows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 2019</w:t>
            </w:r>
          </w:p>
        </w:tc>
        <w:tc>
          <w:tcPr>
            <w:tcW w:w="240" w:type="dxa"/>
            <w:vAlign w:val="bottom"/>
          </w:tcPr>
          <w:p>
            <w:pPr>
              <w:spacing w:after="0"/>
              <w:rPr>
                <w:sz w:val="24"/>
                <w:szCs w:val="24"/>
                <w:color w:val="auto"/>
              </w:rPr>
            </w:pPr>
          </w:p>
        </w:tc>
        <w:tc>
          <w:tcPr>
            <w:tcW w:w="146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and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1,018,614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19, 2015, the Company issued $450.0 million aggregate principal amount 6.75% senior notes due December 1, 2023 (the "2023 Notes") and $550.0 million aggregate principal amount 7.00% senior notes due December 1, 2025 (the "2025 Notes"). The 2023 Notes were, and the 2025 Notes are, senior unsecured obligations of the Company and guaranteed, jointly and severally, by the Company and certain of its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fiscal years 2018 and 2019, the Company retired all of the issued and outstanding 2023 Notes. In connection with certain purchases of the 2023 Notes, the Company recognized a loss on debt extinguishment of $33.4 million as "Other expense" in the Condensed Consolidated Statement of Operations during the three months ended June 30, 2018.</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fiscal years 2018 and 2019, the Company retired $526.6 million of the 2025 Notes. As of June 29, 2019, an aggregate principal amount of $23.4 million of the 2025 Notes remained outstanding.</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With respect to the 2023 Notes, interest was payable on June 1 and December 1 of each year at a rate of 6.75% per annum, and with respect to the 2025 Notes, interest is payable on June 1 and December 1 of each year at a rate of 7.00% per annum. Interest paid on the 2025 Notes during the three months ended</w:t>
      </w:r>
    </w:p>
    <w:p>
      <w:pPr>
        <w:sectPr>
          <w:pgSz w:w="11900" w:h="16935" w:orient="portrait"/>
          <w:cols w:equalWidth="0" w:num="1">
            <w:col w:w="11420"/>
          </w:cols>
          <w:pgMar w:left="240" w:top="122" w:right="239" w:bottom="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June 29, 2019 was $0.8 million. Interest paid on the 2023 Notes and the 2025 Notes during the three months ended June 30, 2018 was $34.2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On July 16, 2018, the Company issued $500.0 million aggregate principal amount 5.50% senior notes due 2026 (the “Initial 2026 Notes”). On August 28, 2018 and March 5, 2019, the Company issued an additional $130.0 million and $270.0 million, respectively, aggregate principal amount of such notes (together, the "Additional 2026 Notes" and together with the Initial 2026 Notes, the "2026 Notes"). The 2026 Notes will mature on July 15, 2026, unless earlier redeemed in accordance with their terms. The 2026 Notes are senior unsecured obligations of the Company and are initially guaranteed, jointly and severally, by the Guarantors.</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respectively (such indenture and supplemental indentures, collectively,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offerings of the 2026 Notes, the Company agreed to provide the holders of the 2026 Notes with an opportunity to exchange the 2026 Notes for registered notes having terms substantially identical to the 2026 Notes. On June 25, 2019, the Company completed the exchange offer, in which all of the privately placed 2026 Notes were exchanged for new notes that have been registered under the Securities Act of 1933, as amended (the "Securities Act").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is payable on January 15 and July 15 of each year at a rate of 5.50% per annum. As of June 29, 2019, interest payable on the 2026 Notes was $22.7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includes a senior delayed draw term loan of up to $400.0 million (the "Term Loan") and a $300.0 million senior revolving line of credit (the "Revolving Facility", together with the Term Loan, the "Credit Facility"). On the closing date, $100.0 million of the Term Loan was funded (and subsequently repaid in March 2018). On June 17, 2019, the Company drew $100.0 million of the Term Loan, with the remaining $200.0 million available, at the discretion of the Company, in a final draw. Subsequent amendments to the Credit Agreement have, among other things, extended the delayed draw availability period to December 31, 2019. The Revolving Facility includes a $25.0 million sublimit for the issuance of standby letters of credit and a $10.0 million sublimit for swing line loans. The Company may request that the Credit Facility be increased by up to $300.0 million, subject to securing additional funding commitments from the existing or new lenders.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the three months ended June 29, 2019, there were no borrowings under the Revolving Facility.</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June 29, 2019, the Company was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long-term debt is carried at amortized cost and is measured at fair value quarterly for disclosure purposes. The estimated fair value of the 2025 Notes and the 2026 Notes as of June 29, 2019 was $25.5 million and $947.3 million, respectively (compared to a carrying value of $23.4 million and $900.0 million, respectively). The estimated fair value of the 2025 Notes and the 2026 Notes as of March 30, 2019 was $25.8 million and $929.3 million, respectively. The Company considers its long-term debt to be Level 2 in the fair value hierarchy. Fair values are estimated based on quoted market prices for identical or similar instruments. The 2025 Notes and 2026 Notes trade over the counter, and their fair values were estimated based upon the value of their last trade at the end of the period.</w:t>
      </w:r>
    </w:p>
    <w:p>
      <w:pPr>
        <w:spacing w:after="0" w:line="1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had no outstanding amounts under the Revolving Facility as of June 29, 2019. The Term Loan carries a variable interest rate set at current market rates, and as such, the fair value of the Term Loan approximated book value as of June 29,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During the three months ended June 29, 2019, the Company recognized $12.9 million of interest expense related to the 2025 Notes, the 2026 Notes and the Term Loan, which was partially offset by $1.7 million of interest capitalized to property and equipment. During the three months ended June 30, 2018, the Company recognized $17.1 million of interest expense related to the 2023 Notes and the 2025 Notes, which was partially offset by $3.5 million of interest capitalized to property and equipment.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23, 2018, the Company announced that its Board of Directors authorized a share repurchase program to repurchase up to $1.0 billion of the Company's outstanding stock, which included approximately $126.3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three months ended June 29, 2019, the Company repurchased approximately 1.5 million shares of its common stock for approximately $100.1 million under the current program. As of June 29, 2019, $297.8 million remains available for repurchases under the current share repurchase program.</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three months ended June 30, 2018, the Company repurchased approximately 1.2 million shares of its common stock for approximately $100.0 million (which included 0.4 million shares of its common stock for approximately $35.9 million under the prior share repurchase program).</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2" w:right="29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 2019</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China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361,143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284,158</w:t>
            </w:r>
          </w:p>
        </w:tc>
        <w:tc>
          <w:tcPr>
            <w:tcW w:w="1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267,496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Other Asia</w:t>
            </w: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70,009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53,492</w:t>
            </w:r>
          </w:p>
        </w:tc>
        <w:tc>
          <w:tcPr>
            <w:tcW w:w="1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35,961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32,870</w:t>
            </w:r>
          </w:p>
        </w:tc>
        <w:tc>
          <w:tcPr>
            <w:tcW w:w="100" w:type="dxa"/>
            <w:vAlign w:val="bottom"/>
          </w:tcPr>
          <w:p>
            <w:pPr>
              <w:spacing w:after="0"/>
              <w:rPr>
                <w:sz w:val="21"/>
                <w:szCs w:val="2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775,598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692,670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During the first quarter of fiscal 2020, the Company changed its presentation of net revenue based on the "sold to" address of the customer to the above presentation of net revenue based on the location of the customers' headquarters. The June 30, 2018 information above has been reclassified to reflect this change. The Company believes that the disaggregation of revenue based on the location of the customers' headquarters is more representative of how its revenue and cash flows are impacted by geographically-sensitive changes in economic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third quarter of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actions, the Company expects to record total restructuring charges of approximately $99.0 million, including accelerated depreciation of $52.0 million (to reflect changes in estimated useful lives of certain property and equipment), impairment charges of $16.0 million (to adjust the carrying value of certain property and equipment to reflect its fair value), employee termination benefits of $16.0 million, and other exit costs of $15.0 million. As of the end of the first quarter of fiscal 2020, the Company has recorded cumulative expenses of approximately $37.3 million, $16.0 million, $10.9 million and $4.6 million for accelerated depreciation, impairment charges, employee termination benefits and other exit costs, respectively, as a result of this restructuring action (which is expected to be substantially completed by the end of fiscal 2020).</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2018, the Company initiated restructuring actions to improve operating efficiencies. As a result of these actions, the Company has recorded cumulative expenses of $46.3 million and $23.4 million for impairment charges and employee termination benefits, respectively. The Company believes these amounts approximate the total costs to be recognized as this restructuring action is substantially complete.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addition, the Company recorded immaterial restructuring expenses in the three months ended June 29, 2019 and June 30, 2018, related to employee termination benefits and exited leased facilities associated with restructuring events initiated prior to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allocate restructuring costs to its reportable segments.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activity primarily resulting from these restructuring events: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394"/>
              <w:spacing w:after="0"/>
              <w:rPr>
                <w:sz w:val="20"/>
                <w:szCs w:val="20"/>
                <w:color w:val="auto"/>
              </w:rPr>
            </w:pPr>
            <w:r>
              <w:rPr>
                <w:rFonts w:ascii="Arial" w:cs="Arial" w:eastAsia="Arial" w:hAnsi="Arial"/>
                <w:sz w:val="14"/>
                <w:szCs w:val="14"/>
                <w:b w:val="1"/>
                <w:bCs w:val="1"/>
                <w:color w:val="auto"/>
                <w:w w:val="91"/>
              </w:rPr>
              <w:t>Three months ended June 29, 2019</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254"/>
              <w:spacing w:after="0"/>
              <w:rPr>
                <w:sz w:val="20"/>
                <w:szCs w:val="20"/>
                <w:color w:val="auto"/>
              </w:rPr>
            </w:pPr>
            <w:r>
              <w:rPr>
                <w:rFonts w:ascii="Arial" w:cs="Arial" w:eastAsia="Arial" w:hAnsi="Arial"/>
                <w:sz w:val="14"/>
                <w:szCs w:val="14"/>
                <w:b w:val="1"/>
                <w:bCs w:val="1"/>
                <w:color w:val="auto"/>
                <w:w w:val="91"/>
              </w:rPr>
              <w:t>Three months ended June 30, 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 Operating</w:t>
            </w:r>
          </w:p>
        </w:tc>
        <w:tc>
          <w:tcPr>
            <w:tcW w:w="400" w:type="dxa"/>
            <w:vAlign w:val="bottom"/>
          </w:tcPr>
          <w:p>
            <w:pPr>
              <w:spacing w:after="0"/>
              <w:rPr>
                <w:sz w:val="13"/>
                <w:szCs w:val="13"/>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Other Operating</w:t>
            </w:r>
          </w:p>
        </w:tc>
        <w:tc>
          <w:tcPr>
            <w:tcW w:w="420" w:type="dxa"/>
            <w:vAlign w:val="bottom"/>
          </w:tcPr>
          <w:p>
            <w:pPr>
              <w:spacing w:after="0"/>
              <w:rPr>
                <w:sz w:val="13"/>
                <w:szCs w:val="13"/>
                <w:color w:val="auto"/>
              </w:rPr>
            </w:pPr>
          </w:p>
        </w:tc>
        <w:tc>
          <w:tcPr>
            <w:tcW w:w="8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6"/>
              </w:rPr>
              <w:t>Lease and other contract termination costs</w:t>
            </w:r>
          </w:p>
        </w:tc>
        <w:tc>
          <w:tcPr>
            <w:tcW w:w="3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6,196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23,969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restructuring liabilities for the three months ended June 29,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One-Time Employee</w:t>
            </w:r>
          </w:p>
        </w:tc>
        <w:tc>
          <w:tcPr>
            <w:tcW w:w="26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Accelerated</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Lease and Other</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Termination Benefits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Contract Terminations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March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Transfer to right-of-use asset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activity</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Accrued restructuring balance as of June 29,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operating segments as of June 29, 2019 and June 30, 2018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MP is a global supplier of cellular radio frequency ("RF") and Wi-Fi solutions for a variety of mobile devices, including smartphones, wearables, laptops, tablets and cellular-based applications for the Internet of Things ("IoT").</w:t>
      </w:r>
    </w:p>
    <w:p>
      <w:pPr>
        <w:spacing w:after="0" w:line="17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cellular base station, smart home, IoT and other wireless communications, defense, automotive and multiple analog power management applications.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restructuring costs, start-up costs,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36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92"/>
        </w:trPr>
        <w:tc>
          <w:tcPr>
            <w:tcW w:w="79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MP</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556,253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486,079</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219,345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206,591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775,598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692,670</w:t>
            </w:r>
          </w:p>
        </w:tc>
      </w:tr>
      <w:tr>
        <w:trPr>
          <w:trHeight w:val="67"/>
        </w:trPr>
        <w:tc>
          <w:tcPr>
            <w:tcW w:w="79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MP</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139,935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89,171</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55,204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(163,590)</w:t>
            </w:r>
          </w:p>
        </w:tc>
      </w:tr>
      <w:tr>
        <w:trPr>
          <w:trHeight w:val="27"/>
        </w:trPr>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(14,353)</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(31,955)</w:t>
            </w:r>
          </w:p>
        </w:tc>
      </w:tr>
      <w:tr>
        <w:trPr>
          <w:trHeight w:val="27"/>
        </w:trPr>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(62,129)</w:t>
            </w: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r>
      <w:tr>
        <w:trPr>
          <w:trHeight w:val="730"/>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36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92"/>
        </w:trPr>
        <w:tc>
          <w:tcPr>
            <w:tcW w:w="7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(24,953)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(19,345)</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(133,175)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Other (including (loss) gain on assets, start-up costs and other miscellaneous corporate overhead)</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(134,833)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(163,590)</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Company’s provision for income taxes for the three months ended June 29, 2019 and June 30, 2018 has been calculated by applying an estimate of the annual effective tax rate for the full fiscal year to “ordinary” income or loss (pre-tax income or loss excluding unusual or infrequently occurring discrete items) for the three months ended June 29, 2019 and June 30, 2018.</w:t>
      </w:r>
    </w:p>
    <w:p>
      <w:pPr>
        <w:spacing w:after="0" w:line="1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Company’s income tax expense and income tax benefit were $5.7 million and $32.1 million, respectively, for the three months ended June 29, 2019 and June 30, 2018, respectively. The Company’s effective tax rate was 12.5% for the three months ended June 29, 2019 and 51.7% for the three months ended June 30, 2018. The Company's effective tax rate for the first quarter of fiscal 2020 differed from the statutory rate primarily due to tax rate differences in foreign jurisdictions, global intangible low tax income (“GILTI”), domestic tax credits generated, foreign permanent differences and the discrete treatment of postcombination compensation related expenses due to the Active-Semi acquisition. The Company's effective tax rate for the first quarter of fiscal 2019 differed from the statutory rate primarily due to tax rate differences in foreign jurisdictions, foreign permanent differences, state income taxes, domestic tax credits generated, changes in unrecognized tax benefits, GILTI, and a discrete tax benefit for changes in provisional estimates related to the one-time transition tax on certain unrepatriated earnings of foreign subsidiaries enacted in the Tax Cuts and Jobs Act.</w:t>
      </w:r>
    </w:p>
    <w:p>
      <w:pPr>
        <w:sectPr>
          <w:pgSz w:w="11900" w:h="16838" w:orient="portrait"/>
          <w:cols w:equalWidth="0" w:num="1">
            <w:col w:w="11420"/>
          </w:cols>
          <w:pgMar w:left="240" w:top="122"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Company’s gross unrecognized tax benefits increased from $103.2 million as of the end of fiscal 2019 to $106.7 million as of the end of the first quarter of fiscal 2020, due primarily to an increase related to tax positions taken with respect to the current fiscal year and positions provisionally recognized as part of Active-Semi purchase accounting.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2019</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income (loss) per share — net income (loss) available to common</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ind w:right="14"/>
              <w:spacing w:after="0"/>
              <w:rPr>
                <w:sz w:val="20"/>
                <w:szCs w:val="20"/>
                <w:color w:val="auto"/>
              </w:rPr>
            </w:pPr>
            <w:r>
              <w:rPr>
                <w:rFonts w:ascii="Arial" w:cs="Arial" w:eastAsia="Arial" w:hAnsi="Arial"/>
                <w:sz w:val="18"/>
                <w:szCs w:val="18"/>
                <w:color w:val="auto"/>
              </w:rPr>
              <w:t>39,541</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277"/>
        </w:trPr>
        <w:tc>
          <w:tcPr>
            <w:tcW w:w="81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Denominator for basic net income (loss) per share — weighted average shares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118,756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126,198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Denominator for diluted net income (loss) per share — adjusted weighted average shares and assumed</w:t>
            </w:r>
          </w:p>
        </w:tc>
        <w:tc>
          <w:tcPr>
            <w:tcW w:w="24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121,123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126,198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conversions</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Basic net income (loss) per share</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computation of diluted net income (loss) per share for the three months ended June 29, 2019 and June 30, 2018, less than 0.1 million and approximately 3.3 million outstanding shares, respectively, were excluded because the effect of their inclusion would have been anti-dilutive.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accordance with the applicable indentures governing the 2023 Notes, the 2025 Notes and the 2026 Notes, the Guarantors guaranteed the Company's obligations under the 2023 Notes, the 2025 Notes and the 2026 Notes. The 2023 Notes were, and the 2025 Notes and the 2026 Notes are, fully and unconditionally guaranteed on a joint and several basis by each Guarantor, each of which is 100% owned, directly or indirectly, by Qorvo, Inc. (the "Parent Company"). A Guarantor can be released in certain customary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2015 Indenture and the 2018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Each entity in the condensed consolidating financial information follows the same accounting policies as described in the consolidated financial statements, except for the use by the Parent Company and Guarantors of the equity method of accounting to reflect ownership interests in subsidiaries that are eliminated upon consolidation. The financial information may not necessarily be indicative of the financial position, results of operations, comprehensive income (loss), and cash flows, had the Parent Company, Guarantors or non-guarantor subsidiaries operated as independent entities.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29, 2019</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629,599</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Accounts receivable, less allowance</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287,539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326,714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Intercompany accounts and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385,298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517,755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891,303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1,153,459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(487,929)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1,556,833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1,309,471</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1,122,629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1,178,283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2,300,912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508,159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97,990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Long-term intercompany accounts and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1,191,496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(1,307,683)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6,608,062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2,452,986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(9,061,048)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153,016</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6,620,063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7,029,417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3,143,114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(10,866,213)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5,926,381</w:t>
            </w: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224,735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w w:val="92"/>
              </w:rPr>
              <w:t>Intercompany accounts and notes payable</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411,655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(466,594)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168,643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57,036</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661,321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(466,040)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452,146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1,016,762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1,018,614</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w w:val="98"/>
              </w:rPr>
              <w:t>Long-term intercompany accounts and notes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payable</w:t>
            </w:r>
          </w:p>
        </w:tc>
        <w:tc>
          <w:tcPr>
            <w:tcW w:w="1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1,241,556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(1,307,683)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118,278</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2,282,720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421,355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690,647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(1,805,684)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1,589,038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4,337,343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6,608,062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2,452,467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(9,060,529)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4,337,343</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6,620,063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7,029,417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3,143,114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(10,866,213)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5,926,381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30, 2019</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711,035</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Accounts receivable, less allowance</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330,991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378,172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Intercompany accounts and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173,885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359,252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511,793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897,653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1,252,899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1,684,841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1,366,513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1,122,629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1,051,260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408,210</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92,817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97,786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Long-term intercompany accounts and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1,239,474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6,540,081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2,321,170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(8,861,251)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6,557,326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6,937,198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2,981,035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w w:val="95"/>
              </w:rPr>
              <w:t>Intercompany accounts and notes payable</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381,558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160,516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253,967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613,517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919,270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w w:val="98"/>
              </w:rPr>
              <w:t>Long-term intercompany accounts and notes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payable</w:t>
            </w:r>
          </w:p>
        </w:tc>
        <w:tc>
          <w:tcPr>
            <w:tcW w:w="1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1,267,203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66,195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(1,333,398)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91,796</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2,197,647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397,117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660,384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(1,806,803)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1,448,345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4,359,679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6,540,081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2,320,651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(8,860,732)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6,557,326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6,937,198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2,981,035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13"/>
          </w:tcPr>
          <w:p>
            <w:pPr>
              <w:jc w:val="center"/>
              <w:ind w:right="3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2"/>
              </w:rPr>
              <w:t>Three Months Ended June 29, 2019</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243,870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420,115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(182,676)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481,309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118,920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18,064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88,979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80,689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157,634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239,063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45,197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39,541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67,845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131,884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39,484</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67,845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131,891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(199,736)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39,484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13"/>
          </w:tcPr>
          <w:p>
            <w:pPr>
              <w:jc w:val="center"/>
              <w:ind w:right="3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2"/>
              </w:rPr>
              <w:t>Three Months Ended June 30,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692,670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409,697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455,937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236,733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110,903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135,930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69,175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189,881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255,948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32,136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24,019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32,565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(32,177)</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24,024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30,255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(54,279)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(32,177)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58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3580"/>
        <w:spacing w:after="0"/>
        <w:rPr>
          <w:sz w:val="20"/>
          <w:szCs w:val="20"/>
          <w:color w:val="auto"/>
        </w:rPr>
      </w:pPr>
      <w:r>
        <w:rPr>
          <w:rFonts w:ascii="Arial" w:cs="Arial" w:eastAsia="Arial" w:hAnsi="Arial"/>
          <w:sz w:val="16"/>
          <w:szCs w:val="16"/>
          <w:b w:val="1"/>
          <w:bCs w:val="1"/>
          <w:color w:val="auto"/>
        </w:rPr>
        <w:t>Three Months Ended June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37465</wp:posOffset>
            </wp:positionV>
            <wp:extent cx="4982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cash provided by (used in) operating activities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 and</w:t>
            </w:r>
          </w:p>
        </w:tc>
        <w:tc>
          <w:tcPr>
            <w:tcW w:w="12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40,598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220,406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257,118</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-316865</wp:posOffset>
            </wp:positionV>
            <wp:extent cx="72294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980" w:space="580"/>
            <w:col w:w="7840"/>
          </w:cols>
          <w:pgMar w:left="240" w:top="121" w:right="259" w:bottom="1440" w:gutter="0" w:footer="0" w:header="0"/>
          <w:type w:val="continuous"/>
        </w:sectPr>
      </w:pPr>
    </w:p>
    <w:tbl>
      <w:tblPr>
        <w:tblLayout w:type="fixed"/>
        <w:tblInd w:w="20" w:type="dxa"/>
        <w:tblCellMar>
          <w:top w:w="0" w:type="dxa"/>
          <w:left w:w="0" w:type="dxa"/>
          <w:bottom w:w="0" w:type="dxa"/>
          <w:right w:w="0" w:type="dxa"/>
        </w:tblCellMar>
      </w:tblPr>
      <w:tr>
        <w:trPr>
          <w:trHeight w:val="27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(50,295)</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w w:val="96"/>
              </w:rPr>
              <w:t>Purchase of business, net of cash acquired</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(291,551)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(291,551)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Proceeds from sales of available-for-sale debt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(298,708)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(342,132)</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Repurchase of common stock, including</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Proceeds from the issuance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9,379</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w w:val="93"/>
              </w:rPr>
              <w:t>Tax withholding paid on behalf of employees</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for restricted stock units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8"/>
                <w:szCs w:val="18"/>
                <w:color w:val="auto"/>
              </w:rPr>
              <w:t>Net cash provided by (used in) financing</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(78,606)</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(81,432)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 cash equivalents and restricted cash at the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231,865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479,517</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711,382</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0"/>
              <w:spacing w:after="0"/>
              <w:rPr>
                <w:sz w:val="20"/>
                <w:szCs w:val="20"/>
                <w:color w:val="auto"/>
              </w:rPr>
            </w:pPr>
            <w:r>
              <w:rPr>
                <w:rFonts w:ascii="Arial" w:cs="Arial" w:eastAsia="Arial" w:hAnsi="Arial"/>
                <w:sz w:val="18"/>
                <w:szCs w:val="18"/>
                <w:color w:val="auto"/>
                <w:w w:val="89"/>
              </w:rPr>
              <w:t>Cash, cash equivalents and restricted cash at the</w:t>
            </w: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229,039</w:t>
            </w:r>
          </w:p>
        </w:tc>
        <w:tc>
          <w:tcPr>
            <w:tcW w:w="120" w:type="dxa"/>
            <w:vAlign w:val="bottom"/>
          </w:tcPr>
          <w:p>
            <w:pPr>
              <w:spacing w:after="0"/>
              <w:rPr>
                <w:sz w:val="18"/>
                <w:szCs w:val="18"/>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400,911</w:t>
            </w:r>
          </w:p>
        </w:tc>
        <w:tc>
          <w:tcPr>
            <w:tcW w:w="120" w:type="dxa"/>
            <w:vAlign w:val="bottom"/>
          </w:tcPr>
          <w:p>
            <w:pPr>
              <w:spacing w:after="0"/>
              <w:rPr>
                <w:sz w:val="18"/>
                <w:szCs w:val="18"/>
                <w:color w:val="auto"/>
              </w:rPr>
            </w:pPr>
          </w:p>
        </w:tc>
        <w:tc>
          <w:tcPr>
            <w:tcW w:w="640" w:type="dxa"/>
            <w:vAlign w:val="bottom"/>
            <w:vMerge w:val="restart"/>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gridSpan w:val="3"/>
            <w:vMerge w:val="restart"/>
          </w:tcPr>
          <w:p>
            <w:pPr>
              <w:ind w:left="540"/>
              <w:spacing w:after="0"/>
              <w:rPr>
                <w:sz w:val="20"/>
                <w:szCs w:val="20"/>
                <w:color w:val="auto"/>
              </w:rPr>
            </w:pPr>
            <w:r>
              <w:rPr>
                <w:rFonts w:ascii="Arial" w:cs="Arial" w:eastAsia="Arial" w:hAnsi="Arial"/>
                <w:sz w:val="18"/>
                <w:szCs w:val="18"/>
                <w:color w:val="auto"/>
              </w:rPr>
              <w:t>—   $</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629,950</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end of the period</w:t>
            </w:r>
          </w:p>
        </w:tc>
        <w:tc>
          <w:tcPr>
            <w:tcW w:w="4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2"/>
              </w:rPr>
              <w:t>Three Months Ended June 30,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555,303</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75,259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(43,564)</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available-for-sale debt securities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available-for-sale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Repurchase of debt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(458,172)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(100,004)</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(555,303)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(555,303)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5"/>
              </w:rPr>
              <w:t>Net decrease in cash, cash equivalents and restricted</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297,088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78,851</w:t>
            </w:r>
          </w:p>
        </w:tc>
        <w:tc>
          <w:tcPr>
            <w:tcW w:w="12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255,533</w:t>
            </w:r>
          </w:p>
        </w:tc>
        <w:tc>
          <w:tcPr>
            <w:tcW w:w="10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334,384</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a few large customers for a substantial portion of our revenue; a loss of revenue if contracts with the United States government or defense and aerospace contractors are canceled or delayed or if defense spending is reduced;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risks from international sales and operations; economic regulation in China; changes in government trade policies, including imposition of tariffs and export restrictions; our ability to implement innovative technologies; underutilization of manufacturing facilities as a result of industry overcapacity; we may not be able to borrow funds under our credit facility or secure future financing; we may not be able to generate sufficient cash to service all of our debt; restrictions imposed by the agreements governing our debt; volatility in the price of our common stock; damage to our reputation or brand; fluctuations in the amount and frequency of our stock repurchases; our acquisitions and other strategic investments, including our recent acquisition of Active-Semi International, Inc. ("Active-Semi"), could fail to achieve financial or strategic objectives; our ability to attract, retain and motivate key employees;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warranty claims, product recalls and product liability; and risks associated with environmental, health and safety regulations and climate change.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Qorvo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product and technology leader at the forefront of the growing global demand for always-on broadband connectivity. We combine a broad portfolio of innovative radio frequency ("RF") solutions, highly differentiated semiconductor technologies, systems-level expertise and global manufacturing scale to supply a diverse group of customers in expanding markets, including smartphones and other mobile devices, defense and aerospace, Wi-Fi customer premises equipment, cellular base stations, and multiple Internet of Things ("IoT") applications including the smart home and connected car. Within these markets, our products enable a broad range of leading-edge applications – from very-high-power wired and wireless infrastructure solutions to ultra-low-power smart home solutions. Our products and technologies help people around the world connect with each other, access broadband data and critical networks, transact mobile commerce and interact through social media.</w:t>
      </w:r>
    </w:p>
    <w:p>
      <w:pPr>
        <w:spacing w:after="0" w:line="19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right="3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global supplier of cellular RF and Wi-Fi solutions for a variety of mobile devices, including smartphones, wearables,</w:t>
      </w:r>
      <w:r>
        <w:rPr>
          <w:rFonts w:ascii="Arial" w:cs="Arial" w:eastAsia="Arial" w:hAnsi="Arial"/>
          <w:sz w:val="18"/>
          <w:szCs w:val="18"/>
          <w:i w:val="1"/>
          <w:iCs w:val="1"/>
          <w:color w:val="auto"/>
        </w:rPr>
        <w:t xml:space="preserve"> </w:t>
      </w:r>
      <w:r>
        <w:rPr>
          <w:rFonts w:ascii="Arial" w:cs="Arial" w:eastAsia="Arial" w:hAnsi="Arial"/>
          <w:sz w:val="18"/>
          <w:szCs w:val="18"/>
          <w:color w:val="auto"/>
        </w:rPr>
        <w:t>laptops, tablets and cellular-based applications for the IoT.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right="1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global supplier of RF, system-on-a-chip and power management solutions for cellular base station,</w:t>
      </w:r>
      <w:r>
        <w:rPr>
          <w:rFonts w:ascii="Arial" w:cs="Arial" w:eastAsia="Arial" w:hAnsi="Arial"/>
          <w:sz w:val="17"/>
          <w:szCs w:val="17"/>
          <w:i w:val="1"/>
          <w:iCs w:val="1"/>
          <w:color w:val="auto"/>
        </w:rPr>
        <w:t xml:space="preserve"> </w:t>
      </w:r>
      <w:r>
        <w:rPr>
          <w:rFonts w:ascii="Arial" w:cs="Arial" w:eastAsia="Arial" w:hAnsi="Arial"/>
          <w:sz w:val="17"/>
          <w:szCs w:val="17"/>
          <w:color w:val="auto"/>
        </w:rPr>
        <w:t>smart home, IoT and other wireless communications, defense, automotive and multiple analog power management applications.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29, 2019,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operating income (see Note 11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2020 FINANCIAL HIGHLIGHTS:</w:t>
      </w:r>
    </w:p>
    <w:p>
      <w:pPr>
        <w:spacing w:after="0" w:line="229" w:lineRule="exact"/>
        <w:rPr>
          <w:sz w:val="20"/>
          <w:szCs w:val="20"/>
          <w:color w:val="auto"/>
        </w:rPr>
      </w:pPr>
    </w:p>
    <w:p>
      <w:pPr>
        <w:ind w:left="280" w:right="60"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revenue increased 12.0% as compared to the first quarter of fiscal 2019, primarily due to higher demand for our mobile products and base station products resulting from content expansion and market share gains with two of our Asia-based customers. In addition, revenue increased as a result of increased demand for marquee smartphones experienced by our largest end customer.</w:t>
      </w:r>
    </w:p>
    <w:p>
      <w:pPr>
        <w:spacing w:after="0" w:line="181"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for the first quarter of fiscal 2020 was 37.9% as compared to 34.2% for the first quarter of fiscal 2019. The increase was primarily due to lower intangible amortization expense, cost reductions and productivity improvements, and favorable changes in product mix, partially offset by increased restructuring charges and average selling price erosion.</w:t>
      </w:r>
    </w:p>
    <w:p>
      <w:pPr>
        <w:spacing w:after="0" w:line="181" w:lineRule="exact"/>
        <w:rPr>
          <w:rFonts w:ascii="Arial" w:cs="Arial" w:eastAsia="Arial" w:hAnsi="Arial"/>
          <w:sz w:val="18"/>
          <w:szCs w:val="18"/>
          <w:color w:val="auto"/>
        </w:rPr>
      </w:pPr>
    </w:p>
    <w:p>
      <w:pPr>
        <w:ind w:left="280" w:right="400" w:hanging="272"/>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$55.2 million for the first quarter of fiscal 2020 as compared to an operating loss of $19.2 million for the first quarter of fiscal 2019. This increase was primarily due to higher gross margin, higher revenue, and lower operating expenses.</w:t>
      </w:r>
    </w:p>
    <w:p>
      <w:pPr>
        <w:spacing w:after="0" w:line="170" w:lineRule="exact"/>
        <w:rPr>
          <w:rFonts w:ascii="Arial" w:cs="Arial" w:eastAsia="Arial" w:hAnsi="Arial"/>
          <w:sz w:val="18"/>
          <w:szCs w:val="18"/>
          <w:color w:val="auto"/>
        </w:rPr>
      </w:pPr>
    </w:p>
    <w:p>
      <w:pPr>
        <w:ind w:left="280" w:right="360" w:hanging="272"/>
        <w:spacing w:after="0" w:line="308"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Cash flow from operations was $257.1 million for the first quarter of fiscal 2020 as compared to $75.3 million for the first quarter of fiscal 2019. The increase was primarily due to increased profitability as well as improvements in days sales outstanding and inventory turns.</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$50.3 million for the first quarter of fiscal 2020 as compared to $43.6 million for the first quarter of fiscal 2019.</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first quarter of fiscal 2020, we repurchased approximately 1.5 million shares of our common stock for approximately $100.1 million.</w:t>
      </w:r>
    </w:p>
    <w:p>
      <w:pPr>
        <w:spacing w:after="0" w:line="236" w:lineRule="exact"/>
        <w:rPr>
          <w:rFonts w:ascii="Arial" w:cs="Arial" w:eastAsia="Arial" w:hAnsi="Arial"/>
          <w:sz w:val="17"/>
          <w:szCs w:val="17"/>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fiscal 2020, we completed the acquisition of Active-Semi for a purchase price of $309.4 million.</w:t>
      </w:r>
    </w:p>
    <w:p>
      <w:pPr>
        <w:spacing w:after="0" w:line="225"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fiscal 2020, we drew $100.0 million of the Term Loan (defined in Note 7 of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months ended June 29, 2019 and June 30, 2018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52"/>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126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9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34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3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775,598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692,670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82,928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481,309</w:t>
            </w:r>
          </w:p>
        </w:tc>
        <w:tc>
          <w:tcPr>
            <w:tcW w:w="12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455,937</w:t>
            </w:r>
          </w:p>
        </w:tc>
        <w:tc>
          <w:tcPr>
            <w:tcW w:w="120" w:type="dxa"/>
            <w:vAlign w:val="bottom"/>
          </w:tcPr>
          <w:p>
            <w:pPr>
              <w:spacing w:after="0"/>
              <w:rPr>
                <w:sz w:val="21"/>
                <w:szCs w:val="21"/>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25,372</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5.6</w:t>
            </w:r>
          </w:p>
        </w:tc>
      </w:tr>
      <w:tr>
        <w:trPr>
          <w:trHeight w:val="27"/>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294,289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236,733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57,556</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24.3</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118,920</w:t>
            </w:r>
          </w:p>
        </w:tc>
        <w:tc>
          <w:tcPr>
            <w:tcW w:w="12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110,903</w:t>
            </w:r>
          </w:p>
        </w:tc>
        <w:tc>
          <w:tcPr>
            <w:tcW w:w="120" w:type="dxa"/>
            <w:vAlign w:val="bottom"/>
          </w:tcPr>
          <w:p>
            <w:pPr>
              <w:spacing w:after="0"/>
              <w:rPr>
                <w:sz w:val="21"/>
                <w:szCs w:val="21"/>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8,017</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7.2</w:t>
            </w: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135,930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(46,951)</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(34.5)</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9,115</w:t>
            </w:r>
          </w:p>
        </w:tc>
        <w:tc>
          <w:tcPr>
            <w:tcW w:w="120" w:type="dxa"/>
            <w:vAlign w:val="bottom"/>
          </w:tcPr>
          <w:p>
            <w:pPr>
              <w:spacing w:after="0"/>
              <w:rPr>
                <w:sz w:val="21"/>
                <w:szCs w:val="21"/>
                <w:color w:val="auto"/>
              </w:rPr>
            </w:pP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22,049</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241.9</w:t>
            </w:r>
          </w:p>
        </w:tc>
      </w:tr>
      <w:tr>
        <w:trPr>
          <w:trHeight w:val="27"/>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55,226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74,441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387.4 %</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Revenue increased $82.9 million for the three months ended June 29, 2019, as compared to the three months ended June 30, 2018, primarily due to higher demand for our mobile products and base station products resulting from content expansion and market share gains with two of our Asia-based customers. In addition, revenue increased as a result of increased demand for marquee smartphones experienced by our largest end customer.</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our fiscal year ended March 30, 2019, sales to Huawei Technologies Co., Ltd. ("Huawei") and its affiliates accounted for approximately $469.1 million, or 15.2%, of our total revenue. On May 16, 2019, the Bureau of Industry and Security ("BIS") of the U.S. Department of Commerce added Huawei and 68 of its affiliates to the BIS's Entity List, which caused us to temporarily suspend the shipment of all products to Huawei. Eventually, we restarted shipments of certain products to Huawei in compliance with the BIS order and have also applied for a license to ship other products.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sales to Huawei for the three months ended June 29, 2019 increased to $172.1 million, or 22.2%, of our total revenue, as compared to $97.2 million, or 14.0%, of our total revenue for the three months ended June 30, 2018, primarily due to our content gains in Huawei's products and Huawei's market share gains. The scope, duration and financial impact of U.S. restrictions on our ability to sell products to Huawei remain unclear and difficult to predict. We currently expect to report significantly lower sales to Huawei in the three months ending September 28, 2019 as compared to the three months ended June 29, 2019.</w:t>
      </w:r>
    </w:p>
    <w:p>
      <w:pPr>
        <w:spacing w:after="0" w:line="188" w:lineRule="exact"/>
        <w:rPr>
          <w:sz w:val="20"/>
          <w:szCs w:val="20"/>
          <w:color w:val="auto"/>
        </w:rPr>
      </w:pPr>
    </w:p>
    <w:p>
      <w:pPr>
        <w:jc w:val="both"/>
        <w:ind w:left="60" w:right="360"/>
        <w:spacing w:after="0" w:line="264" w:lineRule="auto"/>
        <w:rPr>
          <w:sz w:val="20"/>
          <w:szCs w:val="20"/>
          <w:color w:val="auto"/>
        </w:rPr>
      </w:pPr>
      <w:r>
        <w:rPr>
          <w:rFonts w:ascii="Arial" w:cs="Arial" w:eastAsia="Arial" w:hAnsi="Arial"/>
          <w:sz w:val="18"/>
          <w:szCs w:val="18"/>
          <w:color w:val="auto"/>
        </w:rPr>
        <w:t>Gross margin for the three months ended June 29, 2019 was 37.9%, as compared to 34.2% for the three months ended June 30, 2018. The increase was primarily due to lower intangible amortization expense, cost reductions and productivity improvements, and favorable changes in product mix, partially offset by increased restructuring charges and average selling price erosion.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Research and development expense increased $8.0 million, or 7.2%, for the three months ended June 29, 2019 as compared to the three months ended June 30, 2018, primarily due to higher personnel costs.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Selling, general and administrative expense decreased $47.0 million, or 34.5%, for the three months ended June 29, 2019 as compared to the three months ended June 30, 2018, primarily due to lower intangible amortization, partially offset by higher personnel costs.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operating expense increased $22.0 million for the three months ended June 29, 2019 as compared to the three months ended June 30, 2018, primarily due to expenses related to the acquisition of Active-Semi as well as restructuring expenses. These costs were partially offset by lower start-up costs as compared to the first quarter of fiscal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556,253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486,079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70,174</w:t>
            </w:r>
          </w:p>
        </w:tc>
        <w:tc>
          <w:tcPr>
            <w:tcW w:w="100" w:type="dxa"/>
            <w:vAlign w:val="bottom"/>
          </w:tcPr>
          <w:p>
            <w:pPr>
              <w:spacing w:after="0"/>
              <w:rPr>
                <w:sz w:val="21"/>
                <w:szCs w:val="21"/>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w w:val="93"/>
              </w:rPr>
              <w:t>14.4%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139,935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89,171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50,764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MP revenue increased $70.2 million, or 14.4%, for the three months ended June 29, 2019 as compared to the three months ended June 30, 2018, primarily due to higher demand for our mobile products resulting from content expansion and market share gains with two of our Asia-based customers. In addition, revenue increased as a result of increased demand for marquee smartphones experienced by our largest end customer.</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MP operating income increased $50.8 million, or 56.9%, for the three months ended June 29, 2019 as compared to the three months ended June 30, 2018, primarily due to higher revenue and higher gross margin. Gross margin was positively impacted by cost reductions and productivity improvements as well as favorable changes in product mix, partially offset by average selling price erosion.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9"/>
              </w:rPr>
              <w:t>Increase (Decrease)</w:t>
            </w:r>
          </w:p>
        </w:tc>
        <w:tc>
          <w:tcPr>
            <w:tcW w:w="120" w:type="dxa"/>
            <w:vAlign w:val="bottom"/>
            <w:vMerge w:val="restart"/>
          </w:tcPr>
          <w:p>
            <w:pPr>
              <w:spacing w:after="0"/>
              <w:rPr>
                <w:sz w:val="13"/>
                <w:szCs w:val="13"/>
                <w:color w:val="auto"/>
              </w:rPr>
            </w:pPr>
          </w:p>
        </w:tc>
        <w:tc>
          <w:tcPr>
            <w:tcW w:w="158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219,345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206,591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12,754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50,124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55,204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IDP revenue increased $12.8 million, or 6.2%, for the three months ended June 29, 2019 as compared to the three months ended June 30, 2018, primarily due to higher demand for our base station products mainly from our customers in China and sales of our programmable power management products as a result of the acquisition of Active-Semi. These increases were partially offset by lower demand for our Wi-Fi products and defense and aerospace products.</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IDP operating income decreased $5.1 million, or 9.2%, for the three months ended June 29, 2019 as compared to the three months ended June 30, 2018, primarily due to higher operating expenses, partially offset by higher revenue. The increase in operating expenses was primarily due to higher personnel costs.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for a reconciliation of segment operating income to the consolidated operating income (loss) for the three months ended June 29, 2019 and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35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June 29, 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3,394</w:t>
            </w:r>
          </w:p>
        </w:tc>
      </w:tr>
      <w:tr>
        <w:trPr>
          <w:trHeight w:val="27"/>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32,136</w:t>
            </w:r>
          </w:p>
        </w:tc>
      </w:tr>
      <w:tr>
        <w:trPr>
          <w:trHeight w:val="702"/>
        </w:trPr>
        <w:tc>
          <w:tcPr>
            <w:tcW w:w="3880" w:type="dxa"/>
            <w:vAlign w:val="bottom"/>
          </w:tcPr>
          <w:p>
            <w:pPr>
              <w:spacing w:after="0"/>
              <w:rPr>
                <w:sz w:val="24"/>
                <w:szCs w:val="24"/>
                <w:color w:val="auto"/>
              </w:rPr>
            </w:pPr>
          </w:p>
        </w:tc>
        <w:tc>
          <w:tcPr>
            <w:tcW w:w="3200" w:type="dxa"/>
            <w:vAlign w:val="bottom"/>
          </w:tcPr>
          <w:p>
            <w:pPr>
              <w:jc w:val="right"/>
              <w:ind w:right="11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months ended June 29, 2019, we recorded interest expense of $13.6 million primarily related to our 5.50% notes due July 15, 2026 (the "2026 Notes"), which was partially offset by $1.7 million of capitalized interest. During the three months ended June 30, 2018, we recorded interest expense of $17.9 million primarily related to our 6.75% senior notes due December 1, 2023 (the "2023 Notes") and our 7.00% senior notes due December 1, 2025 (the "2025 Notes"), which was partially offset by $3.5 million of capitalized interest.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fiscal 2019, we recorded a loss on debt extinguishment of $33.4 million in connection with certain purchases of our 2023 Notes.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provision for income taxes for the three months ended June 29, 2019 and June 30, 2018 has been calculated by applying an estimate of the annual effective tax rate for the full fiscal year to “ordinary” income or loss (pre-tax income or loss excluding unusual or infrequently occurring discrete items) for those respective periods.</w:t>
      </w:r>
    </w:p>
    <w:p>
      <w:pPr>
        <w:spacing w:after="0" w:line="19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 the three months ended June 29, 2019, we recorded an income tax expense of $5.7 million which was comprised primarily of tax expense related to international operations generating pre-tax book income, partially offset by a tax benefit related to domestic and international operations generating pre-tax book losses and domestic tax credits. For the three months ended June 30, 2018, income tax benefit was $32.1 million which was comprised primarily of tax benefit related to domestic and international operations generating pre-tax book losses and tax benefit relating to the adjustments in the provisional estimates required by the Tax Cuts and Jobs Act, partially offset by a tax expense related to international operations generating pre-tax book income.</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generated by operations is our primary source of liquidity. As of June 29, 2019, we had working capital of approximately $1,104.7 million, including $629.6 million in cash and cash equivalents, compared to working capital of approximately $1,249.2 million at March 30, 2019, including $711.0 million in cash and cash equivalents. The decrease in working capital was primarily due to the acquisition of Active-Semi. This decrease in working capital was partially offset by the $100.0 million draw on the Term Loan in the first quarter of fiscal 2020.</w:t>
      </w:r>
    </w:p>
    <w:p>
      <w:pPr>
        <w:spacing w:after="0" w:line="18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Our $629.6 million of total cash and cash equivalents as of June 29, 2019 includes approximately $394.7 million held by our foreign subsidiaries, of which $241.7 million is held by Qorvo International Pte. Ltd. in Singapore. If the undistributed earnings of our foreign subsidiaries are needed in the U.S., we may be required to accrue and pay state income and/or foreign local withholding taxes to repatriate these earnings. Under our current plans, we may repatriate the foreign earnings of Qorvo International Pte. Ltd. and expect to permanently reinvest the undistributed earnings of our other foreign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three months ended June 29, 2019, we repurchased approximately 1.5 million shares of our common stock for approximately $100.1 million under our share repurchase program. As of June 29, 2019, $297.8 million remains available for repurchases under the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Operating activities for the three months ended June 29, 2019 generated cash of $257.1 million, compared to $75.3 million for the three months ended June 30, 2018, primarily due to increased profitability as well as improvements in days sales outstanding and inventory turns.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Net cash used in investing activities was $342.1 million for the three months ended June 29, 2019, compared to $110.0 million for the three months ended June 30, 2018, primarily due to the acquisition of Active-Semi.</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Net cash provided by financing activities was $3.9 million for the three months ended June 29, 2019, compared to net cash used in financing activities of $555.3 million for the three months ended June 30, 2018, primarily due to the retirement of the 2023 Notes during the three months ended June 30, 2018. During the three months ended June 29, 2019, we drew $100.0 million on our Term Loan.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u w:val="single" w:color="auto"/>
          <w:color w:val="auto"/>
        </w:rPr>
        <w:t>Notes Offering 2015</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issued $450.0 million aggregate principal amount of the 2023 Notes and $550.0 million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2025 Notes. The 2023 Notes were, and the 2025 Notes are, senior unsecured obligations of the Company and guaranteed, jointly and severally, by certain of our U.S. subsidiaries (the "Guarantors"). With respect to the 2023 Notes, interest was payable semi-annually on June 1 and December 1 of each year at a rate of 6.75% per annum, and with respect to the 2025 Notes, interest is payable on June 1 and December 1 of each year at a rate of 7.00% per annum. Interest paid on the 2025 Notes during the three months ended June 29, 2019 was $0.8 million. Interest paid on the 2023 Notes and the 2025 Notes during the three months ended June 30, 2018 was $34.2 million.</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fiscal years 2018 and 2019, we retired all of the issued and outstanding 2023 Notes. In connection with certain purchases of the 2023 Notes, we recognized a loss on debt extinguishment of $33.4 million as "Other expense" in the Condensed Consolidated Statement of Operations during the three months ended June 30, 2018.</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fiscal years 2018 and 2019, we retired $526.6 million of the 2025 Notes. As of June 29, 2019, an aggregate principal amount of $23.4 million of the 2025 Notes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See Note 7 of the Notes to the Condensed Consolidated Financial Statements for additional information regarding the 2023 Notes and the 2025 Notes.</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Notes Offering 2018</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16, 2018, we issued $500.0 million aggregate principal amount of our 2026 Notes (the "Initial 2026 Notes"). On August 28,</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March 5, 2019, we completed offerings of an additional $130.0 million and $270.0 million, respectively, aggregate principal amount of such notes (together, the "Additional 2026 Notes", and together with the Initial 2026 Notes, the "2026 Notes"). The 2026 Notes are senior unsecured obligations of the Company and are guaranteed, jointly and severally, by each of the Guarantors. Interest on the 2026 Notes is payable on January 15 and July 15 of each year at a rate of 5.50% per annum.</w:t>
      </w:r>
    </w:p>
    <w:p>
      <w:pPr>
        <w:spacing w:after="0" w:line="18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offerings of the 2026 Notes, we agreed to provide the holders of the 2026 Notes with an opportunity to exchange the 2026 Notes for registered notes having terms substantially identical to the 2026 Notes. On June 25, 2019, we completed the exchange offer, in which all of the privately placed 2026 Notes were exchanged for new notes that have been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the Condensed Consolidated Financial Statements for additional information regarding the 2026 Notes.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2017, we and the Guarantors entered into a five-year unsecured senior credit facility with Bank of America, N.A.,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swing line lender, and L/C issuer, and a syndicate of lenders (the “Credit Agreement”). On the same date, in connection with the execution of the Credit Agreement, we terminated our prior credit agreement, dated April 7, 2015.</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Credit Agreement includes a senior delayed draw term loan of up to $400.0 million (the "Term Loan") and a $300.0 million revolving line of credit (the "Revolving Facility", together with the Term Loan, the "Credit Facility"). On the closing date, $100.0 million of the Term Loan was funded, and this amount was subsequently repaid in March 2018. On June 17, 2019, we drew $100.0 million of the Term Loan, with the remaining $200.0 million available, at our discretion, in a final draw. Subsequent amendments to the Credit Agreement have, among other things, extended the delayed draw availability period to December 31, 2019. The Revolving Facility includes a $25.0 million sublimit for the issuance of standby letters of credit and a $10.0 million sublimit for swing line loans. We may request at any time that the Credit Facility be increased up to $300.0 million. The Credit Facility is available to finance working capital, capital expenditures and other corporate purposes. Our obligations under the Credit Agreement are jointly and severally guaranteed by the Guarantors. Outstanding amounts are due in full on the maturity date of December 5, 2022 (with amounts borrowed under the swing line option due in full no later than ten business days after such loan is made). During the three months ended June 29, 2019, there were no borrowings under the Revolving Facility.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As of June 29, 2019, we were in compliance with all the financial covenants under the Credit Agreement.</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June 29, 2019, we had capital commitments of approximately $49.3 million primarily related to projects to increase our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filter capacity, projects for manufacturing cost savings initiatives, equipment replacements and general corporate purposes.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first quarter of fiscal 2020. For a discussion of our exposure to market risk, refer to Item 7A, “Quantitative and Qualitative Disclosures About Market Risk,” contained in Qorvo's Annual Report on Form 10-K for the fiscal year ended March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to our internal control over financial reporting (as defined in Rules 13a-15(f) and 15d-15(f) under the Exchange Act) that occurred during the quarter ended June 29, 2019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30, 2019, which could materially affect our business, financial condition or future results. The risks described in Qorvo's Annual Report on Form 10-K for the fiscal year ended March 30, 2019 are not the only risks that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43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8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spacing w:after="0" w:line="1"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26035</wp:posOffset>
            </wp:positionV>
            <wp:extent cx="1852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0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4">
            <w:col w:w="2980" w:space="720"/>
            <w:col w:w="2780" w:space="240"/>
            <w:col w:w="2060" w:space="340"/>
            <w:col w:w="2240"/>
          </w:cols>
          <w:pgMar w:left="240" w:top="122" w:right="29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March 31, 2019 to April 27, 2019</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April 28, 2019 to May 25, 2019</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May 26, 2019 to June 29, 2019</w:t>
      </w:r>
    </w:p>
    <w:p>
      <w:pPr>
        <w:spacing w:after="0" w:line="109"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5"/>
                <w:szCs w:val="15"/>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75.37</w:t>
            </w:r>
          </w:p>
        </w:tc>
        <w:tc>
          <w:tcPr>
            <w:tcW w:w="100" w:type="dxa"/>
            <w:vAlign w:val="bottom"/>
          </w:tcPr>
          <w:p>
            <w:pPr>
              <w:spacing w:after="0"/>
              <w:rPr>
                <w:sz w:val="15"/>
                <w:szCs w:val="15"/>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205</w:t>
            </w:r>
          </w:p>
        </w:tc>
      </w:tr>
      <w:tr>
        <w:trPr>
          <w:trHeight w:val="270"/>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70.99</w:t>
            </w:r>
          </w:p>
        </w:tc>
        <w:tc>
          <w:tcPr>
            <w:tcW w:w="100" w:type="dxa"/>
            <w:vAlign w:val="bottom"/>
          </w:tcPr>
          <w:p>
            <w:pPr>
              <w:spacing w:after="0"/>
              <w:rPr>
                <w:sz w:val="23"/>
                <w:szCs w:val="23"/>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6"/>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62.40</w:t>
            </w: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1,219</w:t>
            </w:r>
          </w:p>
        </w:tc>
      </w:tr>
      <w:tr>
        <w:trPr>
          <w:trHeight w:val="237"/>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64.79</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$382.5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$374.0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$297.8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$297.8 million</w:t>
      </w:r>
    </w:p>
    <w:p>
      <w:pPr>
        <w:spacing w:after="0" w:line="271" w:lineRule="exact"/>
        <w:rPr>
          <w:sz w:val="20"/>
          <w:szCs w:val="20"/>
          <w:color w:val="auto"/>
        </w:rPr>
      </w:pPr>
    </w:p>
    <w:p>
      <w:pPr>
        <w:sectPr>
          <w:pgSz w:w="11900" w:h="16838" w:orient="portrait"/>
          <w:cols w:equalWidth="0" w:num="3">
            <w:col w:w="2900" w:space="720"/>
            <w:col w:w="6100" w:space="720"/>
            <w:col w:w="920"/>
          </w:cols>
          <w:pgMar w:left="240" w:top="122" w:right="299" w:bottom="1440" w:gutter="0" w:footer="0" w:header="0"/>
          <w:type w:val="continuous"/>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23, 2018, we announced that our Board of Directors authorized a share repurchase program to repurchase up to $1.0 billion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22" w:right="29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20" w:right="100" w:hanging="462"/>
        <w:spacing w:after="0" w:line="264"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9">
        <w:r>
          <w:rPr>
            <w:rFonts w:ascii="Arial" w:cs="Arial" w:eastAsia="Arial" w:hAnsi="Arial"/>
            <w:sz w:val="18"/>
            <w:szCs w:val="18"/>
            <w:u w:val="single" w:color="auto"/>
            <w:color w:val="0000FF"/>
          </w:rPr>
          <w:t>Third Amendment to Credit Agreement, dated as of June 24, 2019, by and between Qorvo, Inc., certain of its material domestic subsidiaries, the</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lenders party thereto, and Bank of America, N.A., as administrative agent (incorporated by reference to Exhibit 10.1 to the Current Report on Form</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8-K filed with the SEC on June 25, 2019)</w:t>
        </w:r>
      </w:hyperlink>
    </w:p>
    <w:p>
      <w:pPr>
        <w:spacing w:after="0" w:line="303" w:lineRule="exact"/>
        <w:rPr>
          <w:rFonts w:ascii="Arial" w:cs="Arial" w:eastAsia="Arial" w:hAnsi="Arial"/>
          <w:sz w:val="18"/>
          <w:szCs w:val="18"/>
          <w:u w:val="single" w:color="auto"/>
          <w:color w:val="0000FF"/>
        </w:rPr>
      </w:pPr>
    </w:p>
    <w:p>
      <w:pPr>
        <w:ind w:left="620" w:right="2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8">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28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39">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12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0">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1">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hanging="423"/>
        <w:spacing w:after="0" w:line="293"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June 29, 2019, formatted in iXBRL (Inline eXtensible Business Reporting Language): (i) the Condensed Consolidated Balance Sheets as of June 29, 2019 and March 30, 2019; (ii) the Condensed Consolidated Statements of Operations for the three months ended June 29, 2019 and June 30, 2018; (iii) the Condensed Consolidated Statements of Comprehensive Income (Loss) for the three months ended June 29, 2019 and June 30, 2018; (iv) the Condensed Consolidated Statements of Stockholders' Equity for the three months ended June 29, 2019 and June 30, 2018; (v) the Condensed Consolidated Statements of Cash Flows for the three months ended June 29, 2019 and June 30, 2018; and (vi) the Notes to Condensed Consolidated Financial Statements</w:t>
      </w:r>
    </w:p>
    <w:p>
      <w:pPr>
        <w:spacing w:after="0" w:line="286"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cover page from our Quarterly Report on Form 10-Q for the quarter ended June 29, 2019, formatted in iXBRL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1" w:right="3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August 5, 2019</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20"/>
          </w:cols>
          <w:pgMar w:left="240" w:top="121" w:right="9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2019</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2019</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160" w:hanging="652"/>
        <w:spacing w:after="0" w:line="26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June 29,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August 5, 2019</w:t>
      </w:r>
    </w:p>
    <w:p>
      <w:pPr>
        <w:sectPr>
          <w:pgSz w:w="11900" w:h="16838" w:orient="portrait"/>
          <w:cols w:equalWidth="0" w:num="1">
            <w:col w:w="11360"/>
          </w:cols>
          <w:pgMar w:left="240" w:top="576" w:right="29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18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June 29,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August 5, 2019</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9" Type="http://schemas.openxmlformats.org/officeDocument/2006/relationships/hyperlink" Target="http://www.sec.gov/Archives/edgar/data/1604778/000160477819000043/qorvo-june2019xthirdamen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2019-12-28T08:01:32Z</dcterms:created>
  <dcterms:modified xsi:type="dcterms:W3CDTF">2019-12-28T08:01:32Z</dcterms:modified>
</cp:coreProperties>
</file>