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December 30, 2017</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20" w:right="5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46-5288992</w:t>
      </w:r>
    </w:p>
    <w:p>
      <w:pPr>
        <w:spacing w:after="0" w:line="90" w:lineRule="exact"/>
        <w:rPr>
          <w:sz w:val="24"/>
          <w:szCs w:val="24"/>
          <w:color w:val="auto"/>
        </w:rPr>
      </w:pPr>
    </w:p>
    <w:p>
      <w:pPr>
        <w:sectPr>
          <w:pgSz w:w="11900" w:h="16838" w:orient="portrait"/>
          <w:cols w:equalWidth="0" w:num="2">
            <w:col w:w="7700" w:space="720"/>
            <w:col w:w="2960"/>
          </w:cols>
          <w:pgMar w:left="240" w:top="229" w:right="27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20" w:space="720"/>
            <w:col w:w="3840"/>
          </w:cols>
          <w:pgMar w:left="240" w:top="229" w:right="279" w:bottom="144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(Zip Code)</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6"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300"/>
        <w:spacing w:after="0" w:line="184" w:lineRule="exact"/>
        <w:tabs>
          <w:tab w:leader="none" w:pos="2780" w:val="left"/>
          <w:tab w:leader="none" w:pos="4920" w:val="left"/>
          <w:tab w:leader="none" w:pos="7000" w:val="left"/>
          <w:tab w:leader="none" w:pos="9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(Do not check if a smaller</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reporting company)</w:t>
      </w:r>
    </w:p>
    <w:p>
      <w:pPr>
        <w:spacing w:after="0" w:line="258" w:lineRule="exact"/>
        <w:rPr>
          <w:sz w:val="24"/>
          <w:szCs w:val="24"/>
          <w:color w:val="auto"/>
        </w:rPr>
      </w:pPr>
    </w:p>
    <w:p>
      <w:pPr>
        <w:ind w:left="4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24, 2018, there were 126,493,599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420" w:type="dxa"/>
            <w:vAlign w:val="bottom"/>
            <w:gridSpan w:val="21"/>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6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w w:val="99"/>
              </w:rPr>
              <w:t>QORVO, INC. AND SUBSIDIARIES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360" w:type="dxa"/>
            <w:vAlign w:val="bottom"/>
            <w:gridSpan w:val="2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1"/>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714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30, 2017 and April 1, 2017</w:t>
              </w:r>
            </w:hyperlink>
          </w:p>
        </w:tc>
        <w:tc>
          <w:tcPr>
            <w:tcW w:w="9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1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Operations for the three and nine months ended December 30, 2017 and December 31, 2016</w:t>
              </w:r>
            </w:hyperlink>
          </w:p>
        </w:tc>
        <w:tc>
          <w:tcPr>
            <w:tcW w:w="9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1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Loss for the three and nine months ended December 30, 2017 and December 31,</w:t>
              </w:r>
            </w:hyperlink>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80" w:type="dxa"/>
            <w:vAlign w:val="bottom"/>
            <w:gridSpan w:val="2"/>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2016</w:t>
              </w:r>
            </w:hyperlink>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3"/>
          </w:tcPr>
          <w:p>
            <w:pPr>
              <w:jc w:val="right"/>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December 30, 2017 and December 31, 2016</w:t>
              </w:r>
            </w:hyperlink>
          </w:p>
        </w:tc>
        <w:tc>
          <w:tcPr>
            <w:tcW w:w="138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98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6"/>
          </w:tcPr>
          <w:p>
            <w:pPr>
              <w:spacing w:after="0"/>
              <w:rPr>
                <w:rFonts w:ascii="Arial" w:cs="Arial" w:eastAsia="Arial" w:hAnsi="Arial"/>
                <w:sz w:val="18"/>
                <w:szCs w:val="18"/>
                <w:b w:val="1"/>
                <w:bCs w:val="1"/>
                <w:color w:val="0000FF"/>
                <w:w w:val="89"/>
              </w:rPr>
            </w:pPr>
            <w:hyperlink w:anchor="page25">
              <w:r>
                <w:rPr>
                  <w:rFonts w:ascii="Arial" w:cs="Arial" w:eastAsia="Arial" w:hAnsi="Arial"/>
                  <w:sz w:val="18"/>
                  <w:szCs w:val="18"/>
                  <w:b w:val="1"/>
                  <w:bCs w:val="1"/>
                  <w:color w:val="0000FF"/>
                  <w:w w:val="89"/>
                </w:rPr>
                <w:t>Item 2. Management's Discussion and Analysis of Financial Condition and Results of Operations.</w:t>
              </w:r>
            </w:hyperlink>
          </w:p>
        </w:tc>
        <w:tc>
          <w:tcPr>
            <w:tcW w:w="292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4"/>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920" w:type="dxa"/>
            <w:vAlign w:val="bottom"/>
            <w:gridSpan w:val="4"/>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8"/>
          </w:tcPr>
          <w:p>
            <w:pPr>
              <w:spacing w:after="0"/>
              <w:rPr>
                <w:rFonts w:ascii="Arial" w:cs="Arial" w:eastAsia="Arial" w:hAnsi="Arial"/>
                <w:sz w:val="18"/>
                <w:szCs w:val="18"/>
                <w:b w:val="1"/>
                <w:bCs w:val="1"/>
                <w:color w:val="0000FF"/>
                <w:w w:val="88"/>
              </w:rPr>
            </w:pPr>
            <w:hyperlink w:anchor="page33">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5080" w:type="dxa"/>
            <w:vAlign w:val="bottom"/>
            <w:gridSpan w:val="6"/>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 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1A. Risk Factors.</w:t>
              </w:r>
            </w:hyperlink>
          </w:p>
        </w:tc>
        <w:tc>
          <w:tcPr>
            <w:tcW w:w="7440" w:type="dxa"/>
            <w:vAlign w:val="bottom"/>
            <w:gridSpan w:val="11"/>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5180" w:type="dxa"/>
            <w:vAlign w:val="bottom"/>
            <w:gridSpan w:val="7"/>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5180" w:type="dxa"/>
            <w:vAlign w:val="bottom"/>
            <w:gridSpan w:val="7"/>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240" w:type="dxa"/>
            <w:vAlign w:val="bottom"/>
            <w:gridSpan w:val="6"/>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SIGNATURES</w:t>
              </w:r>
            </w:hyperlink>
          </w:p>
        </w:tc>
        <w:tc>
          <w:tcPr>
            <w:tcW w:w="9120" w:type="dxa"/>
            <w:vAlign w:val="bottom"/>
            <w:gridSpan w:val="1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507"/>
        </w:trPr>
        <w:tc>
          <w:tcPr>
            <w:tcW w:w="60" w:type="dxa"/>
            <w:vAlign w:val="bottom"/>
          </w:tcPr>
          <w:p>
            <w:pPr>
              <w:spacing w:after="0"/>
              <w:rPr>
                <w:sz w:val="24"/>
                <w:szCs w:val="24"/>
                <w:color w:val="auto"/>
              </w:rPr>
            </w:pPr>
          </w:p>
        </w:tc>
        <w:tc>
          <w:tcPr>
            <w:tcW w:w="1140" w:type="dxa"/>
            <w:vAlign w:val="bottom"/>
            <w:tcBorders>
              <w:top w:val="single" w:sz="8" w:color="0000FF"/>
            </w:tcBorders>
            <w:gridSpan w:val="5"/>
          </w:tcPr>
          <w:p>
            <w:pPr>
              <w:spacing w:after="0"/>
              <w:rPr>
                <w:sz w:val="24"/>
                <w:szCs w:val="24"/>
                <w:color w:val="auto"/>
              </w:rPr>
            </w:pPr>
          </w:p>
        </w:tc>
        <w:tc>
          <w:tcPr>
            <w:tcW w:w="5060" w:type="dxa"/>
            <w:vAlign w:val="bottom"/>
            <w:gridSpan w:val="10"/>
          </w:tcPr>
          <w:p>
            <w:pPr>
              <w:jc w:val="center"/>
              <w:ind w:left="3870"/>
              <w:spacing w:after="0"/>
              <w:rPr>
                <w:sz w:val="20"/>
                <w:szCs w:val="20"/>
                <w:color w:val="auto"/>
              </w:rPr>
            </w:pPr>
            <w:r>
              <w:rPr>
                <w:rFonts w:ascii="Arial" w:cs="Arial" w:eastAsia="Arial" w:hAnsi="Arial"/>
                <w:sz w:val="18"/>
                <w:szCs w:val="18"/>
                <w:color w:val="auto"/>
                <w:w w:val="99"/>
              </w:rPr>
              <w:t>2</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 2017</w:t>
            </w:r>
          </w:p>
        </w:tc>
        <w:tc>
          <w:tcPr>
            <w:tcW w:w="280" w:type="dxa"/>
            <w:vAlign w:val="bottom"/>
          </w:tcPr>
          <w:p>
            <w:pPr>
              <w:spacing w:after="0"/>
              <w:rPr>
                <w:sz w:val="16"/>
                <w:szCs w:val="16"/>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 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545,463</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6"/>
              </w:rPr>
              <w:t>Accounts receivable, less allowance of $231 and $58 as of December 30, 2017 and April 1, 2017,</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448,848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357,948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430,454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36,229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29,056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26,264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1,461,605</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1"/>
              </w:rPr>
              <w:t>Property and equipment, net of accumulated depreciation of $875,942 at December 30, 2017 and $981,328</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at April 1, 2017</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1,417,141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1,391,932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2,173,889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2,173,914</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2"/>
              </w:rPr>
              <w:t>Intangible assets, net of accumulated amortization of $1,663,549 at December 30, 2017 and $1,257,665 at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 xml:space="preserve">April 1, 2017 </w:t>
            </w:r>
            <w:r>
              <w:rPr>
                <w:rFonts w:ascii="Arial" w:cs="Arial" w:eastAsia="Arial" w:hAnsi="Arial"/>
                <w:sz w:val="18"/>
                <w:szCs w:val="18"/>
                <w:i w:val="1"/>
                <w:iCs w:val="1"/>
                <w:color w:val="auto"/>
              </w:rPr>
              <w:t>(Note 5)</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993,629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1,400,563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8)</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65,066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58,815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6,526,647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192,046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170,584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52,077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418,828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1,088,730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989,154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173,442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86,108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1,625,601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126,473</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4"/>
              </w:rPr>
              <w:t>and 126,464 shares issued and outstanding at December 30, 2017 and April 1, 2017,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5,270,428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5,357,394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(446,268)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4,821,078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6,526,647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6,522,323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20"/>
        <w:spacing w:after="0"/>
        <w:tabs>
          <w:tab w:leader="none" w:pos="6620" w:val="left"/>
        </w:tabs>
        <w:rPr>
          <w:sz w:val="20"/>
          <w:szCs w:val="20"/>
          <w:color w:val="auto"/>
        </w:rPr>
      </w:pPr>
      <w:r>
        <w:rPr>
          <w:rFonts w:ascii="Arial" w:cs="Arial" w:eastAsia="Arial" w:hAnsi="Arial"/>
          <w:sz w:val="14"/>
          <w:szCs w:val="14"/>
          <w:b w:val="1"/>
          <w:bCs w:val="1"/>
          <w:color w:val="auto"/>
        </w:rPr>
        <w:t>December 30,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December 30, 2017</w:t>
      </w:r>
      <w:r>
        <w:rPr>
          <w:sz w:val="20"/>
          <w:szCs w:val="20"/>
          <w:color w:val="auto"/>
        </w:rPr>
        <w:tab/>
      </w:r>
      <w:r>
        <w:rPr>
          <w:rFonts w:ascii="Arial" w:cs="Arial" w:eastAsia="Arial" w:hAnsi="Arial"/>
          <w:sz w:val="12"/>
          <w:szCs w:val="12"/>
          <w:b w:val="1"/>
          <w:bCs w:val="1"/>
          <w:color w:val="auto"/>
        </w:rPr>
        <w:t>December 31, 2016</w:t>
      </w:r>
    </w:p>
    <w:p>
      <w:pPr>
        <w:spacing w:after="0" w:line="25" w:lineRule="exact"/>
        <w:rPr>
          <w:sz w:val="20"/>
          <w:szCs w:val="20"/>
          <w:color w:val="auto"/>
        </w:rPr>
      </w:pPr>
    </w:p>
    <w:p>
      <w:pPr>
        <w:sectPr>
          <w:pgSz w:w="11900" w:h="16838" w:orient="portrait"/>
          <w:cols w:equalWidth="0" w:num="2">
            <w:col w:w="7800" w:space="540"/>
            <w:col w:w="30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845,739</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826,347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2,308,153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2,389,582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508,812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515,705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1,413,827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1,485,666</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894,326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903,916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355,166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126,555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130,672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404,853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412,850</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 9)</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256,607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249,261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792,271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791,401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6)</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(45,205)</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65,440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64,593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8"/>
                <w:szCs w:val="18"/>
                <w:i w:val="1"/>
                <w:iCs w:val="1"/>
                <w:color w:val="auto"/>
              </w:rPr>
              <w:t>(Note 7)</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(98,522)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(137,059)</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loss per share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3):</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127,034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126,852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127,084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127,313</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127,034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126,852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127,084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127,313</w:t>
            </w:r>
          </w:p>
        </w:tc>
      </w:tr>
      <w:tr>
        <w:trPr>
          <w:trHeight w:val="27"/>
        </w:trPr>
        <w:tc>
          <w:tcPr>
            <w:tcW w:w="4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2017</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2017</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(72,466)</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Unrealized gain (loss) on marketable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Foreign currency translation adjustment, including intra-entity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foreign currency transactions that are of a long-term</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investment nature</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gain included in net loss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2017</w:t>
            </w:r>
          </w:p>
        </w:tc>
        <w:tc>
          <w:tcPr>
            <w:tcW w:w="200" w:type="dxa"/>
            <w:vAlign w:val="bottom"/>
          </w:tcPr>
          <w:p>
            <w:pPr>
              <w:spacing w:after="0"/>
              <w:rPr>
                <w:sz w:val="22"/>
                <w:szCs w:val="22"/>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(72,466)</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132,879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153,286</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and other non-cash items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365,932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Excess tax benefit from exercises of stock options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Foreign currency adjustments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3,267</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investments and other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73,291</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(100,374)</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(recoverable) / payable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94,566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86,873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593,562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529,749</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(386,955)</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a business,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(118,002)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186,793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(246,371)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(323,254)</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debt issuances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(158,491)</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(15,034)</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exercises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financing activities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(135,076)</w:t>
            </w:r>
          </w:p>
        </w:tc>
      </w:tr>
      <w:tr>
        <w:trPr>
          <w:trHeight w:val="169"/>
        </w:trPr>
        <w:tc>
          <w:tcPr>
            <w:tcW w:w="80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295,902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70,061</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545,779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426,062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841,681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496,123</w:t>
            </w:r>
          </w:p>
        </w:tc>
      </w:tr>
      <w:tr>
        <w:trPr>
          <w:trHeight w:val="67"/>
        </w:trPr>
        <w:tc>
          <w:tcPr>
            <w:tcW w:w="80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26,743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59,491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680"/>
        <w:spacing w:after="0" w:line="261"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1, 2017.</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2017 financial statements have been reclassified to conform with the fiscal 2018 presentation.</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2018 and 2017 are 52-week years.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30, 2017 and April 1, 2017, restricted cash of $0.4 million and $0.3 million, respectively, was included in "Other current assets" and "Other non-current assets" in the Condensed Consolidated Balance Sheets.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CHANGE IN ESTIMATE</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first quarter of fiscal 2018, the Company changed its accounting estimate for the expected useful lives of certain machinery and equipment. The Company evaluated its current asset base and reassessed the estimated useful lives of certain machinery and equipment in connection with its implementation of several capital projects, including the migration of certain surface acoustic wave ("SAW") processes from 4-inch to 6-inch toolsets and certain bulk acoustic wave ("BAW") processes from 6-inch to 8-inch toolsets. Based on its ability to re-use equipment across generations of process technologies and historical usage trends, the Company determined that the expected useful lives for certain machinery and equipment should be increased by up to three years to reflect more closely the estimated economic lives of those assets. This change in estimate was applied prospectively effective for the first quarter of fiscal 2018 and resulted in a decrease in depreciation expense of $15.6 million and $45.4 million for the three and nine months ended December 30, 2017, respectively. This decrease in depreciation expense for the three and nine months ended December 30, 2017, resulted in the following: (1) an increase to income from operations of $15.4 million and $32.7 million, respectively; (2) an increase to net income of $14.9 million and $30.5 million, respectively; (3) an improvement to earnings per share of $0.12 and $0.24, respectively; and (4) a reduction to inventory of $0.2 million and $12.7 million, respectively.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2017</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2017</w:t>
            </w:r>
          </w:p>
        </w:tc>
        <w:tc>
          <w:tcPr>
            <w:tcW w:w="1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loss per share — net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(72,466)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loss available to common stockholders</w:t>
            </w:r>
          </w:p>
        </w:tc>
        <w:tc>
          <w:tcPr>
            <w:tcW w:w="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Denominator for basic net loss per share — weighted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127,034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126,852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127,084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127,313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Denominator for diluted net loss per share — adjusted weighted</w:t>
            </w:r>
          </w:p>
        </w:tc>
        <w:tc>
          <w:tcPr>
            <w:tcW w:w="1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127,034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126,852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127,084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127,313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computation of diluted net loss per share for the three and nine months ended December 30, 2017, outstanding options to purchase 3.4 million shares and 3.8 million shares, respectively, were excluded because the effect of their inclusion would have been anti-dilutive. In the computation of diluted net loss per share for the three and nine months ended December 31, 2016, outstanding options to purchase 4.6 million shares and 4.9 million shares, respectively, were excluded because the effect of their inclusion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Inventories are stated at the lower of cost or net realizable value based on standard costs, which approximate actual average costs. The components of inventories, net of reserves,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2017</w:t>
            </w:r>
          </w:p>
        </w:tc>
        <w:tc>
          <w:tcPr>
            <w:tcW w:w="240" w:type="dxa"/>
            <w:vAlign w:val="bottom"/>
          </w:tcPr>
          <w:p>
            <w:pPr>
              <w:spacing w:after="0"/>
              <w:rPr>
                <w:sz w:val="16"/>
                <w:szCs w:val="16"/>
                <w:color w:val="auto"/>
              </w:rPr>
            </w:pPr>
          </w:p>
        </w:tc>
        <w:tc>
          <w:tcPr>
            <w:tcW w:w="1320" w:type="dxa"/>
            <w:vAlign w:val="bottom"/>
          </w:tcPr>
          <w:p>
            <w:pPr>
              <w:jc w:val="right"/>
              <w:ind w:right="314"/>
              <w:spacing w:after="0"/>
              <w:rPr>
                <w:sz w:val="20"/>
                <w:szCs w:val="20"/>
                <w:color w:val="auto"/>
              </w:rPr>
            </w:pPr>
            <w:r>
              <w:rPr>
                <w:rFonts w:ascii="Arial" w:cs="Arial" w:eastAsia="Arial" w:hAnsi="Arial"/>
                <w:sz w:val="14"/>
                <w:szCs w:val="14"/>
                <w:b w:val="1"/>
                <w:bCs w:val="1"/>
                <w:color w:val="auto"/>
              </w:rPr>
              <w:t>April 1, 2017</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92,282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204,634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198,339</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123,298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139,833</w:t>
            </w:r>
          </w:p>
        </w:tc>
      </w:tr>
      <w:tr>
        <w:trPr>
          <w:trHeight w:val="237"/>
        </w:trPr>
        <w:tc>
          <w:tcPr>
            <w:tcW w:w="80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422,907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430,454</w:t>
            </w:r>
          </w:p>
        </w:tc>
      </w:tr>
      <w:tr>
        <w:trPr>
          <w:trHeight w:val="27"/>
        </w:trPr>
        <w:tc>
          <w:tcPr>
            <w:tcW w:w="8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Total intangible assets decreased to $993.6 million as of December 30, 2017, compared to $1,400.6 million as of April 1, 2017. This decrease was largely due to amortization expense of $406.4 million for the nine months ended December 30, 2017, primarily related to developed technology and customer relationships (which had net book values of $576.5 million and $406.4 million respectively, as of December 30,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December 5, 2017, the Company and certain of its material domestic subsidiaries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includes a senior delayed draw term loan of up to $400.0 million (the "Term Loan") and a $300.0 million senior revolving line of credit (the "Revolving Facility", together with the Term Loan, the "Credit Facility"). On the closing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date, $100.0 million of the Term Loan was funded, with the remainder available, at the discretion of the Company, in up to two draws within six months following the closing date. The Revolving Facility includes a $25.0 million sublimit for the issuance of standby letters of credit and a $10.0 million sublimit for swing line loans. The Company may request, at its option and at any time, that the Credit Facility be increased by an amount not to exceed $300.0 million, subject to securing additional funding commitments from the existing or new lenders. The Credit Facility is available to finance working capital, capital expenditures and other corporate purposes. The Company’s obligations under the Credit Agreement are jointly and severally guaranteed by the Guarantors. Upon execution of the Credit Agreement, the Company terminated its prior credit agreement, dated as of April 7, 2015, as amended, with Bank of America, N.A., thus terminating and releasing the Company’s obligations and guarantees of certain of its subsidiaries under that agreement.</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had no outstanding amounts under the Revolving Facility as of December 30, 2017. The Term Loan carries a variable interest rate set at current market rates, and as such, the fair value of the Term Loan approximated book value as of December 30, 2017</w:t>
      </w:r>
      <w:r>
        <w:rPr>
          <w:rFonts w:ascii="Arial" w:cs="Arial" w:eastAsia="Arial" w:hAnsi="Arial"/>
          <w:sz w:val="19"/>
          <w:szCs w:val="19"/>
          <w:color w:val="1F497D"/>
        </w:rPr>
        <w:t>.</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the Company’s option, loans under the Credit Agreement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six or twelve months, as selected by the Company. The Applicable Rate for Eurodollar Rate loans ranges from 1.125% per annum to 1.375% per annum. The Applicable Rate for Base Rate loans ranges from 0.125% per annum to</w:t>
      </w:r>
    </w:p>
    <w:p>
      <w:pPr>
        <w:spacing w:after="0" w:line="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0.375%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be in compliance in order to borrow funds and to avoid an event of default, including the following financial covenants that the Company must maintain (i) a consolidated leverage ratio not to exceed 3.0 to 1.0 as of the end of any fiscal quarter of the Company, provided that in connection with a permitted acquisition in excess of $300.0 million, the Company's maximum consolidated leverage ratio may increase on two occasions during the term of the Credit Facility to 3.5 to 1.0 for four consecutive fiscal quarters, beginning with the fiscal quarter in which such acquisition occurs and (ii) an interest coverage ratio not to be less than 3.0 to 1.0 as of the end of any fiscal quarter of the Company. As of December 30, 2017, the Company was in compliance with these covenants.</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Credit Agreement also contains customary events of default. The occurrence of an event of default can result in the exercise of remedies including an increase in the applicable rate of interest by 2.00%, termination of undrawn commitments under the Credit Facility, declaration that all outstanding loans are due and payable and requiring cash collateral deposits in respect of outstanding letters of credit.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The Notes were issued pursuant to an indenture dated as of November 19, 2015 (the "Indenture") containing customary events of default, including payment default, failure to provide certain notices and certain provisions related to bankruptcy events. The Indenture also contains customary negative covenants.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September 19, 2016, the Company completed an exchange offer, in which all of the 2023 Notes and substantially all of the 2025 Notes were exchanged for new notes that have been registered under the Securities Act.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Interest is payable on June 1 and December 1 of each year on the 2023 Notes at a rate of 6.75% per annum and on the 2025 Notes at a rate of 7.00% per annum. Interest paid on the Notes during the three and nine months ended December 30, 2017 was $34.5 million and $68.9 million, respectively. Interest paid on the Notes during the three and nine months ended December 31, 2016 was $34.5 million and $71.2 million, respectively.</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2023 Notes and the 2025 Notes are traded over the counter and their fair values as of December 30, 2017 of $484.9 million and $613.9 million, respectively (compared to carrying values of $450.0 million and $550.0 million, respectively), were estimated based upon the values of their last trade at the end of the period. The fair values of the 2023 Notes and the 2025 Notes were $489.4 million and $607.8 million, respectively, as of April 1, 2017, based upon the values of their last trade at the end of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During the three and nine months ended December 30, 2017, the Company recognized $17.7 million and $52.3 million, respectively, of interest expense related to the Notes and the Term Loan which was partially offset by $2.0 million and $10.8 million, respectively, of interest capitalized to property and equipment. During the three and nine months ended December 31, 2016, the Company recognized $17.4 million and $52.2 million, respectively, of interest expense related to the Notes, which was partially offset by $3.6 million and $9.0 million, respectively, of interest capitalized to property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provision for income taxes for the three and nine months ended December 30, 2017 and December 31, 2016 has been calculated by applying an estimate of the annual effective tax rate for the full fiscal year to “ordinary” income or loss (pre-tax income or loss excluding unusual or infrequently occurring discrete items) to year-to-date income (loss) to determine the amounts for the three and nine months ended December 30, 2017 and December 31, 2016.</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income tax expense was $98.5 million and $88.6 million for the three and nine months ended December 30, 2017, respectively, and the Company's income tax expense was $123.2 million and $137.1 million for the three and nine months ended December 31, 2016, respectively. The Company’s effective tax rate was 150.6% and 145.7% for the three and nine months ended December 30, 2017, respectively, and 276.6% and 212.2% for the three and nine months ended December 31, 2016, respectively. The Company's effective tax rate for the three and nine months ended December 30, 2017 differed from the statutory rate primarily due to a net discrete provisional tax expense of $95.9 million resulting from the enactment of the Tax Cuts and Jobs Act (the "Tax Act"), changes in unrecognized tax benefits, a discrete tax expense, for the nine months only, associated with intra-entity transfers in accordance with the new guidance for the intra-entity transfer of assets other than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inventory (Accounting Standards Update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xml:space="preserve">) offset by tax rate differences in foreign jurisdictions, state income taxes, domestic tax credits generated and a discrete tax benefit for excess stock compensation deductions in accordance with the new guidance for accounting for employee share-based payments (ASU 2016-09, </w:t>
      </w:r>
      <w:r>
        <w:rPr>
          <w:rFonts w:ascii="Arial" w:cs="Arial" w:eastAsia="Arial" w:hAnsi="Arial"/>
          <w:sz w:val="16"/>
          <w:szCs w:val="16"/>
          <w:i w:val="1"/>
          <w:iCs w:val="1"/>
          <w:color w:val="auto"/>
        </w:rPr>
        <w:t>"Compensation - Stock Compensation (Topic 718):</w:t>
      </w:r>
    </w:p>
    <w:p>
      <w:pPr>
        <w:jc w:val="both"/>
        <w:ind w:right="240"/>
        <w:spacing w:after="0" w:line="277" w:lineRule="auto"/>
        <w:rPr>
          <w:sz w:val="20"/>
          <w:szCs w:val="20"/>
          <w:color w:val="auto"/>
        </w:rPr>
      </w:pP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Company's effective tax rate for the three and nine months ended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differed from the statutory rate primarily due to tax rate differences in foreign jurisdictions, state income taxes, domestic tax credits generated, changes in unrecognized tax benefits and the timing of when income and loss is recognized in the various tax jurisdictions.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22, 2017, the Tax Act was signed into law in the U.S. The Tax Act significantly revises the future ongoing U.S. corporate income tax by, among other things, lowering U.S. corporate income tax rates, providing 100% bonus depreciation through December 31, 2022 and implementing a territorial tax system. Due to the timing of the Company's fiscal year, the lower corporate income tax rate will be phased in, resulting in a U.S. statutory federal rate of approximately 31.5% for our fiscal year ending March 31, 2018, and 21% for subsequent fiscal years. However, the Tax Act implements a territorial tax system, which eliminates the ability to credit certain foreign taxes that existed prior to enactment of the Tax Act. For the quarter ended December 30, 2017, the impact of these changes, along with the transitional deemed repatriation of the historical earnings of foreign subsidiaries, resulted in a discrete provisional tax expense of approximately $95.9 million. This is comprised of a provisional repatriation tax expense of $139.5 million, offset by a provisional deferred tax benefit of $43.6 million from the remeasurement of U.S. deferred tax assets and liabilities. Both the tax charge and the tax benefit represent provisional amounts and the Company’s current best estimates.</w:t>
      </w:r>
    </w:p>
    <w:p>
      <w:pPr>
        <w:spacing w:after="0" w:line="18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Because of the complexity of the new Global Intangible Low-Taxed Income (GILTI) tax rules, the Company continues to evaluate this provision of the Tax Act and the application of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U.S. GAAP, the Company is allowed to make an accounting policy choice of either: (1) treating taxes due on future U.S. inclusions in taxable income related to GILTI as a current-period expense when incurred (the “period cost method”) or (2) factoring such amounts into the Company's measurement of its deferred taxes (the “deferred method”). The Company is currently still in the process of analyzing the impact of the GILTI tax rules and, as a result, the Company has not made any provisional adjustments related to potential GILTI tax in its financial statements and has not made a policy decision regarding whether to record deferred tax on GILTI.</w:t>
      </w:r>
    </w:p>
    <w:p>
      <w:pPr>
        <w:spacing w:after="0" w:line="16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Tax Act allows the tax liability arising from the transitional deemed repatriation of the historical earnings of foreign subsidiaries to be paid on an installment basis over eight years, resulting in an increase in the long-term tax liability account included in "Other long-term liabilities" in the Condensed Consolidated Balance Sheets.</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changes included in the Tax Act are broad and complex. The final transition impacts of the Tax Act may differ from the above estimates, possibly materially, due to, among other things, evolving technical interpretations of the Tax Act, legislative action to address questions that arise because of the Tax Act, clarification on the application of accounting standards for income taxes or related interpretations in response to the Tax Act, or updates or changes to provisional amounts the Company has utilized to calculate the transition impacts, including impacts from changes to current year earnings and tax liabilities, deferred tax assets and liabilities, earnings and profits at foreign subsidiaries, tax pools at foreign subsidiaries, foreign tax credits and foreign exchange rates. SEC Staff Accounting Bulletin (“SAB”) No. 118 issued December 22, 2017, allows for a measurement period of up to one year after the enactment date of the Tax Act to finalize the recording of the related tax impacts. The Company will finalize and record any resulting adjustments within this one-year measurement period.</w:t>
      </w:r>
    </w:p>
    <w:p>
      <w:pPr>
        <w:spacing w:after="0" w:line="19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had $841.3 million of total cash and cash equivalents as of December 30, 2017, including $476.8 million held by Qorvo International Pte. Ltd. in Singapore. As a result of the deemed repatriation of the historical earnings, the impact of GILTI on future earnings, and Singapore not imposing a withholding tax on dividends, the Company no longer takes the position that earnings are permanently reinvested for this operating subsidiary in Singapore.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increased the deferred tax assets for both the domestic federal and state tax net operating loss (“NOL”) carry-forwards by $36.7 million due to the adoption of new accounting guidance for stock compensation (ASU 2016-09) in the first quarter of fiscal 2018.</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third quarter of fiscal 2018, the Company provisionally decreased the net U.S. deferred tax liability by $43.6 million to account for the reduction in the U.S. federal corporate income tax rate from 35% to 21% with the enactment of the Tax Act.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domestic federal and state tax NOL carry-forwards that, if unused, will expire in fiscal years 2020 to 2036 and 2018 to 2036, respectively. The use of the NOLs that were acquired in prior year acquisitions is subject to certain annual limitations under Internal Revenue Code Section 382 and similar state income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Company’s gross unrecognized tax benefits increased from $90.6 million as of the end of fiscal 2017 to $102.3 million as of the end of the third quarter of fiscal 2018, primarily due to tax positions taken with respect to the current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December 30, 2017 and April 1,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91440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3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30,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67"/>
        </w:trPr>
        <w:tc>
          <w:tcPr>
            <w:tcW w:w="6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April 1, 2017</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December 30, 2017 and April 1, 2017. The Company determines the cost of an investment sold based on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30, 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April 1, 2017</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 and available-for-sale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August 4, 2015, the Company invested $25.0 million to acquire shares of Series F Preferred Stock of Cavendish Kinetics Limited (Cavendish), a private limited company incorporated in England and Wales. On July 31, 2017, the Company invested an additional $20.0 million in Cavendish Series F Preferred Stock. The Company began accounting for this investment under the equity method (on a one quarter lag basis) on July 31, 2017. As of December 30, 2017, this investment is classified in "Long-term investments" in the Condensed Consolidated Balance Sheets.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Marketable securities are measured at fair value and recorded in "Cash and cash equivalents" and "Long-term investments" in the Condensed Consolidated Balance Sheets, and the related unrealized gains and losses are included in "Accumulated other comprehensive loss," a component of stockholders’ equity, net of tax.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December 30, 2017 and April 1, 2017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30, 2017</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620"/>
              <w:spacing w:after="0"/>
              <w:rPr>
                <w:sz w:val="20"/>
                <w:szCs w:val="20"/>
                <w:color w:val="auto"/>
              </w:rPr>
            </w:pPr>
            <w:r>
              <w:rPr>
                <w:rFonts w:ascii="Arial" w:cs="Arial" w:eastAsia="Arial" w:hAnsi="Arial"/>
                <w:sz w:val="18"/>
                <w:szCs w:val="18"/>
                <w:color w:val="auto"/>
              </w:rPr>
              <w:t xml:space="preserve">Auction rate securities ("ARS")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10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15,955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62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13,900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13,900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2017</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62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10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11,972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62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10,237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40" w:firstLine="8"/>
        <w:spacing w:after="0" w:line="25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10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2017 and April 1, 2017,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6 for the fair value of the Company's long-term debt.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second quarter of fiscal 2018, the Company initiated restructuring actions to improve operating efficiencies. As a result of these actions, restructuring charges of approximately $8.2 million and $15.0 million, respectively (primarily related to employee termination benefits), and a loss on asset disposal of approximately $6.7 million and $9.7 million, respectively, were recorded in "Other operating expense" in the Condensed Consolidated Statement of Operations, for the three and nine months ended December 30, 2017. The Company expects to record approximately $1.8 million of additional restructuring charges primarily associated with employee termination benefits.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30, 2017, restructuring obligations relating to employee termination benefits totaled $7.6 million and are included in “Accrued liabilities”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REPURCHASES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3, 2016, the Company announced that its Board of Directors authorized a share repurchase program to repurchase up to $500.0 million of the Company's outstanding stock.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and does not have a fixed term, and may be modified, suspended or terminated at any time without prior notice. During the three and nine months ended December 30, 2017, the Company repurchased approximately 1.1 million shares and 2.3 million shares of its common stock for approximately $80.0 million and $168.9 million, respectively. As of December 30, 2017, $213.1 million remains available for repurchases under this share repurchase program.</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three and nine months ended December 31, 2016, the Company repurchased approximately 1.3 million shares and 2.9 million shares of its common stock for approximately $67.1 million and $158.5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April 1, 2017.</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The new guidance clarifies when modification accounting in Topic 718 should be applied to changes to the terms or conditions of a share-based payment award. The Company elected to early-adopt the standard in the first quarter of fiscal 2018 with no impact on its consolidated financial statements.</w:t>
      </w:r>
    </w:p>
    <w:p>
      <w:pPr>
        <w:spacing w:after="0" w:line="166"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Force)." </w:t>
      </w:r>
      <w:r>
        <w:rPr>
          <w:rFonts w:ascii="Arial" w:cs="Arial" w:eastAsia="Arial" w:hAnsi="Arial"/>
          <w:sz w:val="16"/>
          <w:szCs w:val="16"/>
          <w:color w:val="auto"/>
        </w:rPr>
        <w:t>This standard requires that restricted cash and restricted cash equivalents be included in cash and cash equivalents when reconciling the beginning-of-period and end-of-period total amounts shown in the statement of cash flows. The Company adopted the provisions of ASU 2016-18 in the second quarter of fiscal 2018 using the retrospective transition method. The adjustment to reclassify restricted cash for each period presented was less than $1.0 million.</w:t>
      </w:r>
    </w:p>
    <w:p>
      <w:pPr>
        <w:spacing w:after="0" w:line="168"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The new guidance requires an entity to recognize the income tax consequences of an intra-entity transfer of an asset, other than inventory, when the transfer occurs. The Company elected to adopt the standard early in the first quarter of fiscal 2018 using the modified retrospective method, which requires a cumulative adjustment to retained earnings as of the beginning of the period of adoption. The cumulative adjustment to the December 30, 2017 Condensed Consolidated Balance Sheet was approximately $1.3 million. For the three and nine months ended December 30, 2017, the Company recognized a discrete tax expense of less than $0.1 million and $5.4 million, respectively, related to intra-entity transfers of assets.</w:t>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new guidance simplifies certain aspects of accounting for share-based payment transactions, including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classification of awards on the balance sheet and presentation on the statement of cash flows, and became effective for the Company in the first quarter of fiscal 2018. As a result of adoption, the Company recognized a cumulative-effect adjustment to reduce the Company's accumulated deficit by $36.7 million with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corresponding increase to deferred tax assets for the Federal and state net operating losses attributable to excess tax benefits that had not been previously recognized. All excess tax benefits and deficiencies in the current and future periods will be recognized as income tax expense in the Company’s Condensed Consolidated Statement of Operations in the reporting period in which they occur. This will result in increased volatility in the Company’s effective tax rate. For the three and nine months ended December 30, 2017, the Company recognized a discrete tax benefit of $0.6 million and $9.9 million, respectively, related to the excess tax benefits from stock-based compensation. The Company plans to continue its existing practice of estimating expected forfeitures in determining compensation cost.</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March 2016, the FASB issued ASU 2016-07, </w:t>
      </w:r>
      <w:r>
        <w:rPr>
          <w:rFonts w:ascii="Arial" w:cs="Arial" w:eastAsia="Arial" w:hAnsi="Arial"/>
          <w:sz w:val="18"/>
          <w:szCs w:val="18"/>
          <w:i w:val="1"/>
          <w:iCs w:val="1"/>
          <w:color w:val="auto"/>
        </w:rPr>
        <w:t>"Investments-Equity Method and Joint Ventures (Topic 323): Simplifying the Transition to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Accounting." </w:t>
      </w:r>
      <w:r>
        <w:rPr>
          <w:rFonts w:ascii="Arial" w:cs="Arial" w:eastAsia="Arial" w:hAnsi="Arial"/>
          <w:sz w:val="18"/>
          <w:szCs w:val="18"/>
          <w:color w:val="auto"/>
        </w:rPr>
        <w:t>The new guidance eliminates the requirement to retrospectively apply the equity method of accounting when an investment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cost basis qualifies for the equity method of accounting. The Company adopted ASU 2016-07 in the first quarter of fiscal 2018 with no significant impact on its consolidated financial results.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The new guidance changes the measurement principle for inventory from the lower of cost or market to the lower of cost and net realizable value. ASU 2015-11 defines net realizable value as the estimated selling price in the ordinary course of business less reasonably predictable costs to completion, transportation, or disposal. The Company adopted ASU 2015-11 in the first quarter of fiscal 2018 with no significant impact on its consolidated financial statements.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with several amendments subsequently issued. This new standard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Additional disclosures will be required regarding the nature, amount, timing and uncertainty of cash flows. The new guidance will become effective for the Company in the first quarter of fiscal 2019 and permits the use of either a retrospective approach or a modified retrospective approach, under which the cumulative effect of adoption is recognized at the date of initial application. The Company has established a cross-functional team to assess the potential impact of the new revenue standard and this assessment will be completed during fiscal 2018. The Company's assessment process consists of reviewing its current accounting policies and practices and its customer contracts to identify potential differences that may result from applying the requirements of the new standard to its contracts and identifying appropriate changes to its business processes, systems and controls to support revenue recognition and disclosure requirements under the new standard. The Company's revenue is generated principally from sales of semiconductor products. The Company currently expects that under the new standard, a substantial majority of its revenue will continue to be recognized at a "point in time" as products are shipped to, or received by, customers. In limited circumstances the products sold are highly customized and have no alternative use, and the Company has an enforceable right to payment (with a reasonable margin) for performance completed to date. For the contracts related to these products, the Company expects that it will recognize revenue "over time" as performance obligations are satisfied. This will accelerate revenue recognition because revenue for these products currently is recognized as the products are shipped to, or received by, customers. While the Company has made substantial progress in identifying the likely impacts of the new standard, it has not yet quantified the potential impact. The Company expects that it will have additional disclosure related to revenue recognition, including judgments made, under the new standard. The Company will continue to evaluate the impact of the new standard, including any necessary changes to internal controls, and prepare for adoption in the first quarter of fiscal 2019. The Company will adopt the standard using the modified retrospective approach.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 INFORMATION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operating segments as of December 30, 2017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 and non-GAAP operating income as a percentage of revenue.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MP is a leading global supplier of cellular radio frequency ("RF") and Wi-Fi solutions for a variety of mobile devices, including smartphones, 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BAW and surface acoustic wave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("PADs") and modules incorporating switches, PAs and duplexers.</w:t>
      </w:r>
    </w:p>
    <w:p>
      <w:pPr>
        <w:spacing w:after="0" w:line="1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IDP is a leading global supplier of RF solutions with a diverse portfolio of solutions that "connect and protect," spanning communications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IDP products include gallium arsenide</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gallium nitride PAs, LNAs, switches, Complementary Metal Oxide Semiconductor ("CMOS") system-on-a-chip solutions, premium BAW and SAW filter solutions and various multi-chip and hybrid assemblies.</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restructuring charges, intellectual property rights litigation settlement, start-up costs, and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3"/>
                <w:szCs w:val="13"/>
                <w:color w:val="auto"/>
              </w:rPr>
            </w:pP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3"/>
                <w:szCs w:val="13"/>
                <w:color w:val="auto"/>
              </w:rPr>
            </w:pPr>
          </w:p>
        </w:tc>
        <w:tc>
          <w:tcPr>
            <w:tcW w:w="14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642,089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656,788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1,728,709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1,910,003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576,534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476,669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845,739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826,347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2,308,153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2,389,582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190,990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460,775</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IDP</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63,281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45,278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170,516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112,345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(460,605)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80,320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61,381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102,055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112,515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65,440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44,541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60,824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64,593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"All other" revenue relates to royalty income that is not allocated to MP or IDP.</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3"/>
                <w:szCs w:val="13"/>
                <w:color w:val="auto"/>
              </w:rPr>
            </w:pPr>
          </w:p>
        </w:tc>
        <w:tc>
          <w:tcPr>
            <w:tcW w:w="144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(58,299)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(73,291)</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(360,960)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(21,148)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(6,295)</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Other (expense) income (including (loss) gain on assets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other miscellaneous corporate overhead)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2,408</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(173,951)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(147,298)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(520,150)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(460,605)</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INFORMATION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the Indenture governing the Notes, the Company's obligations under the Notes are fully and unconditionally guaranteed on a joint and several basis by each Guarantor, each of which is 100% owned, directly or indirectly, by Qorvo, Inc. (the "Parent Company").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made certain immaterial corrections to the Condensed Consolidating Statement of Operations and Comprehensive (Loss) Income for the three and nine months ended December 31, 2016. An adjustment to income in subsidiaries for the Guarantor subsidiaries of $(92.1) million has been presented in the Condensed Consolidating Statement of Operations and Comprehensive (Loss) Income for the three months ended December 31, 2016 to properly reflect equity method accounting for the Guarantor subsidiaries’ ownership interests in non-guarantor subsidiaries. An adjustment to income from operations and income in subsidiaries for the Guarantor subsidiaries of $26.7 million and $1.8 million, respectively, has been presented in the Condensed Consolidating Statement of Operations and Comprehensive (Loss) Income for the nine months ended December 31, 2016, to properly reflect intercompany transactions between Guarantor and non-guarantor subsidiaries and equity method accounting for the Guarantor subsidiaries’ ownership interests in non-guarantor subsidiaries. An adjustment to income from operations for the non-guarantor subsidiaries of $228.9 million and $158.9 million has been presented in the Condensed Consolidating Statement of Operations and Comprehensive (Loss) Income for the three and nine months ended December 31, 2016, respectively, to properly reflect intercompany transactions between Guarantor and non-guarantor subsidiaries. These immaterial corrections relate solely to presentation between the Company and its subsidiaries and only impact the financial statements included in this footnote. These corrections do not affect the Company’s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30, 2017</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Reclassifications</w:t>
            </w: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841,326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less allowance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65,678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383,170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448,848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accounts and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173,678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272,536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422,907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44,021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839,425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1,323,530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(387,779)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1,814,166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1,417,141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1,121,941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1,051,948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993,629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62,756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Long-term intercompany accounts and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6,173,284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2,771,958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(8,945,242)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65,066</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6,263,536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6,766,518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3,426,023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(9,929,430)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6,526,647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192,046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Intercompany accounts and notes payable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295,369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(325,482)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140,395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52,077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1,088,730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1,088,730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5"/>
              </w:rPr>
              <w:t>Long-term intercompany accounts and notes payable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347,904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1,442,458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530,317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654,065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(921,271)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1,705,569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4,821,078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6,236,201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2,771,958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(9,008,159)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4,821,078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6,263,536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6,766,518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3,426,023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(9,929,430)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6,526,647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18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00" w:type="dxa"/>
            <w:vAlign w:val="bottom"/>
          </w:tcPr>
          <w:p>
            <w:pPr>
              <w:jc w:val="center"/>
              <w:ind w:left="5"/>
              <w:spacing w:after="0"/>
              <w:rPr>
                <w:sz w:val="20"/>
                <w:szCs w:val="20"/>
                <w:color w:val="auto"/>
              </w:rPr>
            </w:pPr>
            <w:r>
              <w:rPr>
                <w:rFonts w:ascii="Arial" w:cs="Arial" w:eastAsia="Arial" w:hAnsi="Arial"/>
                <w:sz w:val="16"/>
                <w:szCs w:val="16"/>
                <w:b w:val="1"/>
                <w:bCs w:val="1"/>
                <w:color w:val="auto"/>
                <w:w w:val="95"/>
              </w:rPr>
              <w:t>April 1, 2017</w:t>
            </w:r>
          </w:p>
        </w:tc>
        <w:tc>
          <w:tcPr>
            <w:tcW w:w="1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Guarantor</w:t>
            </w:r>
          </w:p>
        </w:tc>
        <w:tc>
          <w:tcPr>
            <w:tcW w:w="1500" w:type="dxa"/>
            <w:vAlign w:val="bottom"/>
          </w:tcPr>
          <w:p>
            <w:pPr>
              <w:jc w:val="center"/>
              <w:ind w:left="2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56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500" w:type="dxa"/>
            <w:vAlign w:val="bottom"/>
          </w:tcPr>
          <w:p>
            <w:pPr>
              <w:jc w:val="center"/>
              <w:ind w:left="5"/>
              <w:spacing w:after="0"/>
              <w:rPr>
                <w:sz w:val="20"/>
                <w:szCs w:val="20"/>
                <w:color w:val="auto"/>
              </w:rPr>
            </w:pPr>
            <w:r>
              <w:rPr>
                <w:rFonts w:ascii="Arial" w:cs="Arial" w:eastAsia="Arial" w:hAnsi="Arial"/>
                <w:sz w:val="14"/>
                <w:szCs w:val="14"/>
                <w:b w:val="1"/>
                <w:bCs w:val="1"/>
                <w:color w:val="auto"/>
                <w:w w:val="88"/>
              </w:rPr>
              <w:t>Subsidiaries</w:t>
            </w: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6,142,568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84,153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6,226,721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23,150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989,154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317,695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1,329,999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4,896,722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6,226,721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-5239385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226,186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319,277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545,463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57,874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300,074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357,948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392,075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36,603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131,225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322,559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430,454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29,032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36,229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7,239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58,008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65,247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25,534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26,264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869,165</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1,044,448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(452,008)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1,461,605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1,078,761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314,910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1,391,932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1,121,941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1,051,973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2,173,914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599,618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800,945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1,400,563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25,971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35,494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447,613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138,398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(586,011)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2,596,172</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(8,738,740)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33,249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24,746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58,815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6,772,490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3,384,943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(9,861,831)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6,522,323</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111,799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104,447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216,246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36,603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392,075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111,700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170,584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31,943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31,998</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260,157</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564,199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418,828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989,154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171,284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43,560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131,511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138,398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129,918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(586,011)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35,014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51,094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86,108</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604,853</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788,771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(1,098,022)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1,625,601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6,167,637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2,596,172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(8,763,809)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4,896,722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6,772,490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3,384,943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(9,861,831)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6,522,323</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13"/>
          </w:tcPr>
          <w:p>
            <w:pPr>
              <w:jc w:val="center"/>
              <w:ind w:right="3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December 30, 2017</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845,739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212,574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473,330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508,812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336,927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106,411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126,555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79,807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193,324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256,607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26,752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78,522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(105,274)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(33,082)</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28,630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82,312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gridSpan w:val="13"/>
          </w:tcPr>
          <w:p>
            <w:pPr>
              <w:jc w:val="center"/>
              <w:ind w:right="51"/>
              <w:spacing w:after="0"/>
              <w:rPr>
                <w:sz w:val="20"/>
                <w:szCs w:val="20"/>
                <w:color w:val="auto"/>
              </w:rPr>
            </w:pPr>
            <w:r>
              <w:rPr>
                <w:rFonts w:ascii="Arial" w:cs="Arial" w:eastAsia="Arial" w:hAnsi="Arial"/>
                <w:sz w:val="16"/>
                <w:szCs w:val="16"/>
                <w:b w:val="1"/>
                <w:bCs w:val="1"/>
                <w:color w:val="auto"/>
                <w:w w:val="89"/>
              </w:rPr>
              <w:t>Condensed Consolidating Statement of Operations and Comprehensive Loss</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December 31, 2016</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826,347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227,556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548,314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515,705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111,951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61,606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130,672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195,878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249,261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61,381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(123,179)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(78,638)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193,232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(78,638)</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193,056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30, 2017</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240" w:type="dxa"/>
            <w:vAlign w:val="bottom"/>
          </w:tcPr>
          <w:p>
            <w:pPr>
              <w:spacing w:after="0"/>
              <w:rPr>
                <w:sz w:val="12"/>
                <w:szCs w:val="12"/>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2,308,153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592,928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1,346,505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1,413,827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894,326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334,308</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190,336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268,072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404,853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53,110</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264,723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573,762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792,271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102,055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(43,387)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60,824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(88,611)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171,024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66,806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171,024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(27,787)</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68,783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172,528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(241,311)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31, 2016</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240" w:type="dxa"/>
            <w:vAlign w:val="bottom"/>
          </w:tcPr>
          <w:p>
            <w:pPr>
              <w:spacing w:after="0"/>
              <w:rPr>
                <w:sz w:val="12"/>
                <w:szCs w:val="12"/>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2,329,712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2,389,582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785,654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1,609,839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1,485,666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903,916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355,166</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192,933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282,444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412,850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73,291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226,999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610,150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791,401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112,515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(45,205)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64,593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(137,059)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46,930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(72,466)</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47,351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30, 2017</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53,060</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365,199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593,562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(237,658)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(246,371)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debt issuances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42,121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(168,935)</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6"/>
              </w:rPr>
              <w:t>Net increase in cash, cash equivalents and restricted</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272,451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295,902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226,186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319,593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249,637</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592,044</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ind w:left="9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841,681</w:t>
            </w: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9"/>
          </w:tcPr>
          <w:p>
            <w:pPr>
              <w:jc w:val="center"/>
              <w:ind w:right="5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380" w:type="dxa"/>
            <w:vAlign w:val="bottom"/>
            <w:gridSpan w:val="9"/>
          </w:tcPr>
          <w:p>
            <w:pPr>
              <w:jc w:val="center"/>
              <w:ind w:right="560"/>
              <w:spacing w:after="0"/>
              <w:rPr>
                <w:sz w:val="20"/>
                <w:szCs w:val="20"/>
                <w:color w:val="auto"/>
              </w:rPr>
            </w:pPr>
            <w:r>
              <w:rPr>
                <w:rFonts w:ascii="Arial" w:cs="Arial" w:eastAsia="Arial" w:hAnsi="Arial"/>
                <w:sz w:val="16"/>
                <w:szCs w:val="16"/>
                <w:b w:val="1"/>
                <w:bCs w:val="1"/>
                <w:color w:val="auto"/>
                <w:w w:val="91"/>
              </w:rPr>
              <w:t>Nine Months Ended December 31, 2016</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5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135,096</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322,475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529,749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(386,955)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a business, net of cash acquired</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(118,002)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Proceeds from maturities and sales of available-for-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186,793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(323,254)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Excess tax benefit from exercises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38,417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(158,491)</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(135,076)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increase (decrease) in cash, cash equivalents and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70,061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220,633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205,429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426,062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209,654</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286,469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vMerge w:val="restart"/>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496,123</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540" w:type="dxa"/>
            <w:vAlign w:val="bottom"/>
            <w:gridSpan w:val="3"/>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and Section 21E of the Securities Exchange Act of 1934, as amended (the "Exchange Act"),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"estimate," "forecast," and "predict,"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downturns in the semiconductor industry and the overall global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customer demand accurately to limit obsolete inventory, which would reduce our margins;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accurately forecast their demand for our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right="4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certain development, supply, quality and other commitments under our supply arrangement with our largest customer with respect to a module for its 2018 smartphones;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right="5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improve our product designs, develop new products, and achieve design wins as our industry's technology changes rapidly;</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48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efficiently and successfully operate our wafer fabrication facilities, assembly facilities and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manufacturing yields and product quality;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50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distributors,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25" w:lineRule="exact"/>
        <w:rPr>
          <w:rFonts w:ascii="Arial" w:cs="Arial" w:eastAsia="Arial" w:hAnsi="Arial"/>
          <w:sz w:val="18"/>
          <w:szCs w:val="18"/>
          <w:color w:val="auto"/>
        </w:rPr>
      </w:pPr>
    </w:p>
    <w:p>
      <w:pPr>
        <w:ind w:left="740" w:right="66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right="260" w:hanging="408"/>
        <w:spacing w:after="0" w:line="277"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40" w:hanging="408"/>
        <w:spacing w:after="0" w:line="277"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impact of stringent environmental, health and safety regulations;</w:t>
      </w:r>
    </w:p>
    <w:p>
      <w:pPr>
        <w:spacing w:after="0" w:line="225" w:lineRule="exact"/>
        <w:rPr>
          <w:rFonts w:ascii="Arial" w:cs="Arial" w:eastAsia="Arial" w:hAnsi="Arial"/>
          <w:sz w:val="18"/>
          <w:szCs w:val="18"/>
          <w:color w:val="auto"/>
        </w:rPr>
      </w:pPr>
    </w:p>
    <w:p>
      <w:pPr>
        <w:ind w:left="720" w:right="200" w:hanging="41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including the Tax Cuts and Jobs Act enacted during the third quarter of fiscal 2018, and changes in generally accepted accounting principles;</w:t>
      </w:r>
    </w:p>
    <w:p>
      <w:pPr>
        <w:spacing w:after="0" w:line="170" w:lineRule="exact"/>
        <w:rPr>
          <w:rFonts w:ascii="Arial" w:cs="Arial" w:eastAsia="Arial" w:hAnsi="Arial"/>
          <w:sz w:val="18"/>
          <w:szCs w:val="18"/>
          <w:color w:val="auto"/>
        </w:rPr>
      </w:pPr>
    </w:p>
    <w:p>
      <w:pPr>
        <w:ind w:left="720" w:hanging="41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implementation of the Tax Cuts and Jobs Act on our business and results of operations; 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product and technology leader at the forefront of the growing global demand for always-on broadband connectivity. We combine a broad portfolio of radio frequency ("RF") solutions, highly differentiated semiconductor technologies, deep systems-level expertise and high volume scale manufacturing to supply a diverse group of customers in expanding markets, including smartphones and other mobile devices, defense and aerospace, Wi-Fi customer premises equipment, cellular base stations, optical networks, automotive connectivity and other Internet of Things ("IoT"), including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89"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We employ more than 8,500 people. We have world-class manufacturing facilities, and our fabrication facility in Richardson, Texas, is a U.S. Department of Defense accredited ‘Trusted Source’ (Category 1A) for gallium arsenide ("GaAs"), gallium nitride ("GaN") and bulk acoustic wave ("BAW") technologies. Our design and manufacturing expertise covers many semiconductor process technologies, which we source both internally and through external suppliers.</w:t>
      </w:r>
    </w:p>
    <w:p>
      <w:pPr>
        <w:ind w:right="20"/>
        <w:spacing w:after="0" w:line="323" w:lineRule="auto"/>
        <w:rPr>
          <w:sz w:val="20"/>
          <w:szCs w:val="20"/>
          <w:color w:val="auto"/>
        </w:rPr>
      </w:pPr>
      <w:r>
        <w:rPr>
          <w:rFonts w:ascii="Arial" w:cs="Arial" w:eastAsia="Arial" w:hAnsi="Arial"/>
          <w:sz w:val="16"/>
          <w:szCs w:val="16"/>
          <w:color w:val="auto"/>
        </w:rPr>
        <w:t>Our primary wafer fabrication facilities are in the U.S. (Florida, North Carolina, Oregon and Texas), and our primary assembly and test facilities are in China, Costa Rica, Germany and the U.S. (Texas). We also operate design, sales and manufacturing facilities throughout Asia, Europe and North America.</w:t>
      </w:r>
    </w:p>
    <w:p>
      <w:pPr>
        <w:spacing w:after="0" w:line="13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right="240" w:hanging="332"/>
        <w:spacing w:after="0" w:line="272"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is a leading global supplier of cellular RF and Wi-Fi solutions for a variety of mobile devices, including smartphones,</w:t>
      </w:r>
      <w:r>
        <w:rPr>
          <w:rFonts w:ascii="Arial" w:cs="Arial" w:eastAsia="Arial" w:hAnsi="Arial"/>
          <w:sz w:val="17"/>
          <w:szCs w:val="17"/>
          <w:i w:val="1"/>
          <w:iCs w:val="1"/>
          <w:color w:val="auto"/>
        </w:rPr>
        <w:t xml:space="preserve"> </w:t>
      </w:r>
      <w:r>
        <w:rPr>
          <w:rFonts w:ascii="Arial" w:cs="Arial" w:eastAsia="Arial" w:hAnsi="Arial"/>
          <w:sz w:val="17"/>
          <w:szCs w:val="17"/>
          <w:color w:val="auto"/>
        </w:rPr>
        <w:t>notebook computers, wearables, tablets, and cellular-based applications for the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to utilize available spectrum more efficiently.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340" w:right="120"/>
        <w:spacing w:after="0" w:line="306" w:lineRule="auto"/>
        <w:rPr>
          <w:sz w:val="20"/>
          <w:szCs w:val="20"/>
          <w:color w:val="auto"/>
        </w:rPr>
      </w:pPr>
      <w:r>
        <w:rPr>
          <w:rFonts w:ascii="Arial" w:cs="Arial" w:eastAsia="Arial" w:hAnsi="Arial"/>
          <w:sz w:val="18"/>
          <w:szCs w:val="18"/>
          <w:color w:val="auto"/>
        </w:rPr>
        <w:t>portfolio breadth, all of which are MP strengths. We offer a comprehensive product portfolio of BAW and surface acoustic wave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("PADs") and modules incorporating switches, PAs and duplexers.</w:t>
      </w:r>
    </w:p>
    <w:p>
      <w:pPr>
        <w:spacing w:after="0" w:line="160" w:lineRule="exact"/>
        <w:rPr>
          <w:sz w:val="20"/>
          <w:szCs w:val="20"/>
          <w:color w:val="auto"/>
        </w:rPr>
      </w:pPr>
    </w:p>
    <w:p>
      <w:pPr>
        <w:ind w:left="340" w:right="80" w:hanging="332"/>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with a diverse portfolio of solutions that "connect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spanning communications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Our IDP products include GaAs and GaN PAs, LNAs, switches, Complementary Metal Oxide Semiconductor ("CMOS") system-on-a-chip solutions, premium BAW and SAW filter solutions and various multi-chip and hybrid assemblies.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30, 2017,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operating income and operating income as a percentage of revenue (see Note 12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2018 FINANCIAL HIGHLIGHTS:</w:t>
      </w:r>
    </w:p>
    <w:p>
      <w:pPr>
        <w:spacing w:after="0" w:line="229" w:lineRule="exact"/>
        <w:rPr>
          <w:sz w:val="20"/>
          <w:szCs w:val="20"/>
          <w:color w:val="auto"/>
        </w:rPr>
      </w:pPr>
    </w:p>
    <w:p>
      <w:pPr>
        <w:jc w:val="both"/>
        <w:ind w:left="280" w:right="4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revenue increased 2.3% as compared to the third quarter of fiscal 2017, primarily due to higher demand for our cellular RF solutions in support of our largest customer as well as higher demand for our defense and aerospace products and our Wi-Fi products, partially offset by lower demand for our cellular RF solutions in support of customers based in China.</w:t>
      </w:r>
    </w:p>
    <w:p>
      <w:pPr>
        <w:spacing w:after="0" w:line="181" w:lineRule="exact"/>
        <w:rPr>
          <w:rFonts w:ascii="Arial" w:cs="Arial" w:eastAsia="Arial" w:hAnsi="Arial"/>
          <w:sz w:val="18"/>
          <w:szCs w:val="18"/>
          <w:color w:val="auto"/>
        </w:rPr>
      </w:pPr>
    </w:p>
    <w:p>
      <w:pPr>
        <w:ind w:left="280" w:right="140" w:hanging="272"/>
        <w:spacing w:after="0" w:line="286"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Gross margin for the third quarter of fiscal 2018 was 39.8% as compared to 37.6% for the third quarter of fiscal 2017. The increase was primarily due to favorable changes in product mix within our cellular RF solutions and lower depreciation (see Note 2 to the Condensed Consolidated Financial Statements), partially offset by higher intangible amortization, average selling price erosion and lower factory utilization.</w:t>
      </w:r>
    </w:p>
    <w:p>
      <w:pPr>
        <w:spacing w:after="0" w:line="165" w:lineRule="exact"/>
        <w:rPr>
          <w:rFonts w:ascii="Arial" w:cs="Arial" w:eastAsia="Arial" w:hAnsi="Arial"/>
          <w:sz w:val="17"/>
          <w:szCs w:val="17"/>
          <w:color w:val="auto"/>
        </w:rPr>
      </w:pPr>
    </w:p>
    <w:p>
      <w:pPr>
        <w:ind w:left="280" w:right="20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income was $80.3 million for the three months ended December 30, 2017 as compared to operating income of $61.4 million for the three months ended December 31, 2016.</w:t>
      </w:r>
    </w:p>
    <w:p>
      <w:pPr>
        <w:spacing w:after="0" w:line="170" w:lineRule="exact"/>
        <w:rPr>
          <w:rFonts w:ascii="Arial" w:cs="Arial" w:eastAsia="Arial" w:hAnsi="Arial"/>
          <w:sz w:val="18"/>
          <w:szCs w:val="18"/>
          <w:color w:val="auto"/>
        </w:rPr>
      </w:pPr>
    </w:p>
    <w:p>
      <w:pPr>
        <w:ind w:left="280" w:right="32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net loss per share for the third quarter of fiscal 2018 was $0.26 as compared to diluted net loss per share of $0.62 for the third quarter of fiscal 2017.</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flow from operations was $270.1 million for the third quarter of fiscal 2018 as compared to $220.4 million for the third quarter of fiscal 2017.</w:t>
      </w:r>
    </w:p>
    <w:p>
      <w:pPr>
        <w:spacing w:after="0" w:line="236" w:lineRule="exact"/>
        <w:rPr>
          <w:rFonts w:ascii="Arial" w:cs="Arial" w:eastAsia="Arial" w:hAnsi="Arial"/>
          <w:sz w:val="17"/>
          <w:szCs w:val="17"/>
          <w:color w:val="auto"/>
        </w:rPr>
      </w:pPr>
    </w:p>
    <w:p>
      <w:pPr>
        <w:jc w:val="both"/>
        <w:ind w:left="280" w:right="18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were $45.5 million for the third quarter of fiscal 2018 as compared to $136.5 million for the third quarter of fiscal 2017. This year-over-year decrease was primarily due to lower capital expenditures related to projects initiated in fiscal 2017 to increase premium filter capacity and for manufacturing cost savings initiatives.</w:t>
      </w:r>
    </w:p>
    <w:p>
      <w:pPr>
        <w:spacing w:after="0" w:line="181" w:lineRule="exact"/>
        <w:rPr>
          <w:rFonts w:ascii="Arial" w:cs="Arial" w:eastAsia="Arial" w:hAnsi="Arial"/>
          <w:sz w:val="18"/>
          <w:szCs w:val="18"/>
          <w:color w:val="auto"/>
        </w:rPr>
      </w:pPr>
    </w:p>
    <w:p>
      <w:pPr>
        <w:ind w:left="280" w:hanging="272"/>
        <w:spacing w:after="0" w:line="279"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Tax Cuts and Jobs Act (the "Tax Act"), enacted during the third quarter of fiscal 2018, lowers the U.S. federal corporate income tax rate from 35% to 21% as of January 1, 2018 and implements a territorial tax system that will allow the repatriation of future foreign earnings without incurring additional U.S. federal income tax. This tax law change resulted in a provisional tax benefit of $43.6 million to reduce the U.S. deferred tax assets and liabilities and a provisional tax expense of $139.5 million for the one-time deemed repatriation of our historical unremitted foreign earnings.</w:t>
      </w:r>
    </w:p>
    <w:p>
      <w:pPr>
        <w:spacing w:after="0" w:line="171" w:lineRule="exact"/>
        <w:rPr>
          <w:rFonts w:ascii="Arial" w:cs="Arial" w:eastAsia="Arial" w:hAnsi="Arial"/>
          <w:sz w:val="17"/>
          <w:szCs w:val="17"/>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third quarter of fiscal 2018, we repurchased approximately 1.1 million shares of our common stock for approximately $80.0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nine months ended December 30, 2017 and December 31, 2016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508,812</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515,705</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336,927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310,642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106,411</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111,951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126,555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130,672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23,641</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6,638</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17,003</w:t>
            </w:r>
          </w:p>
        </w:tc>
        <w:tc>
          <w:tcPr>
            <w:tcW w:w="10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80,320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61,381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18,939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December 30, 2017</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 of Revenue</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Revenue</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2,308,153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2,389,582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1,413,827</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1,485,666</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(71,839)</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894,326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903,916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334,308</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355,166</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(20,858)</w:t>
            </w:r>
          </w:p>
        </w:tc>
        <w:tc>
          <w:tcPr>
            <w:tcW w:w="10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404,853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412,850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53,110</w:t>
            </w:r>
          </w:p>
        </w:tc>
        <w:tc>
          <w:tcPr>
            <w:tcW w:w="1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23,385</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29,725</w:t>
            </w:r>
          </w:p>
        </w:tc>
        <w:tc>
          <w:tcPr>
            <w:tcW w:w="100" w:type="dxa"/>
            <w:vAlign w:val="bottom"/>
          </w:tcPr>
          <w:p>
            <w:pPr>
              <w:spacing w:after="0"/>
              <w:rPr>
                <w:sz w:val="21"/>
                <w:szCs w:val="21"/>
                <w:color w:val="auto"/>
              </w:rPr>
            </w:pP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102,055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112,515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Revenue increased for the three months ended December 30, 2017, as compared to the three months ended December 31, 2016, primarily due to higher demand for our cellular RF solutions in support of our largest customer as well as higher demand for our defense and aerospace products and our Wi-Fi products, partially offset by lower demand for our cellular RF solutions in support of customers based in China.</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decreased for the nine months ended December 30, 2017, as compared to the nine months ended December 31, 2016, primarily due to lower demand for our cellular RF solutions in support of customers based in China, partially offset by higher demand for our cellular RF solutions in support of our largest customer as well as higher demand for our defense and aerospace and our Wi-Fi products.</w:t>
      </w:r>
    </w:p>
    <w:p>
      <w:pPr>
        <w:spacing w:after="0" w:line="181" w:lineRule="exact"/>
        <w:rPr>
          <w:sz w:val="20"/>
          <w:szCs w:val="20"/>
          <w:color w:val="auto"/>
        </w:rPr>
      </w:pPr>
    </w:p>
    <w:p>
      <w:pPr>
        <w:jc w:val="both"/>
        <w:ind w:left="60" w:right="580"/>
        <w:spacing w:after="0" w:line="312" w:lineRule="auto"/>
        <w:rPr>
          <w:sz w:val="20"/>
          <w:szCs w:val="20"/>
          <w:color w:val="auto"/>
        </w:rPr>
      </w:pPr>
      <w:r>
        <w:rPr>
          <w:rFonts w:ascii="Arial" w:cs="Arial" w:eastAsia="Arial" w:hAnsi="Arial"/>
          <w:sz w:val="16"/>
          <w:szCs w:val="16"/>
          <w:color w:val="auto"/>
        </w:rPr>
        <w:t>Gross margin for the three months ended December 30, 2017 was 39.8%, as compared to 37.6% for the three months ended December 31, 2016. The increase was primarily due to favorable changes in product mix within our cellular RF solutions and lower depreciation (see Note 2 to the Condensed Consolidated Financial Statements), partially offset by higher intangible amortization, average selling price erosion and lower factory utilization.</w:t>
      </w:r>
    </w:p>
    <w:p>
      <w:pPr>
        <w:spacing w:after="0" w:line="147" w:lineRule="exact"/>
        <w:rPr>
          <w:sz w:val="20"/>
          <w:szCs w:val="20"/>
          <w:color w:val="auto"/>
        </w:rPr>
      </w:pPr>
    </w:p>
    <w:p>
      <w:pPr>
        <w:ind w:left="60" w:right="20"/>
        <w:spacing w:after="0" w:line="257" w:lineRule="auto"/>
        <w:rPr>
          <w:sz w:val="20"/>
          <w:szCs w:val="20"/>
          <w:color w:val="auto"/>
        </w:rPr>
      </w:pPr>
      <w:r>
        <w:rPr>
          <w:rFonts w:ascii="Arial" w:cs="Arial" w:eastAsia="Arial" w:hAnsi="Arial"/>
          <w:sz w:val="18"/>
          <w:szCs w:val="18"/>
          <w:color w:val="auto"/>
        </w:rPr>
        <w:t>Gross margin for the nine months ended December 30, 2017 was 38.7%, as compared to 37.8% for the nine months ended December 31, 2016. The increase was primarily due to favorable changes in product mix within our cellular RF solutions, improved manufacturing and test yields on certain high volume parts (including the low-band PAD modules that were adversely affected by unfavorable inventory adjustments in the second quarter of fiscal 2017) and lower depreciation (see Note 2 to the Condensed Consolidated Financial Statements). These increases to gross margin were partially offset by higher intangible amortization, average selling price erosion and lower factory utilization.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Research and development expense decreased for the three and nine months ended December 30, 2017, as compared to the three and nine months ended December 31, 2016, primarily due to ongoing efforts to optimize our product portfolio and restructuring actions that were initiated during the second quarter of fiscal 2018 to improve operating efficiencies.</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Selling, general and administrative expense decreased for the three and nine months ended December 30, 2017, as compared to the three and nine months ended December 31, 2016, primarily due to restructuring actions that were initiated during the second quarter of fiscal 2018 to improve operating efficiencies.</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operating expense increased for the three and nine months ended December 30, 2017, as compared to the three and nine months ended December 31, 2016, primarily due to restructuring actions that were initiated during the second quarter of fiscal 2018 to improve operating efficiencies. As a result of these actions, restructuring charges of approximately $8.2 million and $15.0 million, respectively (primarily related to employee termination benefits), and a loss on asset disposal of approximately $6.7 million and $9.7 million, respectively, were recorded for the three and nine months ended December 30, 2017. We expect to record additional restructuring charges of approximately $1.8 million primarily associated with employee termination benefits. In addition, for the three and nine months ended December 30, 2017, as compared to the three and nine months ended December 31, 2016, we recorded higher start-up costs, partially offset by lower acquisition and integration related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80" w:type="dxa"/>
            <w:vAlign w:val="bottom"/>
          </w:tcPr>
          <w:p>
            <w:pPr>
              <w:spacing w:after="0"/>
              <w:rPr>
                <w:sz w:val="13"/>
                <w:szCs w:val="13"/>
                <w:color w:val="auto"/>
              </w:rPr>
            </w:pPr>
          </w:p>
        </w:tc>
        <w:tc>
          <w:tcPr>
            <w:tcW w:w="15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3"/>
                <w:szCs w:val="13"/>
                <w:color w:val="auto"/>
              </w:rPr>
            </w:pPr>
          </w:p>
        </w:tc>
        <w:tc>
          <w:tcPr>
            <w:tcW w:w="14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Increase (Decrease)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642,089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656,788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190,990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19"/>
              <w:spacing w:after="0"/>
              <w:rPr>
                <w:sz w:val="20"/>
                <w:szCs w:val="20"/>
                <w:color w:val="auto"/>
              </w:rPr>
            </w:pPr>
            <w:r>
              <w:rPr>
                <w:rFonts w:ascii="Arial" w:cs="Arial" w:eastAsia="Arial" w:hAnsi="Arial"/>
                <w:sz w:val="18"/>
                <w:szCs w:val="18"/>
                <w:color w:val="auto"/>
              </w:rPr>
              <w:t>163,401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21"/>
                <w:szCs w:val="21"/>
                <w:color w:val="auto"/>
              </w:rPr>
            </w:pPr>
          </w:p>
        </w:tc>
        <w:tc>
          <w:tcPr>
            <w:tcW w:w="1780" w:type="dxa"/>
            <w:vAlign w:val="bottom"/>
          </w:tcPr>
          <w:p>
            <w:pPr>
              <w:jc w:val="right"/>
              <w:ind w:right="159"/>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80" w:type="dxa"/>
            <w:vAlign w:val="bottom"/>
          </w:tcPr>
          <w:p>
            <w:pPr>
              <w:spacing w:after="0"/>
              <w:rPr>
                <w:sz w:val="13"/>
                <w:szCs w:val="13"/>
                <w:color w:val="auto"/>
              </w:rPr>
            </w:pPr>
          </w:p>
        </w:tc>
        <w:tc>
          <w:tcPr>
            <w:tcW w:w="15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3"/>
                <w:szCs w:val="13"/>
                <w:color w:val="auto"/>
              </w:rPr>
            </w:pPr>
          </w:p>
        </w:tc>
        <w:tc>
          <w:tcPr>
            <w:tcW w:w="14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Decrease</w:t>
            </w:r>
          </w:p>
        </w:tc>
        <w:tc>
          <w:tcPr>
            <w:tcW w:w="120" w:type="dxa"/>
            <w:vAlign w:val="bottom"/>
            <w:vMerge w:val="restart"/>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1,728,709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1,910,003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(181,294)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451,689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119"/>
              <w:spacing w:after="0"/>
              <w:rPr>
                <w:sz w:val="20"/>
                <w:szCs w:val="20"/>
                <w:color w:val="auto"/>
              </w:rPr>
            </w:pPr>
            <w:r>
              <w:rPr>
                <w:rFonts w:ascii="Arial" w:cs="Arial" w:eastAsia="Arial" w:hAnsi="Arial"/>
                <w:sz w:val="18"/>
                <w:szCs w:val="18"/>
                <w:color w:val="auto"/>
              </w:rPr>
              <w:t>460,775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21"/>
                <w:szCs w:val="21"/>
                <w:color w:val="auto"/>
              </w:rPr>
            </w:pPr>
          </w:p>
        </w:tc>
        <w:tc>
          <w:tcPr>
            <w:tcW w:w="1780" w:type="dxa"/>
            <w:vAlign w:val="bottom"/>
          </w:tcPr>
          <w:p>
            <w:pPr>
              <w:jc w:val="right"/>
              <w:ind w:right="9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MP revenue decreased for the three and nine months ended December 30, 2017, as compared to the three and nine months ended December 31, 2016, primarily due to lower demand for our cellular RF solutions in support of customers based in China, partially offset by higher demand for our cellular RF solutions in support of our largest customer.</w:t>
      </w:r>
    </w:p>
    <w:p>
      <w:pPr>
        <w:spacing w:after="0" w:line="18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The increase in MP operating income as a percentage of revenue for the three months ended December 30, 2017, as compared to the three months ended December 31, 2016, was primarily due to higher gross margin and lower operating expense. Gross margin increased primarily due to favorable changes in product mix within our cellular RF solutions and lower depreciation (see Note 2 to the Condensed Consolidated Financial Statements), partially offset by average selling price erosion and lower factory utilization. Operating expense decreased primarily due to ongoing efforts to optimize our product portfolio and restructuring actions that were initiated during the second quarter of fiscal 2018 to improve operating efficiencies.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MP operating income as a percentage of revenue for the nine months ended December 30, 2017, as compared to the nine months ended December 31, 2016, was primarily due to higher gross margin and lower operating expense. Gross margin increased primarily due to favorable changes in product mix within our cellular RF solutions, improved manufacturing and test yields on certain high volume parts (including the low-band PAD modules that were adversely affected by unfavorable inventory adjustments in the second quarter of fiscal 2017) and lower depreciation (see Note 2 to the Condensed Consolidated Financial Statements). These increases to gross margin were partially offset by average selling price erosion and lower factory utilization. Operating expense decreased primarily due to ongoing efforts to optimize our product portfolio and restructuring actions that were initiated during the second quarter of fiscal 2018 to improve operating efficiencies.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202,680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168,589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34,091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7"/>
              </w:rPr>
              <w:t>20.2%</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63,281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45,278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18,003</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3"/>
                <w:szCs w:val="13"/>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576,534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476,669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99,865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7"/>
              </w:rPr>
              <w:t>21.0%</w:t>
            </w:r>
          </w:p>
        </w:tc>
        <w:tc>
          <w:tcPr>
            <w:tcW w:w="0" w:type="dxa"/>
            <w:vAlign w:val="bottom"/>
          </w:tcPr>
          <w:p>
            <w:pPr>
              <w:spacing w:after="0"/>
              <w:rPr>
                <w:sz w:val="1"/>
                <w:szCs w:val="1"/>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170,516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112,345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58,171</w:t>
            </w:r>
          </w:p>
        </w:tc>
        <w:tc>
          <w:tcPr>
            <w:tcW w:w="120" w:type="dxa"/>
            <w:vAlign w:val="bottom"/>
          </w:tcPr>
          <w:p>
            <w:pPr>
              <w:spacing w:after="0"/>
              <w:rPr>
                <w:sz w:val="21"/>
                <w:szCs w:val="21"/>
                <w:color w:val="auto"/>
              </w:rPr>
            </w:pPr>
          </w:p>
        </w:tc>
        <w:tc>
          <w:tcPr>
            <w:tcW w:w="1540" w:type="dxa"/>
            <w:vAlign w:val="bottom"/>
          </w:tcPr>
          <w:p>
            <w:pPr>
              <w:ind w:left="10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IDP revenue increased for the three and nine months ended December 30, 2017, as compared to the three and nine months ended December 31, 2016, primarily due to higher demand for our defense and aerospace and Wi-Fi products.</w:t>
      </w:r>
    </w:p>
    <w:p>
      <w:pPr>
        <w:spacing w:after="0" w:line="170"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increase in IDP operating income for the three and nine months ended December 30, 2017, as compared to the three and nine months ended December 31, 2016 was primarily due to higher revenue.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12 to the Condensed Consolidated Financial Statements for a reconciliation of segment operating income to the consolidated operating income (loss) for the three and nine months ended December 30, 2017 and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 in Estimate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first quarter of fiscal 2018, we changed our accounting estimate for the expected useful lives of certain machinery and equipment. We evaluated our current asset base and reassessed the estimated useful lives of certain machinery and equipment in connection with the implementation of several capital projects, including the migration of certain SAW processes from 4-inch to 6-inch toolsets and certain BAW processes from 6-inch to 8-inch toolsets. Based on our ability to re-use equipment across generations of process technologies and historical usage trends, we determined that the expected useful lives for certain machinery and equipment should be increased by up to three years to reflect more closely the estimated economic lives of those assets. This change in estimate was applied prospectively effective for the first quarter of fiscal 2018 and resulted in a decrease in depreciation expense of $15.6 million and $45.4 million for the three and nine months ended December 30, 2017, respectively. This decrease in depreciation expense for the three and nine months ended December 30, 2017, resulted in the following: (1) an increase to income from operations of $15.4 million and $32.7 million, respectively; (2) an increase to net income of $14.9 million and $30.5 million, respectively; (3) an improvement to earnings per share of $0.12 and $0.24, respectively; and (4) a reduction to inventory of $0.2 million and $12.7 million, respectively.</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change in depreciable lives is expected to lower depreciation expense for the remainder of fiscal 2018 by approximately $15.6 million (increasing gross profit by approximately $12.8 million and decreasing operating expenses by approximately $2.6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3"/>
                <w:szCs w:val="13"/>
                <w:color w:val="auto"/>
              </w:rPr>
            </w:pP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3"/>
                <w:szCs w:val="13"/>
                <w:color w:val="auto"/>
              </w:rPr>
            </w:pPr>
          </w:p>
        </w:tc>
        <w:tc>
          <w:tcPr>
            <w:tcW w:w="144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703</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(137,059)</w:t>
            </w:r>
          </w:p>
        </w:tc>
      </w:tr>
      <w:tr>
        <w:trPr>
          <w:trHeight w:val="486"/>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three and nine months ended December 30, 2017, we recorded interest expense related to the Notes and the Term Loan of $17.7 million and $52.3 million, respectively (which was offset by $2.0 million and $10.8 million of capitalized interest, respectively). During the three and nine months ended December 31, 2016, we recorded interest expense of $17.4 million and $52.2 million, respectively (which was offset by $3.6 million and $9.0 million of capitalized interest,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Our provision for income taxes for the three and nine months ended December 30, 2017 and December 31, 2016 was calculated by applying an estimate of the annual effective tax rate for the full fiscal year to “ordinary” income or loss (pre-tax income or loss excluding unusual or infrequently occurring discrete items) to year-to-date income (loss) to determine the amounts for the three and nine months ended December 30, 2017 and December 31, 2016.</w:t>
      </w:r>
    </w:p>
    <w:p>
      <w:pPr>
        <w:spacing w:after="0" w:line="1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and nine months ended December 30, 2017, we had an income tax expense of $98.5 million and $88.6 million, respectively, which was comprised primarily of tax expense from a provisional tax expense from the deemed repatriation of the historical foreign earnings upon enactment of the Tax Act, tax expense from international operations generating pre-tax book income and tax expense, for the nine months only, from the adoption of new accounting guidance related to intra-entity transfers of assets offset by tax benefits from a provisional remeasurement of U.S. deferred tax assets and liabilities for the decrease in the U.S. federal corporate income tax rate from 35% to 21% upon enactment of the Tax Act, domestic operations generating pre-tax book losses and tax benefit from the adoption of new accounting guidance related to stock compensation.</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three and nine months ended December 31, 2016, income tax expense was $123.2 million and $137.1 million, respectively, which was comprised primarily of tax expense related to domestic and international operations generating pre-tax book income offset by a tax benefit related to international operations generating pre-tax book losses. See Note 7 to the Condensed Consolidated Financial Statements for additional information regarding the Tax Act.</w:t>
      </w:r>
    </w:p>
    <w:p>
      <w:pPr>
        <w:spacing w:after="0" w:line="14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new Global Intangible Low-Taxed Income provisions of the Tax Act will increase our effective tax rate in future years. However, there will be a delayed impact on cash payments due primarily to the new 100% bonus depreciation provisions of the Tax Act, net operating losses and other tax credits.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Cash generated by operations is our primary source of liquidity. As of December 30, 2017, we had working capital of approximately $1,429.6 million, including $841.3 million in cash and cash equivalents, compared to working capital of approximately $1,042.8 million at April 1, 2017, including $545.5 million in cash and cash equivalents.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$841.3 million of total cash and cash equivalents as of December 30, 2017 includes approximately $588.2 million held by our foreign subsidiaries, of which $476.8 million is held by Qorvo International Pte. Ltd. in Singapore. If the undistributed earnings of our foreign subsidiaries are needed in the U.S., we may be required to accrue and pay state income and/or foreign local withholding taxes to repatriate. Our current plans are to permanently reinvest the undistributed earnings of our foreign subsidiaries, with the exception of Qorvo International Pte.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 During the nine months ended December 30, 2017, we repurchased approximately 2.3 million shares of our common stock for approximately $168.9 million. As of December 30, 2017, $213.1 million remains available for repurchases under this share repurchase program.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Operating activities for the nine months ended December 30, 2017 generated cash of $593.6 million, compared to $529.7 million for the nine months ended December 31, 2016. This year-over-year increase was driven by the timing of value added tax collections.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Net cash used in investing activities was $246.4 million for the nine months ended December 30, 2017, compared to $323.3 million for the nine months ended December 31, 2016. Capital expenditures for the nine months ended December 30, 2017 were down $149.3 million, compared to the nine months ended December 31, 2016, primarily due to lower capital expenditures on projects initiated in fiscal 2017 to increase premium filter capacity and for manufacturing cost savings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Net cash used in financing activities was $53.1 million for the nine months ended December 30, 2017, compared to net cash used in financing activities of $135.1 million for the nine months ended December 31, 2016. The year-over-year decrease was primarily due to net proceeds from borrowings of $98.1 million in the third quarter of fiscal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5, 2017, we and certain of our material domestic subsidiaries (the “Guarantors”) entered into a five-year unsecured senior</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with Bank of America, N.A., as administrative agent, swing line lender, and L/C issuer, and a syndicate of lenders (the “Credit Agreement”). The Credit Agreement includes a senior delayed draw term loan of up to $400.0 million (the "Term Loan") and a $300.0 million revolving line of credit (the "Revolving Facility", together with the Term Loan, the "Credit Facility"). On the closing date, $100.0 million of the Term Loan was funded, with the remainder available, at our discretion, in up to two advances within six months following the closing date. The Revolving Facility includes a $25.0 million sublimit for the issuance of standby letters of credit and a $10.0 million sublimit for swing line loans. We may request at any time, at our option, that the Credit Facility be increased by an amount not to exceed $300.0 million. The Credit Facility is available to finance working capital, capital expenditures and other corporate purposes. Our obligations under the Credit Agreement are jointly and severally guaranteed by the Guarantors. We had no outstanding amounts under the Revolving Facility as of December 30, 2017.</w:t>
      </w:r>
    </w:p>
    <w:p>
      <w:pPr>
        <w:spacing w:after="0" w:line="2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our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(as defined in the credit agreement) plus 1.0% (the “Base Rate”). All swingline loans will bear interest at a rate equal to the Applicable Rate plus the Base Rate. The Eurodollar Rate is the rate per annum equal to the London Interbank Offered Rate, as published by Bloomberg, for dollar deposits for interest periods of one, two, three, six or twelve months, as we selected. The Applicable Rate for Eurodollar Rate loans ranges from 1.125% per annum to 1.375% per annum. The Applicable Rate for Base Rate loans ranges from 0.125% per annum to 0.375% per annum. Interest for Eurodollar Rate loans will be payable at the end of each applicable interest period or at three-month intervals, if such interest period exceeds three months. Interest for Base Rate loans will be payable quarterly in arrears. We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contains various conditions, covenants and representations with which we must be in compliance in order to borrow funds and to avoid an event of default, including financial covenants that we must maintain. At December 30, 2017, we were in full compliance with these covenants. See Note 6 to the Condensed Consolidated Financial Statements for additional information regarding the Credit Agreement and related financial covenants.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On November 19, 2015, we completed an offering of $450.0 million aggregate principal amount of 6.75% senior notes due December 1, 2023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$550.0 million aggregate principal amount of 7.00% senior notes due December 1, 2025 (collectively the "Notes"). The Notes are senior unsecured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and are guaranteed, jointly and severally, by the Guarantors. Interest on both series of the Notes is payable semi-annually on June 1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of each year and commenced on June 1, 2016. Interest paid on the Notes during the nine months ended December 30, 2017 and December 31, 2016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$68.9 million and $71.2 million, respectively. At any time on or after December 1, 2018, we may redeem the 2023 Notes, in whole or in part, at once or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at the specified redemption prices set forth in the Indenture plus accrued and unpaid interest thereon to the redemption date (subject to the rights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holders of record on the relevant record date to receive interest due on the relevant interest payment date).</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Notes were issued pursuant to an indenture dated as of November 19, 2015 (the "Indenture") containing customary events of default, including payment default, failure to provide certain notices and certain provisions related to bankruptcy events. The Indenture also contains customary negative covenants. See Note 6 to the Condensed Consolidated Financial Statements for additional information regarding the Notes.</w:t>
      </w:r>
    </w:p>
    <w:p>
      <w:pPr>
        <w:spacing w:after="0" w:line="16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u w:val="single" w:color="auto"/>
          <w:color w:val="auto"/>
        </w:rPr>
        <w:t>Capital Commitments</w:t>
      </w:r>
      <w:r>
        <w:rPr>
          <w:rFonts w:ascii="Arial" w:cs="Arial" w:eastAsia="Arial" w:hAnsi="Arial"/>
          <w:sz w:val="17"/>
          <w:szCs w:val="17"/>
          <w:i w:val="1"/>
          <w:iCs w:val="1"/>
          <w:color w:val="auto"/>
        </w:rPr>
        <w:t xml:space="preserve"> </w:t>
      </w:r>
      <w:r>
        <w:rPr>
          <w:rFonts w:ascii="Arial" w:cs="Arial" w:eastAsia="Arial" w:hAnsi="Arial"/>
          <w:sz w:val="17"/>
          <w:szCs w:val="17"/>
          <w:color w:val="auto"/>
        </w:rPr>
        <w:t>At December 30, 2017, we had capital commitments of approximately $35.8 million primarily related to projects to increase our</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filter capacity, projects for manufacturing cost savings initiatives, equipment replacements and general corporate purposes.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limited to,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2018. For a discussion of our exposure to market risk, refer to Item 7A, “Quantitative and Qualitative Disclosures About Market Risk,” contained in Qorvo's Annual Report on Form 10-K for the fiscal year ended April 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 13a-15(e) and 15d-15(e) under the Exchange Act. Based on this evaluation,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December 30, 2017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April 1, 2017, which could materially affect our business, financial condition or future results. The risks described in Qorvo's Annual Report on Form 10-K for the fiscal year ended April 1, 2017 are not the only risks that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40"/>
          </w:cols>
          <w:pgMar w:left="24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43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8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spacing w:after="0" w:line="1"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26035</wp:posOffset>
            </wp:positionV>
            <wp:extent cx="18522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8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4">
            <w:col w:w="2980" w:space="720"/>
            <w:col w:w="2780" w:space="240"/>
            <w:col w:w="2060" w:space="340"/>
            <w:col w:w="2220"/>
          </w:cols>
          <w:pgMar w:left="240" w:top="122" w:right="319" w:bottom="1440" w:gutter="0" w:footer="0" w:header="0"/>
          <w:type w:val="continuous"/>
        </w:sectPr>
      </w:pPr>
    </w:p>
    <w:p>
      <w:pPr>
        <w:ind w:left="140"/>
        <w:spacing w:after="0"/>
        <w:rPr>
          <w:sz w:val="20"/>
          <w:szCs w:val="20"/>
          <w:color w:val="auto"/>
        </w:rPr>
      </w:pPr>
      <w:r>
        <w:rPr>
          <w:rFonts w:ascii="Arial" w:cs="Arial" w:eastAsia="Arial" w:hAnsi="Arial"/>
          <w:sz w:val="14"/>
          <w:szCs w:val="14"/>
          <w:color w:val="auto"/>
        </w:rPr>
        <w:t>October 1, 2017 to October 28, 2017</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October 29, 2017 to November 25, 2017</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November 26, 2017 to December 30, 2017</w:t>
      </w:r>
    </w:p>
    <w:p>
      <w:pPr>
        <w:spacing w:after="0" w:line="132"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3"/>
                <w:szCs w:val="23"/>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78.55</w:t>
            </w:r>
          </w:p>
        </w:tc>
        <w:tc>
          <w:tcPr>
            <w:tcW w:w="100" w:type="dxa"/>
            <w:vAlign w:val="bottom"/>
          </w:tcPr>
          <w:p>
            <w:pPr>
              <w:spacing w:after="0"/>
              <w:rPr>
                <w:sz w:val="23"/>
                <w:szCs w:val="23"/>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312</w:t>
            </w:r>
          </w:p>
        </w:tc>
      </w:tr>
      <w:tr>
        <w:trPr>
          <w:trHeight w:val="276"/>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72.30</w:t>
            </w: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w:t>
            </w:r>
          </w:p>
        </w:tc>
      </w:tr>
      <w:tr>
        <w:trPr>
          <w:trHeight w:val="237"/>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74.11</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1,080</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$293.1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$268.6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$213.1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$213.1 million</w:t>
      </w:r>
    </w:p>
    <w:p>
      <w:pPr>
        <w:spacing w:after="0" w:line="271" w:lineRule="exact"/>
        <w:rPr>
          <w:sz w:val="20"/>
          <w:szCs w:val="20"/>
          <w:color w:val="auto"/>
        </w:rPr>
      </w:pPr>
    </w:p>
    <w:p>
      <w:pPr>
        <w:sectPr>
          <w:pgSz w:w="11900" w:h="16838" w:orient="portrait"/>
          <w:cols w:equalWidth="0" w:num="3">
            <w:col w:w="2900" w:space="720"/>
            <w:col w:w="6100" w:space="720"/>
            <w:col w:w="900"/>
          </w:cols>
          <w:pgMar w:left="240" w:top="122" w:right="319" w:bottom="1440" w:gutter="0" w:footer="0" w:header="0"/>
          <w:type w:val="continuous"/>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3, 2016, our Board of Directors authorized a share repurchase program to repurchase up to $500.0 million of our outstanding stock.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does not have a fixed term, and may be modified, suspended or terminated at any time without prior notice.</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2" w:right="31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20" w:hanging="462"/>
        <w:spacing w:after="0" w:line="25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3">
        <w:r>
          <w:rPr>
            <w:rFonts w:ascii="Arial" w:cs="Arial" w:eastAsia="Arial" w:hAnsi="Arial"/>
            <w:sz w:val="18"/>
            <w:szCs w:val="18"/>
            <w:u w:val="single" w:color="auto"/>
            <w:color w:val="0000FF"/>
          </w:rPr>
          <w:t>Credit Agreement, dated as of December 5, 2017, by and among Qorvo, Inc., as the Borrower, certain subsidiaries of the Borrower identified therein,</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as the Guarantors, Bank of America, N.A., as Administrative Agent, Swing Line Lender and L/C Issuer, the other lenders party thereto, and Wells</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Fargo Bank, National Association, TD Bank, National Association, The Bank of Tokyo-Mitsubishi UFJ, Ltd., PNC Bank, National Association, and</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Bank of the West, as Co-Syndication Agents (incorporated by reference to Exhibit 10.1 to the Current Report on Form 8-K filed with the SEC on</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December 6, 2017)</w:t>
        </w:r>
      </w:hyperlink>
    </w:p>
    <w:p>
      <w:pPr>
        <w:spacing w:after="0" w:line="310" w:lineRule="exact"/>
        <w:rPr>
          <w:rFonts w:ascii="Arial" w:cs="Arial" w:eastAsia="Arial" w:hAnsi="Arial"/>
          <w:sz w:val="18"/>
          <w:szCs w:val="18"/>
          <w:u w:val="single" w:color="auto"/>
          <w:color w:val="0000FF"/>
        </w:rPr>
      </w:pPr>
    </w:p>
    <w:p>
      <w:pPr>
        <w:ind w:left="620" w:right="30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8">
        <w:r>
          <w:rPr>
            <w:rFonts w:ascii="Arial" w:cs="Arial" w:eastAsia="Arial" w:hAnsi="Arial"/>
            <w:sz w:val="18"/>
            <w:szCs w:val="18"/>
            <w:u w:val="single" w:color="auto"/>
            <w:color w:val="0000FF"/>
          </w:rPr>
          <w:t>Certification of Periodic Report by Robert A. Bruggeworth, as Chief Executive Officer, pursuant to Rule 13a-14(a) or 15d-14(a) of the Exchange</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30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39">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14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0">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1">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right="360" w:hanging="423"/>
        <w:spacing w:after="0" w:line="255"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December 30, 2017, formatted in XBRL (eXtensible Business Reporting Language): (i) the Condensed Consolidated Balance Sheets as of December 30, 2017 and April 1, 2017; (ii) the Condensed Consolidated Statements of Operations for the three and nine months ended December 30, 2017 and December 31, 2016; (iii) the Condensed Consolidated Statements of Comprehensive Loss for the three and nine months ended December 30, 2017 and December 31, 2016; (iv) the Condensed Consolidated Statements of Cash Flows for the nine months ended December 30, 2017 and December 31, 2016; and (v) the Notes to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1" w:right="29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February 1, 2018</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240" w:top="121" w:right="9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1, 2018</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1, 2018</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30, 2017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1, 2018</w:t>
      </w:r>
    </w:p>
    <w:p>
      <w:pPr>
        <w:sectPr>
          <w:pgSz w:w="11900" w:h="16838" w:orient="portrait"/>
          <w:cols w:equalWidth="0" w:num="1">
            <w:col w:w="11360"/>
          </w:cols>
          <w:pgMar w:left="240" w:top="576" w:right="29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20" w:hanging="652"/>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30, 2017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February 1, 2018</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3" Type="http://schemas.openxmlformats.org/officeDocument/2006/relationships/hyperlink" Target="http://www.sec.gov/Archives/edgar/data/1604778/000160477817000061/exhibit101-2017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2019-12-29T02:14:53Z</dcterms:created>
  <dcterms:modified xsi:type="dcterms:W3CDTF">2019-12-29T02:14:53Z</dcterms:modified>
</cp:coreProperties>
</file>