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4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December 29, 2018</w:t>
      </w:r>
    </w:p>
    <w:p>
      <w:pPr>
        <w:spacing w:after="0" w:line="6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20" w:right="4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0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29" w:right="359" w:bottom="1440" w:gutter="0" w:footer="0" w:header="0"/>
        </w:sectPr>
      </w:pPr>
    </w:p>
    <w:p>
      <w:pPr>
        <w:spacing w:after="0" w:line="15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46-5288992</w:t>
      </w:r>
    </w:p>
    <w:p>
      <w:pPr>
        <w:spacing w:after="0" w:line="90" w:lineRule="exact"/>
        <w:rPr>
          <w:sz w:val="24"/>
          <w:szCs w:val="24"/>
          <w:color w:val="auto"/>
        </w:rPr>
      </w:pPr>
    </w:p>
    <w:p>
      <w:pPr>
        <w:sectPr>
          <w:pgSz w:w="11900" w:h="16838" w:orient="portrait"/>
          <w:cols w:equalWidth="0" w:num="2">
            <w:col w:w="7700" w:space="720"/>
            <w:col w:w="2880"/>
          </w:cols>
          <w:pgMar w:left="240" w:top="229"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20" w:space="720"/>
            <w:col w:w="3760"/>
          </w:cols>
          <w:pgMar w:left="240" w:top="229" w:right="359" w:bottom="1440" w:gutter="0" w:footer="0" w:header="0"/>
          <w:type w:val="continuous"/>
        </w:sectPr>
      </w:pPr>
    </w:p>
    <w:p>
      <w:pPr>
        <w:spacing w:after="0" w:line="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(Zip Code)</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ind w:right="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right="4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300"/>
        <w:spacing w:after="0" w:line="184" w:lineRule="exact"/>
        <w:tabs>
          <w:tab w:leader="none" w:pos="2780" w:val="left"/>
          <w:tab w:leader="none" w:pos="4920" w:val="left"/>
          <w:tab w:leader="none" w:pos="7000" w:val="left"/>
          <w:tab w:leader="none" w:pos="9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92" w:lineRule="exact"/>
        <w:rPr>
          <w:sz w:val="24"/>
          <w:szCs w:val="24"/>
          <w:color w:val="auto"/>
        </w:rPr>
      </w:pPr>
    </w:p>
    <w:p>
      <w:pPr>
        <w:ind w:lef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30, 2019, there were 122,788,565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260" w:type="dxa"/>
            <w:vAlign w:val="bottom"/>
            <w:gridSpan w:val="21"/>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gridSpan w:val="8"/>
          </w:tcPr>
          <w:p>
            <w:pPr>
              <w:jc w:val="center"/>
              <w:ind w:right="2980"/>
              <w:spacing w:after="0"/>
              <w:rPr>
                <w:sz w:val="20"/>
                <w:szCs w:val="20"/>
                <w:color w:val="auto"/>
              </w:rPr>
            </w:pPr>
            <w:r>
              <w:rPr>
                <w:rFonts w:ascii="Arial" w:cs="Arial" w:eastAsia="Arial" w:hAnsi="Arial"/>
                <w:sz w:val="18"/>
                <w:szCs w:val="18"/>
                <w:b w:val="1"/>
                <w:bCs w:val="1"/>
                <w:color w:val="auto"/>
                <w:w w:val="99"/>
              </w:rPr>
              <w:t>QORVO, INC. AND SUBSIDIARIES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6"/>
          </w:tcPr>
          <w:p>
            <w:pPr>
              <w:jc w:val="center"/>
              <w:ind w:right="41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20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1"/>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98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29, 2018 and March 31, 2018</w:t>
              </w:r>
            </w:hyperlink>
          </w:p>
        </w:tc>
        <w:tc>
          <w:tcPr>
            <w:tcW w:w="11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for the three and nine months ended December 29, 2018 and December 30, 2017</w:t>
              </w:r>
            </w:hyperlink>
          </w:p>
        </w:tc>
        <w:tc>
          <w:tcPr>
            <w:tcW w:w="114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 the three and nine months ended December 29, 2018 and</w:t>
              </w:r>
            </w:hyperlink>
          </w:p>
        </w:tc>
        <w:tc>
          <w:tcPr>
            <w:tcW w:w="20" w:type="dxa"/>
            <w:vAlign w:val="bottom"/>
            <w:tcBorders>
              <w:top w:val="single" w:sz="8" w:color="0000EE"/>
            </w:tcBorders>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30, 2017</w:t>
              </w:r>
            </w:hyperlink>
          </w:p>
        </w:tc>
        <w:tc>
          <w:tcPr>
            <w:tcW w:w="1140" w:type="dxa"/>
            <w:vAlign w:val="bottom"/>
            <w:gridSpan w:val="3"/>
          </w:tcPr>
          <w:p>
            <w:pPr>
              <w:jc w:val="right"/>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December 29, 2018 and December 30, 2017</w:t>
              </w:r>
            </w:hyperlink>
          </w:p>
        </w:tc>
        <w:tc>
          <w:tcPr>
            <w:tcW w:w="1220" w:type="dxa"/>
            <w:vAlign w:val="bottom"/>
            <w:gridSpan w:val="3"/>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14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6"/>
          </w:tcPr>
          <w:p>
            <w:pPr>
              <w:spacing w:after="0"/>
              <w:rPr>
                <w:rFonts w:ascii="Arial" w:cs="Arial" w:eastAsia="Arial" w:hAnsi="Arial"/>
                <w:sz w:val="18"/>
                <w:szCs w:val="18"/>
                <w:b w:val="1"/>
                <w:bCs w:val="1"/>
                <w:color w:val="0000FF"/>
                <w:w w:val="89"/>
              </w:rPr>
            </w:pPr>
            <w:hyperlink w:anchor="page27">
              <w:r>
                <w:rPr>
                  <w:rFonts w:ascii="Arial" w:cs="Arial" w:eastAsia="Arial" w:hAnsi="Arial"/>
                  <w:sz w:val="18"/>
                  <w:szCs w:val="18"/>
                  <w:b w:val="1"/>
                  <w:bCs w:val="1"/>
                  <w:color w:val="0000FF"/>
                  <w:w w:val="89"/>
                </w:rPr>
                <w:t>Item 2. Management's Discussion and Analysis of Financial Condition and Results of Operations.</w:t>
              </w:r>
            </w:hyperlink>
          </w:p>
        </w:tc>
        <w:tc>
          <w:tcPr>
            <w:tcW w:w="2760" w:type="dxa"/>
            <w:vAlign w:val="bottom"/>
            <w:gridSpan w:val="4"/>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4"/>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760" w:type="dxa"/>
            <w:vAlign w:val="bottom"/>
            <w:gridSpan w:val="4"/>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8"/>
          </w:tcPr>
          <w:p>
            <w:pPr>
              <w:spacing w:after="0"/>
              <w:rPr>
                <w:rFonts w:ascii="Arial" w:cs="Arial" w:eastAsia="Arial" w:hAnsi="Arial"/>
                <w:sz w:val="18"/>
                <w:szCs w:val="18"/>
                <w:b w:val="1"/>
                <w:bCs w:val="1"/>
                <w:color w:val="0000FF"/>
                <w:w w:val="88"/>
              </w:rPr>
            </w:pPr>
            <w:hyperlink w:anchor="page36">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4920" w:type="dxa"/>
            <w:vAlign w:val="bottom"/>
            <w:gridSpan w:val="6"/>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114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9"/>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1A. Risk Factors.</w:t>
              </w:r>
            </w:hyperlink>
          </w:p>
        </w:tc>
        <w:tc>
          <w:tcPr>
            <w:tcW w:w="7280" w:type="dxa"/>
            <w:vAlign w:val="bottom"/>
            <w:gridSpan w:val="11"/>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Item 2. Unregistered Sales of Equity Securities and Use of Proceeds.</w:t>
              </w:r>
            </w:hyperlink>
          </w:p>
        </w:tc>
        <w:tc>
          <w:tcPr>
            <w:tcW w:w="502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40" w:type="dxa"/>
            <w:vAlign w:val="bottom"/>
            <w:gridSpan w:val="8"/>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6. Exhibits.</w:t>
              </w:r>
            </w:hyperlink>
          </w:p>
        </w:tc>
        <w:tc>
          <w:tcPr>
            <w:tcW w:w="502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96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8960" w:type="dxa"/>
            <w:vAlign w:val="bottom"/>
            <w:gridSpan w:val="15"/>
          </w:tcPr>
          <w:p>
            <w:pPr>
              <w:spacing w:after="0"/>
              <w:rPr>
                <w:sz w:val="24"/>
                <w:szCs w:val="24"/>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4"/>
          </w:tcPr>
          <w:p>
            <w:pPr>
              <w:spacing w:after="0"/>
              <w:rPr>
                <w:sz w:val="24"/>
                <w:szCs w:val="24"/>
                <w:color w:val="auto"/>
              </w:rPr>
            </w:pPr>
          </w:p>
        </w:tc>
        <w:tc>
          <w:tcPr>
            <w:tcW w:w="5240" w:type="dxa"/>
            <w:vAlign w:val="bottom"/>
            <w:gridSpan w:val="11"/>
          </w:tcPr>
          <w:p>
            <w:pPr>
              <w:jc w:val="center"/>
              <w:ind w:left="3690"/>
              <w:spacing w:after="0"/>
              <w:rPr>
                <w:sz w:val="20"/>
                <w:szCs w:val="20"/>
                <w:color w:val="auto"/>
              </w:rPr>
            </w:pPr>
            <w:r>
              <w:rPr>
                <w:rFonts w:ascii="Arial" w:cs="Arial" w:eastAsia="Arial" w:hAnsi="Arial"/>
                <w:sz w:val="18"/>
                <w:szCs w:val="18"/>
                <w:color w:val="auto"/>
                <w:w w:val="99"/>
              </w:rPr>
              <w:t>2</w:t>
            </w: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2018</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926,037</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2"/>
              </w:rPr>
              <w:t>Accounts receivable, less allowance of $159 and $134 as of December 29, 2018 and March 31, 2018,</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420,903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345,957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jc w:val="center"/>
              <w:ind w:right="5650"/>
              <w:spacing w:after="0"/>
              <w:rPr>
                <w:sz w:val="20"/>
                <w:szCs w:val="20"/>
                <w:color w:val="auto"/>
              </w:rPr>
            </w:pPr>
            <w:r>
              <w:rPr>
                <w:rFonts w:ascii="Arial" w:cs="Arial" w:eastAsia="Arial" w:hAnsi="Arial"/>
                <w:sz w:val="18"/>
                <w:szCs w:val="18"/>
                <w:color w:val="auto"/>
                <w:w w:val="91"/>
              </w:rPr>
              <w:t xml:space="preserve">Inventories </w:t>
            </w:r>
            <w:r>
              <w:rPr>
                <w:rFonts w:ascii="Arial" w:cs="Arial" w:eastAsia="Arial" w:hAnsi="Arial"/>
                <w:sz w:val="18"/>
                <w:szCs w:val="18"/>
                <w:i w:val="1"/>
                <w:iCs w:val="1"/>
                <w:color w:val="auto"/>
                <w:w w:val="91"/>
              </w:rPr>
              <w:t>(Note 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43"/>
        </w:trPr>
        <w:tc>
          <w:tcPr>
            <w:tcW w:w="7900" w:type="dxa"/>
            <w:vAlign w:val="bottom"/>
          </w:tcPr>
          <w:p>
            <w:pPr>
              <w:jc w:val="center"/>
              <w:ind w:right="5670"/>
              <w:spacing w:after="0"/>
              <w:rPr>
                <w:sz w:val="20"/>
                <w:szCs w:val="20"/>
                <w:color w:val="auto"/>
              </w:rPr>
            </w:pPr>
            <w:r>
              <w:rPr>
                <w:rFonts w:ascii="Arial" w:cs="Arial" w:eastAsia="Arial" w:hAnsi="Arial"/>
                <w:sz w:val="18"/>
                <w:szCs w:val="18"/>
                <w:color w:val="auto"/>
                <w:w w:val="87"/>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1,843,805</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$1,159,495 at December 29, 2018 and $911,910</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at March 31, 2018</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1,397,589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2"/>
              </w:rPr>
              <w:t>Intangible assets, net of accumulated amortization of $2,110,694 at December 29, 2018 and $1,711,520 at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jc w:val="center"/>
              <w:ind w:right="5630"/>
              <w:spacing w:after="0"/>
              <w:rPr>
                <w:sz w:val="20"/>
                <w:szCs w:val="20"/>
                <w:color w:val="auto"/>
              </w:rPr>
            </w:pPr>
            <w:r>
              <w:rPr>
                <w:rFonts w:ascii="Arial" w:cs="Arial" w:eastAsia="Arial" w:hAnsi="Arial"/>
                <w:sz w:val="18"/>
                <w:szCs w:val="18"/>
                <w:color w:val="auto"/>
                <w:w w:val="91"/>
              </w:rPr>
              <w:t xml:space="preserve">March 31, 2018 </w:t>
            </w:r>
            <w:r>
              <w:rPr>
                <w:rFonts w:ascii="Arial" w:cs="Arial" w:eastAsia="Arial" w:hAnsi="Arial"/>
                <w:sz w:val="18"/>
                <w:szCs w:val="18"/>
                <w:i w:val="1"/>
                <w:iCs w:val="1"/>
                <w:color w:val="auto"/>
                <w:w w:val="91"/>
              </w:rPr>
              <w:t>(Note 4)</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463,359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860,336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65,222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65,612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5,806,291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229,266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213,193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6 )</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714,402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983,290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11)</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93,659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118,302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1,605,955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123,001</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1"/>
              </w:rPr>
              <w:t>and 126,322 shares issued and outstanding at December 29, 2018 and March 31, 2018,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4,966,059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5,237,085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(458,769)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4,577,320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5,806,291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20"/>
        <w:spacing w:after="0"/>
        <w:tabs>
          <w:tab w:leader="none" w:pos="6620" w:val="left"/>
        </w:tabs>
        <w:rPr>
          <w:sz w:val="20"/>
          <w:szCs w:val="20"/>
          <w:color w:val="auto"/>
        </w:rPr>
      </w:pPr>
      <w:r>
        <w:rPr>
          <w:rFonts w:ascii="Arial" w:cs="Arial" w:eastAsia="Arial" w:hAnsi="Arial"/>
          <w:sz w:val="14"/>
          <w:szCs w:val="14"/>
          <w:b w:val="1"/>
          <w:bCs w:val="1"/>
          <w:color w:val="auto"/>
        </w:rPr>
        <w:t>December 29, 2018</w:t>
      </w:r>
      <w:r>
        <w:rPr>
          <w:sz w:val="20"/>
          <w:szCs w:val="20"/>
          <w:color w:val="auto"/>
        </w:rPr>
        <w:tab/>
      </w:r>
      <w:r>
        <w:rPr>
          <w:rFonts w:ascii="Arial" w:cs="Arial" w:eastAsia="Arial" w:hAnsi="Arial"/>
          <w:sz w:val="12"/>
          <w:szCs w:val="12"/>
          <w:b w:val="1"/>
          <w:bCs w:val="1"/>
          <w:color w:val="auto"/>
        </w:rPr>
        <w:t>December 30, 2017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December 29, 2018</w:t>
      </w:r>
      <w:r>
        <w:rPr>
          <w:sz w:val="20"/>
          <w:szCs w:val="20"/>
          <w:color w:val="auto"/>
        </w:rPr>
        <w:tab/>
      </w:r>
      <w:r>
        <w:rPr>
          <w:rFonts w:ascii="Arial" w:cs="Arial" w:eastAsia="Arial" w:hAnsi="Arial"/>
          <w:sz w:val="12"/>
          <w:szCs w:val="12"/>
          <w:b w:val="1"/>
          <w:bCs w:val="1"/>
          <w:color w:val="auto"/>
        </w:rPr>
        <w:t>December 30, 2017</w:t>
      </w:r>
    </w:p>
    <w:p>
      <w:pPr>
        <w:spacing w:after="0" w:line="25" w:lineRule="exact"/>
        <w:rPr>
          <w:sz w:val="20"/>
          <w:szCs w:val="20"/>
          <w:color w:val="auto"/>
        </w:rPr>
      </w:pPr>
    </w:p>
    <w:p>
      <w:pPr>
        <w:sectPr>
          <w:pgSz w:w="11900" w:h="16838" w:orient="portrait"/>
          <w:cols w:equalWidth="0" w:num="2">
            <w:col w:w="7800" w:space="540"/>
            <w:col w:w="30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832,330</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845,739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2,409,443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2,308,153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493,967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508,812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1,480,833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1,413,827</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928,610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894,326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334,308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125,604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126,555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401,041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404,853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 9)</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257,206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256,607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776,191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792,271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(43,387)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70,889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41,596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60,824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11)</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(88,611)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per share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12):</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124,308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127,034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125,437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127,084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126,842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127,034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128,360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127,084</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2017</w:t>
            </w:r>
          </w:p>
        </w:tc>
        <w:tc>
          <w:tcPr>
            <w:tcW w:w="16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 2018</w:t>
            </w:r>
          </w:p>
        </w:tc>
        <w:tc>
          <w:tcPr>
            <w:tcW w:w="160" w:type="dxa"/>
            <w:vAlign w:val="bottom"/>
          </w:tcPr>
          <w:p>
            <w:pPr>
              <w:spacing w:after="0"/>
              <w:rPr>
                <w:sz w:val="22"/>
                <w:szCs w:val="22"/>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30, 2017</w:t>
            </w:r>
          </w:p>
        </w:tc>
      </w:tr>
      <w:tr>
        <w:trPr>
          <w:trHeight w:val="27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r>
      <w:tr>
        <w:trPr>
          <w:trHeight w:val="22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4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Unrealized (loss) gain on marketable securities,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including intra-</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w w:val="93"/>
              </w:rPr>
              <w:t>entity foreign currency transactions that are of a long-term</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66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1,517</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Foreign currency gain included in net income (loss)</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1,224</w:t>
            </w: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 2018</w:t>
            </w:r>
          </w:p>
        </w:tc>
        <w:tc>
          <w:tcPr>
            <w:tcW w:w="200" w:type="dxa"/>
            <w:vAlign w:val="bottom"/>
          </w:tcPr>
          <w:p>
            <w:pPr>
              <w:spacing w:after="0"/>
              <w:rPr>
                <w:sz w:val="22"/>
                <w:szCs w:val="22"/>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30, 2017</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71,608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(27,787)</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143,008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132,879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406,375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84,004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3,244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18"/>
                <w:szCs w:val="18"/>
                <w:i w:val="1"/>
                <w:iCs w:val="1"/>
                <w:color w:val="auto"/>
              </w:rPr>
              <w:t>(Note 9)</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58,299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12,276</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6,974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 and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94,566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8,652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593,562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(237,658)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debt securities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and maturities of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(8,713)</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(246,371)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Payment of debt </w:t>
            </w:r>
            <w:r>
              <w:rPr>
                <w:rFonts w:ascii="Arial" w:cs="Arial" w:eastAsia="Arial" w:hAnsi="Arial"/>
                <w:sz w:val="18"/>
                <w:szCs w:val="18"/>
                <w:i w:val="1"/>
                <w:iCs w:val="1"/>
                <w:color w:val="auto"/>
              </w:rPr>
              <w:t>(Note 6)</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Proceeds from debt issuances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(168,935)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42,121</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(24,343)</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r>
      <w:tr>
        <w:trPr>
          <w:trHeight w:val="169"/>
        </w:trPr>
        <w:tc>
          <w:tcPr>
            <w:tcW w:w="80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295,902</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926,402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545,779</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650,064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841,681</w:t>
            </w:r>
          </w:p>
        </w:tc>
      </w:tr>
      <w:tr>
        <w:trPr>
          <w:trHeight w:val="67"/>
        </w:trPr>
        <w:tc>
          <w:tcPr>
            <w:tcW w:w="8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37,206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26,743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31, 2018.</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2018 financial statements have been reclassified to conform with the fiscal 2019 presentation.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2019 and 2018 are 52-week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31, 2018.</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August 2018, the FASB issued Accounting Standards Update ("ASU") 2018-15,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The new guidance clarifies</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accounting for implementation costs in cloud computing arrangements. The Company intends to adopt the guidance, prospectively, in the fourth quarter of fiscal 2019 and does not expect any significant impact to the Company's Condensed Consolidated Financial Statements.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The new guidance clarifies the definition of a business and provides further guidance for evaluating whether a transaction will be accounted for as an acquisition of an asset or a business. The new standard became effective for the Company in the first quarter of fiscal 2019. There was no impact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(a consensus of the FASB’s Emerging Issues Task Force)." </w:t>
      </w:r>
      <w:r>
        <w:rPr>
          <w:rFonts w:ascii="Arial" w:cs="Arial" w:eastAsia="Arial" w:hAnsi="Arial"/>
          <w:sz w:val="16"/>
          <w:szCs w:val="16"/>
          <w:color w:val="auto"/>
        </w:rPr>
        <w:t>The new guidance addresses eight specific cash flow issues with the objective of reducing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diversity in practice. The new standard became effective for the Company in the first quarter of fiscal 2019. The Company's historical policies were consistent with the new standard, and therefore, there was no impact to the Company's Condensed Consolidated Financial Statements.</w:t>
      </w:r>
    </w:p>
    <w:p>
      <w:pPr>
        <w:spacing w:after="0" w:line="15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new guidance requires lessees to recognize a right-of-use asset and a lease liability for all leases with a term longer than 12 months, including those previously described as operating leases. Also, in July 2018, the FASB issued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to provide clarification on specific topics, including adoption guidance and practical expedients. The Company plans to adopt the new guidance utilizing the modified retrospective method and will recognize any cumulative effect adjustment in retained earnings at the beginning of the period of adoption. The Company also plans to elect the package of three practical expedients that permits the Company to maintain its historical conclusions about lease identification, lease classification and initial direct costs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leases that exist at the date of adoption. Currently, the Company is assessing the other available practical expedients for potential adoption. The guidance will become effective for the Company in the first quarter of fiscal 2020. The Company expects the valuation of the right-of-use assets and lease liabilities, for leases previously described as operating leases, to be the present value of its forecasted future lease commitments, as determined by the standard. The Company is continuing to assess the overall impacts of the new standard, including the discount rate to be applied in these valuations.</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The new guidance affects the accounting for equity investments, financial liabilities measured under the fair value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was adopted by the Company in the first quarter of fiscal 2019 and there was no material impact to the Company's Condensed Consolidated Financial Statements.</w:t>
      </w:r>
    </w:p>
    <w:p>
      <w:pPr>
        <w:spacing w:after="0" w:line="15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several amendments subsequently issued. The new guidance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The Company adopted the standard in the first quarter of fiscal 2019 using the modified retrospective approach, under which the cumulative effect of adoption is recognized at the date of initial application. This standard did not have a material impact on the Company's Condensed Consolidated Financial Statements. The Company has implemented changes to its accounting policies, internal controls and disclosures to support the new standard; however, these changes were not material. See Note 8 for further disclosures resulting from the adoption of this new standard.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2018</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222,499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221,137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140,766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464,949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472,292</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7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Total intangible assets decreased to $463.4 million as of December 29, 2018, compared to $860.3 million as of March 31, 2018. This decrease was primarily due to amortization expense for the three and nine months ended December 29, 2018 of $132.5 million and $399.2 million, respectively, primarily related to developed technology and customer relationships (which had net book values of $324.2 million and $127.3 million, respectively, as of December 29,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available-for-sale debt securities as of December 29, 2018 and March 31, 2018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29, 2018</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31, 2018</w:t>
            </w:r>
          </w:p>
        </w:tc>
        <w:tc>
          <w:tcPr>
            <w:tcW w:w="2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20" w:type="dxa"/>
            <w:vAlign w:val="bottom"/>
            <w:vMerge w:val="restart"/>
          </w:tcPr>
          <w:p>
            <w:pPr>
              <w:jc w:val="right"/>
              <w:ind w:right="43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estimated fair value of available-for-sale debt securities was based on the prevailing market values on December 29, 2018 and March 31, 2018.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w w:val="99"/>
              </w:rPr>
              <w:t>December 29, 2018</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10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1,950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29, 2018, the Company has invested $60.0 million to acquire preferred shares of a private limited company. This investment was determined to be an equity investment without a readily determinable fair value and is accounted for using the measurement alternative in accordance with ASU 2016-01. As of December 29, 2018, there was no impairment or observable price change for this investment. This investment is classified in "Long-term investments" in the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Marketable securities are measured at fair value and recorded in "Cash and cash equivalents," "Other current assets" and "Long-term investments" in the Condensed Consolidated Balance Sheets, and the related unrealized gains and losses are included in "Accumulated other comprehensive loss," a component of stockholders’ equity, net of tax (debt securities) and "Other income (expense)" on the Condensed Consolidated Statements of Operations (equity securities).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December 29, 2018 and March 31, 2018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29, 2018</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Marketable equity securities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21,333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16,136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80"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Level 2 auction rate securities are debt instruments with interest rates that reset through periodic short-term auctions and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10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2018 and March 31, 2018,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The carrying values of cash and cash equivalents, accounts receivable, accounts payable and other accrued liabilities approximate fair values because of the relatively short-term maturities of these instruments. See Note 6 for further disclosures related to the fair value of the Company's long-term debt.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December 29, 2018 and March 31, 2018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29,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444,464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91,009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548,500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unamortized premium and issuance costs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(9,674)</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714,402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983,290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19, 2015, the Company issued $450.0 million aggregate principal amount 6.75% senior notes due December 1, 2023 (the "2023 Notes") and $550.0 million aggregate principal amount 7.00% senior notes due December 1, 2025 (the "2025 Notes"). The 2023 Notes were, and the 2025 Notes are, senior unsecured obligations of the Company and guaranteed, jointly and severally, by the Company and certain of its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15, 2018, the Company commenced cash tender offers for any and all of the 2023 Notes (the “2023 Tender Offer”) and up to $150.0 million of the 2025 Notes (the "2025 Tender Offer"). On June 29, 2018, the Company completed the purchase of $429.2 million aggregate principal amount of the 2023 Notes at a price equal to 106.75% of the principal amount of the 2023 Notes purchased, plus accrued and unpaid interest. On July 19, 2018, the Company redeemed the remaining $15.3 million principal amount of the 2023 Notes at a redemption price equal to 100.0% of the principal amount, plus a make-whole premium and accrued and unpaid interest.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July 10, 2018, the Company increased the tender cap for the 2025 Tender Offer to $300.0 million, and on July 16, 2018, the Company completed the purchase of $300.0 million aggregate principal amount of the 2025 Notes at a price equal to 109.63% of the principal amount of the 2025 Notes purchased, plus accrued and unpaid interest.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August 14, 2018, the Company commenced a cash tender offer for up to $130.0 million of the 2025 Notes. On August 28, 2018, following an increase of the tender cap to $140.0 million, the Company completed the purchase of $136.4 million aggregate principal amount of the 2025 Notes at a price equal to 110.00% of the principal amount of the 2025 Notes purchased, plus accrued and unpaid interest.</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November 28, 2018 and December 11, 2018, the Company repurchased $1.1 million and $20.0 million, respectively, of the 2025 Notes, at prices equal to 107.25% and 107.63%, respectively, of the principal amount of the 2025 Notes purchased, plus accrued and unpaid interest. As of December 29, 2018, 2025 Notes with an aggregate principal amount of $91.0 million remained outstanding.</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and nine months ended December 29, 2018, the Company recognized a loss on debt extinguishment of $1.8 million and $84.0 million, respectively, as "Other expense" in the Company’s Condensed Consolidated Statements of Operations.</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At any time prior to December 1, 2020, the Company may redeem all or part of the 2025 Notes, at a redemption price equal to their principal amount, plus a “make whole” premium as of the redemption date, and accrued and unpaid interest. In addition, at any time on or after December 1, 2020, the Company may redeem the 2025 Notes, in whole or in part, at the redemption prices specified in the 2015 Indenture, plus accrued and unpaid interest.</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2025 Notes during the three months ended December 29, 2018 was $4.0 million, and interest paid on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2023 Notes and the 2025 Notes during the nine months ended December 29, 2018 was $45.5 million. Interest paid on the 2023 Notes and the 2025 Notes during the three and nine months ended December 30, 2017 was $34.5 million and $68.9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16, 2018, the Company completed an offering of $500.0 million aggregate principal amount 5.50% Senior Notes due 2026 (the “Initial 2026 Notes”). On August 28, 2018, the Company completed an offering of an additional $130.0 million aggregate principal amount of such notes (the "Additional 2026 Notes", together with the "Initial 2026 Notes", the "2026 Notes"). The 2026 Notes pay interest semi-annually on January 15 and July 15 at a rate of 5.50% per annum. The 2026 Notes will mature on July 15, 2026, unless earlier redeemed in accordance with their terms. The 2026 Notes are senior unsecured obligations of the Company and are initially guaranteed, jointly and severally, by its Guarantors.</w:t>
      </w:r>
    </w:p>
    <w:p>
      <w:pPr>
        <w:spacing w:after="0" w:line="17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Initial 2026 Notes were issued pursuant to an indenture, dated as of July 16, 2018 by and among the Company, the Guarantors and MUFG Union Bank, N.A., as trustee, and the Additional 2026 Notes were issued pursuant to a supplemental indenture, dated as of August 28, 2018 (together,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2026 Notes were sold in a private offering to certain institutions that then resold the 2026 Notes in the United States to qualified institutional buyers pursuant to Rule 144A under the Securities Act of 1933, as amended (the "Securities Act"), and to certain non-U.S. persons in accordance with Regulation S under the Securities Act. The Company used a portion of the net proceeds of the 2026 Notes to fund the tender offers for the 2025 Notes and to pay related fees and expenses of the offering and will use the remaining net proceeds for general corporate purposes.</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At any time prior to July 15, 2021, the Company may redeem all or part of the 2026 Notes, at a redemption price equal to their principal amount, plus a “make-whole” premium as of the redemption date, and accrued and unpaid interest. In addition, at any time prior to July 15, 2021, the Company may redeem up to 35% of the original aggregate principal amount of the 2026 Notes with the proceeds of one or more equity offerings, at a redemption price equal</w:t>
      </w:r>
    </w:p>
    <w:p>
      <w:pPr>
        <w:ind w:right="340"/>
        <w:spacing w:after="0" w:line="323" w:lineRule="auto"/>
        <w:rPr>
          <w:sz w:val="20"/>
          <w:szCs w:val="20"/>
          <w:color w:val="auto"/>
        </w:rPr>
      </w:pPr>
      <w:r>
        <w:rPr>
          <w:rFonts w:ascii="Arial" w:cs="Arial" w:eastAsia="Arial" w:hAnsi="Arial"/>
          <w:sz w:val="16"/>
          <w:szCs w:val="16"/>
          <w:color w:val="auto"/>
        </w:rPr>
        <w:t>to 105.50% of the principal amount of the 2026 Notes redeemed, plus accrued and unpaid interest. Furthermore, at any time on or after July 15, 2021, the Company may redeem the 2026 Notes, in whole or in part, at the redemption prices specified in the 2018 Indenture, plus accrued and unpaid interest.</w:t>
      </w:r>
    </w:p>
    <w:p>
      <w:pPr>
        <w:spacing w:after="0" w:line="13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2026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offering of the 2026 Notes, the Company entered into a registration rights agreement, dated as of July 16, 2018, by and among the Company and the Guarantors, on the one hand, and Merrill Lynch, Pierce, Fenner &amp; Smith Incorporated, as representative of the initial purchasers of the Initial 2026 Notes, on the other hand, and a substantially similar agreement, dated as of August 28, 2018 with respect to the Additional 2026 Notes (together, the "Registration Rights Agreements").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Registration Rights Agreements, the Company and the Guarantors have agreed to use their commercially reasonable efforts to (i) file with the SEC a registration statement (the "Exchange Offer Registration Statement") relating to the registered exchange offer (the "Exchange Offer") to exchange the 2026 Notes for a new series of the Company’s exchange notes having terms substantially identical in all material respects to, and in the same aggregate principal amount as, the 2026 Notes; (ii) cause the Exchange Offer Registration Statement to be declared effective by the SEC; and (iii) cause the Exchange Offer to be consummated no later than the 360th day after July 16, 2018 (in the case of the Initial 2026 Notes) or August 28, 2018 (in the case of the Additional 2026 Notes)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2026 Notes as promptly as practicable, and (ii) cause the shelf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2026 Notes covered thereby have been sold pursuant thereto).</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the Company fails to meet any of these targets, the annual interest rate on the 2026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2026 Notes will revert to the original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On June 5, 2018, the Company and the Guarantors entered into the First Amendment (the "First Amendment") to the Credit Agreement, and on December 17, 2018, the Company and the Guarantors entered into the Second Amendment (the "Second Amendment") to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subsequently repaid in March 2018), with the remainder available, at the discretion of the Company, in up to two draws. The First Amendment, among other things, extended the delayed draw availability period from June 5, 2018 to January 3, 2019, and the Second Amendment, among other things, further extended such period to June 30, 2019. The Revolving Facility includes a $25.0 million sublimit for the issuance of standby letters of credit and a $10.0 million sublimit for swing line loans. The Company may request that the Credit Facility be increased by up to $300.0 million, subject to securing additional funding commitments from the existing or new lenders.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the nine months ended December 29, 2018, there were no borrowings under the Revolving Facility and the Company had no outstanding amounts under the Credit Facility as of December 29, 2018.</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December 29, 2018,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long-term debt is carried at amortized cost and is measured at fair value quarterly for disclosure purposes. The estimated fair value of the 2025 Notes as of December 29, 2018 and March 31, 2018 was $97.8 million and $596.5 million, respectively (compared to a carrying value of $91.0 million and $548.5 million, respectively). The estimated fair value of the 2026 Notes as of December 29, 2018 was $601.7 million (compared to a carrying value of $630.0 million). The Company considers its long-term debt to be Level 2 in the fair value hierarchy. Fair values are estimated based on quoted market prices for identical or similar instruments. The 2025 Notes and 2026 Notes trade over the counter, and their fair values were estimated based upon the value of their last trade at the end of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three months ended December 29, 2018, the Company recognized $10.8 million of interest expense related to the 2025 Notes and the 2026 Notes, which was partially offset by $1.9 million of interest capitalized to property and equipment. During the nine months ended December 29, 2018, the Company recognized $38.8 million of interest expense related to the 2023 Notes, 2025 Notes and the 2026 Notes, which was partially offset by $7.2 million of interest capitalized to property and equipment. During the three and nine months ended December 30, 2017, the Company recognized $17.7 million and $52.3 million, respectively, of interest expense related to the 2023 Notes and the 2025 Notes, which was partially offset by $2.0 million and $10.8 million, respectively, of interest capitalized to property and equipment.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23, 2018, the Company announced that its Board of Directors authorized a share repurchase program to repurchase up to $1.0 billion of the Company's outstanding stock, which included approximately $126.3 million authorized under a prior share repurchase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December 29, 2018, the Company repurchased approximately 2.3 million shares of its common stock for approximately</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$152.0 million under the current share repurchase program. During the nine months ended December 29, 2018, the Company repurchased approximately 4.6 million shares of its common stock for approximately $338.7 million (which included 0.4 million shares of its common stock for approximately $35.9 million under a prior share repurchase program). As of December 29, 2018, $697.2 million remains available for repurchases under the current share repurchase program.</w:t>
      </w:r>
    </w:p>
    <w:p>
      <w:pPr>
        <w:spacing w:after="0" w:line="1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During the three and nine months ended December 30, 2017, the Company repurchased approximately 1.1 million shares and 2.3 million shares of its common stock for approximately $80.0 million and $168.9 million, respectively, under a prior share repurchase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Policy</w:t>
      </w:r>
    </w:p>
    <w:p>
      <w:pPr>
        <w:spacing w:after="0" w:line="2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The Company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in the first quarter of fiscal 2019 for open contracts using the modified retrospective approach through a cumulative adjustment to "Accumulated deficit" in the Condensed Consolidated Balance Sheet for the fiscal year beginning April 1, 2018. The impact from the cumulative-effect adjustment was immaterial (less than 1% of revenue in the quarter of adoption), related to over-time revenue recognition for customer-controlled inventory and point in time revenue recognition for intellectual property with a right to use. As the adoption of ASU 2014-09 did not have a material impact, comparative financial information for prior periods has not been restated and continues to be presented under the accounting standards in effect for the respective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Policy</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it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over-time is immaterial (less than 2% of overall revenue). The Company applies a five-step approach as defined in the new standard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including distributors. A majority of these rebates are accrued and classified as a contra accounts receivable, and represent less than 5%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Sales returns are classified as a refund liability. The Company reduces revenue and records reserves for product returns and allowances, rebate programs and scrap allowance based on historical experience or specific identification depending on the contractual terms of the arrangement.</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To date, there have been no material impairment losses on accounts receivable. Contract assets and contract liabilities recorded on the Condensed Consolidated Balance Sheets were immaterial in the periods presented.</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invoices customers upon shipment and recognizes revenues in accordance with delivery terms. As of December 29, 2018, the Company had $34.7 million in remaining unsatisfied performance obligations with an original duration greater than one year, of which the majority is expected to be recognized as income over the next twelve months.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includes shipping charges billed to customers in "Revenue" and includes the related shipping costs in "Cost of goods sold" in the Condensed Consolidated Statements of Operations. Taxes assessed by government authorities on revenue-producing transactions, including tariffs, value-added and excise taxes, are excluded from revenue in the Condensed Consolidated Statements of Operations.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incurs commission expense that is incremental to obtaining contracts with customers. Sales commissions (which are recorded in the "Selling, general and administrative" expense line item in the Condensed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revenue disaggregated by geography, based on the billing addresses of its customers (in thousands):</w:t>
      </w:r>
    </w:p>
    <w:p>
      <w:pPr>
        <w:sectPr>
          <w:pgSz w:w="11900" w:h="16838" w:orient="portrait"/>
          <w:cols w:equalWidth="0" w:num="1">
            <w:col w:w="11420"/>
          </w:cols>
          <w:pgMar w:left="240" w:top="122" w:right="239" w:bottom="1440" w:gutter="0" w:footer="0" w:header="0"/>
        </w:sectPr>
      </w:pPr>
    </w:p>
    <w:p>
      <w:pPr>
        <w:spacing w:after="0" w:line="242" w:lineRule="exact"/>
        <w:rPr>
          <w:sz w:val="20"/>
          <w:szCs w:val="20"/>
          <w:color w:val="auto"/>
        </w:rPr>
      </w:pPr>
    </w:p>
    <w:p>
      <w:pPr>
        <w:jc w:val="center"/>
        <w:ind w:left="45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2263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03" w:lineRule="exact"/>
        <w:rPr>
          <w:sz w:val="20"/>
          <w:szCs w:val="20"/>
          <w:color w:val="auto"/>
        </w:rPr>
      </w:pPr>
    </w:p>
    <w:p>
      <w:pPr>
        <w:ind w:left="4520"/>
        <w:spacing w:after="0"/>
        <w:tabs>
          <w:tab w:leader="none" w:pos="6340" w:val="left"/>
        </w:tabs>
        <w:rPr>
          <w:sz w:val="20"/>
          <w:szCs w:val="20"/>
          <w:color w:val="auto"/>
        </w:rPr>
      </w:pPr>
      <w:r>
        <w:rPr>
          <w:rFonts w:ascii="Arial" w:cs="Arial" w:eastAsia="Arial" w:hAnsi="Arial"/>
          <w:sz w:val="14"/>
          <w:szCs w:val="14"/>
          <w:b w:val="1"/>
          <w:bCs w:val="1"/>
          <w:color w:val="auto"/>
        </w:rPr>
        <w:t>December 29, 2018</w:t>
      </w:r>
      <w:r>
        <w:rPr>
          <w:sz w:val="20"/>
          <w:szCs w:val="20"/>
          <w:color w:val="auto"/>
        </w:rPr>
        <w:tab/>
      </w:r>
      <w:r>
        <w:rPr>
          <w:rFonts w:ascii="Arial" w:cs="Arial" w:eastAsia="Arial" w:hAnsi="Arial"/>
          <w:sz w:val="13"/>
          <w:szCs w:val="13"/>
          <w:b w:val="1"/>
          <w:bCs w:val="1"/>
          <w:color w:val="auto"/>
        </w:rPr>
        <w:t>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23495</wp:posOffset>
            </wp:positionV>
            <wp:extent cx="2229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b w:val="1"/>
          <w:bCs w:val="1"/>
          <w:color w:val="auto"/>
        </w:rPr>
        <w:t>December 29, 2018</w:t>
      </w:r>
      <w:r>
        <w:rPr>
          <w:sz w:val="20"/>
          <w:szCs w:val="20"/>
          <w:color w:val="auto"/>
        </w:rPr>
        <w:tab/>
      </w:r>
      <w:r>
        <w:rPr>
          <w:rFonts w:ascii="Arial" w:cs="Arial" w:eastAsia="Arial" w:hAnsi="Arial"/>
          <w:sz w:val="12"/>
          <w:szCs w:val="12"/>
          <w:b w:val="1"/>
          <w:bCs w:val="1"/>
          <w:color w:val="auto"/>
        </w:rPr>
        <w:t>December 30, 2017</w:t>
      </w:r>
    </w:p>
    <w:p>
      <w:pPr>
        <w:spacing w:after="0" w:line="46" w:lineRule="exact"/>
        <w:rPr>
          <w:sz w:val="20"/>
          <w:szCs w:val="20"/>
          <w:color w:val="auto"/>
        </w:rPr>
      </w:pPr>
    </w:p>
    <w:p>
      <w:pPr>
        <w:sectPr>
          <w:pgSz w:w="11900" w:h="16838" w:orient="portrait"/>
          <w:cols w:equalWidth="0" w:num="2">
            <w:col w:w="7540" w:space="640"/>
            <w:col w:w="324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China</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474,844</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446,721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1,390,226</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1,226,494</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443,110</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417,795</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117,724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131,107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332,484</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397,364</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119,804</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70,026</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Other Asia</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34,839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82,126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108,649</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183,202</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15,170</w:t>
            </w: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13,272</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832,330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845,739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2,409,443</w:t>
            </w: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2,308,153</w:t>
            </w:r>
          </w:p>
        </w:tc>
      </w:tr>
      <w:tr>
        <w:trPr>
          <w:trHeight w:val="20"/>
        </w:trPr>
        <w:tc>
          <w:tcPr>
            <w:tcW w:w="4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third quarter of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actions, in the third quarter of fiscal 2019, the Company recorded impairment charges of $14.9 million (to adjust the carrying value of certain of its property and equipment to reflect its fair value) and accelerated depreciation of $3.1 million (to reflect changes in estimated useful lives of certain property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equipment), which were recorded in "Other operating expense" and "Cost of goods sold," respectively, in the Company’s Condensed Consolidated Statements of Operations.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fair value of the real property was derived based upon a market approach with substantial input from market participants, including brokers, investors, developers and appraisers. The fair value of the personal property was determined using a market approach based upon quoted market prices from auction data for comparable assets. Factors such as age, condition, capacity and manufacturer were considered to adjust the auction price and determine an orderly liquidation value of the personal property assets. The significant inputs related to valuing these assets are classified as Level 2 in the fair value measurement hierarchy.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 the next four quarters, the Company expects to record additional charges associated with these restructuring actions, including $60.0 million to $70.0 million related to accelerated depreciation, $10.0 million to $20.0 million related to employee termination benefits and $5.0 million to $10.0 million related to other exit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operating segments as of December 29, 2018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income from operations.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MP is a leading global supplier of cellular radio frequency ("RF") and Wi-Fi solutions for a variety of mobile devices, including smartphones, 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and new frequency bands are being added. Carrier aggregation, Multiple Input Multiple Output ("MIMO") and 5G are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bulk acoustic wave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and modules incorporating switches, PAs and duplexers.</w:t>
      </w:r>
    </w:p>
    <w:p>
      <w:pPr>
        <w:spacing w:after="0" w:line="16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IDP is a leading global supplier of RF solutions with a diverse portfolio of solutions that "connect and 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IDP products include high power gallium arsenide ("GaAs") and gallium nitride ("GaN")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costs,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4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602,312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642,089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1,754,930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1,728,709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654,513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576,534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832,330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2,409,443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2,308,153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451,689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80,861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63,281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192,376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170,516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81,157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152,419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102,055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6)</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70,889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41,596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60,824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8"/>
        <w:spacing w:after="0" w:line="261"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revenue relates to royalty income that is not allocated to MP or IDP for the three and nine months ended December 30, 2017. As a result of the adoption of ASU 2014-09, income related to a right-to-use license of intellectual property was recognized at a point-in-time and, therefore, was included as a transition adjustment impacting retained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44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4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(18,624)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(58,874)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(58,299)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(406,068)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(8,113)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(19,168)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accelerated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rPr>
              <w:t>Other (including (loss) gain on assets and other</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rPr>
              <w:t>miscellaneous corporate overhead)</w:t>
            </w:r>
          </w:p>
        </w:tc>
        <w:tc>
          <w:tcPr>
            <w:tcW w:w="28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(11,560)</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(520,150)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December 22, 2017, the Tax Cuts and Jobs Act ("Tax Act") was enacted into law. This new law included significant changes to the U.S. corporate income tax system, including a permanent reduction in the corporate income tax rate from 35% to 21%, full expensing for investments in new and used qualified property, limitations on the deductibility of interest expense and executive compensation and the transition of U.S. international taxation from a worldwide tax system to a territorial tax system.</w:t>
      </w:r>
    </w:p>
    <w:p>
      <w:pPr>
        <w:spacing w:after="0" w:line="1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In December 2017, the SEC staff issued Staff Accounting Bulletin 118 (“SAB 118”), which provides guidance on accounting for the tax effects of the Tax Act. SAB 118 provides a measurement period that should not extend beyond one year from the Tax Act enactment date for companies to complete the accounting under ASC Topic 740 </w:t>
      </w:r>
      <w:r>
        <w:rPr>
          <w:rFonts w:ascii="Arial" w:cs="Arial" w:eastAsia="Arial" w:hAnsi="Arial"/>
          <w:sz w:val="18"/>
          <w:szCs w:val="18"/>
          <w:i w:val="1"/>
          <w:iCs w:val="1"/>
          <w:color w:val="auto"/>
        </w:rPr>
        <w:t>- Income Taxes</w:t>
      </w:r>
      <w:r>
        <w:rPr>
          <w:rFonts w:ascii="Arial" w:cs="Arial" w:eastAsia="Arial" w:hAnsi="Arial"/>
          <w:sz w:val="18"/>
          <w:szCs w:val="18"/>
          <w:color w:val="auto"/>
        </w:rPr>
        <w:t xml:space="preserve"> (“ASC 740”). During</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third quarter of fiscal 2019, the Company completed its analysis within the measurement period provided by SAB 118, and the adjustments during this measurement period have been included in net earnings from operations as an adjustment to income tax expense.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As described in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our 2018 Annual Report on Form 10-K, the Company was able to reasonably estimate certain effects of the Tax Act provisions that became effective during fiscal 2018 and, therefore, recorded provisional amounts, including a $116.4 million expense related to the one-time transition tax on certain unrepatriated earnings of foreign subsidiaries (the “Transitional Repatriation Tax”) and a $39.1 million benefit from the remeasurement of U.S. deferred tax assets and liabilities. For the nine months ended December 29, 2018, the Company made a $17.7 million SAB 118 measurement period adjustment consisting of a $2.6 million reduction in the tax expense related to the previously recorded provisional amount for the Transitional Repatriation Tax and a $15.1 million increase in U.S. deferred tax assets.</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Global Intangible Low-Taxed Income (“GILTI”) provisions create a new requirement that certain income earned by foreign subsidiaries be currently included in the gross income of the U.S. shareholder. No adjustments related to the potential GILTI impact on deferred taxes have been recorded as the Company made its accounting policy choice during the third quarter of fiscal 2019 to treat taxes due on future U.S. inclusions in taxable income related to GILTI as a current-period expense when incurred (the “period cost method”).</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GILTI and executive compensation limitation provisions in the Tax Act became effective for the Company in fiscal 2019. Provisional estimates for the current year impact of these new provisions are included in the calculation of the fiscal 2019 annual effective tax rate applied to year-to-date income (loss) before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Company’s provision for income taxes for the three and nine months ended December 29, 2018 and December 30, 2017 was calculated by applying an estimate of the annual effective tax rate for the full fiscal year to “ordinary” income or loss (pre-tax income or loss excluding unusual or infrequently occurring discrete items) to year-to-date income (loss) to determine the amounts for the three and nine months ended December 29, 2018 and December 30, 2017.</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income tax expense was $1.4 million and income tax benefit was $30.0 million for the three and nine months ended December 29, 2018, respectively, and the Company's income tax expense was $98.5 million and $88.6 million for the three and nine months ended December 30, 2017, respectively. The Company’s effective tax rate was 1.9% and (72.2)% for the three and nine months ended December 29, 2018, respectively, and 150.6% and 145.7% for the three and nine months ended December 30, 2017, respectively.</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Company's effective tax rate for the three and nine months ended December 29, 2018 differed from the statutory rate primarily due to tax rate differences in foreign jurisdictions, foreign permanent differences, state income taxes, domestic tax credits generated, changes in unrecognized tax benefits, GILTI, a discrete tax benefit for changes in provisional estimates related to the Transitional Repatriation Tax, and for the nine months only, discrete tax benefits of $8.3 million resulting from a retroactive incentive allowing previously non-deductible payments to be amortized and the SAB 118 increase in U.S deferred tax assets. The Company's effective tax rate for the three and nine months ended December 30, 2017 differed from the statutory rate primarily due to a net discrete provisional tax expense of $95.9 million resulting from the enactment of the Tax Act, tax rate differences in foreign jurisdictions, foreign permanent differences, state income taxes, domestic tax credits generated, changes in unrecognized tax benefits, a discrete tax benefit for excess stock compensation deductions in accordance with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(adopted in the first quarter of fiscal 2018), and for the nine months only, a discrete tax expense associated with intra-entity transfers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(adopted in the first quarter of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domestic federal and state tax net operating loss ("NOL") and credit carry-forwards that expire in fiscal years 2019 to 2038 if unused. The use of the NOLs that were acquired in prior year acquisitions is subject to certain annual limitations under Internal Revenue Code Section 382 and similar state income tax provisions.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gross unrecognized tax benefits decreased from $122.8 million as of the end of fiscal 2018 to $116.4 million as of the end of the third quarter of fiscal 2019, primarily due to lapses of statutes of limitations and the impact of the Tax Act reduction in tax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2018</w:t>
            </w:r>
          </w:p>
        </w:tc>
        <w:tc>
          <w:tcPr>
            <w:tcW w:w="20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2017</w:t>
            </w: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2018</w:t>
            </w:r>
          </w:p>
        </w:tc>
        <w:tc>
          <w:tcPr>
            <w:tcW w:w="200" w:type="dxa"/>
            <w:vAlign w:val="bottom"/>
          </w:tcPr>
          <w:p>
            <w:pPr>
              <w:spacing w:after="0"/>
              <w:rPr>
                <w:sz w:val="22"/>
                <w:szCs w:val="22"/>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30, 2017</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w w:val="97"/>
              </w:rPr>
              <w:t>Numerator for basic and diluted net income (loss)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40"/>
              <w:spacing w:after="0"/>
              <w:rPr>
                <w:sz w:val="20"/>
                <w:szCs w:val="20"/>
                <w:color w:val="auto"/>
              </w:rPr>
            </w:pPr>
            <w:r>
              <w:rPr>
                <w:rFonts w:ascii="Arial" w:cs="Arial" w:eastAsia="Arial" w:hAnsi="Arial"/>
                <w:sz w:val="18"/>
                <w:szCs w:val="18"/>
                <w:color w:val="auto"/>
              </w:rPr>
              <w:t>per share — net income (loss) available to</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34"/>
              <w:spacing w:after="0"/>
              <w:rPr>
                <w:sz w:val="20"/>
                <w:szCs w:val="20"/>
                <w:color w:val="auto"/>
              </w:rPr>
            </w:pPr>
            <w:r>
              <w:rPr>
                <w:rFonts w:ascii="Arial" w:cs="Arial" w:eastAsia="Arial" w:hAnsi="Arial"/>
                <w:sz w:val="18"/>
                <w:szCs w:val="18"/>
                <w:color w:val="auto"/>
              </w:rPr>
              <w:t>69,517</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71,608</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(27,787)</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common stockholders</w:t>
            </w:r>
          </w:p>
        </w:tc>
        <w:tc>
          <w:tcPr>
            <w:tcW w:w="20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w w:val="96"/>
              </w:rPr>
              <w:t>Denominator for basic net income (loss) per share</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40"/>
              <w:spacing w:after="0"/>
              <w:rPr>
                <w:sz w:val="20"/>
                <w:szCs w:val="20"/>
                <w:color w:val="auto"/>
              </w:rPr>
            </w:pPr>
            <w:r>
              <w:rPr>
                <w:rFonts w:ascii="Arial" w:cs="Arial" w:eastAsia="Arial" w:hAnsi="Arial"/>
                <w:sz w:val="18"/>
                <w:szCs w:val="18"/>
                <w:color w:val="auto"/>
              </w:rPr>
              <w:t>— weighted average shares</w:t>
            </w:r>
          </w:p>
        </w:tc>
        <w:tc>
          <w:tcPr>
            <w:tcW w:w="20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124,308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127,034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125,437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127,084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Denominator for diluted net income (loss) per share —</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weighted average shares and assumed</w:t>
            </w:r>
          </w:p>
        </w:tc>
        <w:tc>
          <w:tcPr>
            <w:tcW w:w="2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126,842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127,034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128,360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127,084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the computation of diluted net income per share for the three and nine months ended December 29, 2018, outstanding options to purchase 0.5 million shares and 0.3 million shares, respectively, were excluded because the effect of their inclusion would have been anti-dilutive. In the computation of diluted net loss per share for the three and nine months ended December 30, 2017, outstanding options to purchase 3.4 million shares and 3.8 million shares, respectively, were excluded because the effect of their inclusion would have been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accordance with the applicable indentures governing the 2025 Notes and 2026 Notes, the Company's obligations under the 2025 Notes and 2026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applicable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necessarily be indicative of the financial position, results of operations, comprehensive (loss) income, and cash flows, had the Parent Company, Guarantor or non-guarantor subsidiaries operated as independent entities.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29, 2018</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280" w:type="dxa"/>
            <w:vAlign w:val="bottom"/>
          </w:tcPr>
          <w:p>
            <w:pPr>
              <w:jc w:val="center"/>
              <w:ind w:left="25"/>
              <w:spacing w:after="0" w:line="147" w:lineRule="exact"/>
              <w:rPr>
                <w:sz w:val="20"/>
                <w:szCs w:val="20"/>
                <w:color w:val="auto"/>
              </w:rPr>
            </w:pPr>
            <w:r>
              <w:rPr>
                <w:rFonts w:ascii="Arial" w:cs="Arial" w:eastAsia="Arial" w:hAnsi="Arial"/>
                <w:sz w:val="14"/>
                <w:szCs w:val="14"/>
                <w:b w:val="1"/>
                <w:bCs w:val="1"/>
                <w:color w:val="auto"/>
                <w:w w:val="97"/>
              </w:rPr>
              <w:t>Guarantor</w:t>
            </w:r>
          </w:p>
        </w:tc>
        <w:tc>
          <w:tcPr>
            <w:tcW w:w="168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6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tcPr>
          <w:p>
            <w:pPr>
              <w:jc w:val="center"/>
              <w:ind w:left="5"/>
              <w:spacing w:after="0"/>
              <w:rPr>
                <w:sz w:val="20"/>
                <w:szCs w:val="20"/>
                <w:color w:val="auto"/>
              </w:rPr>
            </w:pPr>
            <w:r>
              <w:rPr>
                <w:rFonts w:ascii="Arial" w:cs="Arial" w:eastAsia="Arial" w:hAnsi="Arial"/>
                <w:sz w:val="14"/>
                <w:szCs w:val="14"/>
                <w:b w:val="1"/>
                <w:bCs w:val="1"/>
                <w:color w:val="auto"/>
                <w:w w:val="91"/>
              </w:rPr>
              <w:t>Subsidiaries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6,352,350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122,683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6,475,033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714,402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1,166,806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1,897,713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4,577,320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6,475,033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-5239385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43,695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606,016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649,711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64,962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355,941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420,903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368,130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70,924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(439,054)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226,781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259,394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464,949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18,245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23,961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4,730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21,899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30,618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34,113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757,161</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1,319,716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1,615,536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1,114,250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276,093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1,397,589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245,049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218,310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463,359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4,970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85,726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90,696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1,135,377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124,264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(1,259,641)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2,460,118</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(8,812,468)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33,278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30,065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65,222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6,872,832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3,105,434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(10,647,008)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5,806,291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96,252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133,014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229,266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70,924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368,130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(439,054)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69,780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50,546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137,573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47,093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236,956</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599,844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(439,373)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413,932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714,402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39,235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6,978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92,835</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(1,259,641)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48,607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93,659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417,633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645,835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(1,732,210)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1,228,971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6,455,199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2,459,599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(8,914,798)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4,577,320</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6,872,832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3,105,434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(10,647,008)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5,806,291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Guarantor</w:t>
            </w:r>
          </w:p>
        </w:tc>
        <w:tc>
          <w:tcPr>
            <w:tcW w:w="156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5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6,198,885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72,122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6,271,007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983,290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489,051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1,495,443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4,775,564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6,271,007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-5239385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629,314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296,723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926,037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76,863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269,094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345,957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272,409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53,363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154,651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339,434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472,292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17,530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23,909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5,959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44,795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29,627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30,815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1,186,353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1,005,017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(347,565)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1,843,805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1,085,255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289,146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1,374,112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1,121,941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1,051,948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395,317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465,019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860,336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1,847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61,918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63,765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543,127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116,494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2,388,222</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(8,587,107)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31,011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65,612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6,753,073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6,381,519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78,278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134,915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213,193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53,363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272,409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101,286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43,163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167,182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3,882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60,904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236,809</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507,509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441,279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983,290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83,449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63,084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116,494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62,417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55,885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118,302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499,169</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633,836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(1,022,493)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1,605,955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6,253,904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2,388,222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(8,642,126)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4,775,564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6,753,073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6,381,519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December 29, 2018</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832,330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225,156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447,084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493,967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338,363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109,985</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82,581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125,604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84,826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177,194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257,206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81,157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69,517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93,196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157,371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(250,567)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69,517</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68,455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92,520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156,974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(249,494)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68,455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89"/>
              </w:rPr>
              <w:t>Condensed Consolidating Statement of Income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December 30, 2017</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845,739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212,574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473,330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508,812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336,927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106,411</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57,166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88,016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126,555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79,807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193,324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256,607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80,320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65,440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(98,522)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26,752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78,522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(33,082)</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28,630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82,312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89"/>
              </w:rPr>
              <w:t>Condensed Consolidating Statement of Income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29, 2018</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2,409,443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622,688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1,333,037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1,480,833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928,610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337,636</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36,998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170,011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260,359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401,041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218,073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570,603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776,191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152,419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(33,604)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(85,007)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43,521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203,641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329,578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202,478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329,578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201,891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326,701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(528,592)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89"/>
              </w:rPr>
              <w:t>Condensed Consolidating Statement of Income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30, 2017</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2,308,153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592,928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1,346,505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1,413,827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894,326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334,308</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190,336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268,072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404,853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53,110</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792,271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102,055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(43,387)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60,824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(88,611)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66,806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171,024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(27,787)</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68,783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172,528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1" w:right="2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29,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691,479</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619,802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623,019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debt securities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Proceeds from sales and maturities of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Payment of debt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(977,498)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631,300</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(691,526)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(decrease) increase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309,281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(276,338)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629,314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297,088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43,695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606,369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650,064</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8"/>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30, 2017</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53,060</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175,303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365,199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593,562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(246,371)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(168,935)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(168,935)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42,121</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increase in cash, cash equivalents and restricted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295,902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319,593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249,637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592,044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841,681</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and Section 21E of the Securities Exchange Act of 1934, as amended (the "Exchange Act"),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"estimate," "forecast," and "predict,"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right="48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disputes and downturns in the semiconductor industry and the overall global economy;</w:t>
      </w:r>
    </w:p>
    <w:p>
      <w:pPr>
        <w:spacing w:after="0" w:line="170" w:lineRule="exact"/>
        <w:rPr>
          <w:rFonts w:ascii="Arial" w:cs="Arial" w:eastAsia="Arial" w:hAnsi="Arial"/>
          <w:sz w:val="18"/>
          <w:szCs w:val="18"/>
          <w:color w:val="auto"/>
        </w:rPr>
      </w:pPr>
    </w:p>
    <w:p>
      <w:pPr>
        <w:ind w:left="740" w:right="8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accurately forecast their demand for our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improve our product designs, develop new products, and achieve design wins as our industry's product life cycles are short and our customers’ requirements change rapidly;</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assembly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in manufacturing yields and product quality;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third parties, including distributors,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70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1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disruptions or events, which could compromise our or our customers' proprietary information and expose us to liability and could cause our business and reputation to suffer;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20" w:hanging="415"/>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possibility that we may be subject to theft, loss or misuse of personal data by or about our employees, customers or other third parties;</w:t>
      </w:r>
    </w:p>
    <w:p>
      <w:pPr>
        <w:spacing w:after="0" w:line="236" w:lineRule="exact"/>
        <w:rPr>
          <w:rFonts w:ascii="Arial" w:cs="Arial" w:eastAsia="Arial" w:hAnsi="Arial"/>
          <w:sz w:val="17"/>
          <w:szCs w:val="17"/>
          <w:color w:val="auto"/>
        </w:rPr>
      </w:pPr>
    </w:p>
    <w:p>
      <w:pPr>
        <w:ind w:left="740" w:right="740" w:hanging="408"/>
        <w:spacing w:after="0" w:line="277" w:lineRule="auto"/>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impact of environmental, health and safety regulations and climate change;</w:t>
      </w:r>
    </w:p>
    <w:p>
      <w:pPr>
        <w:spacing w:after="0" w:line="225" w:lineRule="exact"/>
        <w:rPr>
          <w:rFonts w:ascii="Arial" w:cs="Arial" w:eastAsia="Arial" w:hAnsi="Arial"/>
          <w:sz w:val="18"/>
          <w:szCs w:val="18"/>
          <w:color w:val="auto"/>
        </w:rPr>
      </w:pPr>
    </w:p>
    <w:p>
      <w:pPr>
        <w:ind w:left="740" w:right="20" w:hanging="408"/>
        <w:spacing w:after="0" w:line="277" w:lineRule="auto"/>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impact of changes in generally accepted accounting principles and in tax laws or the interpretation of such tax laws, including the U.S. Tax Cuts and Jobs Act (the "Tax Act");</w:t>
      </w:r>
    </w:p>
    <w:p>
      <w:pPr>
        <w:spacing w:after="0" w:line="170" w:lineRule="exact"/>
        <w:rPr>
          <w:rFonts w:ascii="Arial" w:cs="Arial" w:eastAsia="Arial" w:hAnsi="Arial"/>
          <w:sz w:val="18"/>
          <w:szCs w:val="18"/>
          <w:color w:val="auto"/>
        </w:rPr>
      </w:pPr>
    </w:p>
    <w:p>
      <w:pPr>
        <w:ind w:left="740" w:right="180" w:hanging="408"/>
        <w:spacing w:after="0" w:line="277" w:lineRule="auto"/>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impact of the Organisation for Economic Co-operation and Development Base Erosion and Profit Shifting initiative on tax policy and enacted laws in the countries in which we operate;</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 and</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possibility that future acquisitions may dilute our stockholders’ ownership and cause us to incur debt and assume contingent liabilities or adversely affect our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product and technology leader at the forefront of the growing global demand for always-on broadband connectivity. We combine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65"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employ more than 8,300 people. We have world-class manufacturing facilities, and our fabrication facility in Richardson, Texas, is a U.S. Department of Defense accredited ‘Trusted Source’ (Category 1A) for gallium arsenide ("GaAs"), gallium nitride ("GaN") and bulk acoustic wave ("BAW") technologies. Our design and manufacturing expertise covers many semiconductor process technologies, which we source both internally and through external suppliers.</w:t>
      </w:r>
    </w:p>
    <w:p>
      <w:pPr>
        <w:ind w:right="320"/>
        <w:spacing w:after="0" w:line="290" w:lineRule="auto"/>
        <w:rPr>
          <w:sz w:val="20"/>
          <w:szCs w:val="20"/>
          <w:color w:val="auto"/>
        </w:rPr>
      </w:pPr>
      <w:r>
        <w:rPr>
          <w:rFonts w:ascii="Arial" w:cs="Arial" w:eastAsia="Arial" w:hAnsi="Arial"/>
          <w:sz w:val="17"/>
          <w:szCs w:val="17"/>
          <w:color w:val="auto"/>
        </w:rPr>
        <w:t>Our primary wafer fabrication facilities are in Florida, North Carolina, Oregon and Texas, and our primary assembly and test facilities are in China, Costa Rica, Germany and Texas. We also operate design, sales and manufacturing facilities throughout Asia, Europe and North America.</w:t>
      </w:r>
    </w:p>
    <w:p>
      <w:pPr>
        <w:spacing w:after="0" w:line="16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leading global supplier of cellular RF and Wi-Fi solutions for a variety of mobile devices, including smartphones,</w:t>
      </w:r>
      <w:r>
        <w:rPr>
          <w:rFonts w:ascii="Arial" w:cs="Arial" w:eastAsia="Arial" w:hAnsi="Arial"/>
          <w:sz w:val="18"/>
          <w:szCs w:val="18"/>
          <w:i w:val="1"/>
          <w:iCs w:val="1"/>
          <w:color w:val="auto"/>
        </w:rPr>
        <w:t xml:space="preserve"> </w:t>
      </w:r>
      <w:r>
        <w:rPr>
          <w:rFonts w:ascii="Arial" w:cs="Arial" w:eastAsia="Arial" w:hAnsi="Arial"/>
          <w:sz w:val="18"/>
          <w:szCs w:val="18"/>
          <w:color w:val="auto"/>
        </w:rPr>
        <w:t>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right="180"/>
        <w:spacing w:after="0" w:line="301" w:lineRule="auto"/>
        <w:rPr>
          <w:sz w:val="20"/>
          <w:szCs w:val="20"/>
          <w:color w:val="auto"/>
        </w:rPr>
      </w:pPr>
      <w:r>
        <w:rPr>
          <w:rFonts w:ascii="Arial" w:cs="Arial" w:eastAsia="Arial" w:hAnsi="Arial"/>
          <w:sz w:val="18"/>
          <w:szCs w:val="18"/>
          <w:color w:val="auto"/>
        </w:rPr>
        <w:t>factors, improved signal quality, less heat and longer talk and standby times. New wireless communications standards are being deployed, and new frequency bands are being added. Carrier aggregation, Multiple Input Multiple Output ("MIMO") and 5G are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("PADs") and modules incorporating switches, PAs and duplexers.</w:t>
      </w:r>
    </w:p>
    <w:p>
      <w:pPr>
        <w:spacing w:after="0" w:line="165" w:lineRule="exact"/>
        <w:rPr>
          <w:sz w:val="20"/>
          <w:szCs w:val="20"/>
          <w:color w:val="auto"/>
        </w:rPr>
      </w:pPr>
    </w:p>
    <w:p>
      <w:pPr>
        <w:ind w:left="340" w:right="10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with a diverse portfolio of solutions that "connect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Our IDP products include GaAs and GaN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29, 2018,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income from operations (see Note 10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2019 FINANCIAL HIGHLIGHTS:</w:t>
      </w:r>
    </w:p>
    <w:p>
      <w:pPr>
        <w:spacing w:after="0" w:line="229" w:lineRule="exact"/>
        <w:rPr>
          <w:sz w:val="20"/>
          <w:szCs w:val="20"/>
          <w:color w:val="auto"/>
        </w:rPr>
      </w:pPr>
    </w:p>
    <w:p>
      <w:pPr>
        <w:ind w:left="280" w:right="120" w:hanging="272"/>
        <w:spacing w:after="0" w:line="30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Quarterly revenue decreased 1.6% as compared to the third quarter of fiscal 2018, primarily due to lower demand for our cellular RF solutions in support of our largest end customer and our customers based in Asia, partially offset by higher demand for our base station products.</w:t>
      </w:r>
    </w:p>
    <w:p>
      <w:pPr>
        <w:spacing w:after="0" w:line="146" w:lineRule="exact"/>
        <w:rPr>
          <w:rFonts w:ascii="Arial" w:cs="Arial" w:eastAsia="Arial" w:hAnsi="Arial"/>
          <w:sz w:val="17"/>
          <w:szCs w:val="17"/>
          <w:color w:val="auto"/>
        </w:rPr>
      </w:pPr>
    </w:p>
    <w:p>
      <w:pPr>
        <w:ind w:left="280" w:right="16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for the third quarter of fiscal 2019 was 40.7% as compared to 39.8% for the third quarter of fiscal 2018. The increase was primarily due to favorable changes in product mix, partially offset by lower factory utilization in our SAW wafer fabrication facilities.</w:t>
      </w:r>
    </w:p>
    <w:p>
      <w:pPr>
        <w:spacing w:after="0" w:line="170" w:lineRule="exact"/>
        <w:rPr>
          <w:rFonts w:ascii="Arial" w:cs="Arial" w:eastAsia="Arial" w:hAnsi="Arial"/>
          <w:sz w:val="18"/>
          <w:szCs w:val="18"/>
          <w:color w:val="auto"/>
        </w:rPr>
      </w:pPr>
    </w:p>
    <w:p>
      <w:pPr>
        <w:ind w:left="280" w:right="44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fiscal 2019, we recognized impairment charges on certain property and equipment of $14.9 million related to our planned closure of a wafer fabrication facility in Florida.</w:t>
      </w:r>
    </w:p>
    <w:p>
      <w:pPr>
        <w:spacing w:after="0" w:line="170" w:lineRule="exact"/>
        <w:rPr>
          <w:rFonts w:ascii="Arial" w:cs="Arial" w:eastAsia="Arial" w:hAnsi="Arial"/>
          <w:sz w:val="18"/>
          <w:szCs w:val="18"/>
          <w:color w:val="auto"/>
        </w:rPr>
      </w:pPr>
    </w:p>
    <w:p>
      <w:pPr>
        <w:ind w:left="280" w:right="28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was $81.2 million for the third quarter of fiscal 2019 as compared to operating income of $80.3 million for the third quarter of fiscal 2018.</w:t>
      </w:r>
    </w:p>
    <w:p>
      <w:pPr>
        <w:spacing w:after="0" w:line="170" w:lineRule="exact"/>
        <w:rPr>
          <w:rFonts w:ascii="Arial" w:cs="Arial" w:eastAsia="Arial" w:hAnsi="Arial"/>
          <w:sz w:val="18"/>
          <w:szCs w:val="18"/>
          <w:color w:val="auto"/>
        </w:rPr>
      </w:pPr>
    </w:p>
    <w:p>
      <w:pPr>
        <w:ind w:left="280" w:right="20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from operations was $333.2 million for the third quarter of fiscal 2019 as compared to $270.1 million for the third quarter of fiscal 2018. The increase was primarily due to improved profitability and favorable changes in working capital.</w:t>
      </w:r>
    </w:p>
    <w:p>
      <w:pPr>
        <w:spacing w:after="0" w:line="170" w:lineRule="exact"/>
        <w:rPr>
          <w:rFonts w:ascii="Arial" w:cs="Arial" w:eastAsia="Arial" w:hAnsi="Arial"/>
          <w:sz w:val="18"/>
          <w:szCs w:val="18"/>
          <w:color w:val="auto"/>
        </w:rPr>
      </w:pPr>
    </w:p>
    <w:p>
      <w:pPr>
        <w:ind w:left="280" w:right="10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were $72.0 million for the third quarter of fiscal 2019 as compared to $45.4 million for the third quarter of fiscal 2018. The increase was primarily related to projects to increase our premium filter and GaN capacities.</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third quarter of fiscal 2019, we repurchased approximately 2.3 million shares of our common stock for approximately $152.0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December 29, 2018 and December 30,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832,330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845,739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493,967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508,812</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(14,845)</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338,363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336,927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1,436</w:t>
            </w:r>
          </w:p>
        </w:tc>
        <w:tc>
          <w:tcPr>
            <w:tcW w:w="14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109,985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106,411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3,574</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125,604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4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23,641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(2,024)</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81,157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80,320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29, 2018</w:t>
            </w:r>
          </w:p>
        </w:tc>
        <w:tc>
          <w:tcPr>
            <w:tcW w:w="10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vMerge w:val="restart"/>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30, 2017</w:t>
            </w:r>
          </w:p>
        </w:tc>
        <w:tc>
          <w:tcPr>
            <w:tcW w:w="12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2,409,443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2,308,153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101,290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1,480,833</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1,413,827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67,006</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928,610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894,326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34,284</w:t>
            </w:r>
          </w:p>
        </w:tc>
        <w:tc>
          <w:tcPr>
            <w:tcW w:w="14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337,636</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334,308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3,328</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401,041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404,853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4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37,514</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53,110</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(15,596)</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152,419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102,055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50,364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decreased for the three months ended December 29, 2018, as compared to the three months ended December 30, 2017, primarily due to lower demand for our cellular RF solutions in support of our largest end customer and our customers based in Asia, partially offset by higher demand for our base station products. Revenue increased for the nine months ended December 29, 2018, as compared to the nine months ended December 30, 2017, primarily due to higher demand for our cellular RF solutions in support of our customers based in China as well as higher demand for our base station and Wi-Fi products.</w:t>
      </w:r>
    </w:p>
    <w:p>
      <w:pPr>
        <w:spacing w:after="0" w:line="154" w:lineRule="exact"/>
        <w:rPr>
          <w:sz w:val="20"/>
          <w:szCs w:val="20"/>
          <w:color w:val="auto"/>
        </w:rPr>
      </w:pPr>
    </w:p>
    <w:p>
      <w:pPr>
        <w:ind w:left="60" w:right="560"/>
        <w:spacing w:after="0" w:line="342" w:lineRule="auto"/>
        <w:rPr>
          <w:sz w:val="20"/>
          <w:szCs w:val="20"/>
          <w:color w:val="auto"/>
        </w:rPr>
      </w:pPr>
      <w:r>
        <w:rPr>
          <w:rFonts w:ascii="Arial" w:cs="Arial" w:eastAsia="Arial" w:hAnsi="Arial"/>
          <w:sz w:val="16"/>
          <w:szCs w:val="16"/>
          <w:color w:val="auto"/>
        </w:rPr>
        <w:t>Gross margin for the three months ended December 29, 2018 was 40.7%, as compared to 39.8% for the three months ended December 30, 2017. The increase was primarily due to favorable changes in product mix, partially offset by lower factory utilization in our SAW wafer fabrication facilities.</w:t>
      </w:r>
    </w:p>
    <w:p>
      <w:pPr>
        <w:spacing w:after="0" w:line="124" w:lineRule="exact"/>
        <w:rPr>
          <w:sz w:val="20"/>
          <w:szCs w:val="20"/>
          <w:color w:val="auto"/>
        </w:rPr>
      </w:pPr>
    </w:p>
    <w:p>
      <w:pPr>
        <w:ind w:left="60" w:right="80"/>
        <w:spacing w:after="0" w:line="308" w:lineRule="auto"/>
        <w:rPr>
          <w:sz w:val="20"/>
          <w:szCs w:val="20"/>
          <w:color w:val="auto"/>
        </w:rPr>
      </w:pPr>
      <w:r>
        <w:rPr>
          <w:rFonts w:ascii="Arial" w:cs="Arial" w:eastAsia="Arial" w:hAnsi="Arial"/>
          <w:sz w:val="17"/>
          <w:szCs w:val="17"/>
          <w:color w:val="auto"/>
        </w:rPr>
        <w:t>Gross margin was flat for the nine months ended December 29, 2018, as compared to the nine months ended December 30, 2017, with favorable changes in product mix within our cellular RF solutions being offset by lower factory utilization in our SAW wafer fabrication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Research and development expense increased for the three months ended December 29, 2018, as compared to the three months ended December 30, 2017, primarily due to higher personnel related costs. Research and development expense increased for the nine months ended December 29, 2018, as compared to the nine months ended December 30, 2017, primarily due to higher personnel related costs, partially offset by the timing of product development spend.</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general and administrative expense decreased for the three and nine months ended December 29, 2018, as compared to the three and nine months ended December 30, 2017, with lower intangible amortization being offset by higher personnel related costs.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operating expense decreased for the three and nine months ended December 29, 2018, as compared to the three and nine months ended December 30, 2017. We recognized an asset impairment charge in December 2018 related to restructuring actions initiated in December 2018 to reduce operating expenses and improve our manufacturing cost structure. In the three and nine months ended December 30, 2017, we recognized restructuring charges (primarily related to employee termination benefits and impairment charges on held for sale assets) associated with the cost reduction actions initiated in the second quarter of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80" w:type="dxa"/>
            <w:vAlign w:val="bottom"/>
          </w:tcPr>
          <w:p>
            <w:pPr>
              <w:spacing w:after="0"/>
              <w:rPr>
                <w:sz w:val="13"/>
                <w:szCs w:val="13"/>
                <w:color w:val="auto"/>
              </w:rPr>
            </w:pPr>
          </w:p>
        </w:tc>
        <w:tc>
          <w:tcPr>
            <w:tcW w:w="15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560" w:type="dxa"/>
            <w:vAlign w:val="bottom"/>
          </w:tcPr>
          <w:p>
            <w:pPr>
              <w:spacing w:after="0"/>
              <w:rPr>
                <w:sz w:val="13"/>
                <w:szCs w:val="13"/>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w w:val="86"/>
              </w:rPr>
              <w:t>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602,312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642,089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180,394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19"/>
              <w:spacing w:after="0"/>
              <w:rPr>
                <w:sz w:val="20"/>
                <w:szCs w:val="20"/>
                <w:color w:val="auto"/>
              </w:rPr>
            </w:pPr>
            <w:r>
              <w:rPr>
                <w:rFonts w:ascii="Arial" w:cs="Arial" w:eastAsia="Arial" w:hAnsi="Arial"/>
                <w:sz w:val="18"/>
                <w:szCs w:val="18"/>
                <w:color w:val="auto"/>
              </w:rPr>
              <w:t>190,990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(10,596)</w:t>
            </w:r>
          </w:p>
        </w:tc>
        <w:tc>
          <w:tcPr>
            <w:tcW w:w="120" w:type="dxa"/>
            <w:vAlign w:val="bottom"/>
          </w:tcPr>
          <w:p>
            <w:pPr>
              <w:spacing w:after="0"/>
              <w:rPr>
                <w:sz w:val="21"/>
                <w:szCs w:val="21"/>
                <w:color w:val="auto"/>
              </w:rPr>
            </w:pPr>
          </w:p>
        </w:tc>
        <w:tc>
          <w:tcPr>
            <w:tcW w:w="1780" w:type="dxa"/>
            <w:vAlign w:val="bottom"/>
          </w:tcPr>
          <w:p>
            <w:pPr>
              <w:jc w:val="right"/>
              <w:ind w:right="9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80" w:type="dxa"/>
            <w:vAlign w:val="bottom"/>
          </w:tcPr>
          <w:p>
            <w:pPr>
              <w:spacing w:after="0"/>
              <w:rPr>
                <w:sz w:val="13"/>
                <w:szCs w:val="13"/>
                <w:color w:val="auto"/>
              </w:rPr>
            </w:pPr>
          </w:p>
        </w:tc>
        <w:tc>
          <w:tcPr>
            <w:tcW w:w="15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560" w:type="dxa"/>
            <w:vAlign w:val="bottom"/>
          </w:tcPr>
          <w:p>
            <w:pPr>
              <w:spacing w:after="0"/>
              <w:rPr>
                <w:sz w:val="13"/>
                <w:szCs w:val="13"/>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1,754,930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1,728,709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26,221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466,513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19"/>
              <w:spacing w:after="0"/>
              <w:rPr>
                <w:sz w:val="20"/>
                <w:szCs w:val="20"/>
                <w:color w:val="auto"/>
              </w:rPr>
            </w:pPr>
            <w:r>
              <w:rPr>
                <w:rFonts w:ascii="Arial" w:cs="Arial" w:eastAsia="Arial" w:hAnsi="Arial"/>
                <w:sz w:val="18"/>
                <w:szCs w:val="18"/>
                <w:color w:val="auto"/>
              </w:rPr>
              <w:t>451,689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14,824</w:t>
            </w:r>
          </w:p>
        </w:tc>
        <w:tc>
          <w:tcPr>
            <w:tcW w:w="120" w:type="dxa"/>
            <w:vAlign w:val="bottom"/>
          </w:tcPr>
          <w:p>
            <w:pPr>
              <w:spacing w:after="0"/>
              <w:rPr>
                <w:sz w:val="21"/>
                <w:szCs w:val="21"/>
                <w:color w:val="auto"/>
              </w:rPr>
            </w:pPr>
          </w:p>
        </w:tc>
        <w:tc>
          <w:tcPr>
            <w:tcW w:w="1780" w:type="dxa"/>
            <w:vAlign w:val="bottom"/>
          </w:tcPr>
          <w:p>
            <w:pPr>
              <w:jc w:val="right"/>
              <w:ind w:right="15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MP revenue decreased for the three months ended December 29, 2018, as compared to the three months ended December 30, 2017, primarily due to lower demand for our cellular RF solutions in support of our largest end customer and our customers based in Asia. MP revenue increased for the nine months ended December 29, 2018, as compared to the nine months ended December 30, 2017, primarily due to higher demand for our cellular RF solutions in support of customers based in China.</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MP operating income decreased $10.6 million, or 5.5%, for the three months ended December 29, 2018, as compared to the three months ended December 30, 2017, primarily due to lower revenue, partially offset by higher gross margin. Gross margin was positively impacted by favorable changes in product mix within our cellular RF solutions, partially offset by average selling price erosion.</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MP operating income increased $14.8 million, or 3.3%, for the nine months ended December 29, 2018, as compared to the nine months ended December 30, 2017, primarily due to higher revenue and lower operating expenses. Operating expenses decreased primarily due to timing of product development spend.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230,018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202,680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27,338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13.5%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80,861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63,281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17,580</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654,513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576,534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77,979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13.5%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192,376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170,516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21,860</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IDP revenue increased for the three months ended December 29, 2018, as compared to the three months ended December 30, 2017, primarily due to higher demand for our base station products. IDP revenue increased for the nine months 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2018, as compared to the nine months ended December 30, 2017, primarily due to higher demand for our base station and Wi-Fi products.</w:t>
      </w:r>
    </w:p>
    <w:p>
      <w:pPr>
        <w:spacing w:after="0" w:line="24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IDP operating income increased $17.6 million, or 27.8%, for the three months ended December 29, 2018, as compared to the three months ended December 30, 2017, primarily due to higher revenue.</w:t>
      </w:r>
    </w:p>
    <w:p>
      <w:pPr>
        <w:spacing w:after="0" w:line="17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IDP operating income increased $21.9 million, or 12.8%, for the nine months ended December 29, 2018, as compared to the nine months ended December 30, 2017, primarily due to higher revenue, partially offset by higher operating expenses and lower gross margin. Operating expenses increased primarily due to higher personnel related costs. Gross margin was negatively impacted by lower factory utilization.</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10 to the Condensed Consolidated Financial Statements for a reconciliation of segment operating income to the consolidated operating income (loss) for the three and nine months ended December 29, 2018 and December 30,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44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8"/>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4,039</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During the three months ended December 29, 2018, we recorded interest expense of $10.8 million related to the 2025 Notes and the 2026 Notes (which was partially offset by $1.9 million of capitalized interest). During the nine months ended December 29, 2018, we recorded interest expense of $38.8 million related to the 2023 Notes, 2025 Notes and the 2026 Notes (which was partially offset by $7.2 million of capitalized interest). During the three and nine months ended December 30, 2017, we recorded interest expense of $17.7 million and $52.3 million, respectively, related to the 2023 Notes and 2025 Notes (which was partially offset by $2.0 million and $10.8 million of capitalized interest, respectively).</w:t>
      </w:r>
    </w:p>
    <w:p>
      <w:pPr>
        <w:spacing w:after="0" w:line="1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first half of fiscal 2019, we completed the purchase (via tender offer) of $429.2 million and $436.4 million aggregate principal amounts of our 2023 Notes and 2025 Notes, respectively, and we redeemed the remaining $15.3 million aggregate principal amount of our 2023 Notes. In addition, during the second quarter of fiscal 2019, we completed the issuance of $630.0 million aggregate principal amount of our 2026 Notes. During the third quarter of fiscal 2019, we repurchased $21.1 million of our 2025 Notes. Collectively, compared to our long-term debt portfolio at March 31, 2018, these transactions extended the weighted-average maturity of our outstanding senior notes by an additional seventeen months and are expected to decrease our annual interest expense by approximately $27.4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During the three and nine months ended December 29, 2018, we recorded a loss on debt extinguishment of $1.8 million and $84.0 million, respectively (see Note 6 of the Notes to the Condensed Consolidated Financial Statements for additional information regarding our debt extinguishment activity).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including a reduction in the U.S. federal corporate tax rate from 35% to 21%, which became effective as of January 1, 2018, and implemented a territorial tax system. As a result of the Tax Act, we recorded, as of March 31, 2018, a provisional tax expense of $77.3 million, which was comprised of a $116.4 million tax expense related to the one-time transition tax on certain unrepatriated earnings of foreign subsidiaries (the “Transitional Repatriation Tax”), offset by a provisional deferred tax benefit of $39.1 million from the remeasurement of U.S. deferred tax assets and liabilities. During the third quarter of fiscal 2019, in accordance with current SEC guidance, we finalized our accounting for the impact of the Tax Act within the SAB 118 measurement period of one year from the date of enactment of the Tax Act.</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29, 2018, we completed accounting for the tax effects of the Tax Act described above, and in the first three quarters of fiscal 2019, we recorded discrete income tax benefits of $17.7 million related to our fiscal 2018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provisional tax expense, consisting of $2.6 million to reduce the tax expense related to the previously recorded provisional amount for the Transitional Repatriation Tax and a $15.1 million increase in U.S. deferred tax assets. In addition, the new GILTI and limitations on compensation provisions enacted by the Tax Act became effective for the Company in fiscal 2019 and have been accounted for in the calculation of current year taxes. The GILTI provisions result in income earned by certain foreign subsidiaries being included in the gross income of its direct and indirect U.S. shareholders.</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provision for income taxes for the three and nine months ended December 29, 2018 and December 30, 2017 was calculated by applying an estimate of the annual effective tax rate for the full fiscal year to “ordinary” income or loss (pre-tax income or loss excluding unusual or infrequently occurring discrete items) to year-to-date income (loss) to determine the amounts for the three and nine months ended December 29, 2018 and December 30, 2017.</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December 29, 2018, we recorded an income tax expense of $1.4 million and income tax benefit of $30.0 million, respectively, which was comprised primarily of tax benefits related to domestic and international operations generating pre-tax book losses, adjustments in the provisional Tax Act estimates and a Singapore tax incentive granted during the second quarter, offset by a tax expense related to international operations generating pre-tax book income.</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three and nine months ended December 30, 2017, we had income tax expense of $98.5 million and $88.6 million, respectively, which was comprised primarily of tax expenses related to the Transitional Repatriation Tax, international operations generating pre-tax book income and the adoption of new accounting guidance related to intra-entity transfers of assets, offset by tax benefits from a provisional remeasurement of U.S. deferred tax assets and liabilities for the decrease in the U.S. federal corporate income tax rate from 35% to 21% upon enactment of the Tax Act, domestic operations generating pre-tax book losses and, for the nine months only, tax benefit from the adoption of new accounting guidance related to stock compensation.</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generated by operations is our primary source of liquidity. As of December 29, 2018, we had working capital of approximately $1,201.6 million, including $649.7 million in cash and cash equivalents, compared to working capital of approximately $1,402.5 million at March 31, 2018, including $926.0 million in cash and cash equivalents. The decrease in working capital was primarily due to the retirement of the 2023 Notes and a majority of the 2025 Notes. These amounts were offset by the issuance of the 2026 Notes as well as an increase in accounts receivable as of December 29, 2018 as compared to March 31, 2018.</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$649.7 million of total cash and cash equivalents as of December 29, 2018 includes approximately $603.7 million held by our foreign subsidiaries, of which $476.7 million is held by Qorvo International Pte. Ltd. in Singapore. If the undistributed earnings of our foreign subsidiaries are needed in the U.S., we may be required to accrue and pay state income and/or foreign local withholding taxes to repatriate these earnings. Under our current plans, we may repatriate the foreign earnings of Qorvo International Pte. Ltd. and expect to permanently reinvest the undistributed earnings of our other foreign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nine months ended December 29, 2018, we repurchased approximately 4.6 million shares of our common stock for approximately $338.7 million under the current and prior share repurchase programs. As of December 29, 2018, $697.2 million remains available for repurchases under our current share repurchase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Operating activities for the nine months ended December 29, 2018 generated cash of $623.0 million, compared to $593.6 million for the nine months ended December 30, 2017. This year-over-year increase was attributable to improved profitability, primarily as a result of higher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Net cash used in investing activities was $205.5 million for the nine months ended December 29, 2018, compared to $246.4 million for the nine months ended December 30, 2017. This year-over-year decrease was primarily due to lower capital expenditures in fiscal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financing activities was $691.5 million for the nine months ended December 29, 2018, compared to $53.1 million for the nine months ended December 30, 2017. This year-over-year increase was primarily due to the retirement of the 2023 Notes and a majority of the 2025 Notes and higher share repurchase activity in the nine months ended December 29, 2018. The increase was partially offset by the proceeds from the issuance of the 2026 Notes in the nine months ended December 29,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Notes Offering 2015</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issued $450.0 million aggregate principal amount of the 2023 Notes and $550.0 million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2025 Notes. The 2023 Notes were, and the 2025 Notes are, senior unsecured obligations of the Company and guaranteed, jointly and severally, by certain of our U.S. subsidiaries (the "Guarantors"). The 2023 Notes and the 2025 Notes were issued pursuant to an indenture dated as of November 19, 2015 containing customary events of default, including payment default, failure to provide certain notices and certain provisions related to bankruptcy events. With respect to the 2023 Notes, interest was payable semi-annually on June 1 and December 1 of each year at a rate of 6.75% per annum, and with respect to the 2025 Notes, interest is payable on June 1 and December 1 of each year at a rate of 7.00% per annum. Interest paid on the 2025 Notes during the three months ended December 29, 2018 was $4.0 million. Interest paid on the 2023 Notes and the 2025 Notes during the nine months ended December 29, 2018 was $45.5 million. Interest paid on the 2023 Notes and the 2025 Notes during the three and nine months ended December 30, 2017 was $34.5 million and $68.9 million, respectively.</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we completed the purchase (via tender offer) of $429.2 million aggregate principal amount of the 2023 Notes at a price equal to 106.75% of the principal amount of the 2023 Notes purchased, plus accrued and unpaid interest. In July 2018, we redeemed the remaining $15.3 million principal amount of the 2023 Notes at a redemption price equal to 100.0% of the principal amount of the 2023 Notes redeemed, plus a make-whole premium and accrued and unpaid interest.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2018, we completed the purchase (via tender offer) of $300.0 million aggregate principal amount of the 2025 Notes at a price equal to 109.63% of the principal amount of the 2025 Notes purchased, plus accrued and unpaid interest. In August 2018, we completed the purchase (via tender offer) of $136.4 million aggregate principal amount of the 2025 Notes at a price equal to 110.00% of the principal amount of the 2025 Notes purchased, plus accrued and unpaid interest.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November 2018 and December 2018, we repurchased $1.1 million and $20.0 million, respectively, of the 2025 Notes, at prices equal to 107.25% and 107.63%, respectively, of the principal amount of the 2025 Notes purchased, plus accrued and unpaid interest. As of December 29, 2018, 2025 Notes with an aggregate principal amount of $91.0 million remained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See Note 6 of the Notes to the Condensed Consolidated Financial Statements for additional information regarding the 2023 Notes and the 2025 Notes.</w:t>
      </w:r>
    </w:p>
    <w:p>
      <w:pPr>
        <w:spacing w:after="0" w:line="2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Notes Offering 2018</w:t>
      </w:r>
      <w:r>
        <w:rPr>
          <w:rFonts w:ascii="Arial" w:cs="Arial" w:eastAsia="Arial" w:hAnsi="Arial"/>
          <w:sz w:val="16"/>
          <w:szCs w:val="16"/>
          <w:i w:val="1"/>
          <w:iCs w:val="1"/>
          <w:color w:val="auto"/>
        </w:rPr>
        <w:t xml:space="preserve"> </w:t>
      </w:r>
      <w:r>
        <w:rPr>
          <w:rFonts w:ascii="Arial" w:cs="Arial" w:eastAsia="Arial" w:hAnsi="Arial"/>
          <w:sz w:val="16"/>
          <w:szCs w:val="16"/>
          <w:color w:val="auto"/>
        </w:rPr>
        <w:t>On July 16, 2018, we completed an offering of $500.0 million aggregate principal amount of our 2026 Notes (the "Initial 2026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28, 2018, we completed an offering of an additional $130.0 million aggregate principal amount of such notes (the "Additional 2026 Notes"). The 2026 Notes were sold in a private offering to certain institutions that then resold the 2026 Notes in the United States to qualified institutional buyers pursuant to Rule 144A under the Securities Act and to certain non-U.S. persons in accordance with Regulation S under the Securities Act. We used a portion of the net proceeds of the offering of the 2026 Notes to fund the tender offers for the 2025 Notes and to pay related fees and expenses of the offering and will use the remaining net proceeds for general corporate purposes. The 2026 Notes are senior unsecured obligations of the Company and are guaranteed, jointly and severally, by each of the Guarantors. Interest on the 2026 Notes is payable on January 15 and July 15 of each year at a rate of 5.50% per annum.</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Initial 2026 Notes were issued pursuant to an indenture dated as of July 16, 2018 by and among the Company, the Guarantors and MUFG Union Bank, N.A., as trustee, and the Additional 2026 Notes were issued pursuant to a supplemental indenture, dated as of August 28, 2018 (together, the "2018 Indenture"). The 2018 Indenture contains customary events of default, including, among other things, payment default, exchange default, failure to provide certain notices thereunder and certain provisions related to bankruptcy events. The 2018 Indenture also contains customary negative covenants. In connection with the offering of the Initial 2026 Notes and the Additional 2026 Notes, we also entered into registration rights agreements, dated as of July 16, 2018 and August 28, 2018, respectively (see Note 6 of the Notes to the Condensed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2026 Notes have not been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2017, we and the Guarantors entered into a five-year unsecured senior credit facility with Bank of America, N.A.,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swing line lender, and L/C issuer, and a syndicate of lenders (the “Credit Agreement”). On the same date, in connection with the execution of the Credit Agreement, we terminated our prior credit agreement, dated April 7, 2015. On June 5, 2018, we and the Guarantors entered into the First Amendment (the "First Amendment") to the Credit Agreement, and on December 17, 2018, we and the Guarantors entered into the Second Amendment (the "Second Amendment") to the Credit Agreement.</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 "Revolving Facility", together with the Term Loan, the "Credit Facility"). On the closing date, $100.0 million of the Term Loan was funded, and this amount was subsequently repaid in March 2018. The remainder of the Term Loan is available, at our discretion, in up to two draws. The First Amendment, among other things, extended the delayed draw availability period from June 5, 2018 to January 3, 2019, and the Second Amendment, among other things, further extended such period to June 30, 2019. The Revolving Facility includes a $25.0 million sublimit for the issuance of standby letters of credit and a $10.0 million sublimit for swing line loans. We may request at any time that the Credit Facility be increased up to $300.0 million. The Credit Facility is available to finance working capital, capital expenditures and other corporate purposes. Our obligations under the Credit Agreement are jointly and severally guaranteed by the Guarantors. Outstanding amounts are due in full on the maturity date of December 5, 2022 (with amounts borrowed under the swing line option due in full no later than ten business days after such loan is made). We had no outstanding amounts under the Credit Facility as of December 29, 2018.</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As of December 29, 2018, we were in compliance with all the financial covenants under the Credit Agreement.</w:t>
      </w:r>
    </w:p>
    <w:p>
      <w:pPr>
        <w:spacing w:after="0" w:line="14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u w:val="single" w:color="auto"/>
          <w:color w:val="auto"/>
        </w:rPr>
        <w:t>Capital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At December 29, 2018, we had capital commitments of approximately $89.0 million primarily related to projects to increase our</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filter capacity, projects for manufacturing cost savings initiatives, equipment replacements and general corporate purposes.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2019. For a discussion of our exposure to market risk, refer to Item 7A, “Quantitative and Qualitative Disclosures About Market Risk,” contained in Qorvo's Annual Report on Form 10-K for the fiscal year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December 29,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31, 2018, which could materially affect our business, financial condition or future results. The risks described in Qorvo's Annual Report on Form 10-K for the fiscal year ended March 31, 2018 are not the only risks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0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240"/>
          </w:cols>
          <w:pgMar w:left="240" w:top="121" w:right="29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September 30, 2018 to October 27, 2018</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October 28, 2018 to November 24, 2018</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November 25, 2018 to December 29, 2018</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5"/>
                <w:szCs w:val="15"/>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74.07</w:t>
            </w:r>
          </w:p>
        </w:tc>
        <w:tc>
          <w:tcPr>
            <w:tcW w:w="100" w:type="dxa"/>
            <w:vAlign w:val="bottom"/>
          </w:tcPr>
          <w:p>
            <w:pPr>
              <w:spacing w:after="0"/>
              <w:rPr>
                <w:sz w:val="15"/>
                <w:szCs w:val="15"/>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197</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3"/>
                <w:szCs w:val="23"/>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66.97</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706</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1,401</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64.32</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1,401</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2,304</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65.97</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2,304</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$834.7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$787.4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$697.2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$697.2 million</w:t>
      </w:r>
    </w:p>
    <w:p>
      <w:pPr>
        <w:spacing w:after="0" w:line="271" w:lineRule="exact"/>
        <w:rPr>
          <w:sz w:val="20"/>
          <w:szCs w:val="20"/>
          <w:color w:val="auto"/>
        </w:rPr>
      </w:pPr>
    </w:p>
    <w:p>
      <w:pPr>
        <w:sectPr>
          <w:pgSz w:w="11900" w:h="16838" w:orient="portrait"/>
          <w:cols w:equalWidth="0" w:num="3">
            <w:col w:w="2900" w:space="720"/>
            <w:col w:w="6100" w:space="720"/>
            <w:col w:w="920"/>
          </w:cols>
          <w:pgMar w:left="240" w:top="121" w:right="299" w:bottom="1440" w:gutter="0" w:footer="0" w:header="0"/>
          <w:type w:val="continuous"/>
        </w:sectPr>
      </w:pP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23, 2018, we announced that our Board of Directors authorized a share repurchase program to repurchase up to $1.0 billion of our outstanding stock, which included approximately $126.3 million authorized under a prior share repurchase program terminated concurrent with the new authorization.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1" w:right="29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0">
        <w:r>
          <w:rPr>
            <w:rFonts w:ascii="Arial" w:cs="Arial" w:eastAsia="Arial" w:hAnsi="Arial"/>
            <w:sz w:val="16"/>
            <w:szCs w:val="16"/>
            <w:u w:val="single" w:color="auto"/>
            <w:color w:val="0000FF"/>
          </w:rPr>
          <w:t>Second 2018 Declaration of Amendment to Qorvo, Inc. Nonqualified Deferred Compensation Plan, dated as of October 8, 2018</w:t>
        </w:r>
      </w:hyperlink>
    </w:p>
    <w:p>
      <w:pPr>
        <w:spacing w:after="0" w:line="333" w:lineRule="exact"/>
        <w:rPr>
          <w:sz w:val="20"/>
          <w:szCs w:val="20"/>
          <w:color w:val="auto"/>
        </w:rPr>
      </w:pPr>
    </w:p>
    <w:p>
      <w:pPr>
        <w:ind w:left="620" w:right="60" w:hanging="462"/>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68">
        <w:r>
          <w:rPr>
            <w:rFonts w:ascii="Arial" w:cs="Arial" w:eastAsia="Arial" w:hAnsi="Arial"/>
            <w:sz w:val="18"/>
            <w:szCs w:val="18"/>
            <w:u w:val="single" w:color="auto"/>
            <w:color w:val="0000FF"/>
          </w:rPr>
          <w:t>Second Amendment to Credit Agreement, dated as of December 17, 2018, by and between Qorvo, Inc., certain of its material domestic subsidiaries,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the lenders party thereto, and Bank of America, N.A., as administrative agent (incorporated by reference to Exhibit 10.1 to the Current Report 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Form 8-K filed with the SEC on December 18, 2018)</w:t>
        </w:r>
      </w:hyperlink>
    </w:p>
    <w:p>
      <w:pPr>
        <w:spacing w:after="0" w:line="303" w:lineRule="exact"/>
        <w:rPr>
          <w:rFonts w:ascii="Arial" w:cs="Arial" w:eastAsia="Arial" w:hAnsi="Arial"/>
          <w:sz w:val="18"/>
          <w:szCs w:val="18"/>
          <w:u w:val="single" w:color="auto"/>
          <w:color w:val="0000FF"/>
        </w:rPr>
      </w:pPr>
    </w:p>
    <w:p>
      <w:pPr>
        <w:ind w:left="620" w:right="2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28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3">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4">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hanging="423"/>
        <w:spacing w:after="0" w:line="255"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December 29, 2018, formatted in XBRL (eXtensible Business Reporting Language): (i) the Condensed Consolidated Balance Sheets as of December 29, 2018 and March 31, 2018; (ii) the Condensed Consolidated Statements of Operations for the three and nine months ended December 29, 2018 and December 30, 2017; (iii) the Condensed Consolidated Statements of Comprehensive Income (Loss) for the three and nine months ended December 29, 2018 and December 30, 2017; (iv) the Condensed Consolidated Statements of Cash Flows for the nine months ended December 29, 2018 and December 30, 2017; and (v) the Notes to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2" w:right="3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February 7, 2019</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20"/>
          </w:cols>
          <w:pgMar w:left="240" w:top="122" w:right="9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SECOND 2018 DECLARATION OF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13" w:lineRule="exact"/>
        <w:rPr>
          <w:sz w:val="20"/>
          <w:szCs w:val="20"/>
          <w:color w:val="auto"/>
        </w:rPr>
      </w:pPr>
    </w:p>
    <w:p>
      <w:pPr>
        <w:ind w:right="20" w:firstLine="1297"/>
        <w:spacing w:after="0" w:line="222" w:lineRule="auto"/>
        <w:rPr>
          <w:sz w:val="20"/>
          <w:szCs w:val="20"/>
          <w:color w:val="auto"/>
        </w:rPr>
      </w:pPr>
      <w:r>
        <w:rPr>
          <w:rFonts w:ascii="Arial" w:cs="Arial" w:eastAsia="Arial" w:hAnsi="Arial"/>
          <w:sz w:val="20"/>
          <w:szCs w:val="20"/>
          <w:color w:val="auto"/>
        </w:rPr>
        <w:t>THIS DECLARATION OF AMENDMENT, made the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October, 2018, by Qorvo, Inc. (the “Company”), as sponsor of the Qorvo, Inc. Nonqualified Deferred Compensation Plan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 :</w:t>
      </w:r>
    </w:p>
    <w:p>
      <w:pPr>
        <w:spacing w:after="0" w:line="235"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It is deemed advisable to amend the Plan to reduce the deferral contribution limit that applies to Bonuses and Commissions from 100% to 85%.</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it is declared that the Plan shall be and hereby is amended, as follows:</w:t>
      </w:r>
    </w:p>
    <w:p>
      <w:pPr>
        <w:spacing w:after="0" w:line="243" w:lineRule="exact"/>
        <w:rPr>
          <w:sz w:val="20"/>
          <w:szCs w:val="20"/>
          <w:color w:val="auto"/>
        </w:rPr>
      </w:pPr>
    </w:p>
    <w:p>
      <w:pPr>
        <w:ind w:left="2100" w:hanging="795"/>
        <w:spacing w:after="0"/>
        <w:tabs>
          <w:tab w:leader="none" w:pos="21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Delete Section 3.1(b) in its entirety and substitute therefor the following new Section 3.1(b):</w:t>
      </w:r>
    </w:p>
    <w:p>
      <w:pPr>
        <w:spacing w:after="0" w:line="243" w:lineRule="exact"/>
        <w:rPr>
          <w:sz w:val="20"/>
          <w:szCs w:val="20"/>
          <w:color w:val="auto"/>
        </w:rPr>
      </w:pPr>
    </w:p>
    <w:p>
      <w:pPr>
        <w:ind w:left="660" w:firstLine="648"/>
        <w:spacing w:after="0" w:line="27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Deferral Contribution Limits</w:t>
      </w:r>
      <w:r>
        <w:rPr>
          <w:rFonts w:ascii="Arial" w:cs="Arial" w:eastAsia="Arial" w:hAnsi="Arial"/>
          <w:sz w:val="18"/>
          <w:szCs w:val="18"/>
          <w:color w:val="auto"/>
        </w:rPr>
        <w:t>. A Deferral Contribution election may reduce the Participant’s Compensation by a specified whole percentage not exceeding, (i) for Eligible Employees, 50% of their Base Salary and 85% of their Bonuses and Commissions, and</w:t>
      </w:r>
    </w:p>
    <w:p>
      <w:pPr>
        <w:spacing w:after="0" w:line="1"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Outside Directors, 100% of their Compensation, equal in either case to whole number multiples of one (1) percent.”</w:t>
      </w:r>
    </w:p>
    <w:p>
      <w:pPr>
        <w:spacing w:after="0" w:line="226" w:lineRule="exact"/>
        <w:rPr>
          <w:rFonts w:ascii="Arial" w:cs="Arial" w:eastAsia="Arial" w:hAnsi="Arial"/>
          <w:sz w:val="20"/>
          <w:szCs w:val="20"/>
          <w:color w:val="auto"/>
        </w:rPr>
      </w:pPr>
    </w:p>
    <w:p>
      <w:pPr>
        <w:ind w:left="660" w:firstLine="645"/>
        <w:spacing w:after="0" w:line="289" w:lineRule="auto"/>
        <w:tabs>
          <w:tab w:leader="none" w:pos="2105"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change in the deferral contribution limit applicable to Bonuses and Commissions as described herein shall apply to Deferral Elections made with respect to Plan Years beginning on and after January 1, 2019.</w:t>
      </w:r>
    </w:p>
    <w:p>
      <w:pPr>
        <w:spacing w:after="0" w:line="169" w:lineRule="exact"/>
        <w:rPr>
          <w:sz w:val="20"/>
          <w:szCs w:val="20"/>
          <w:color w:val="auto"/>
        </w:rPr>
      </w:pPr>
    </w:p>
    <w:p>
      <w:pPr>
        <w:ind w:firstLine="1270"/>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this Declaration of Amendment has been executed on behalf of the Company as of the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first above written.</w:t>
      </w:r>
    </w:p>
    <w:p>
      <w:pPr>
        <w:spacing w:after="0" w:line="34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QORVO, INC.</w:t>
      </w:r>
    </w:p>
    <w:p>
      <w:pPr>
        <w:spacing w:after="0" w:line="389" w:lineRule="exact"/>
        <w:rPr>
          <w:sz w:val="20"/>
          <w:szCs w:val="20"/>
          <w:color w:val="auto"/>
        </w:rPr>
      </w:pPr>
    </w:p>
    <w:p>
      <w:pPr>
        <w:ind w:left="53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Jeffrey C. Howland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27305</wp:posOffset>
            </wp:positionV>
            <wp:extent cx="32327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47" w:lineRule="exact"/>
        <w:rPr>
          <w:sz w:val="20"/>
          <w:szCs w:val="20"/>
          <w:color w:val="auto"/>
        </w:rPr>
      </w:pPr>
    </w:p>
    <w:p>
      <w:pPr>
        <w:ind w:left="5300"/>
        <w:spacing w:after="0"/>
        <w:tabs>
          <w:tab w:leader="none" w:pos="6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Jeffrey C. Howland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27305</wp:posOffset>
            </wp:positionV>
            <wp:extent cx="32327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47" w:lineRule="exact"/>
        <w:rPr>
          <w:sz w:val="20"/>
          <w:szCs w:val="20"/>
          <w:color w:val="auto"/>
        </w:rPr>
      </w:pPr>
    </w:p>
    <w:p>
      <w:pPr>
        <w:ind w:left="530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Corporate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27305</wp:posOffset>
            </wp:positionV>
            <wp:extent cx="32327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7, 2019</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7, 2019</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29,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7, 2019</w:t>
      </w:r>
    </w:p>
    <w:p>
      <w:pPr>
        <w:sectPr>
          <w:pgSz w:w="11900" w:h="16838" w:orient="portrait"/>
          <w:cols w:equalWidth="0" w:num="1">
            <w:col w:w="11360"/>
          </w:cols>
          <w:pgMar w:left="240" w:top="576" w:right="29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0" w:hanging="652"/>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29,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7, 2019</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2"/>
    </w:lvl>
    <w:lvl w:ilvl="1">
      <w:lvlJc w:val="left"/>
      <w:lvlText w:val="%2."/>
      <w:numFmt w:val="decimal"/>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68" Type="http://schemas.openxmlformats.org/officeDocument/2006/relationships/hyperlink" Target="http://www.sec.gov/Archives/edgar/data/1604778/000160477818000103/secondamendmentto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2019-12-28T16:37:56Z</dcterms:created>
  <dcterms:modified xsi:type="dcterms:W3CDTF">2019-12-28T16:37:56Z</dcterms:modified>
</cp:coreProperties>
</file>