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79"/>
        <w:spacing w:after="0"/>
        <w:rPr>
          <w:sz w:val="20"/>
          <w:szCs w:val="20"/>
          <w:color w:val="auto"/>
        </w:rPr>
      </w:pPr>
      <w:r>
        <w:rPr>
          <w:rFonts w:ascii="Arial" w:cs="Arial" w:eastAsia="Arial" w:hAnsi="Arial"/>
          <w:sz w:val="25"/>
          <w:szCs w:val="25"/>
          <w:b w:val="1"/>
          <w:bCs w:val="1"/>
          <w:color w:val="auto"/>
        </w:rPr>
        <w:t>SCHEDULE 14A</w:t>
      </w:r>
    </w:p>
    <w:p>
      <w:pPr>
        <w:spacing w:after="0" w:line="228" w:lineRule="exact"/>
        <w:rPr>
          <w:sz w:val="24"/>
          <w:szCs w:val="24"/>
          <w:color w:val="auto"/>
        </w:rPr>
      </w:pPr>
    </w:p>
    <w:p>
      <w:pPr>
        <w:jc w:val="center"/>
        <w:ind w:right="-279"/>
        <w:spacing w:after="0"/>
        <w:rPr>
          <w:sz w:val="20"/>
          <w:szCs w:val="20"/>
          <w:color w:val="auto"/>
        </w:rPr>
      </w:pPr>
      <w:r>
        <w:rPr>
          <w:rFonts w:ascii="Arial" w:cs="Arial" w:eastAsia="Arial" w:hAnsi="Arial"/>
          <w:sz w:val="19"/>
          <w:szCs w:val="19"/>
          <w:b w:val="1"/>
          <w:bCs w:val="1"/>
          <w:color w:val="auto"/>
        </w:rPr>
        <w:t>INFORMATION REQUIRED IN PROXY STATEMENT</w:t>
      </w:r>
    </w:p>
    <w:p>
      <w:pPr>
        <w:spacing w:after="0" w:line="22"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SCHEDULE 14A INFORMATION</w:t>
      </w:r>
    </w:p>
    <w:p>
      <w:pPr>
        <w:spacing w:after="0" w:line="183"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18"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of the Securities Exchange Act of 1934</w:t>
      </w:r>
    </w:p>
    <w:p>
      <w:pPr>
        <w:sectPr>
          <w:pgSz w:w="11900" w:h="16838" w:orient="portrait"/>
          <w:cols w:equalWidth="0" w:num="1">
            <w:col w:w="10960"/>
          </w:cols>
          <w:pgMar w:left="320" w:top="230" w:right="619" w:bottom="1440" w:gutter="0" w:footer="0" w:header="0"/>
        </w:sectPr>
      </w:pPr>
    </w:p>
    <w:p>
      <w:pPr>
        <w:spacing w:after="0" w:line="173"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168" w:lineRule="exact"/>
        <w:rPr>
          <w:sz w:val="24"/>
          <w:szCs w:val="24"/>
          <w:color w:val="auto"/>
        </w:rPr>
      </w:pPr>
    </w:p>
    <w:p>
      <w:pPr>
        <w:ind w:left="120"/>
        <w:spacing w:after="0"/>
        <w:rPr>
          <w:sz w:val="20"/>
          <w:szCs w:val="20"/>
          <w:color w:val="auto"/>
        </w:rPr>
      </w:pPr>
      <w:r>
        <w:rPr>
          <w:rFonts w:ascii="Arial" w:cs="Arial" w:eastAsia="Arial" w:hAnsi="Arial"/>
          <w:sz w:val="16"/>
          <w:szCs w:val="16"/>
          <w:color w:val="auto"/>
        </w:rPr>
        <w:t>Check the appropriate box:</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552" w:lineRule="exact"/>
        <w:rPr>
          <w:sz w:val="24"/>
          <w:szCs w:val="24"/>
          <w:color w:val="auto"/>
        </w:rPr>
      </w:pPr>
    </w:p>
    <w:p>
      <w:pPr>
        <w:sectPr>
          <w:pgSz w:w="11900" w:h="16838" w:orient="portrait"/>
          <w:cols w:equalWidth="0" w:num="2">
            <w:col w:w="2560" w:space="720"/>
            <w:col w:w="7680"/>
          </w:cols>
          <w:pgMar w:left="320" w:top="230" w:right="619" w:bottom="1440" w:gutter="0" w:footer="0" w:header="0"/>
          <w:type w:val="continuous"/>
        </w:sectPr>
      </w:pPr>
    </w:p>
    <w:p>
      <w:pPr>
        <w:spacing w:after="0" w:line="48" w:lineRule="exact"/>
        <w:rPr>
          <w:sz w:val="24"/>
          <w:szCs w:val="24"/>
          <w:color w:val="auto"/>
        </w:rPr>
      </w:pPr>
    </w:p>
    <w:p>
      <w:pPr>
        <w:ind w:left="680" w:hanging="56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06" w:lineRule="exact"/>
        <w:rPr>
          <w:rFonts w:ascii="MS PGothic" w:cs="MS PGothic" w:eastAsia="MS PGothic" w:hAnsi="MS PGothic"/>
          <w:sz w:val="16"/>
          <w:szCs w:val="16"/>
          <w:color w:val="auto"/>
        </w:rPr>
      </w:pPr>
    </w:p>
    <w:p>
      <w:pPr>
        <w:ind w:left="680" w:hanging="56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47" w:lineRule="exact"/>
        <w:rPr>
          <w:sz w:val="24"/>
          <w:szCs w:val="24"/>
          <w:color w:val="auto"/>
        </w:rPr>
      </w:pPr>
    </w:p>
    <w:p>
      <w:pPr>
        <w:ind w:left="680" w:hanging="564"/>
        <w:spacing w:after="0"/>
        <w:tabs>
          <w:tab w:leader="none" w:pos="6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680" w:hanging="564"/>
        <w:spacing w:after="0"/>
        <w:tabs>
          <w:tab w:leader="none" w:pos="6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6" w:lineRule="exact"/>
        <w:rPr>
          <w:rFonts w:ascii="MS PGothic" w:cs="MS PGothic" w:eastAsia="MS PGothic" w:hAnsi="MS PGothic"/>
          <w:sz w:val="16"/>
          <w:szCs w:val="16"/>
          <w:color w:val="auto"/>
        </w:rPr>
      </w:pPr>
    </w:p>
    <w:p>
      <w:pPr>
        <w:ind w:left="680" w:hanging="564"/>
        <w:spacing w:after="0"/>
        <w:tabs>
          <w:tab w:leader="none" w:pos="6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75"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Qorvo, Inc.</w:t>
      </w:r>
    </w:p>
    <w:p>
      <w:pPr>
        <w:spacing w:after="0" w:line="48"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82" w:lineRule="exact"/>
        <w:rPr>
          <w:sz w:val="24"/>
          <w:szCs w:val="24"/>
          <w:color w:val="auto"/>
        </w:rPr>
      </w:pPr>
    </w:p>
    <w:p>
      <w:pPr>
        <w:ind w:left="288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41" w:lineRule="exact"/>
        <w:rPr>
          <w:sz w:val="24"/>
          <w:szCs w:val="24"/>
          <w:color w:val="auto"/>
        </w:rPr>
      </w:pPr>
    </w:p>
    <w:p>
      <w:pPr>
        <w:ind w:left="120"/>
        <w:spacing w:after="0"/>
        <w:rPr>
          <w:sz w:val="20"/>
          <w:szCs w:val="20"/>
          <w:color w:val="auto"/>
        </w:rPr>
      </w:pPr>
      <w:r>
        <w:rPr>
          <w:rFonts w:ascii="Arial" w:cs="Arial" w:eastAsia="Arial" w:hAnsi="Arial"/>
          <w:sz w:val="16"/>
          <w:szCs w:val="16"/>
          <w:color w:val="auto"/>
        </w:rPr>
        <w:t>Payment of Filing Fee (Check the appropriate box):</w:t>
      </w:r>
    </w:p>
    <w:p>
      <w:pPr>
        <w:spacing w:after="0" w:line="113"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27"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126" w:lineRule="exact"/>
        <w:rPr>
          <w:rFonts w:ascii="MS PGothic" w:cs="MS PGothic" w:eastAsia="MS PGothic" w:hAnsi="MS PGothic"/>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48" w:lineRule="exact"/>
        <w:rPr>
          <w:rFonts w:ascii="Arial" w:cs="Arial" w:eastAsia="Arial" w:hAnsi="Arial"/>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48" w:lineRule="exact"/>
        <w:rPr>
          <w:rFonts w:ascii="Arial" w:cs="Arial" w:eastAsia="Arial" w:hAnsi="Arial"/>
          <w:sz w:val="16"/>
          <w:szCs w:val="16"/>
          <w:color w:val="auto"/>
        </w:rPr>
      </w:pPr>
    </w:p>
    <w:p>
      <w:pPr>
        <w:ind w:left="1220" w:right="40" w:hanging="537"/>
        <w:spacing w:after="0" w:line="260" w:lineRule="auto"/>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22" w:lineRule="exact"/>
        <w:rPr>
          <w:rFonts w:ascii="Arial" w:cs="Arial" w:eastAsia="Arial" w:hAnsi="Arial"/>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48" w:lineRule="exact"/>
        <w:rPr>
          <w:rFonts w:ascii="Arial" w:cs="Arial" w:eastAsia="Arial" w:hAnsi="Arial"/>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48" w:lineRule="exact"/>
        <w:rPr>
          <w:rFonts w:ascii="Arial" w:cs="Arial" w:eastAsia="Arial" w:hAnsi="Arial"/>
          <w:sz w:val="16"/>
          <w:szCs w:val="16"/>
          <w:color w:val="auto"/>
        </w:rPr>
      </w:pPr>
    </w:p>
    <w:p>
      <w:pPr>
        <w:ind w:left="680" w:hanging="564"/>
        <w:spacing w:after="0"/>
        <w:tabs>
          <w:tab w:leader="none" w:pos="6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26" w:lineRule="exact"/>
        <w:rPr>
          <w:rFonts w:ascii="MS PGothic" w:cs="MS PGothic" w:eastAsia="MS PGothic" w:hAnsi="MS PGothic"/>
          <w:sz w:val="16"/>
          <w:szCs w:val="16"/>
          <w:color w:val="auto"/>
        </w:rPr>
      </w:pPr>
    </w:p>
    <w:p>
      <w:pPr>
        <w:ind w:left="680" w:hanging="564"/>
        <w:spacing w:after="0" w:line="260" w:lineRule="auto"/>
        <w:tabs>
          <w:tab w:leader="none" w:pos="6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7" w:lineRule="exact"/>
        <w:rPr>
          <w:rFonts w:ascii="MS PGothic" w:cs="MS PGothic" w:eastAsia="MS PGothic" w:hAnsi="MS PGothic"/>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48" w:lineRule="exact"/>
        <w:rPr>
          <w:rFonts w:ascii="Arial" w:cs="Arial" w:eastAsia="Arial" w:hAnsi="Arial"/>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48" w:lineRule="exact"/>
        <w:rPr>
          <w:rFonts w:ascii="Arial" w:cs="Arial" w:eastAsia="Arial" w:hAnsi="Arial"/>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48" w:lineRule="exact"/>
        <w:rPr>
          <w:rFonts w:ascii="Arial" w:cs="Arial" w:eastAsia="Arial" w:hAnsi="Arial"/>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-2680335</wp:posOffset>
            </wp:positionV>
            <wp:extent cx="6292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-2406015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-2011680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-1737360</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-1463040</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-683260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-408940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-134620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139065</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319405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361950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320" w:top="230" w:right="6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522605</wp:posOffset>
            </wp:positionV>
            <wp:extent cx="1697355" cy="403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9735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June 23, 2020</w:t>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Dear Stockholders:</w:t>
      </w:r>
    </w:p>
    <w:p>
      <w:pPr>
        <w:spacing w:after="0" w:line="221"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auto"/>
        </w:rPr>
        <w:t>You are cordially invited to attend Qorvo’s 2020 Annual Meeting of Stockholders, which will be held on Tuesday, August 4, 2020, at 10:00 a.m. Eastern Daylight Time at the offices of Womble Bond Dickinson (US) LLP, One Wells Fargo Center, Suite 3500, 301 South College Street, Charlotte, North Carolina 28202. During the annual meeting, we will discuss each item of business described in the Notice of Annual Meeting of Stockholders and Proxy Statement.</w:t>
      </w:r>
    </w:p>
    <w:p>
      <w:pPr>
        <w:spacing w:after="0" w:line="202"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On or about June 23, 2020, we began mailing to certain stockholders a Notice of Internet Availability of Proxy Materials containing instructions on how to access our proxy materials, including our 2020 Annual Report, via the Internet. The Notice of Internet Availability of Proxy Materials also contains instructions on how to receive a paper copy of the proxy materials. Stockholders who did not receive the Notice of Internet Availability of Proxy Materials will receive a paper copy of the Notice of Annual Meeting of Stockholders, Proxy Statement, Form of Proxy and 2020 Annual Report, which we also began mailing on or about June 23, 2020. Copies of our Notice of Annual Meeting of Stockholders, Proxy Statement, Form of Proxy and 2020 Annual Report are available at www.proxyvote.com.</w:t>
      </w:r>
    </w:p>
    <w:p>
      <w:pPr>
        <w:spacing w:after="0" w:line="185"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b w:val="1"/>
          <w:bCs w:val="1"/>
          <w:color w:val="auto"/>
        </w:rPr>
        <w:t xml:space="preserve">Your vote is important to us. </w:t>
      </w:r>
      <w:r>
        <w:rPr>
          <w:rFonts w:ascii="Arial" w:cs="Arial" w:eastAsia="Arial" w:hAnsi="Arial"/>
          <w:sz w:val="16"/>
          <w:szCs w:val="16"/>
          <w:color w:val="auto"/>
        </w:rPr>
        <w:t>It is important that your shares of common stock be represented at the annual meeting so that a quorum may be</w:t>
      </w:r>
      <w:r>
        <w:rPr>
          <w:rFonts w:ascii="Arial" w:cs="Arial" w:eastAsia="Arial" w:hAnsi="Arial"/>
          <w:sz w:val="16"/>
          <w:szCs w:val="16"/>
          <w:b w:val="1"/>
          <w:bCs w:val="1"/>
          <w:color w:val="auto"/>
        </w:rPr>
        <w:t xml:space="preserve"> </w:t>
      </w:r>
      <w:r>
        <w:rPr>
          <w:rFonts w:ascii="Arial" w:cs="Arial" w:eastAsia="Arial" w:hAnsi="Arial"/>
          <w:sz w:val="16"/>
          <w:szCs w:val="16"/>
          <w:color w:val="auto"/>
        </w:rPr>
        <w:t>established. Even if you plan to attend the annual meeting in person, please read the proxy materials carefully and then vote your proxy as soon as possible. You may vote over the Internet, by telephone or by mailing a completed proxy card. Additional information is provided in the proxy materials. If you attend the annual meeting, you may revoke your proxy and vote your shares in person.</w:t>
      </w:r>
    </w:p>
    <w:p>
      <w:pPr>
        <w:spacing w:after="0" w:line="19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151765</wp:posOffset>
            </wp:positionV>
            <wp:extent cx="1543050" cy="282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4305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Jason K. Givens</w:t>
      </w:r>
    </w:p>
    <w:p>
      <w:pPr>
        <w:ind w:left="608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020"/>
          </w:cols>
          <w:pgMar w:left="320" w:top="459" w:right="5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360045</wp:posOffset>
            </wp:positionV>
            <wp:extent cx="1697355" cy="402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9735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QORVO, INC.</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7628 THORNDIKE ROAD</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GREENSBORO, NORTH CAROLINA 27409-9421</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NOTICE OF ANNUAL MEETING OF STOCKHOLDERS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TO BE HELD AUGUST 4, 2020</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Dear Stockholders:</w:t>
      </w:r>
    </w:p>
    <w:p>
      <w:pPr>
        <w:spacing w:after="0" w:line="221" w:lineRule="exact"/>
        <w:rPr>
          <w:sz w:val="20"/>
          <w:szCs w:val="20"/>
          <w:color w:val="auto"/>
        </w:rPr>
      </w:pPr>
    </w:p>
    <w:p>
      <w:pPr>
        <w:jc w:val="both"/>
        <w:ind w:left="120" w:right="420"/>
        <w:spacing w:after="0" w:line="253" w:lineRule="auto"/>
        <w:rPr>
          <w:sz w:val="20"/>
          <w:szCs w:val="20"/>
          <w:color w:val="auto"/>
        </w:rPr>
      </w:pPr>
      <w:r>
        <w:rPr>
          <w:rFonts w:ascii="Arial" w:cs="Arial" w:eastAsia="Arial" w:hAnsi="Arial"/>
          <w:sz w:val="16"/>
          <w:szCs w:val="16"/>
          <w:color w:val="auto"/>
        </w:rPr>
        <w:t>We hereby give notice that the 2020 Annual Meeting of Stockholders of Qorvo, Inc. (“Qorvo”) will be held on Tuesday, August 4, 2020, at 10:00 a.m. Eastern Daylight Time at the offices of Womble Bond Dickinson (US) LLP, One Wells Fargo Center, Suite 3500, 301 South College Street, Charlotte, North Carolina 28202 for the following purposes:</w:t>
      </w:r>
    </w:p>
    <w:p>
      <w:pPr>
        <w:spacing w:after="0" w:line="107" w:lineRule="exact"/>
        <w:rPr>
          <w:sz w:val="20"/>
          <w:szCs w:val="20"/>
          <w:color w:val="auto"/>
        </w:rPr>
      </w:pPr>
    </w:p>
    <w:p>
      <w:pPr>
        <w:ind w:left="980" w:right="300" w:hanging="432"/>
        <w:spacing w:after="0" w:line="260"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the nine directors named in the accompanying proxy statement to serve a one-year term and until their respective successors are duly elected and qualified or until their earlier death, resignation or removal.</w:t>
      </w:r>
    </w:p>
    <w:p>
      <w:pPr>
        <w:spacing w:after="0" w:line="100" w:lineRule="exact"/>
        <w:rPr>
          <w:rFonts w:ascii="Arial" w:cs="Arial" w:eastAsia="Arial" w:hAnsi="Arial"/>
          <w:sz w:val="16"/>
          <w:szCs w:val="16"/>
          <w:color w:val="auto"/>
        </w:rPr>
      </w:pPr>
    </w:p>
    <w:p>
      <w:pPr>
        <w:ind w:left="980" w:hanging="432"/>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on an advisory basis, the compensation of our Named Executive Officers (as defined in the proxy statement).</w:t>
      </w:r>
    </w:p>
    <w:p>
      <w:pPr>
        <w:spacing w:after="0" w:line="126" w:lineRule="exact"/>
        <w:rPr>
          <w:rFonts w:ascii="Arial" w:cs="Arial" w:eastAsia="Arial" w:hAnsi="Arial"/>
          <w:sz w:val="16"/>
          <w:szCs w:val="16"/>
          <w:color w:val="auto"/>
        </w:rPr>
      </w:pPr>
    </w:p>
    <w:p>
      <w:pPr>
        <w:ind w:left="980" w:hanging="432"/>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the fiscal year ending April 3, 2021.</w:t>
      </w:r>
    </w:p>
    <w:p>
      <w:pPr>
        <w:spacing w:after="0" w:line="126" w:lineRule="exact"/>
        <w:rPr>
          <w:rFonts w:ascii="Arial" w:cs="Arial" w:eastAsia="Arial" w:hAnsi="Arial"/>
          <w:sz w:val="16"/>
          <w:szCs w:val="16"/>
          <w:color w:val="auto"/>
        </w:rPr>
      </w:pPr>
    </w:p>
    <w:p>
      <w:pPr>
        <w:ind w:left="980" w:hanging="432"/>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w:t>
      </w:r>
    </w:p>
    <w:p>
      <w:pPr>
        <w:spacing w:after="0" w:line="221" w:lineRule="exact"/>
        <w:rPr>
          <w:sz w:val="20"/>
          <w:szCs w:val="20"/>
          <w:color w:val="auto"/>
        </w:rPr>
      </w:pPr>
    </w:p>
    <w:p>
      <w:pPr>
        <w:ind w:left="120" w:right="140"/>
        <w:spacing w:after="0" w:line="260" w:lineRule="auto"/>
        <w:rPr>
          <w:sz w:val="20"/>
          <w:szCs w:val="20"/>
          <w:color w:val="auto"/>
        </w:rPr>
      </w:pPr>
      <w:r>
        <w:rPr>
          <w:rFonts w:ascii="Arial" w:cs="Arial" w:eastAsia="Arial" w:hAnsi="Arial"/>
          <w:sz w:val="16"/>
          <w:szCs w:val="16"/>
          <w:color w:val="auto"/>
        </w:rPr>
        <w:t>Under Delaware law, only stockholders of record at the close of business on the record date, which is June 11, 2020, are entitled to notice of and to vote at the annual meeting or any adjournment thereof.</w:t>
      </w:r>
    </w:p>
    <w:p>
      <w:pPr>
        <w:spacing w:after="0" w:line="19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151765</wp:posOffset>
            </wp:positionV>
            <wp:extent cx="1543050" cy="282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4305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Jason K. Givens</w:t>
      </w:r>
    </w:p>
    <w:p>
      <w:pPr>
        <w:ind w:left="6080"/>
        <w:spacing w:after="0"/>
        <w:rPr>
          <w:sz w:val="20"/>
          <w:szCs w:val="20"/>
          <w:color w:val="auto"/>
        </w:rPr>
      </w:pPr>
      <w:r>
        <w:rPr>
          <w:rFonts w:ascii="Arial" w:cs="Arial" w:eastAsia="Arial" w:hAnsi="Arial"/>
          <w:sz w:val="18"/>
          <w:szCs w:val="18"/>
          <w:color w:val="auto"/>
        </w:rPr>
        <w:t>Secretary</w:t>
      </w:r>
    </w:p>
    <w:p>
      <w:pPr>
        <w:spacing w:after="0" w:line="21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June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149860</wp:posOffset>
            </wp:positionV>
            <wp:extent cx="6998970" cy="681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81355"/>
                    </a:xfrm>
                    <a:prstGeom prst="rect">
                      <a:avLst/>
                    </a:prstGeom>
                    <a:noFill/>
                  </pic:spPr>
                </pic:pic>
              </a:graphicData>
            </a:graphic>
          </wp:anchor>
        </w:drawing>
      </w:r>
    </w:p>
    <w:p>
      <w:pPr>
        <w:spacing w:after="0" w:line="275" w:lineRule="exact"/>
        <w:rPr>
          <w:sz w:val="20"/>
          <w:szCs w:val="20"/>
          <w:color w:val="auto"/>
        </w:rPr>
      </w:pPr>
    </w:p>
    <w:p>
      <w:pPr>
        <w:ind w:left="240" w:right="140"/>
        <w:spacing w:after="0" w:line="250" w:lineRule="auto"/>
        <w:rPr>
          <w:sz w:val="20"/>
          <w:szCs w:val="20"/>
          <w:color w:val="auto"/>
        </w:rPr>
      </w:pPr>
      <w:r>
        <w:rPr>
          <w:rFonts w:ascii="Arial" w:cs="Arial" w:eastAsia="Arial" w:hAnsi="Arial"/>
          <w:sz w:val="16"/>
          <w:szCs w:val="16"/>
          <w:color w:val="auto"/>
        </w:rPr>
        <w:t xml:space="preserve">In light of the COVID-19 pandemic, we may impose additional procedures or limitations on meeting attendees (beyond those described herein) or may decide to hold the annual meeting in a different location or solely by means of remote communication (i.e. a virtual-only annual meeting). We plan to announce any such updates through a press release and on our Investor Relations website at </w:t>
      </w:r>
      <w:r>
        <w:rPr>
          <w:rFonts w:ascii="Arial" w:cs="Arial" w:eastAsia="Arial" w:hAnsi="Arial"/>
          <w:sz w:val="16"/>
          <w:szCs w:val="16"/>
          <w:i w:val="1"/>
          <w:iCs w:val="1"/>
          <w:color w:val="auto"/>
        </w:rPr>
        <w:t>ir.qorvo.com</w:t>
      </w:r>
      <w:r>
        <w:rPr>
          <w:rFonts w:ascii="Arial" w:cs="Arial" w:eastAsia="Arial" w:hAnsi="Arial"/>
          <w:sz w:val="16"/>
          <w:szCs w:val="16"/>
          <w:color w:val="auto"/>
        </w:rPr>
        <w:t>, and to file the announcement as definitive additional soliciting material on the Securities and Exchange Commission’s (“SEC”) EDGAR website. We encourage you to check our website and the SEC’s EDGAR website prior to the annual meeting if you plan to attend. As always, we encourage you to vote your shares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127635</wp:posOffset>
            </wp:positionV>
            <wp:extent cx="58293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pacing w:after="0" w:line="216"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8"/>
          <w:szCs w:val="18"/>
          <w:i w:val="1"/>
          <w:iCs w:val="1"/>
          <w:color w:val="1269BC"/>
        </w:rPr>
        <w:t>2020 Proxy Statement</w:t>
      </w:r>
      <w:r>
        <w:rPr>
          <w:sz w:val="20"/>
          <w:szCs w:val="20"/>
          <w:color w:val="auto"/>
        </w:rPr>
        <w:tab/>
      </w:r>
      <w:r>
        <w:rPr>
          <w:rFonts w:ascii="Arial" w:cs="Arial" w:eastAsia="Arial" w:hAnsi="Arial"/>
          <w:sz w:val="18"/>
          <w:szCs w:val="18"/>
          <w:color w:val="auto"/>
        </w:rPr>
        <w:t>i</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2020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1269BC"/>
        </w:rPr>
        <w:t>2020 PROXY STATEMENT SUMMARY</w:t>
      </w:r>
    </w:p>
    <w:p>
      <w:pPr>
        <w:spacing w:after="0" w:line="116" w:lineRule="exact"/>
        <w:rPr>
          <w:sz w:val="20"/>
          <w:szCs w:val="20"/>
          <w:color w:val="auto"/>
        </w:rPr>
      </w:pPr>
    </w:p>
    <w:p>
      <w:pPr>
        <w:ind w:left="120" w:right="420"/>
        <w:spacing w:after="0" w:line="281" w:lineRule="auto"/>
        <w:rPr>
          <w:sz w:val="20"/>
          <w:szCs w:val="20"/>
          <w:color w:val="auto"/>
        </w:rPr>
      </w:pPr>
      <w:r>
        <w:rPr>
          <w:rFonts w:ascii="Arial" w:cs="Arial" w:eastAsia="Arial" w:hAnsi="Arial"/>
          <w:sz w:val="16"/>
          <w:szCs w:val="16"/>
          <w:i w:val="1"/>
          <w:iCs w:val="1"/>
          <w:color w:val="auto"/>
        </w:rPr>
        <w:t>This summary highlights information contained elsewhere in this proxy statement. This summary does not contain all the information that you should consider, and you should read the entire proxy statement carefully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138430</wp:posOffset>
            </wp:positionV>
            <wp:extent cx="6995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Annual Meeting of Stockholders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160" w:type="dxa"/>
            <w:vAlign w:val="bottom"/>
          </w:tcPr>
          <w:p>
            <w:pPr>
              <w:spacing w:after="0"/>
              <w:rPr>
                <w:sz w:val="20"/>
                <w:szCs w:val="20"/>
                <w:color w:val="auto"/>
              </w:rPr>
            </w:pPr>
            <w:r>
              <w:rPr>
                <w:rFonts w:ascii="Arial" w:cs="Arial" w:eastAsia="Arial" w:hAnsi="Arial"/>
                <w:sz w:val="16"/>
                <w:szCs w:val="16"/>
                <w:color w:val="1269BC"/>
              </w:rPr>
              <w:t>●</w:t>
            </w:r>
          </w:p>
        </w:tc>
        <w:tc>
          <w:tcPr>
            <w:tcW w:w="1420" w:type="dxa"/>
            <w:vAlign w:val="bottom"/>
          </w:tcPr>
          <w:p>
            <w:pPr>
              <w:ind w:left="60"/>
              <w:spacing w:after="0"/>
              <w:rPr>
                <w:sz w:val="20"/>
                <w:szCs w:val="20"/>
                <w:color w:val="auto"/>
              </w:rPr>
            </w:pPr>
            <w:r>
              <w:rPr>
                <w:rFonts w:ascii="Arial" w:cs="Arial" w:eastAsia="Arial" w:hAnsi="Arial"/>
                <w:sz w:val="16"/>
                <w:szCs w:val="16"/>
                <w:color w:val="auto"/>
              </w:rPr>
              <w:t>Time and Date</w:t>
            </w:r>
          </w:p>
        </w:tc>
        <w:tc>
          <w:tcPr>
            <w:tcW w:w="9380" w:type="dxa"/>
            <w:vAlign w:val="bottom"/>
          </w:tcPr>
          <w:p>
            <w:pPr>
              <w:ind w:left="300"/>
              <w:spacing w:after="0"/>
              <w:rPr>
                <w:sz w:val="20"/>
                <w:szCs w:val="20"/>
                <w:color w:val="auto"/>
              </w:rPr>
            </w:pPr>
            <w:r>
              <w:rPr>
                <w:rFonts w:ascii="Arial" w:cs="Arial" w:eastAsia="Arial" w:hAnsi="Arial"/>
                <w:sz w:val="16"/>
                <w:szCs w:val="16"/>
                <w:color w:val="auto"/>
              </w:rPr>
              <w:t>10:00 a.m. Eastern Daylight Time, August 4, 2020</w:t>
            </w:r>
          </w:p>
        </w:tc>
      </w:tr>
      <w:tr>
        <w:trPr>
          <w:trHeight w:val="224"/>
        </w:trPr>
        <w:tc>
          <w:tcPr>
            <w:tcW w:w="160" w:type="dxa"/>
            <w:vAlign w:val="bottom"/>
          </w:tcPr>
          <w:p>
            <w:pPr>
              <w:spacing w:after="0"/>
              <w:rPr>
                <w:sz w:val="20"/>
                <w:szCs w:val="20"/>
                <w:color w:val="auto"/>
              </w:rPr>
            </w:pPr>
            <w:r>
              <w:rPr>
                <w:rFonts w:ascii="Arial" w:cs="Arial" w:eastAsia="Arial" w:hAnsi="Arial"/>
                <w:sz w:val="16"/>
                <w:szCs w:val="16"/>
                <w:color w:val="1269BC"/>
              </w:rPr>
              <w:t>●</w:t>
            </w:r>
          </w:p>
        </w:tc>
        <w:tc>
          <w:tcPr>
            <w:tcW w:w="1420" w:type="dxa"/>
            <w:vAlign w:val="bottom"/>
          </w:tcPr>
          <w:p>
            <w:pPr>
              <w:ind w:left="60"/>
              <w:spacing w:after="0"/>
              <w:rPr>
                <w:sz w:val="20"/>
                <w:szCs w:val="20"/>
                <w:color w:val="auto"/>
              </w:rPr>
            </w:pPr>
            <w:r>
              <w:rPr>
                <w:rFonts w:ascii="Arial" w:cs="Arial" w:eastAsia="Arial" w:hAnsi="Arial"/>
                <w:sz w:val="16"/>
                <w:szCs w:val="16"/>
                <w:color w:val="auto"/>
              </w:rPr>
              <w:t>Place</w:t>
            </w:r>
          </w:p>
        </w:tc>
        <w:tc>
          <w:tcPr>
            <w:tcW w:w="9380" w:type="dxa"/>
            <w:vAlign w:val="bottom"/>
          </w:tcPr>
          <w:p>
            <w:pPr>
              <w:ind w:left="300"/>
              <w:spacing w:after="0"/>
              <w:rPr>
                <w:sz w:val="20"/>
                <w:szCs w:val="20"/>
                <w:color w:val="auto"/>
              </w:rPr>
            </w:pPr>
            <w:r>
              <w:rPr>
                <w:rFonts w:ascii="Arial" w:cs="Arial" w:eastAsia="Arial" w:hAnsi="Arial"/>
                <w:sz w:val="16"/>
                <w:szCs w:val="16"/>
                <w:color w:val="auto"/>
              </w:rPr>
              <w:t>The offices of Womble Bond Dickinson (US) LLP</w:t>
            </w:r>
          </w:p>
        </w:tc>
      </w:tr>
      <w:tr>
        <w:trPr>
          <w:trHeight w:val="189"/>
        </w:trPr>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380" w:type="dxa"/>
            <w:vAlign w:val="bottom"/>
          </w:tcPr>
          <w:p>
            <w:pPr>
              <w:ind w:left="300"/>
              <w:spacing w:after="0"/>
              <w:rPr>
                <w:sz w:val="20"/>
                <w:szCs w:val="20"/>
                <w:color w:val="auto"/>
              </w:rPr>
            </w:pPr>
            <w:r>
              <w:rPr>
                <w:rFonts w:ascii="Arial" w:cs="Arial" w:eastAsia="Arial" w:hAnsi="Arial"/>
                <w:sz w:val="16"/>
                <w:szCs w:val="16"/>
                <w:color w:val="auto"/>
              </w:rPr>
              <w:t>One Wells Fargo Center, Suite 3500, 301 South College Street</w:t>
            </w:r>
          </w:p>
        </w:tc>
      </w:tr>
      <w:tr>
        <w:trPr>
          <w:trHeight w:val="195"/>
        </w:trPr>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380" w:type="dxa"/>
            <w:vAlign w:val="bottom"/>
          </w:tcPr>
          <w:p>
            <w:pPr>
              <w:ind w:left="300"/>
              <w:spacing w:after="0"/>
              <w:rPr>
                <w:sz w:val="20"/>
                <w:szCs w:val="20"/>
                <w:color w:val="auto"/>
              </w:rPr>
            </w:pPr>
            <w:r>
              <w:rPr>
                <w:rFonts w:ascii="Arial" w:cs="Arial" w:eastAsia="Arial" w:hAnsi="Arial"/>
                <w:sz w:val="16"/>
                <w:szCs w:val="16"/>
                <w:color w:val="auto"/>
              </w:rPr>
              <w:t>Charlotte, North Carolina 28202</w:t>
            </w:r>
          </w:p>
        </w:tc>
      </w:tr>
      <w:tr>
        <w:trPr>
          <w:trHeight w:val="229"/>
        </w:trPr>
        <w:tc>
          <w:tcPr>
            <w:tcW w:w="160" w:type="dxa"/>
            <w:vAlign w:val="bottom"/>
          </w:tcPr>
          <w:p>
            <w:pPr>
              <w:spacing w:after="0"/>
              <w:rPr>
                <w:sz w:val="20"/>
                <w:szCs w:val="20"/>
                <w:color w:val="auto"/>
              </w:rPr>
            </w:pPr>
            <w:r>
              <w:rPr>
                <w:rFonts w:ascii="Arial" w:cs="Arial" w:eastAsia="Arial" w:hAnsi="Arial"/>
                <w:sz w:val="16"/>
                <w:szCs w:val="16"/>
                <w:color w:val="1269BC"/>
              </w:rPr>
              <w:t>●</w:t>
            </w:r>
          </w:p>
        </w:tc>
        <w:tc>
          <w:tcPr>
            <w:tcW w:w="1420" w:type="dxa"/>
            <w:vAlign w:val="bottom"/>
          </w:tcPr>
          <w:p>
            <w:pPr>
              <w:ind w:left="60"/>
              <w:spacing w:after="0"/>
              <w:rPr>
                <w:sz w:val="20"/>
                <w:szCs w:val="20"/>
                <w:color w:val="auto"/>
              </w:rPr>
            </w:pPr>
            <w:r>
              <w:rPr>
                <w:rFonts w:ascii="Arial" w:cs="Arial" w:eastAsia="Arial" w:hAnsi="Arial"/>
                <w:sz w:val="16"/>
                <w:szCs w:val="16"/>
                <w:color w:val="auto"/>
              </w:rPr>
              <w:t>Record Date</w:t>
            </w:r>
          </w:p>
        </w:tc>
        <w:tc>
          <w:tcPr>
            <w:tcW w:w="9380" w:type="dxa"/>
            <w:vAlign w:val="bottom"/>
          </w:tcPr>
          <w:p>
            <w:pPr>
              <w:ind w:left="300"/>
              <w:spacing w:after="0"/>
              <w:rPr>
                <w:sz w:val="20"/>
                <w:szCs w:val="20"/>
                <w:color w:val="auto"/>
              </w:rPr>
            </w:pPr>
            <w:r>
              <w:rPr>
                <w:rFonts w:ascii="Arial" w:cs="Arial" w:eastAsia="Arial" w:hAnsi="Arial"/>
                <w:sz w:val="16"/>
                <w:szCs w:val="16"/>
                <w:color w:val="auto"/>
              </w:rPr>
              <w:t>June 11, 2020</w:t>
            </w:r>
          </w:p>
        </w:tc>
      </w:tr>
      <w:tr>
        <w:trPr>
          <w:trHeight w:val="224"/>
        </w:trPr>
        <w:tc>
          <w:tcPr>
            <w:tcW w:w="160" w:type="dxa"/>
            <w:vAlign w:val="bottom"/>
          </w:tcPr>
          <w:p>
            <w:pPr>
              <w:spacing w:after="0"/>
              <w:rPr>
                <w:sz w:val="20"/>
                <w:szCs w:val="20"/>
                <w:color w:val="auto"/>
              </w:rPr>
            </w:pPr>
            <w:r>
              <w:rPr>
                <w:rFonts w:ascii="Arial" w:cs="Arial" w:eastAsia="Arial" w:hAnsi="Arial"/>
                <w:sz w:val="16"/>
                <w:szCs w:val="16"/>
                <w:color w:val="1269BC"/>
              </w:rPr>
              <w:t>●</w:t>
            </w:r>
          </w:p>
        </w:tc>
        <w:tc>
          <w:tcPr>
            <w:tcW w:w="1420" w:type="dxa"/>
            <w:vAlign w:val="bottom"/>
          </w:tcPr>
          <w:p>
            <w:pPr>
              <w:ind w:left="60"/>
              <w:spacing w:after="0"/>
              <w:rPr>
                <w:sz w:val="20"/>
                <w:szCs w:val="20"/>
                <w:color w:val="auto"/>
              </w:rPr>
            </w:pPr>
            <w:r>
              <w:rPr>
                <w:rFonts w:ascii="Arial" w:cs="Arial" w:eastAsia="Arial" w:hAnsi="Arial"/>
                <w:sz w:val="16"/>
                <w:szCs w:val="16"/>
                <w:color w:val="auto"/>
              </w:rPr>
              <w:t>Voting</w:t>
            </w:r>
          </w:p>
        </w:tc>
        <w:tc>
          <w:tcPr>
            <w:tcW w:w="9380" w:type="dxa"/>
            <w:vAlign w:val="bottom"/>
          </w:tcPr>
          <w:p>
            <w:pPr>
              <w:ind w:left="300"/>
              <w:spacing w:after="0"/>
              <w:rPr>
                <w:sz w:val="20"/>
                <w:szCs w:val="20"/>
                <w:color w:val="auto"/>
              </w:rPr>
            </w:pPr>
            <w:r>
              <w:rPr>
                <w:rFonts w:ascii="Arial" w:cs="Arial" w:eastAsia="Arial" w:hAnsi="Arial"/>
                <w:sz w:val="16"/>
                <w:szCs w:val="16"/>
                <w:color w:val="auto"/>
              </w:rPr>
              <w:t>Stockholders as of the record date are entitled to vote. Each share of common stock is entitled to one vote for each director</w:t>
            </w:r>
          </w:p>
        </w:tc>
      </w:tr>
      <w:tr>
        <w:trPr>
          <w:trHeight w:val="195"/>
        </w:trPr>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380" w:type="dxa"/>
            <w:vAlign w:val="bottom"/>
          </w:tcPr>
          <w:p>
            <w:pPr>
              <w:ind w:left="300"/>
              <w:spacing w:after="0"/>
              <w:rPr>
                <w:sz w:val="20"/>
                <w:szCs w:val="20"/>
                <w:color w:val="auto"/>
              </w:rPr>
            </w:pPr>
            <w:r>
              <w:rPr>
                <w:rFonts w:ascii="Arial" w:cs="Arial" w:eastAsia="Arial" w:hAnsi="Arial"/>
                <w:sz w:val="16"/>
                <w:szCs w:val="16"/>
                <w:color w:val="auto"/>
              </w:rPr>
              <w:t>nominee and one vote for each of the other proposals.</w:t>
            </w:r>
          </w:p>
        </w:tc>
      </w:tr>
      <w:tr>
        <w:trPr>
          <w:trHeight w:val="210"/>
        </w:trPr>
        <w:tc>
          <w:tcPr>
            <w:tcW w:w="160" w:type="dxa"/>
            <w:vAlign w:val="bottom"/>
          </w:tcPr>
          <w:p>
            <w:pPr>
              <w:spacing w:after="0"/>
              <w:rPr>
                <w:sz w:val="20"/>
                <w:szCs w:val="20"/>
                <w:color w:val="auto"/>
              </w:rPr>
            </w:pPr>
            <w:r>
              <w:rPr>
                <w:rFonts w:ascii="Arial" w:cs="Arial" w:eastAsia="Arial" w:hAnsi="Arial"/>
                <w:sz w:val="16"/>
                <w:szCs w:val="16"/>
                <w:color w:val="1269BC"/>
              </w:rPr>
              <w:t>●</w:t>
            </w:r>
          </w:p>
        </w:tc>
        <w:tc>
          <w:tcPr>
            <w:tcW w:w="1420" w:type="dxa"/>
            <w:vAlign w:val="bottom"/>
          </w:tcPr>
          <w:p>
            <w:pPr>
              <w:ind w:left="60"/>
              <w:spacing w:after="0"/>
              <w:rPr>
                <w:sz w:val="20"/>
                <w:szCs w:val="20"/>
                <w:color w:val="auto"/>
              </w:rPr>
            </w:pPr>
            <w:r>
              <w:rPr>
                <w:rFonts w:ascii="Arial" w:cs="Arial" w:eastAsia="Arial" w:hAnsi="Arial"/>
                <w:sz w:val="16"/>
                <w:szCs w:val="16"/>
                <w:color w:val="auto"/>
              </w:rPr>
              <w:t>Entry</w:t>
            </w:r>
          </w:p>
        </w:tc>
        <w:tc>
          <w:tcPr>
            <w:tcW w:w="9380" w:type="dxa"/>
            <w:vAlign w:val="bottom"/>
          </w:tcPr>
          <w:p>
            <w:pPr>
              <w:ind w:left="300"/>
              <w:spacing w:after="0"/>
              <w:rPr>
                <w:sz w:val="20"/>
                <w:szCs w:val="20"/>
                <w:color w:val="auto"/>
              </w:rPr>
            </w:pPr>
            <w:r>
              <w:rPr>
                <w:rFonts w:ascii="Arial" w:cs="Arial" w:eastAsia="Arial" w:hAnsi="Arial"/>
                <w:sz w:val="16"/>
                <w:szCs w:val="16"/>
                <w:color w:val="auto"/>
              </w:rPr>
              <w:t>If you decide to attend the meeting in person, upon your arrival you will need to present valid photo identification and, if you are</w:t>
            </w:r>
          </w:p>
        </w:tc>
      </w:tr>
      <w:tr>
        <w:trPr>
          <w:trHeight w:val="195"/>
        </w:trPr>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380" w:type="dxa"/>
            <w:vAlign w:val="bottom"/>
          </w:tcPr>
          <w:p>
            <w:pPr>
              <w:ind w:left="300"/>
              <w:spacing w:after="0"/>
              <w:rPr>
                <w:sz w:val="20"/>
                <w:szCs w:val="20"/>
                <w:color w:val="auto"/>
              </w:rPr>
            </w:pPr>
            <w:r>
              <w:rPr>
                <w:rFonts w:ascii="Arial" w:cs="Arial" w:eastAsia="Arial" w:hAnsi="Arial"/>
                <w:sz w:val="16"/>
                <w:szCs w:val="16"/>
                <w:color w:val="auto"/>
              </w:rPr>
              <w:t>not a registered holder, present proof of ownership of Qorvo common stock. See page 1 for further instructions.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158115</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Meeting Agenda</w:t>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720" w:type="dxa"/>
            <w:vAlign w:val="bottom"/>
          </w:tcPr>
          <w:p>
            <w:pPr>
              <w:ind w:left="340"/>
              <w:spacing w:after="0"/>
              <w:rPr>
                <w:sz w:val="20"/>
                <w:szCs w:val="20"/>
                <w:color w:val="auto"/>
              </w:rPr>
            </w:pPr>
            <w:r>
              <w:rPr>
                <w:rFonts w:ascii="Arial" w:cs="Arial" w:eastAsia="Arial" w:hAnsi="Arial"/>
                <w:sz w:val="14"/>
                <w:szCs w:val="14"/>
                <w:b w:val="1"/>
                <w:bCs w:val="1"/>
                <w:color w:val="1269BC"/>
              </w:rPr>
              <w:t>Board Vote</w:t>
            </w:r>
          </w:p>
        </w:tc>
        <w:tc>
          <w:tcPr>
            <w:tcW w:w="1340" w:type="dxa"/>
            <w:vAlign w:val="bottom"/>
          </w:tcPr>
          <w:p>
            <w:pPr>
              <w:ind w:left="180"/>
              <w:spacing w:after="0"/>
              <w:rPr>
                <w:sz w:val="20"/>
                <w:szCs w:val="20"/>
                <w:color w:val="auto"/>
              </w:rPr>
            </w:pPr>
            <w:r>
              <w:rPr>
                <w:rFonts w:ascii="Arial" w:cs="Arial" w:eastAsia="Arial" w:hAnsi="Arial"/>
                <w:sz w:val="14"/>
                <w:szCs w:val="14"/>
                <w:b w:val="1"/>
                <w:bCs w:val="1"/>
                <w:color w:val="1269BC"/>
              </w:rPr>
              <w:t>Page Reference</w:t>
            </w:r>
          </w:p>
        </w:tc>
      </w:tr>
      <w:tr>
        <w:trPr>
          <w:trHeight w:val="175"/>
        </w:trPr>
        <w:tc>
          <w:tcPr>
            <w:tcW w:w="220" w:type="dxa"/>
            <w:vAlign w:val="bottom"/>
            <w:tcBorders>
              <w:bottom w:val="single" w:sz="8" w:color="1269BC"/>
            </w:tcBorders>
          </w:tcPr>
          <w:p>
            <w:pPr>
              <w:spacing w:after="0"/>
              <w:rPr>
                <w:sz w:val="15"/>
                <w:szCs w:val="15"/>
                <w:color w:val="auto"/>
              </w:rPr>
            </w:pPr>
          </w:p>
        </w:tc>
        <w:tc>
          <w:tcPr>
            <w:tcW w:w="7740" w:type="dxa"/>
            <w:vAlign w:val="bottom"/>
            <w:tcBorders>
              <w:bottom w:val="single" w:sz="8" w:color="1269BC"/>
            </w:tcBorders>
          </w:tcPr>
          <w:p>
            <w:pPr>
              <w:spacing w:after="0"/>
              <w:rPr>
                <w:sz w:val="15"/>
                <w:szCs w:val="15"/>
                <w:color w:val="auto"/>
              </w:rPr>
            </w:pPr>
          </w:p>
        </w:tc>
        <w:tc>
          <w:tcPr>
            <w:tcW w:w="1720" w:type="dxa"/>
            <w:vAlign w:val="bottom"/>
            <w:tcBorders>
              <w:bottom w:val="single" w:sz="8" w:color="1269BC"/>
            </w:tcBorders>
          </w:tcPr>
          <w:p>
            <w:pPr>
              <w:ind w:left="340"/>
              <w:spacing w:after="0"/>
              <w:rPr>
                <w:sz w:val="20"/>
                <w:szCs w:val="20"/>
                <w:color w:val="auto"/>
              </w:rPr>
            </w:pPr>
            <w:r>
              <w:rPr>
                <w:rFonts w:ascii="Arial" w:cs="Arial" w:eastAsia="Arial" w:hAnsi="Arial"/>
                <w:sz w:val="14"/>
                <w:szCs w:val="14"/>
                <w:b w:val="1"/>
                <w:bCs w:val="1"/>
                <w:color w:val="1269BC"/>
              </w:rPr>
              <w:t>Recommendation</w:t>
            </w:r>
          </w:p>
        </w:tc>
        <w:tc>
          <w:tcPr>
            <w:tcW w:w="1340" w:type="dxa"/>
            <w:vAlign w:val="bottom"/>
            <w:tcBorders>
              <w:bottom w:val="single" w:sz="8" w:color="1269BC"/>
            </w:tcBorders>
          </w:tcPr>
          <w:p>
            <w:pPr>
              <w:ind w:left="180"/>
              <w:spacing w:after="0"/>
              <w:rPr>
                <w:sz w:val="20"/>
                <w:szCs w:val="20"/>
                <w:color w:val="auto"/>
              </w:rPr>
            </w:pPr>
            <w:r>
              <w:rPr>
                <w:rFonts w:ascii="Arial" w:cs="Arial" w:eastAsia="Arial" w:hAnsi="Arial"/>
                <w:sz w:val="14"/>
                <w:szCs w:val="14"/>
                <w:b w:val="1"/>
                <w:bCs w:val="1"/>
                <w:color w:val="1269BC"/>
              </w:rPr>
              <w:t>(for more detail)</w:t>
            </w:r>
          </w:p>
        </w:tc>
      </w:tr>
      <w:tr>
        <w:trPr>
          <w:trHeight w:val="258"/>
        </w:trPr>
        <w:tc>
          <w:tcPr>
            <w:tcW w:w="7960" w:type="dxa"/>
            <w:vAlign w:val="bottom"/>
            <w:gridSpan w:val="2"/>
          </w:tcPr>
          <w:p>
            <w:pPr>
              <w:spacing w:after="0"/>
              <w:rPr>
                <w:sz w:val="20"/>
                <w:szCs w:val="20"/>
                <w:color w:val="auto"/>
              </w:rPr>
            </w:pPr>
            <w:r>
              <w:rPr>
                <w:rFonts w:ascii="Arial" w:cs="Arial" w:eastAsia="Arial" w:hAnsi="Arial"/>
                <w:sz w:val="16"/>
                <w:szCs w:val="16"/>
                <w:color w:val="1269BC"/>
              </w:rPr>
              <w:t>●</w:t>
            </w:r>
            <w:r>
              <w:rPr>
                <w:rFonts w:ascii="Arial" w:cs="Arial" w:eastAsia="Arial" w:hAnsi="Arial"/>
                <w:sz w:val="16"/>
                <w:szCs w:val="16"/>
                <w:color w:val="auto"/>
              </w:rPr>
              <w:t>Election of nine directors</w:t>
            </w:r>
          </w:p>
        </w:tc>
        <w:tc>
          <w:tcPr>
            <w:tcW w:w="1720" w:type="dxa"/>
            <w:vAlign w:val="bottom"/>
          </w:tcPr>
          <w:p>
            <w:pPr>
              <w:ind w:left="420"/>
              <w:spacing w:after="0"/>
              <w:rPr>
                <w:sz w:val="20"/>
                <w:szCs w:val="20"/>
                <w:color w:val="auto"/>
              </w:rPr>
            </w:pPr>
            <w:r>
              <w:rPr>
                <w:rFonts w:ascii="Arial" w:cs="Arial" w:eastAsia="Arial" w:hAnsi="Arial"/>
                <w:sz w:val="16"/>
                <w:szCs w:val="16"/>
                <w:color w:val="auto"/>
              </w:rPr>
              <w:t>FOR ALL</w:t>
            </w:r>
          </w:p>
        </w:tc>
        <w:tc>
          <w:tcPr>
            <w:tcW w:w="13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0"/>
        </w:trPr>
        <w:tc>
          <w:tcPr>
            <w:tcW w:w="220" w:type="dxa"/>
            <w:vAlign w:val="bottom"/>
          </w:tcPr>
          <w:p>
            <w:pPr>
              <w:spacing w:after="0"/>
              <w:rPr>
                <w:sz w:val="20"/>
                <w:szCs w:val="20"/>
                <w:color w:val="auto"/>
              </w:rPr>
            </w:pPr>
            <w:r>
              <w:rPr>
                <w:rFonts w:ascii="Arial" w:cs="Arial" w:eastAsia="Arial" w:hAnsi="Arial"/>
                <w:sz w:val="16"/>
                <w:szCs w:val="16"/>
                <w:color w:val="1269BC"/>
              </w:rPr>
              <w:t>●</w:t>
            </w:r>
          </w:p>
        </w:tc>
        <w:tc>
          <w:tcPr>
            <w:tcW w:w="7740" w:type="dxa"/>
            <w:vAlign w:val="bottom"/>
          </w:tcPr>
          <w:p>
            <w:pPr>
              <w:ind w:left="140"/>
              <w:spacing w:after="0"/>
              <w:rPr>
                <w:sz w:val="20"/>
                <w:szCs w:val="20"/>
                <w:color w:val="auto"/>
              </w:rPr>
            </w:pPr>
            <w:r>
              <w:rPr>
                <w:rFonts w:ascii="Arial" w:cs="Arial" w:eastAsia="Arial" w:hAnsi="Arial"/>
                <w:sz w:val="16"/>
                <w:szCs w:val="16"/>
                <w:color w:val="auto"/>
              </w:rPr>
              <w:t>Approval, on an advisory basis, of the compensation of our Named Executive Officers</w:t>
            </w:r>
          </w:p>
        </w:tc>
        <w:tc>
          <w:tcPr>
            <w:tcW w:w="1720" w:type="dxa"/>
            <w:vAlign w:val="bottom"/>
          </w:tcPr>
          <w:p>
            <w:pPr>
              <w:ind w:left="420"/>
              <w:spacing w:after="0"/>
              <w:rPr>
                <w:sz w:val="20"/>
                <w:szCs w:val="20"/>
                <w:color w:val="auto"/>
              </w:rPr>
            </w:pPr>
            <w:r>
              <w:rPr>
                <w:rFonts w:ascii="Arial" w:cs="Arial" w:eastAsia="Arial" w:hAnsi="Arial"/>
                <w:sz w:val="16"/>
                <w:szCs w:val="16"/>
                <w:color w:val="auto"/>
              </w:rPr>
              <w:t>FOR</w:t>
            </w:r>
          </w:p>
        </w:tc>
        <w:tc>
          <w:tcPr>
            <w:tcW w:w="134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70"/>
        </w:trPr>
        <w:tc>
          <w:tcPr>
            <w:tcW w:w="220" w:type="dxa"/>
            <w:vAlign w:val="bottom"/>
          </w:tcPr>
          <w:p>
            <w:pPr>
              <w:spacing w:after="0"/>
              <w:rPr>
                <w:sz w:val="20"/>
                <w:szCs w:val="20"/>
                <w:color w:val="auto"/>
              </w:rPr>
            </w:pPr>
            <w:r>
              <w:rPr>
                <w:rFonts w:ascii="Arial" w:cs="Arial" w:eastAsia="Arial" w:hAnsi="Arial"/>
                <w:sz w:val="16"/>
                <w:szCs w:val="16"/>
                <w:color w:val="1269BC"/>
              </w:rPr>
              <w:t>●</w:t>
            </w:r>
          </w:p>
        </w:tc>
        <w:tc>
          <w:tcPr>
            <w:tcW w:w="7740" w:type="dxa"/>
            <w:vAlign w:val="bottom"/>
          </w:tcPr>
          <w:p>
            <w:pPr>
              <w:ind w:left="140"/>
              <w:spacing w:after="0"/>
              <w:rPr>
                <w:sz w:val="20"/>
                <w:szCs w:val="20"/>
                <w:color w:val="auto"/>
              </w:rPr>
            </w:pPr>
            <w:r>
              <w:rPr>
                <w:rFonts w:ascii="Arial" w:cs="Arial" w:eastAsia="Arial" w:hAnsi="Arial"/>
                <w:sz w:val="16"/>
                <w:szCs w:val="16"/>
                <w:color w:val="auto"/>
              </w:rPr>
              <w:t>Ratification of Ernst &amp; Young LLP as our independent registered public accounting firm for fiscal 2021</w:t>
            </w:r>
          </w:p>
        </w:tc>
        <w:tc>
          <w:tcPr>
            <w:tcW w:w="1720" w:type="dxa"/>
            <w:vAlign w:val="bottom"/>
          </w:tcPr>
          <w:p>
            <w:pPr>
              <w:ind w:left="420"/>
              <w:spacing w:after="0"/>
              <w:rPr>
                <w:sz w:val="20"/>
                <w:szCs w:val="20"/>
                <w:color w:val="auto"/>
              </w:rPr>
            </w:pPr>
            <w:r>
              <w:rPr>
                <w:rFonts w:ascii="Arial" w:cs="Arial" w:eastAsia="Arial" w:hAnsi="Arial"/>
                <w:sz w:val="16"/>
                <w:szCs w:val="16"/>
                <w:color w:val="auto"/>
              </w:rPr>
              <w:t>FOR</w:t>
            </w:r>
          </w:p>
        </w:tc>
        <w:tc>
          <w:tcPr>
            <w:tcW w:w="1340" w:type="dxa"/>
            <w:vAlign w:val="bottom"/>
          </w:tcPr>
          <w:p>
            <w:pPr>
              <w:jc w:val="right"/>
              <w:spacing w:after="0"/>
              <w:rPr>
                <w:sz w:val="20"/>
                <w:szCs w:val="20"/>
                <w:color w:val="auto"/>
              </w:rPr>
            </w:pPr>
            <w:r>
              <w:rPr>
                <w:rFonts w:ascii="Arial" w:cs="Arial" w:eastAsia="Arial" w:hAnsi="Arial"/>
                <w:sz w:val="16"/>
                <w:szCs w:val="16"/>
                <w:color w:val="auto"/>
              </w:rPr>
              <w:t>50</w:t>
            </w:r>
          </w:p>
        </w:tc>
      </w:tr>
    </w:tbl>
    <w:p>
      <w:pPr>
        <w:spacing w:after="0" w:line="30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Transact such other business that properly comes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165100</wp:posOffset>
            </wp:positionV>
            <wp:extent cx="6995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Board Nominees</w:t>
      </w:r>
    </w:p>
    <w:p>
      <w:pPr>
        <w:spacing w:after="0" w:line="128"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6"/>
          <w:szCs w:val="16"/>
          <w:color w:val="auto"/>
        </w:rPr>
        <w:t>The following table provides summary information about each director nominee. The nominees receiving a majority of the votes cast at the meeting will be elected as directors.</w:t>
      </w:r>
    </w:p>
    <w:p>
      <w:pPr>
        <w:spacing w:after="0" w:line="8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1269BC"/>
              </w:rPr>
              <w:t>Director</w:t>
            </w:r>
          </w:p>
        </w:tc>
        <w:tc>
          <w:tcPr>
            <w:tcW w:w="2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89"/>
        </w:trPr>
        <w:tc>
          <w:tcPr>
            <w:tcW w:w="580" w:type="dxa"/>
            <w:vAlign w:val="bottom"/>
            <w:tcBorders>
              <w:bottom w:val="single" w:sz="8" w:color="1269BC"/>
            </w:tcBorders>
          </w:tcPr>
          <w:p>
            <w:pPr>
              <w:ind w:left="80"/>
              <w:spacing w:after="0"/>
              <w:rPr>
                <w:sz w:val="20"/>
                <w:szCs w:val="20"/>
                <w:color w:val="auto"/>
              </w:rPr>
            </w:pPr>
            <w:r>
              <w:rPr>
                <w:rFonts w:ascii="Arial" w:cs="Arial" w:eastAsia="Arial" w:hAnsi="Arial"/>
                <w:sz w:val="14"/>
                <w:szCs w:val="14"/>
                <w:b w:val="1"/>
                <w:bCs w:val="1"/>
                <w:color w:val="1269BC"/>
              </w:rPr>
              <w:t>Name</w:t>
            </w:r>
          </w:p>
        </w:tc>
        <w:tc>
          <w:tcPr>
            <w:tcW w:w="1280" w:type="dxa"/>
            <w:vAlign w:val="bottom"/>
            <w:tcBorders>
              <w:bottom w:val="single" w:sz="8" w:color="1269BC"/>
            </w:tcBorders>
          </w:tcPr>
          <w:p>
            <w:pPr>
              <w:spacing w:after="0"/>
              <w:rPr>
                <w:sz w:val="16"/>
                <w:szCs w:val="16"/>
                <w:color w:val="auto"/>
              </w:rPr>
            </w:pPr>
          </w:p>
        </w:tc>
        <w:tc>
          <w:tcPr>
            <w:tcW w:w="740" w:type="dxa"/>
            <w:vAlign w:val="bottom"/>
            <w:tcBorders>
              <w:bottom w:val="single" w:sz="8" w:color="1269BC"/>
            </w:tcBorders>
          </w:tcPr>
          <w:p>
            <w:pPr>
              <w:jc w:val="right"/>
              <w:ind w:right="128"/>
              <w:spacing w:after="0"/>
              <w:rPr>
                <w:sz w:val="20"/>
                <w:szCs w:val="20"/>
                <w:color w:val="auto"/>
              </w:rPr>
            </w:pPr>
            <w:r>
              <w:rPr>
                <w:rFonts w:ascii="Arial" w:cs="Arial" w:eastAsia="Arial" w:hAnsi="Arial"/>
                <w:sz w:val="14"/>
                <w:szCs w:val="14"/>
                <w:b w:val="1"/>
                <w:bCs w:val="1"/>
                <w:color w:val="1269BC"/>
              </w:rPr>
              <w:t>Age</w:t>
            </w:r>
          </w:p>
        </w:tc>
        <w:tc>
          <w:tcPr>
            <w:tcW w:w="920" w:type="dxa"/>
            <w:vAlign w:val="bottom"/>
            <w:tcBorders>
              <w:bottom w:val="single" w:sz="8" w:color="1269BC"/>
            </w:tcBorders>
          </w:tcPr>
          <w:p>
            <w:pPr>
              <w:jc w:val="center"/>
              <w:spacing w:after="0"/>
              <w:rPr>
                <w:sz w:val="20"/>
                <w:szCs w:val="20"/>
                <w:color w:val="auto"/>
              </w:rPr>
            </w:pPr>
            <w:r>
              <w:rPr>
                <w:rFonts w:ascii="Arial" w:cs="Arial" w:eastAsia="Arial" w:hAnsi="Arial"/>
                <w:sz w:val="14"/>
                <w:szCs w:val="14"/>
                <w:b w:val="1"/>
                <w:bCs w:val="1"/>
                <w:color w:val="1269BC"/>
              </w:rPr>
              <w:t>Since</w:t>
            </w:r>
          </w:p>
        </w:tc>
        <w:tc>
          <w:tcPr>
            <w:tcW w:w="2780" w:type="dxa"/>
            <w:vAlign w:val="bottom"/>
            <w:tcBorders>
              <w:bottom w:val="single" w:sz="8" w:color="1269BC"/>
            </w:tcBorders>
          </w:tcPr>
          <w:p>
            <w:pPr>
              <w:ind w:left="1840"/>
              <w:spacing w:after="0"/>
              <w:rPr>
                <w:sz w:val="20"/>
                <w:szCs w:val="20"/>
                <w:color w:val="auto"/>
              </w:rPr>
            </w:pPr>
            <w:r>
              <w:rPr>
                <w:rFonts w:ascii="Arial" w:cs="Arial" w:eastAsia="Arial" w:hAnsi="Arial"/>
                <w:sz w:val="14"/>
                <w:szCs w:val="14"/>
                <w:b w:val="1"/>
                <w:bCs w:val="1"/>
                <w:color w:val="1269BC"/>
              </w:rPr>
              <w:t>Occupation</w:t>
            </w:r>
          </w:p>
        </w:tc>
        <w:tc>
          <w:tcPr>
            <w:tcW w:w="1420" w:type="dxa"/>
            <w:vAlign w:val="bottom"/>
            <w:tcBorders>
              <w:bottom w:val="single" w:sz="8" w:color="1269BC"/>
            </w:tcBorders>
          </w:tcPr>
          <w:p>
            <w:pPr>
              <w:spacing w:after="0"/>
              <w:rPr>
                <w:sz w:val="16"/>
                <w:szCs w:val="16"/>
                <w:color w:val="auto"/>
              </w:rPr>
            </w:pPr>
          </w:p>
        </w:tc>
        <w:tc>
          <w:tcPr>
            <w:tcW w:w="1300" w:type="dxa"/>
            <w:vAlign w:val="bottom"/>
            <w:tcBorders>
              <w:bottom w:val="single" w:sz="8" w:color="1269BC"/>
            </w:tcBorders>
          </w:tcPr>
          <w:p>
            <w:pPr>
              <w:ind w:left="320"/>
              <w:spacing w:after="0"/>
              <w:rPr>
                <w:sz w:val="20"/>
                <w:szCs w:val="20"/>
                <w:color w:val="auto"/>
              </w:rPr>
            </w:pPr>
            <w:r>
              <w:rPr>
                <w:rFonts w:ascii="Arial" w:cs="Arial" w:eastAsia="Arial" w:hAnsi="Arial"/>
                <w:sz w:val="14"/>
                <w:szCs w:val="14"/>
                <w:b w:val="1"/>
                <w:bCs w:val="1"/>
                <w:color w:val="1269BC"/>
              </w:rPr>
              <w:t>Independent</w:t>
            </w:r>
          </w:p>
        </w:tc>
        <w:tc>
          <w:tcPr>
            <w:tcW w:w="440" w:type="dxa"/>
            <w:vAlign w:val="bottom"/>
            <w:tcBorders>
              <w:bottom w:val="single" w:sz="8" w:color="1269BC"/>
            </w:tcBorders>
          </w:tcPr>
          <w:p>
            <w:pPr>
              <w:jc w:val="right"/>
              <w:ind w:right="48"/>
              <w:spacing w:after="0"/>
              <w:rPr>
                <w:sz w:val="20"/>
                <w:szCs w:val="20"/>
                <w:color w:val="auto"/>
              </w:rPr>
            </w:pPr>
            <w:r>
              <w:rPr>
                <w:rFonts w:ascii="Arial" w:cs="Arial" w:eastAsia="Arial" w:hAnsi="Arial"/>
                <w:sz w:val="14"/>
                <w:szCs w:val="14"/>
                <w:b w:val="1"/>
                <w:bCs w:val="1"/>
                <w:color w:val="1269BC"/>
              </w:rPr>
              <w:t>AC</w:t>
            </w:r>
          </w:p>
        </w:tc>
        <w:tc>
          <w:tcPr>
            <w:tcW w:w="480" w:type="dxa"/>
            <w:vAlign w:val="bottom"/>
            <w:tcBorders>
              <w:bottom w:val="single" w:sz="8" w:color="1269BC"/>
            </w:tcBorders>
          </w:tcPr>
          <w:p>
            <w:pPr>
              <w:jc w:val="right"/>
              <w:ind w:right="68"/>
              <w:spacing w:after="0"/>
              <w:rPr>
                <w:sz w:val="20"/>
                <w:szCs w:val="20"/>
                <w:color w:val="auto"/>
              </w:rPr>
            </w:pPr>
            <w:r>
              <w:rPr>
                <w:rFonts w:ascii="Arial" w:cs="Arial" w:eastAsia="Arial" w:hAnsi="Arial"/>
                <w:sz w:val="14"/>
                <w:szCs w:val="14"/>
                <w:b w:val="1"/>
                <w:bCs w:val="1"/>
                <w:color w:val="1269BC"/>
              </w:rPr>
              <w:t>CC</w:t>
            </w:r>
          </w:p>
        </w:tc>
        <w:tc>
          <w:tcPr>
            <w:tcW w:w="580" w:type="dxa"/>
            <w:vAlign w:val="bottom"/>
            <w:tcBorders>
              <w:bottom w:val="single" w:sz="8" w:color="1269BC"/>
            </w:tcBorders>
          </w:tcPr>
          <w:p>
            <w:pPr>
              <w:jc w:val="right"/>
              <w:ind w:right="48"/>
              <w:spacing w:after="0"/>
              <w:rPr>
                <w:sz w:val="20"/>
                <w:szCs w:val="20"/>
                <w:color w:val="auto"/>
              </w:rPr>
            </w:pPr>
            <w:r>
              <w:rPr>
                <w:rFonts w:ascii="Arial" w:cs="Arial" w:eastAsia="Arial" w:hAnsi="Arial"/>
                <w:sz w:val="14"/>
                <w:szCs w:val="14"/>
                <w:b w:val="1"/>
                <w:bCs w:val="1"/>
                <w:color w:val="1269BC"/>
              </w:rPr>
              <w:t>GNC</w:t>
            </w:r>
          </w:p>
        </w:tc>
        <w:tc>
          <w:tcPr>
            <w:tcW w:w="500" w:type="dxa"/>
            <w:vAlign w:val="bottom"/>
            <w:tcBorders>
              <w:bottom w:val="single" w:sz="8" w:color="1269BC"/>
            </w:tcBorders>
          </w:tcPr>
          <w:p>
            <w:pPr>
              <w:jc w:val="right"/>
              <w:spacing w:after="0"/>
              <w:rPr>
                <w:sz w:val="20"/>
                <w:szCs w:val="20"/>
                <w:color w:val="auto"/>
              </w:rPr>
            </w:pPr>
            <w:r>
              <w:rPr>
                <w:rFonts w:ascii="Arial" w:cs="Arial" w:eastAsia="Arial" w:hAnsi="Arial"/>
                <w:sz w:val="14"/>
                <w:szCs w:val="14"/>
                <w:b w:val="1"/>
                <w:bCs w:val="1"/>
                <w:color w:val="1269BC"/>
              </w:rPr>
              <w:t>CDC</w:t>
            </w:r>
          </w:p>
        </w:tc>
      </w:tr>
      <w:tr>
        <w:trPr>
          <w:trHeight w:val="238"/>
        </w:trPr>
        <w:tc>
          <w:tcPr>
            <w:tcW w:w="1860" w:type="dxa"/>
            <w:vAlign w:val="bottom"/>
            <w:gridSpan w:val="2"/>
            <w:shd w:val="clear" w:color="auto" w:fill="C3D9EE"/>
          </w:tcPr>
          <w:p>
            <w:pPr>
              <w:ind w:left="80"/>
              <w:spacing w:after="0"/>
              <w:rPr>
                <w:sz w:val="20"/>
                <w:szCs w:val="20"/>
                <w:color w:val="auto"/>
              </w:rPr>
            </w:pPr>
            <w:r>
              <w:rPr>
                <w:rFonts w:ascii="Arial" w:cs="Arial" w:eastAsia="Arial" w:hAnsi="Arial"/>
                <w:sz w:val="14"/>
                <w:szCs w:val="14"/>
                <w:color w:val="auto"/>
              </w:rPr>
              <w:t>Ralph G. Quinsey</w:t>
            </w:r>
          </w:p>
        </w:tc>
        <w:tc>
          <w:tcPr>
            <w:tcW w:w="740" w:type="dxa"/>
            <w:vAlign w:val="bottom"/>
            <w:shd w:val="clear" w:color="auto" w:fill="C3D9EE"/>
          </w:tcPr>
          <w:p>
            <w:pPr>
              <w:jc w:val="right"/>
              <w:ind w:right="168"/>
              <w:spacing w:after="0"/>
              <w:rPr>
                <w:sz w:val="20"/>
                <w:szCs w:val="20"/>
                <w:color w:val="auto"/>
              </w:rPr>
            </w:pPr>
            <w:r>
              <w:rPr>
                <w:rFonts w:ascii="Arial" w:cs="Arial" w:eastAsia="Arial" w:hAnsi="Arial"/>
                <w:sz w:val="14"/>
                <w:szCs w:val="14"/>
                <w:color w:val="auto"/>
              </w:rPr>
              <w:t>64</w:t>
            </w:r>
          </w:p>
        </w:tc>
        <w:tc>
          <w:tcPr>
            <w:tcW w:w="920" w:type="dxa"/>
            <w:vAlign w:val="bottom"/>
            <w:shd w:val="clear" w:color="auto" w:fill="C3D9EE"/>
          </w:tcPr>
          <w:p>
            <w:pPr>
              <w:jc w:val="center"/>
              <w:ind w:left="8"/>
              <w:spacing w:after="0"/>
              <w:rPr>
                <w:sz w:val="20"/>
                <w:szCs w:val="20"/>
                <w:color w:val="auto"/>
              </w:rPr>
            </w:pPr>
            <w:r>
              <w:rPr>
                <w:rFonts w:ascii="Arial" w:cs="Arial" w:eastAsia="Arial" w:hAnsi="Arial"/>
                <w:sz w:val="14"/>
                <w:szCs w:val="14"/>
                <w:color w:val="auto"/>
              </w:rPr>
              <w:t>2015</w:t>
            </w:r>
          </w:p>
        </w:tc>
        <w:tc>
          <w:tcPr>
            <w:tcW w:w="4200" w:type="dxa"/>
            <w:vAlign w:val="bottom"/>
            <w:gridSpan w:val="2"/>
            <w:shd w:val="clear" w:color="auto" w:fill="C3D9EE"/>
          </w:tcPr>
          <w:p>
            <w:pPr>
              <w:ind w:left="180"/>
              <w:spacing w:after="0"/>
              <w:rPr>
                <w:sz w:val="20"/>
                <w:szCs w:val="20"/>
                <w:color w:val="auto"/>
              </w:rPr>
            </w:pPr>
            <w:r>
              <w:rPr>
                <w:rFonts w:ascii="Arial" w:cs="Arial" w:eastAsia="Arial" w:hAnsi="Arial"/>
                <w:sz w:val="14"/>
                <w:szCs w:val="14"/>
                <w:color w:val="auto"/>
              </w:rPr>
              <w:t>Chairman of the Board of Qorvo; Secretary and</w:t>
            </w:r>
          </w:p>
        </w:tc>
        <w:tc>
          <w:tcPr>
            <w:tcW w:w="1300" w:type="dxa"/>
            <w:vAlign w:val="bottom"/>
            <w:shd w:val="clear" w:color="auto" w:fill="C3D9EE"/>
          </w:tcPr>
          <w:p>
            <w:pPr>
              <w:ind w:left="720"/>
              <w:spacing w:after="0"/>
              <w:rPr>
                <w:sz w:val="20"/>
                <w:szCs w:val="20"/>
                <w:color w:val="auto"/>
              </w:rPr>
            </w:pPr>
            <w:r>
              <w:rPr>
                <w:rFonts w:ascii="Arial" w:cs="Arial" w:eastAsia="Arial" w:hAnsi="Arial"/>
                <w:sz w:val="14"/>
                <w:szCs w:val="14"/>
                <w:color w:val="auto"/>
              </w:rPr>
              <w:t>X</w:t>
            </w:r>
          </w:p>
        </w:tc>
        <w:tc>
          <w:tcPr>
            <w:tcW w:w="440" w:type="dxa"/>
            <w:vAlign w:val="bottom"/>
            <w:shd w:val="clear" w:color="auto" w:fill="C3D9EE"/>
          </w:tcPr>
          <w:p>
            <w:pPr>
              <w:jc w:val="right"/>
              <w:ind w:right="68"/>
              <w:spacing w:after="0"/>
              <w:rPr>
                <w:sz w:val="20"/>
                <w:szCs w:val="20"/>
                <w:color w:val="auto"/>
              </w:rPr>
            </w:pPr>
            <w:r>
              <w:rPr>
                <w:rFonts w:ascii="Arial" w:cs="Arial" w:eastAsia="Arial" w:hAnsi="Arial"/>
                <w:sz w:val="14"/>
                <w:szCs w:val="14"/>
                <w:color w:val="auto"/>
              </w:rPr>
              <w:t>X</w:t>
            </w:r>
          </w:p>
        </w:tc>
        <w:tc>
          <w:tcPr>
            <w:tcW w:w="480" w:type="dxa"/>
            <w:vAlign w:val="bottom"/>
            <w:shd w:val="clear" w:color="auto" w:fill="C3D9EE"/>
          </w:tcPr>
          <w:p>
            <w:pPr>
              <w:spacing w:after="0"/>
              <w:rPr>
                <w:sz w:val="20"/>
                <w:szCs w:val="20"/>
                <w:color w:val="auto"/>
              </w:rPr>
            </w:pPr>
          </w:p>
        </w:tc>
        <w:tc>
          <w:tcPr>
            <w:tcW w:w="580" w:type="dxa"/>
            <w:vAlign w:val="bottom"/>
            <w:shd w:val="clear" w:color="auto" w:fill="C3D9EE"/>
          </w:tcPr>
          <w:p>
            <w:pPr>
              <w:spacing w:after="0"/>
              <w:rPr>
                <w:sz w:val="20"/>
                <w:szCs w:val="20"/>
                <w:color w:val="auto"/>
              </w:rPr>
            </w:pPr>
          </w:p>
        </w:tc>
        <w:tc>
          <w:tcPr>
            <w:tcW w:w="500" w:type="dxa"/>
            <w:vAlign w:val="bottom"/>
            <w:shd w:val="clear" w:color="auto" w:fill="C3D9EE"/>
          </w:tcPr>
          <w:p>
            <w:pPr>
              <w:jc w:val="right"/>
              <w:ind w:right="48"/>
              <w:spacing w:after="0"/>
              <w:rPr>
                <w:sz w:val="20"/>
                <w:szCs w:val="20"/>
                <w:color w:val="auto"/>
              </w:rPr>
            </w:pPr>
            <w:r>
              <w:rPr>
                <w:rFonts w:ascii="Arial" w:cs="Arial" w:eastAsia="Arial" w:hAnsi="Arial"/>
                <w:sz w:val="14"/>
                <w:szCs w:val="14"/>
                <w:color w:val="auto"/>
              </w:rPr>
              <w:t>X</w:t>
            </w:r>
          </w:p>
        </w:tc>
      </w:tr>
      <w:tr>
        <w:trPr>
          <w:trHeight w:val="221"/>
        </w:trPr>
        <w:tc>
          <w:tcPr>
            <w:tcW w:w="580" w:type="dxa"/>
            <w:vAlign w:val="bottom"/>
            <w:tcBorders>
              <w:bottom w:val="single" w:sz="8" w:color="C3D9EE"/>
            </w:tcBorders>
            <w:shd w:val="clear" w:color="auto" w:fill="C3D9EE"/>
          </w:tcPr>
          <w:p>
            <w:pPr>
              <w:spacing w:after="0"/>
              <w:rPr>
                <w:sz w:val="19"/>
                <w:szCs w:val="19"/>
                <w:color w:val="auto"/>
              </w:rPr>
            </w:pPr>
          </w:p>
        </w:tc>
        <w:tc>
          <w:tcPr>
            <w:tcW w:w="1280" w:type="dxa"/>
            <w:vAlign w:val="bottom"/>
            <w:tcBorders>
              <w:bottom w:val="single" w:sz="8" w:color="C3D9EE"/>
            </w:tcBorders>
            <w:shd w:val="clear" w:color="auto" w:fill="C3D9EE"/>
          </w:tcPr>
          <w:p>
            <w:pPr>
              <w:spacing w:after="0"/>
              <w:rPr>
                <w:sz w:val="19"/>
                <w:szCs w:val="19"/>
                <w:color w:val="auto"/>
              </w:rPr>
            </w:pPr>
          </w:p>
        </w:tc>
        <w:tc>
          <w:tcPr>
            <w:tcW w:w="740" w:type="dxa"/>
            <w:vAlign w:val="bottom"/>
            <w:tcBorders>
              <w:bottom w:val="single" w:sz="8" w:color="C3D9EE"/>
            </w:tcBorders>
            <w:shd w:val="clear" w:color="auto" w:fill="C3D9EE"/>
          </w:tcPr>
          <w:p>
            <w:pPr>
              <w:spacing w:after="0"/>
              <w:rPr>
                <w:sz w:val="19"/>
                <w:szCs w:val="19"/>
                <w:color w:val="auto"/>
              </w:rPr>
            </w:pPr>
          </w:p>
        </w:tc>
        <w:tc>
          <w:tcPr>
            <w:tcW w:w="920" w:type="dxa"/>
            <w:vAlign w:val="bottom"/>
            <w:tcBorders>
              <w:bottom w:val="single" w:sz="8" w:color="C3D9EE"/>
            </w:tcBorders>
            <w:shd w:val="clear" w:color="auto" w:fill="C3D9EE"/>
          </w:tcPr>
          <w:p>
            <w:pPr>
              <w:spacing w:after="0"/>
              <w:rPr>
                <w:sz w:val="19"/>
                <w:szCs w:val="19"/>
                <w:color w:val="auto"/>
              </w:rPr>
            </w:pPr>
          </w:p>
        </w:tc>
        <w:tc>
          <w:tcPr>
            <w:tcW w:w="2780" w:type="dxa"/>
            <w:vAlign w:val="bottom"/>
            <w:tcBorders>
              <w:bottom w:val="single" w:sz="8" w:color="C3D9EE"/>
            </w:tcBorders>
            <w:shd w:val="clear" w:color="auto" w:fill="C3D9EE"/>
          </w:tcPr>
          <w:p>
            <w:pPr>
              <w:ind w:left="180"/>
              <w:spacing w:after="0"/>
              <w:rPr>
                <w:sz w:val="20"/>
                <w:szCs w:val="20"/>
                <w:color w:val="auto"/>
              </w:rPr>
            </w:pPr>
            <w:r>
              <w:rPr>
                <w:rFonts w:ascii="Arial" w:cs="Arial" w:eastAsia="Arial" w:hAnsi="Arial"/>
                <w:sz w:val="14"/>
                <w:szCs w:val="14"/>
                <w:color w:val="auto"/>
              </w:rPr>
              <w:t>Treasurer of Dry Fly Distilling</w:t>
            </w:r>
          </w:p>
        </w:tc>
        <w:tc>
          <w:tcPr>
            <w:tcW w:w="1420" w:type="dxa"/>
            <w:vAlign w:val="bottom"/>
            <w:tcBorders>
              <w:bottom w:val="single" w:sz="8" w:color="C3D9EE"/>
            </w:tcBorders>
            <w:shd w:val="clear" w:color="auto" w:fill="C3D9EE"/>
          </w:tcPr>
          <w:p>
            <w:pPr>
              <w:spacing w:after="0"/>
              <w:rPr>
                <w:sz w:val="19"/>
                <w:szCs w:val="19"/>
                <w:color w:val="auto"/>
              </w:rPr>
            </w:pPr>
          </w:p>
        </w:tc>
        <w:tc>
          <w:tcPr>
            <w:tcW w:w="1300" w:type="dxa"/>
            <w:vAlign w:val="bottom"/>
            <w:tcBorders>
              <w:bottom w:val="single" w:sz="8" w:color="C3D9EE"/>
            </w:tcBorders>
            <w:shd w:val="clear" w:color="auto" w:fill="C3D9EE"/>
          </w:tcPr>
          <w:p>
            <w:pPr>
              <w:spacing w:after="0"/>
              <w:rPr>
                <w:sz w:val="19"/>
                <w:szCs w:val="19"/>
                <w:color w:val="auto"/>
              </w:rPr>
            </w:pPr>
          </w:p>
        </w:tc>
        <w:tc>
          <w:tcPr>
            <w:tcW w:w="440" w:type="dxa"/>
            <w:vAlign w:val="bottom"/>
            <w:tcBorders>
              <w:bottom w:val="single" w:sz="8" w:color="C3D9EE"/>
            </w:tcBorders>
            <w:shd w:val="clear" w:color="auto" w:fill="C3D9EE"/>
          </w:tcPr>
          <w:p>
            <w:pPr>
              <w:spacing w:after="0"/>
              <w:rPr>
                <w:sz w:val="19"/>
                <w:szCs w:val="19"/>
                <w:color w:val="auto"/>
              </w:rPr>
            </w:pPr>
          </w:p>
        </w:tc>
        <w:tc>
          <w:tcPr>
            <w:tcW w:w="480" w:type="dxa"/>
            <w:vAlign w:val="bottom"/>
            <w:tcBorders>
              <w:bottom w:val="single" w:sz="8" w:color="C3D9EE"/>
            </w:tcBorders>
            <w:shd w:val="clear" w:color="auto" w:fill="C3D9EE"/>
          </w:tcPr>
          <w:p>
            <w:pPr>
              <w:spacing w:after="0"/>
              <w:rPr>
                <w:sz w:val="19"/>
                <w:szCs w:val="19"/>
                <w:color w:val="auto"/>
              </w:rPr>
            </w:pPr>
          </w:p>
        </w:tc>
        <w:tc>
          <w:tcPr>
            <w:tcW w:w="580" w:type="dxa"/>
            <w:vAlign w:val="bottom"/>
            <w:tcBorders>
              <w:bottom w:val="single" w:sz="8" w:color="C3D9EE"/>
            </w:tcBorders>
            <w:shd w:val="clear" w:color="auto" w:fill="C3D9EE"/>
          </w:tcPr>
          <w:p>
            <w:pPr>
              <w:spacing w:after="0"/>
              <w:rPr>
                <w:sz w:val="19"/>
                <w:szCs w:val="19"/>
                <w:color w:val="auto"/>
              </w:rPr>
            </w:pPr>
          </w:p>
        </w:tc>
        <w:tc>
          <w:tcPr>
            <w:tcW w:w="500" w:type="dxa"/>
            <w:vAlign w:val="bottom"/>
            <w:tcBorders>
              <w:bottom w:val="single" w:sz="8" w:color="C3D9EE"/>
            </w:tcBorders>
            <w:shd w:val="clear" w:color="auto" w:fill="C3D9EE"/>
          </w:tcPr>
          <w:p>
            <w:pPr>
              <w:spacing w:after="0"/>
              <w:rPr>
                <w:sz w:val="19"/>
                <w:szCs w:val="19"/>
                <w:color w:val="auto"/>
              </w:rPr>
            </w:pPr>
          </w:p>
        </w:tc>
      </w:tr>
      <w:tr>
        <w:trPr>
          <w:trHeight w:val="237"/>
        </w:trPr>
        <w:tc>
          <w:tcPr>
            <w:tcW w:w="1860" w:type="dxa"/>
            <w:vAlign w:val="bottom"/>
            <w:gridSpan w:val="2"/>
          </w:tcPr>
          <w:p>
            <w:pPr>
              <w:ind w:left="80"/>
              <w:spacing w:after="0"/>
              <w:rPr>
                <w:sz w:val="20"/>
                <w:szCs w:val="20"/>
                <w:color w:val="auto"/>
              </w:rPr>
            </w:pPr>
            <w:r>
              <w:rPr>
                <w:rFonts w:ascii="Arial" w:cs="Arial" w:eastAsia="Arial" w:hAnsi="Arial"/>
                <w:sz w:val="14"/>
                <w:szCs w:val="14"/>
                <w:color w:val="auto"/>
              </w:rPr>
              <w:t>Robert A. Bruggeworth</w:t>
            </w: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59</w:t>
            </w:r>
          </w:p>
        </w:tc>
        <w:tc>
          <w:tcPr>
            <w:tcW w:w="920" w:type="dxa"/>
            <w:vAlign w:val="bottom"/>
          </w:tcPr>
          <w:p>
            <w:pPr>
              <w:jc w:val="center"/>
              <w:ind w:left="8"/>
              <w:spacing w:after="0"/>
              <w:rPr>
                <w:sz w:val="20"/>
                <w:szCs w:val="20"/>
                <w:color w:val="auto"/>
              </w:rPr>
            </w:pPr>
            <w:r>
              <w:rPr>
                <w:rFonts w:ascii="Arial" w:cs="Arial" w:eastAsia="Arial" w:hAnsi="Arial"/>
                <w:sz w:val="14"/>
                <w:szCs w:val="14"/>
                <w:color w:val="auto"/>
              </w:rPr>
              <w:t>2013</w:t>
            </w:r>
          </w:p>
        </w:tc>
        <w:tc>
          <w:tcPr>
            <w:tcW w:w="2780" w:type="dxa"/>
            <w:vAlign w:val="bottom"/>
          </w:tcPr>
          <w:p>
            <w:pPr>
              <w:ind w:left="180"/>
              <w:spacing w:after="0"/>
              <w:rPr>
                <w:sz w:val="20"/>
                <w:szCs w:val="20"/>
                <w:color w:val="auto"/>
              </w:rPr>
            </w:pPr>
            <w:r>
              <w:rPr>
                <w:rFonts w:ascii="Arial" w:cs="Arial" w:eastAsia="Arial" w:hAnsi="Arial"/>
                <w:sz w:val="14"/>
                <w:szCs w:val="14"/>
                <w:color w:val="auto"/>
              </w:rPr>
              <w:t>President and CEO of Qorvo</w:t>
            </w:r>
          </w:p>
        </w:tc>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X</w:t>
            </w:r>
          </w:p>
        </w:tc>
      </w:tr>
      <w:tr>
        <w:trPr>
          <w:trHeight w:val="249"/>
        </w:trPr>
        <w:tc>
          <w:tcPr>
            <w:tcW w:w="1860" w:type="dxa"/>
            <w:vAlign w:val="bottom"/>
            <w:gridSpan w:val="2"/>
            <w:shd w:val="clear" w:color="auto" w:fill="C3D9EE"/>
          </w:tcPr>
          <w:p>
            <w:pPr>
              <w:ind w:left="80"/>
              <w:spacing w:after="0"/>
              <w:rPr>
                <w:sz w:val="20"/>
                <w:szCs w:val="20"/>
                <w:color w:val="auto"/>
              </w:rPr>
            </w:pPr>
            <w:r>
              <w:rPr>
                <w:rFonts w:ascii="Arial" w:cs="Arial" w:eastAsia="Arial" w:hAnsi="Arial"/>
                <w:sz w:val="14"/>
                <w:szCs w:val="14"/>
                <w:color w:val="auto"/>
              </w:rPr>
              <w:t>Jeffery R. Gardner</w:t>
            </w:r>
          </w:p>
        </w:tc>
        <w:tc>
          <w:tcPr>
            <w:tcW w:w="740" w:type="dxa"/>
            <w:vAlign w:val="bottom"/>
            <w:shd w:val="clear" w:color="auto" w:fill="C3D9EE"/>
          </w:tcPr>
          <w:p>
            <w:pPr>
              <w:jc w:val="right"/>
              <w:ind w:right="168"/>
              <w:spacing w:after="0"/>
              <w:rPr>
                <w:sz w:val="20"/>
                <w:szCs w:val="20"/>
                <w:color w:val="auto"/>
              </w:rPr>
            </w:pPr>
            <w:r>
              <w:rPr>
                <w:rFonts w:ascii="Arial" w:cs="Arial" w:eastAsia="Arial" w:hAnsi="Arial"/>
                <w:sz w:val="14"/>
                <w:szCs w:val="14"/>
                <w:color w:val="auto"/>
              </w:rPr>
              <w:t>60</w:t>
            </w:r>
          </w:p>
        </w:tc>
        <w:tc>
          <w:tcPr>
            <w:tcW w:w="920" w:type="dxa"/>
            <w:vAlign w:val="bottom"/>
            <w:shd w:val="clear" w:color="auto" w:fill="C3D9EE"/>
          </w:tcPr>
          <w:p>
            <w:pPr>
              <w:jc w:val="center"/>
              <w:ind w:left="8"/>
              <w:spacing w:after="0"/>
              <w:rPr>
                <w:sz w:val="20"/>
                <w:szCs w:val="20"/>
                <w:color w:val="auto"/>
              </w:rPr>
            </w:pPr>
            <w:r>
              <w:rPr>
                <w:rFonts w:ascii="Arial" w:cs="Arial" w:eastAsia="Arial" w:hAnsi="Arial"/>
                <w:sz w:val="14"/>
                <w:szCs w:val="14"/>
                <w:color w:val="auto"/>
              </w:rPr>
              <w:t>2015</w:t>
            </w:r>
          </w:p>
        </w:tc>
        <w:tc>
          <w:tcPr>
            <w:tcW w:w="2780" w:type="dxa"/>
            <w:vAlign w:val="bottom"/>
            <w:shd w:val="clear" w:color="auto" w:fill="C3D9EE"/>
          </w:tcPr>
          <w:p>
            <w:pPr>
              <w:ind w:left="180"/>
              <w:spacing w:after="0"/>
              <w:rPr>
                <w:sz w:val="20"/>
                <w:szCs w:val="20"/>
                <w:color w:val="auto"/>
              </w:rPr>
            </w:pPr>
            <w:r>
              <w:rPr>
                <w:rFonts w:ascii="Arial" w:cs="Arial" w:eastAsia="Arial" w:hAnsi="Arial"/>
                <w:sz w:val="14"/>
                <w:szCs w:val="14"/>
                <w:color w:val="auto"/>
              </w:rPr>
              <w:t>President and CEO of CalAmp Corp.</w:t>
            </w:r>
          </w:p>
        </w:tc>
        <w:tc>
          <w:tcPr>
            <w:tcW w:w="1420" w:type="dxa"/>
            <w:vAlign w:val="bottom"/>
            <w:shd w:val="clear" w:color="auto" w:fill="C3D9EE"/>
          </w:tcPr>
          <w:p>
            <w:pPr>
              <w:spacing w:after="0"/>
              <w:rPr>
                <w:sz w:val="21"/>
                <w:szCs w:val="21"/>
                <w:color w:val="auto"/>
              </w:rPr>
            </w:pPr>
          </w:p>
        </w:tc>
        <w:tc>
          <w:tcPr>
            <w:tcW w:w="1300" w:type="dxa"/>
            <w:vAlign w:val="bottom"/>
            <w:shd w:val="clear" w:color="auto" w:fill="C3D9EE"/>
          </w:tcPr>
          <w:p>
            <w:pPr>
              <w:ind w:left="720"/>
              <w:spacing w:after="0"/>
              <w:rPr>
                <w:sz w:val="20"/>
                <w:szCs w:val="20"/>
                <w:color w:val="auto"/>
              </w:rPr>
            </w:pPr>
            <w:r>
              <w:rPr>
                <w:rFonts w:ascii="Arial" w:cs="Arial" w:eastAsia="Arial" w:hAnsi="Arial"/>
                <w:sz w:val="14"/>
                <w:szCs w:val="14"/>
                <w:color w:val="auto"/>
              </w:rPr>
              <w:t>X</w:t>
            </w:r>
          </w:p>
        </w:tc>
        <w:tc>
          <w:tcPr>
            <w:tcW w:w="440" w:type="dxa"/>
            <w:vAlign w:val="bottom"/>
            <w:shd w:val="clear" w:color="auto" w:fill="C3D9EE"/>
          </w:tcPr>
          <w:p>
            <w:pPr>
              <w:jc w:val="right"/>
              <w:ind w:right="68"/>
              <w:spacing w:after="0"/>
              <w:rPr>
                <w:sz w:val="20"/>
                <w:szCs w:val="20"/>
                <w:color w:val="auto"/>
              </w:rPr>
            </w:pPr>
            <w:r>
              <w:rPr>
                <w:rFonts w:ascii="Arial" w:cs="Arial" w:eastAsia="Arial" w:hAnsi="Arial"/>
                <w:sz w:val="14"/>
                <w:szCs w:val="14"/>
                <w:color w:val="auto"/>
              </w:rPr>
              <w:t>C</w:t>
            </w:r>
          </w:p>
        </w:tc>
        <w:tc>
          <w:tcPr>
            <w:tcW w:w="480" w:type="dxa"/>
            <w:vAlign w:val="bottom"/>
            <w:shd w:val="clear" w:color="auto" w:fill="C3D9EE"/>
          </w:tcPr>
          <w:p>
            <w:pPr>
              <w:spacing w:after="0"/>
              <w:rPr>
                <w:sz w:val="21"/>
                <w:szCs w:val="21"/>
                <w:color w:val="auto"/>
              </w:rPr>
            </w:pPr>
          </w:p>
        </w:tc>
        <w:tc>
          <w:tcPr>
            <w:tcW w:w="580" w:type="dxa"/>
            <w:vAlign w:val="bottom"/>
            <w:shd w:val="clear" w:color="auto" w:fill="C3D9EE"/>
          </w:tcPr>
          <w:p>
            <w:pPr>
              <w:jc w:val="right"/>
              <w:ind w:right="128"/>
              <w:spacing w:after="0"/>
              <w:rPr>
                <w:sz w:val="20"/>
                <w:szCs w:val="20"/>
                <w:color w:val="auto"/>
              </w:rPr>
            </w:pPr>
            <w:r>
              <w:rPr>
                <w:rFonts w:ascii="Arial" w:cs="Arial" w:eastAsia="Arial" w:hAnsi="Arial"/>
                <w:sz w:val="14"/>
                <w:szCs w:val="14"/>
                <w:color w:val="auto"/>
              </w:rPr>
              <w:t>X</w:t>
            </w:r>
          </w:p>
        </w:tc>
        <w:tc>
          <w:tcPr>
            <w:tcW w:w="500" w:type="dxa"/>
            <w:vAlign w:val="bottom"/>
            <w:shd w:val="clear" w:color="auto" w:fill="C3D9EE"/>
          </w:tcPr>
          <w:p>
            <w:pPr>
              <w:spacing w:after="0"/>
              <w:rPr>
                <w:sz w:val="21"/>
                <w:szCs w:val="21"/>
                <w:color w:val="auto"/>
              </w:rPr>
            </w:pPr>
          </w:p>
        </w:tc>
      </w:tr>
      <w:tr>
        <w:trPr>
          <w:trHeight w:val="237"/>
        </w:trPr>
        <w:tc>
          <w:tcPr>
            <w:tcW w:w="1860" w:type="dxa"/>
            <w:vAlign w:val="bottom"/>
            <w:gridSpan w:val="2"/>
          </w:tcPr>
          <w:p>
            <w:pPr>
              <w:ind w:left="80"/>
              <w:spacing w:after="0"/>
              <w:rPr>
                <w:sz w:val="20"/>
                <w:szCs w:val="20"/>
                <w:color w:val="auto"/>
              </w:rPr>
            </w:pPr>
            <w:r>
              <w:rPr>
                <w:rFonts w:ascii="Arial" w:cs="Arial" w:eastAsia="Arial" w:hAnsi="Arial"/>
                <w:sz w:val="14"/>
                <w:szCs w:val="14"/>
                <w:color w:val="auto"/>
              </w:rPr>
              <w:t>John R. Harding</w:t>
            </w: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65</w:t>
            </w:r>
          </w:p>
        </w:tc>
        <w:tc>
          <w:tcPr>
            <w:tcW w:w="920" w:type="dxa"/>
            <w:vAlign w:val="bottom"/>
          </w:tcPr>
          <w:p>
            <w:pPr>
              <w:jc w:val="center"/>
              <w:ind w:left="8"/>
              <w:spacing w:after="0"/>
              <w:rPr>
                <w:sz w:val="20"/>
                <w:szCs w:val="20"/>
                <w:color w:val="auto"/>
              </w:rPr>
            </w:pPr>
            <w:r>
              <w:rPr>
                <w:rFonts w:ascii="Arial" w:cs="Arial" w:eastAsia="Arial" w:hAnsi="Arial"/>
                <w:sz w:val="14"/>
                <w:szCs w:val="14"/>
                <w:color w:val="auto"/>
              </w:rPr>
              <w:t>2015</w:t>
            </w:r>
          </w:p>
        </w:tc>
        <w:tc>
          <w:tcPr>
            <w:tcW w:w="2780" w:type="dxa"/>
            <w:vAlign w:val="bottom"/>
          </w:tcPr>
          <w:p>
            <w:pPr>
              <w:ind w:left="180"/>
              <w:spacing w:after="0"/>
              <w:rPr>
                <w:sz w:val="20"/>
                <w:szCs w:val="20"/>
                <w:color w:val="auto"/>
              </w:rPr>
            </w:pPr>
            <w:r>
              <w:rPr>
                <w:rFonts w:ascii="Arial" w:cs="Arial" w:eastAsia="Arial" w:hAnsi="Arial"/>
                <w:sz w:val="14"/>
                <w:szCs w:val="14"/>
                <w:color w:val="auto"/>
              </w:rPr>
              <w:t>General Partner of Harding Partners, LP</w:t>
            </w:r>
          </w:p>
        </w:tc>
        <w:tc>
          <w:tcPr>
            <w:tcW w:w="1420" w:type="dxa"/>
            <w:vAlign w:val="bottom"/>
          </w:tcPr>
          <w:p>
            <w:pPr>
              <w:spacing w:after="0"/>
              <w:rPr>
                <w:sz w:val="20"/>
                <w:szCs w:val="20"/>
                <w:color w:val="auto"/>
              </w:rPr>
            </w:pPr>
          </w:p>
        </w:tc>
        <w:tc>
          <w:tcPr>
            <w:tcW w:w="1300" w:type="dxa"/>
            <w:vAlign w:val="bottom"/>
          </w:tcPr>
          <w:p>
            <w:pPr>
              <w:ind w:left="720"/>
              <w:spacing w:after="0"/>
              <w:rPr>
                <w:sz w:val="20"/>
                <w:szCs w:val="20"/>
                <w:color w:val="auto"/>
              </w:rPr>
            </w:pPr>
            <w:r>
              <w:rPr>
                <w:rFonts w:ascii="Arial" w:cs="Arial" w:eastAsia="Arial" w:hAnsi="Arial"/>
                <w:sz w:val="14"/>
                <w:szCs w:val="14"/>
                <w:color w:val="auto"/>
              </w:rPr>
              <w:t>X</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X</w:t>
            </w: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C</w:t>
            </w:r>
          </w:p>
        </w:tc>
      </w:tr>
      <w:tr>
        <w:trPr>
          <w:trHeight w:val="249"/>
        </w:trPr>
        <w:tc>
          <w:tcPr>
            <w:tcW w:w="1860" w:type="dxa"/>
            <w:vAlign w:val="bottom"/>
            <w:gridSpan w:val="2"/>
            <w:shd w:val="clear" w:color="auto" w:fill="C3D9EE"/>
          </w:tcPr>
          <w:p>
            <w:pPr>
              <w:ind w:left="80"/>
              <w:spacing w:after="0"/>
              <w:rPr>
                <w:sz w:val="20"/>
                <w:szCs w:val="20"/>
                <w:color w:val="auto"/>
              </w:rPr>
            </w:pPr>
            <w:r>
              <w:rPr>
                <w:rFonts w:ascii="Arial" w:cs="Arial" w:eastAsia="Arial" w:hAnsi="Arial"/>
                <w:sz w:val="14"/>
                <w:szCs w:val="14"/>
                <w:color w:val="auto"/>
              </w:rPr>
              <w:t>David H. Y. Ho</w:t>
            </w:r>
          </w:p>
        </w:tc>
        <w:tc>
          <w:tcPr>
            <w:tcW w:w="740" w:type="dxa"/>
            <w:vAlign w:val="bottom"/>
            <w:shd w:val="clear" w:color="auto" w:fill="C3D9EE"/>
          </w:tcPr>
          <w:p>
            <w:pPr>
              <w:jc w:val="right"/>
              <w:ind w:right="168"/>
              <w:spacing w:after="0"/>
              <w:rPr>
                <w:sz w:val="20"/>
                <w:szCs w:val="20"/>
                <w:color w:val="auto"/>
              </w:rPr>
            </w:pPr>
            <w:r>
              <w:rPr>
                <w:rFonts w:ascii="Arial" w:cs="Arial" w:eastAsia="Arial" w:hAnsi="Arial"/>
                <w:sz w:val="14"/>
                <w:szCs w:val="14"/>
                <w:color w:val="auto"/>
              </w:rPr>
              <w:t>60</w:t>
            </w:r>
          </w:p>
        </w:tc>
        <w:tc>
          <w:tcPr>
            <w:tcW w:w="920" w:type="dxa"/>
            <w:vAlign w:val="bottom"/>
            <w:shd w:val="clear" w:color="auto" w:fill="C3D9EE"/>
          </w:tcPr>
          <w:p>
            <w:pPr>
              <w:jc w:val="center"/>
              <w:ind w:left="8"/>
              <w:spacing w:after="0"/>
              <w:rPr>
                <w:sz w:val="20"/>
                <w:szCs w:val="20"/>
                <w:color w:val="auto"/>
              </w:rPr>
            </w:pPr>
            <w:r>
              <w:rPr>
                <w:rFonts w:ascii="Arial" w:cs="Arial" w:eastAsia="Arial" w:hAnsi="Arial"/>
                <w:sz w:val="14"/>
                <w:szCs w:val="14"/>
                <w:color w:val="auto"/>
              </w:rPr>
              <w:t>2015</w:t>
            </w:r>
          </w:p>
        </w:tc>
        <w:tc>
          <w:tcPr>
            <w:tcW w:w="4200" w:type="dxa"/>
            <w:vAlign w:val="bottom"/>
            <w:gridSpan w:val="2"/>
            <w:shd w:val="clear" w:color="auto" w:fill="C3D9EE"/>
          </w:tcPr>
          <w:p>
            <w:pPr>
              <w:ind w:left="180"/>
              <w:spacing w:after="0"/>
              <w:rPr>
                <w:sz w:val="20"/>
                <w:szCs w:val="20"/>
                <w:color w:val="auto"/>
              </w:rPr>
            </w:pPr>
            <w:r>
              <w:rPr>
                <w:rFonts w:ascii="Arial" w:cs="Arial" w:eastAsia="Arial" w:hAnsi="Arial"/>
                <w:sz w:val="14"/>
                <w:szCs w:val="14"/>
                <w:color w:val="auto"/>
              </w:rPr>
              <w:t>Chairman and Founder of Kiina Investment Ltd.</w:t>
            </w:r>
          </w:p>
        </w:tc>
        <w:tc>
          <w:tcPr>
            <w:tcW w:w="1300" w:type="dxa"/>
            <w:vAlign w:val="bottom"/>
            <w:shd w:val="clear" w:color="auto" w:fill="C3D9EE"/>
          </w:tcPr>
          <w:p>
            <w:pPr>
              <w:ind w:left="720"/>
              <w:spacing w:after="0"/>
              <w:rPr>
                <w:sz w:val="20"/>
                <w:szCs w:val="20"/>
                <w:color w:val="auto"/>
              </w:rPr>
            </w:pPr>
            <w:r>
              <w:rPr>
                <w:rFonts w:ascii="Arial" w:cs="Arial" w:eastAsia="Arial" w:hAnsi="Arial"/>
                <w:sz w:val="14"/>
                <w:szCs w:val="14"/>
                <w:color w:val="auto"/>
              </w:rPr>
              <w:t>X</w:t>
            </w:r>
          </w:p>
        </w:tc>
        <w:tc>
          <w:tcPr>
            <w:tcW w:w="440" w:type="dxa"/>
            <w:vAlign w:val="bottom"/>
            <w:shd w:val="clear" w:color="auto" w:fill="C3D9EE"/>
          </w:tcPr>
          <w:p>
            <w:pPr>
              <w:spacing w:after="0"/>
              <w:rPr>
                <w:sz w:val="21"/>
                <w:szCs w:val="21"/>
                <w:color w:val="auto"/>
              </w:rPr>
            </w:pPr>
          </w:p>
        </w:tc>
        <w:tc>
          <w:tcPr>
            <w:tcW w:w="480" w:type="dxa"/>
            <w:vAlign w:val="bottom"/>
            <w:shd w:val="clear" w:color="auto" w:fill="C3D9EE"/>
          </w:tcPr>
          <w:p>
            <w:pPr>
              <w:jc w:val="right"/>
              <w:ind w:right="88"/>
              <w:spacing w:after="0"/>
              <w:rPr>
                <w:sz w:val="20"/>
                <w:szCs w:val="20"/>
                <w:color w:val="auto"/>
              </w:rPr>
            </w:pPr>
            <w:r>
              <w:rPr>
                <w:rFonts w:ascii="Arial" w:cs="Arial" w:eastAsia="Arial" w:hAnsi="Arial"/>
                <w:sz w:val="14"/>
                <w:szCs w:val="14"/>
                <w:color w:val="auto"/>
              </w:rPr>
              <w:t>X</w:t>
            </w:r>
          </w:p>
        </w:tc>
        <w:tc>
          <w:tcPr>
            <w:tcW w:w="580" w:type="dxa"/>
            <w:vAlign w:val="bottom"/>
            <w:shd w:val="clear" w:color="auto" w:fill="C3D9EE"/>
          </w:tcPr>
          <w:p>
            <w:pPr>
              <w:spacing w:after="0"/>
              <w:rPr>
                <w:sz w:val="21"/>
                <w:szCs w:val="21"/>
                <w:color w:val="auto"/>
              </w:rPr>
            </w:pPr>
          </w:p>
        </w:tc>
        <w:tc>
          <w:tcPr>
            <w:tcW w:w="500" w:type="dxa"/>
            <w:vAlign w:val="bottom"/>
            <w:shd w:val="clear" w:color="auto" w:fill="C3D9EE"/>
          </w:tcPr>
          <w:p>
            <w:pPr>
              <w:jc w:val="right"/>
              <w:ind w:right="48"/>
              <w:spacing w:after="0"/>
              <w:rPr>
                <w:sz w:val="20"/>
                <w:szCs w:val="20"/>
                <w:color w:val="auto"/>
              </w:rPr>
            </w:pPr>
            <w:r>
              <w:rPr>
                <w:rFonts w:ascii="Arial" w:cs="Arial" w:eastAsia="Arial" w:hAnsi="Arial"/>
                <w:sz w:val="14"/>
                <w:szCs w:val="14"/>
                <w:color w:val="auto"/>
              </w:rPr>
              <w:t>X</w:t>
            </w:r>
          </w:p>
        </w:tc>
      </w:tr>
      <w:tr>
        <w:trPr>
          <w:trHeight w:val="231"/>
        </w:trPr>
        <w:tc>
          <w:tcPr>
            <w:tcW w:w="1860" w:type="dxa"/>
            <w:vAlign w:val="bottom"/>
            <w:gridSpan w:val="2"/>
          </w:tcPr>
          <w:p>
            <w:pPr>
              <w:ind w:left="80"/>
              <w:spacing w:after="0"/>
              <w:rPr>
                <w:sz w:val="20"/>
                <w:szCs w:val="20"/>
                <w:color w:val="auto"/>
              </w:rPr>
            </w:pPr>
            <w:r>
              <w:rPr>
                <w:rFonts w:ascii="Arial" w:cs="Arial" w:eastAsia="Arial" w:hAnsi="Arial"/>
                <w:sz w:val="14"/>
                <w:szCs w:val="14"/>
                <w:color w:val="auto"/>
              </w:rPr>
              <w:t>Roderick D. Nelson</w:t>
            </w: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60</w:t>
            </w:r>
          </w:p>
        </w:tc>
        <w:tc>
          <w:tcPr>
            <w:tcW w:w="920" w:type="dxa"/>
            <w:vAlign w:val="bottom"/>
          </w:tcPr>
          <w:p>
            <w:pPr>
              <w:jc w:val="center"/>
              <w:ind w:left="8"/>
              <w:spacing w:after="0"/>
              <w:rPr>
                <w:sz w:val="20"/>
                <w:szCs w:val="20"/>
                <w:color w:val="auto"/>
              </w:rPr>
            </w:pPr>
            <w:r>
              <w:rPr>
                <w:rFonts w:ascii="Arial" w:cs="Arial" w:eastAsia="Arial" w:hAnsi="Arial"/>
                <w:sz w:val="14"/>
                <w:szCs w:val="14"/>
                <w:color w:val="auto"/>
              </w:rPr>
              <w:t>2015</w:t>
            </w:r>
          </w:p>
        </w:tc>
        <w:tc>
          <w:tcPr>
            <w:tcW w:w="4200" w:type="dxa"/>
            <w:vAlign w:val="bottom"/>
            <w:gridSpan w:val="2"/>
          </w:tcPr>
          <w:p>
            <w:pPr>
              <w:ind w:left="180"/>
              <w:spacing w:after="0"/>
              <w:rPr>
                <w:sz w:val="20"/>
                <w:szCs w:val="20"/>
                <w:color w:val="auto"/>
              </w:rPr>
            </w:pPr>
            <w:r>
              <w:rPr>
                <w:rFonts w:ascii="Arial" w:cs="Arial" w:eastAsia="Arial" w:hAnsi="Arial"/>
                <w:sz w:val="14"/>
                <w:szCs w:val="14"/>
                <w:color w:val="auto"/>
              </w:rPr>
              <w:t>CEO of Geoverse, LLC and Co-founder and Principal of</w:t>
            </w:r>
          </w:p>
        </w:tc>
        <w:tc>
          <w:tcPr>
            <w:tcW w:w="1300" w:type="dxa"/>
            <w:vAlign w:val="bottom"/>
          </w:tcPr>
          <w:p>
            <w:pPr>
              <w:ind w:left="720"/>
              <w:spacing w:after="0"/>
              <w:rPr>
                <w:sz w:val="20"/>
                <w:szCs w:val="20"/>
                <w:color w:val="auto"/>
              </w:rPr>
            </w:pPr>
            <w:r>
              <w:rPr>
                <w:rFonts w:ascii="Arial" w:cs="Arial" w:eastAsia="Arial" w:hAnsi="Arial"/>
                <w:sz w:val="14"/>
                <w:szCs w:val="14"/>
                <w:color w:val="auto"/>
              </w:rPr>
              <w:t>X</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X</w:t>
            </w:r>
          </w:p>
        </w:tc>
        <w:tc>
          <w:tcPr>
            <w:tcW w:w="480" w:type="dxa"/>
            <w:vAlign w:val="bottom"/>
          </w:tcPr>
          <w:p>
            <w:pPr>
              <w:spacing w:after="0"/>
              <w:rPr>
                <w:sz w:val="20"/>
                <w:szCs w:val="20"/>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X</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X</w:t>
            </w:r>
          </w:p>
        </w:tc>
      </w:tr>
      <w:tr>
        <w:trPr>
          <w:trHeight w:val="216"/>
        </w:trPr>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80" w:type="dxa"/>
            <w:vAlign w:val="bottom"/>
          </w:tcPr>
          <w:p>
            <w:pPr>
              <w:ind w:left="180"/>
              <w:spacing w:after="0"/>
              <w:rPr>
                <w:sz w:val="20"/>
                <w:szCs w:val="20"/>
                <w:color w:val="auto"/>
              </w:rPr>
            </w:pPr>
            <w:r>
              <w:rPr>
                <w:rFonts w:ascii="Arial" w:cs="Arial" w:eastAsia="Arial" w:hAnsi="Arial"/>
                <w:sz w:val="14"/>
                <w:szCs w:val="14"/>
                <w:color w:val="auto"/>
              </w:rPr>
              <w:t>Tritech Sales and Services, LLC</w:t>
            </w: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5"/>
        </w:trPr>
        <w:tc>
          <w:tcPr>
            <w:tcW w:w="186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1"/>
        </w:trPr>
        <w:tc>
          <w:tcPr>
            <w:tcW w:w="1860" w:type="dxa"/>
            <w:vAlign w:val="bottom"/>
            <w:gridSpan w:val="2"/>
            <w:shd w:val="clear" w:color="auto" w:fill="C3D9EE"/>
          </w:tcPr>
          <w:p>
            <w:pPr>
              <w:ind w:left="80"/>
              <w:spacing w:after="0"/>
              <w:rPr>
                <w:sz w:val="20"/>
                <w:szCs w:val="20"/>
                <w:color w:val="auto"/>
              </w:rPr>
            </w:pPr>
            <w:r>
              <w:rPr>
                <w:rFonts w:ascii="Arial" w:cs="Arial" w:eastAsia="Arial" w:hAnsi="Arial"/>
                <w:sz w:val="14"/>
                <w:szCs w:val="14"/>
                <w:color w:val="auto"/>
              </w:rPr>
              <w:t>Dr. Walden C. Rhines</w:t>
            </w:r>
          </w:p>
        </w:tc>
        <w:tc>
          <w:tcPr>
            <w:tcW w:w="740" w:type="dxa"/>
            <w:vAlign w:val="bottom"/>
            <w:shd w:val="clear" w:color="auto" w:fill="C3D9EE"/>
          </w:tcPr>
          <w:p>
            <w:pPr>
              <w:jc w:val="right"/>
              <w:ind w:right="168"/>
              <w:spacing w:after="0"/>
              <w:rPr>
                <w:sz w:val="20"/>
                <w:szCs w:val="20"/>
                <w:color w:val="auto"/>
              </w:rPr>
            </w:pPr>
            <w:r>
              <w:rPr>
                <w:rFonts w:ascii="Arial" w:cs="Arial" w:eastAsia="Arial" w:hAnsi="Arial"/>
                <w:sz w:val="14"/>
                <w:szCs w:val="14"/>
                <w:color w:val="auto"/>
              </w:rPr>
              <w:t>73</w:t>
            </w:r>
          </w:p>
        </w:tc>
        <w:tc>
          <w:tcPr>
            <w:tcW w:w="920" w:type="dxa"/>
            <w:vAlign w:val="bottom"/>
            <w:shd w:val="clear" w:color="auto" w:fill="C3D9EE"/>
          </w:tcPr>
          <w:p>
            <w:pPr>
              <w:jc w:val="center"/>
              <w:ind w:left="8"/>
              <w:spacing w:after="0"/>
              <w:rPr>
                <w:sz w:val="20"/>
                <w:szCs w:val="20"/>
                <w:color w:val="auto"/>
              </w:rPr>
            </w:pPr>
            <w:r>
              <w:rPr>
                <w:rFonts w:ascii="Arial" w:cs="Arial" w:eastAsia="Arial" w:hAnsi="Arial"/>
                <w:sz w:val="14"/>
                <w:szCs w:val="14"/>
                <w:color w:val="auto"/>
              </w:rPr>
              <w:t>2015</w:t>
            </w:r>
          </w:p>
        </w:tc>
        <w:tc>
          <w:tcPr>
            <w:tcW w:w="4200" w:type="dxa"/>
            <w:vAlign w:val="bottom"/>
            <w:gridSpan w:val="2"/>
            <w:shd w:val="clear" w:color="auto" w:fill="C3D9EE"/>
          </w:tcPr>
          <w:p>
            <w:pPr>
              <w:ind w:left="180"/>
              <w:spacing w:after="0"/>
              <w:rPr>
                <w:sz w:val="20"/>
                <w:szCs w:val="20"/>
                <w:color w:val="auto"/>
              </w:rPr>
            </w:pPr>
            <w:r>
              <w:rPr>
                <w:rFonts w:ascii="Arial" w:cs="Arial" w:eastAsia="Arial" w:hAnsi="Arial"/>
                <w:sz w:val="14"/>
                <w:szCs w:val="14"/>
                <w:color w:val="auto"/>
              </w:rPr>
              <w:t>President and CEO of Cornami, Inc. and CEO Emeritus of</w:t>
            </w:r>
          </w:p>
        </w:tc>
        <w:tc>
          <w:tcPr>
            <w:tcW w:w="1300" w:type="dxa"/>
            <w:vAlign w:val="bottom"/>
            <w:shd w:val="clear" w:color="auto" w:fill="C3D9EE"/>
          </w:tcPr>
          <w:p>
            <w:pPr>
              <w:ind w:left="720"/>
              <w:spacing w:after="0"/>
              <w:rPr>
                <w:sz w:val="20"/>
                <w:szCs w:val="20"/>
                <w:color w:val="auto"/>
              </w:rPr>
            </w:pPr>
            <w:r>
              <w:rPr>
                <w:rFonts w:ascii="Arial" w:cs="Arial" w:eastAsia="Arial" w:hAnsi="Arial"/>
                <w:sz w:val="14"/>
                <w:szCs w:val="14"/>
                <w:color w:val="auto"/>
              </w:rPr>
              <w:t>X</w:t>
            </w:r>
          </w:p>
        </w:tc>
        <w:tc>
          <w:tcPr>
            <w:tcW w:w="440" w:type="dxa"/>
            <w:vAlign w:val="bottom"/>
            <w:shd w:val="clear" w:color="auto" w:fill="C3D9EE"/>
          </w:tcPr>
          <w:p>
            <w:pPr>
              <w:spacing w:after="0"/>
              <w:rPr>
                <w:sz w:val="20"/>
                <w:szCs w:val="20"/>
                <w:color w:val="auto"/>
              </w:rPr>
            </w:pPr>
          </w:p>
        </w:tc>
        <w:tc>
          <w:tcPr>
            <w:tcW w:w="480" w:type="dxa"/>
            <w:vAlign w:val="bottom"/>
            <w:shd w:val="clear" w:color="auto" w:fill="C3D9EE"/>
          </w:tcPr>
          <w:p>
            <w:pPr>
              <w:jc w:val="right"/>
              <w:ind w:right="88"/>
              <w:spacing w:after="0"/>
              <w:rPr>
                <w:sz w:val="20"/>
                <w:szCs w:val="20"/>
                <w:color w:val="auto"/>
              </w:rPr>
            </w:pPr>
            <w:r>
              <w:rPr>
                <w:rFonts w:ascii="Arial" w:cs="Arial" w:eastAsia="Arial" w:hAnsi="Arial"/>
                <w:sz w:val="14"/>
                <w:szCs w:val="14"/>
                <w:color w:val="auto"/>
              </w:rPr>
              <w:t>C</w:t>
            </w:r>
          </w:p>
        </w:tc>
        <w:tc>
          <w:tcPr>
            <w:tcW w:w="580" w:type="dxa"/>
            <w:vAlign w:val="bottom"/>
            <w:shd w:val="clear" w:color="auto" w:fill="C3D9EE"/>
          </w:tcPr>
          <w:p>
            <w:pPr>
              <w:jc w:val="right"/>
              <w:ind w:right="128"/>
              <w:spacing w:after="0"/>
              <w:rPr>
                <w:sz w:val="20"/>
                <w:szCs w:val="20"/>
                <w:color w:val="auto"/>
              </w:rPr>
            </w:pPr>
            <w:r>
              <w:rPr>
                <w:rFonts w:ascii="Arial" w:cs="Arial" w:eastAsia="Arial" w:hAnsi="Arial"/>
                <w:sz w:val="14"/>
                <w:szCs w:val="14"/>
                <w:color w:val="auto"/>
              </w:rPr>
              <w:t>X</w:t>
            </w:r>
          </w:p>
        </w:tc>
        <w:tc>
          <w:tcPr>
            <w:tcW w:w="500" w:type="dxa"/>
            <w:vAlign w:val="bottom"/>
            <w:shd w:val="clear" w:color="auto" w:fill="C3D9EE"/>
          </w:tcPr>
          <w:p>
            <w:pPr>
              <w:spacing w:after="0"/>
              <w:rPr>
                <w:sz w:val="20"/>
                <w:szCs w:val="20"/>
                <w:color w:val="auto"/>
              </w:rPr>
            </w:pPr>
          </w:p>
        </w:tc>
      </w:tr>
      <w:tr>
        <w:trPr>
          <w:trHeight w:val="228"/>
        </w:trPr>
        <w:tc>
          <w:tcPr>
            <w:tcW w:w="580" w:type="dxa"/>
            <w:vAlign w:val="bottom"/>
            <w:shd w:val="clear" w:color="auto" w:fill="C3D9EE"/>
          </w:tcPr>
          <w:p>
            <w:pPr>
              <w:spacing w:after="0"/>
              <w:rPr>
                <w:sz w:val="19"/>
                <w:szCs w:val="19"/>
                <w:color w:val="auto"/>
              </w:rPr>
            </w:pPr>
          </w:p>
        </w:tc>
        <w:tc>
          <w:tcPr>
            <w:tcW w:w="1280" w:type="dxa"/>
            <w:vAlign w:val="bottom"/>
            <w:shd w:val="clear" w:color="auto" w:fill="C3D9EE"/>
          </w:tcPr>
          <w:p>
            <w:pPr>
              <w:spacing w:after="0"/>
              <w:rPr>
                <w:sz w:val="19"/>
                <w:szCs w:val="19"/>
                <w:color w:val="auto"/>
              </w:rPr>
            </w:pPr>
          </w:p>
        </w:tc>
        <w:tc>
          <w:tcPr>
            <w:tcW w:w="740" w:type="dxa"/>
            <w:vAlign w:val="bottom"/>
            <w:shd w:val="clear" w:color="auto" w:fill="C3D9EE"/>
          </w:tcPr>
          <w:p>
            <w:pPr>
              <w:spacing w:after="0"/>
              <w:rPr>
                <w:sz w:val="19"/>
                <w:szCs w:val="19"/>
                <w:color w:val="auto"/>
              </w:rPr>
            </w:pPr>
          </w:p>
        </w:tc>
        <w:tc>
          <w:tcPr>
            <w:tcW w:w="920" w:type="dxa"/>
            <w:vAlign w:val="bottom"/>
            <w:shd w:val="clear" w:color="auto" w:fill="C3D9EE"/>
          </w:tcPr>
          <w:p>
            <w:pPr>
              <w:spacing w:after="0"/>
              <w:rPr>
                <w:sz w:val="19"/>
                <w:szCs w:val="19"/>
                <w:color w:val="auto"/>
              </w:rPr>
            </w:pPr>
          </w:p>
        </w:tc>
        <w:tc>
          <w:tcPr>
            <w:tcW w:w="2780" w:type="dxa"/>
            <w:vAlign w:val="bottom"/>
            <w:shd w:val="clear" w:color="auto" w:fill="C3D9EE"/>
          </w:tcPr>
          <w:p>
            <w:pPr>
              <w:ind w:left="180"/>
              <w:spacing w:after="0"/>
              <w:rPr>
                <w:sz w:val="20"/>
                <w:szCs w:val="20"/>
                <w:color w:val="auto"/>
              </w:rPr>
            </w:pPr>
            <w:r>
              <w:rPr>
                <w:rFonts w:ascii="Arial" w:cs="Arial" w:eastAsia="Arial" w:hAnsi="Arial"/>
                <w:sz w:val="14"/>
                <w:szCs w:val="14"/>
                <w:color w:val="auto"/>
              </w:rPr>
              <w:t>Mentor, a Siemens Business</w:t>
            </w:r>
          </w:p>
        </w:tc>
        <w:tc>
          <w:tcPr>
            <w:tcW w:w="1420" w:type="dxa"/>
            <w:vAlign w:val="bottom"/>
            <w:shd w:val="clear" w:color="auto" w:fill="C3D9EE"/>
          </w:tcPr>
          <w:p>
            <w:pPr>
              <w:spacing w:after="0"/>
              <w:rPr>
                <w:sz w:val="19"/>
                <w:szCs w:val="19"/>
                <w:color w:val="auto"/>
              </w:rPr>
            </w:pPr>
          </w:p>
        </w:tc>
        <w:tc>
          <w:tcPr>
            <w:tcW w:w="1300" w:type="dxa"/>
            <w:vAlign w:val="bottom"/>
            <w:shd w:val="clear" w:color="auto" w:fill="C3D9EE"/>
          </w:tcPr>
          <w:p>
            <w:pPr>
              <w:spacing w:after="0"/>
              <w:rPr>
                <w:sz w:val="19"/>
                <w:szCs w:val="19"/>
                <w:color w:val="auto"/>
              </w:rPr>
            </w:pPr>
          </w:p>
        </w:tc>
        <w:tc>
          <w:tcPr>
            <w:tcW w:w="440" w:type="dxa"/>
            <w:vAlign w:val="bottom"/>
            <w:shd w:val="clear" w:color="auto" w:fill="C3D9EE"/>
          </w:tcPr>
          <w:p>
            <w:pPr>
              <w:spacing w:after="0"/>
              <w:rPr>
                <w:sz w:val="19"/>
                <w:szCs w:val="19"/>
                <w:color w:val="auto"/>
              </w:rPr>
            </w:pPr>
          </w:p>
        </w:tc>
        <w:tc>
          <w:tcPr>
            <w:tcW w:w="480" w:type="dxa"/>
            <w:vAlign w:val="bottom"/>
            <w:shd w:val="clear" w:color="auto" w:fill="C3D9EE"/>
          </w:tcPr>
          <w:p>
            <w:pPr>
              <w:spacing w:after="0"/>
              <w:rPr>
                <w:sz w:val="19"/>
                <w:szCs w:val="19"/>
                <w:color w:val="auto"/>
              </w:rPr>
            </w:pPr>
          </w:p>
        </w:tc>
        <w:tc>
          <w:tcPr>
            <w:tcW w:w="580" w:type="dxa"/>
            <w:vAlign w:val="bottom"/>
            <w:shd w:val="clear" w:color="auto" w:fill="C3D9EE"/>
          </w:tcPr>
          <w:p>
            <w:pPr>
              <w:spacing w:after="0"/>
              <w:rPr>
                <w:sz w:val="19"/>
                <w:szCs w:val="19"/>
                <w:color w:val="auto"/>
              </w:rPr>
            </w:pPr>
          </w:p>
        </w:tc>
        <w:tc>
          <w:tcPr>
            <w:tcW w:w="500" w:type="dxa"/>
            <w:vAlign w:val="bottom"/>
            <w:shd w:val="clear" w:color="auto" w:fill="C3D9EE"/>
          </w:tcPr>
          <w:p>
            <w:pPr>
              <w:spacing w:after="0"/>
              <w:rPr>
                <w:sz w:val="19"/>
                <w:szCs w:val="19"/>
                <w:color w:val="auto"/>
              </w:rPr>
            </w:pPr>
          </w:p>
        </w:tc>
      </w:tr>
      <w:tr>
        <w:trPr>
          <w:trHeight w:val="237"/>
        </w:trPr>
        <w:tc>
          <w:tcPr>
            <w:tcW w:w="1860" w:type="dxa"/>
            <w:vAlign w:val="bottom"/>
            <w:gridSpan w:val="2"/>
          </w:tcPr>
          <w:p>
            <w:pPr>
              <w:ind w:left="80"/>
              <w:spacing w:after="0"/>
              <w:rPr>
                <w:sz w:val="20"/>
                <w:szCs w:val="20"/>
                <w:color w:val="auto"/>
              </w:rPr>
            </w:pPr>
            <w:r>
              <w:rPr>
                <w:rFonts w:ascii="Arial" w:cs="Arial" w:eastAsia="Arial" w:hAnsi="Arial"/>
                <w:sz w:val="14"/>
                <w:szCs w:val="14"/>
                <w:color w:val="auto"/>
              </w:rPr>
              <w:t>Susan L. Spradley</w:t>
            </w: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59</w:t>
            </w:r>
          </w:p>
        </w:tc>
        <w:tc>
          <w:tcPr>
            <w:tcW w:w="920" w:type="dxa"/>
            <w:vAlign w:val="bottom"/>
          </w:tcPr>
          <w:p>
            <w:pPr>
              <w:jc w:val="center"/>
              <w:ind w:left="8"/>
              <w:spacing w:after="0"/>
              <w:rPr>
                <w:sz w:val="20"/>
                <w:szCs w:val="20"/>
                <w:color w:val="auto"/>
              </w:rPr>
            </w:pPr>
            <w:r>
              <w:rPr>
                <w:rFonts w:ascii="Arial" w:cs="Arial" w:eastAsia="Arial" w:hAnsi="Arial"/>
                <w:sz w:val="14"/>
                <w:szCs w:val="14"/>
                <w:color w:val="auto"/>
              </w:rPr>
              <w:t>2017</w:t>
            </w:r>
          </w:p>
        </w:tc>
        <w:tc>
          <w:tcPr>
            <w:tcW w:w="2780" w:type="dxa"/>
            <w:vAlign w:val="bottom"/>
          </w:tcPr>
          <w:p>
            <w:pPr>
              <w:ind w:left="180"/>
              <w:spacing w:after="0"/>
              <w:rPr>
                <w:sz w:val="20"/>
                <w:szCs w:val="20"/>
                <w:color w:val="auto"/>
              </w:rPr>
            </w:pPr>
            <w:r>
              <w:rPr>
                <w:rFonts w:ascii="Arial" w:cs="Arial" w:eastAsia="Arial" w:hAnsi="Arial"/>
                <w:sz w:val="14"/>
                <w:szCs w:val="14"/>
                <w:color w:val="auto"/>
              </w:rPr>
              <w:t>CEO of Motion Intelligence</w:t>
            </w:r>
          </w:p>
        </w:tc>
        <w:tc>
          <w:tcPr>
            <w:tcW w:w="1420" w:type="dxa"/>
            <w:vAlign w:val="bottom"/>
          </w:tcPr>
          <w:p>
            <w:pPr>
              <w:spacing w:after="0"/>
              <w:rPr>
                <w:sz w:val="20"/>
                <w:szCs w:val="20"/>
                <w:color w:val="auto"/>
              </w:rPr>
            </w:pPr>
          </w:p>
        </w:tc>
        <w:tc>
          <w:tcPr>
            <w:tcW w:w="1300" w:type="dxa"/>
            <w:vAlign w:val="bottom"/>
          </w:tcPr>
          <w:p>
            <w:pPr>
              <w:ind w:left="720"/>
              <w:spacing w:after="0"/>
              <w:rPr>
                <w:sz w:val="20"/>
                <w:szCs w:val="20"/>
                <w:color w:val="auto"/>
              </w:rPr>
            </w:pPr>
            <w:r>
              <w:rPr>
                <w:rFonts w:ascii="Arial" w:cs="Arial" w:eastAsia="Arial" w:hAnsi="Arial"/>
                <w:sz w:val="14"/>
                <w:szCs w:val="14"/>
                <w:color w:val="auto"/>
              </w:rPr>
              <w:t>X</w:t>
            </w:r>
          </w:p>
        </w:tc>
        <w:tc>
          <w:tcPr>
            <w:tcW w:w="440" w:type="dxa"/>
            <w:vAlign w:val="bottom"/>
          </w:tcPr>
          <w:p>
            <w:pPr>
              <w:spacing w:after="0"/>
              <w:rPr>
                <w:sz w:val="20"/>
                <w:szCs w:val="20"/>
                <w:color w:val="auto"/>
              </w:rPr>
            </w:pPr>
          </w:p>
        </w:tc>
        <w:tc>
          <w:tcPr>
            <w:tcW w:w="480" w:type="dxa"/>
            <w:vAlign w:val="bottom"/>
          </w:tcPr>
          <w:p>
            <w:pPr>
              <w:jc w:val="right"/>
              <w:ind w:right="88"/>
              <w:spacing w:after="0"/>
              <w:rPr>
                <w:sz w:val="20"/>
                <w:szCs w:val="20"/>
                <w:color w:val="auto"/>
              </w:rPr>
            </w:pPr>
            <w:r>
              <w:rPr>
                <w:rFonts w:ascii="Arial" w:cs="Arial" w:eastAsia="Arial" w:hAnsi="Arial"/>
                <w:sz w:val="14"/>
                <w:szCs w:val="14"/>
                <w:color w:val="auto"/>
              </w:rPr>
              <w:t>X</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X</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X</w:t>
            </w:r>
          </w:p>
        </w:tc>
      </w:tr>
      <w:tr>
        <w:trPr>
          <w:trHeight w:val="243"/>
        </w:trPr>
        <w:tc>
          <w:tcPr>
            <w:tcW w:w="1860" w:type="dxa"/>
            <w:vAlign w:val="bottom"/>
            <w:tcBorders>
              <w:bottom w:val="single" w:sz="8" w:color="1269BC"/>
            </w:tcBorders>
            <w:gridSpan w:val="2"/>
            <w:shd w:val="clear" w:color="auto" w:fill="C3D9EE"/>
          </w:tcPr>
          <w:p>
            <w:pPr>
              <w:ind w:left="80"/>
              <w:spacing w:after="0"/>
              <w:rPr>
                <w:sz w:val="20"/>
                <w:szCs w:val="20"/>
                <w:color w:val="auto"/>
              </w:rPr>
            </w:pPr>
            <w:r>
              <w:rPr>
                <w:rFonts w:ascii="Arial" w:cs="Arial" w:eastAsia="Arial" w:hAnsi="Arial"/>
                <w:sz w:val="14"/>
                <w:szCs w:val="14"/>
                <w:color w:val="auto"/>
              </w:rPr>
              <w:t>Walter H. Wilkinson, Jr.</w:t>
            </w:r>
          </w:p>
        </w:tc>
        <w:tc>
          <w:tcPr>
            <w:tcW w:w="740" w:type="dxa"/>
            <w:vAlign w:val="bottom"/>
            <w:tcBorders>
              <w:bottom w:val="single" w:sz="8" w:color="1269BC"/>
            </w:tcBorders>
            <w:shd w:val="clear" w:color="auto" w:fill="C3D9EE"/>
          </w:tcPr>
          <w:p>
            <w:pPr>
              <w:jc w:val="right"/>
              <w:ind w:right="168"/>
              <w:spacing w:after="0"/>
              <w:rPr>
                <w:sz w:val="20"/>
                <w:szCs w:val="20"/>
                <w:color w:val="auto"/>
              </w:rPr>
            </w:pPr>
            <w:r>
              <w:rPr>
                <w:rFonts w:ascii="Arial" w:cs="Arial" w:eastAsia="Arial" w:hAnsi="Arial"/>
                <w:sz w:val="14"/>
                <w:szCs w:val="14"/>
                <w:color w:val="auto"/>
              </w:rPr>
              <w:t>74</w:t>
            </w:r>
          </w:p>
        </w:tc>
        <w:tc>
          <w:tcPr>
            <w:tcW w:w="920" w:type="dxa"/>
            <w:vAlign w:val="bottom"/>
            <w:tcBorders>
              <w:bottom w:val="single" w:sz="8" w:color="1269BC"/>
            </w:tcBorders>
            <w:shd w:val="clear" w:color="auto" w:fill="C3D9EE"/>
          </w:tcPr>
          <w:p>
            <w:pPr>
              <w:jc w:val="center"/>
              <w:ind w:left="8"/>
              <w:spacing w:after="0"/>
              <w:rPr>
                <w:sz w:val="20"/>
                <w:szCs w:val="20"/>
                <w:color w:val="auto"/>
              </w:rPr>
            </w:pPr>
            <w:r>
              <w:rPr>
                <w:rFonts w:ascii="Arial" w:cs="Arial" w:eastAsia="Arial" w:hAnsi="Arial"/>
                <w:sz w:val="14"/>
                <w:szCs w:val="14"/>
                <w:color w:val="auto"/>
              </w:rPr>
              <w:t>2015</w:t>
            </w:r>
          </w:p>
        </w:tc>
        <w:tc>
          <w:tcPr>
            <w:tcW w:w="2780" w:type="dxa"/>
            <w:vAlign w:val="bottom"/>
            <w:tcBorders>
              <w:bottom w:val="single" w:sz="8" w:color="1269BC"/>
            </w:tcBorders>
            <w:shd w:val="clear" w:color="auto" w:fill="C3D9EE"/>
          </w:tcPr>
          <w:p>
            <w:pPr>
              <w:ind w:left="180"/>
              <w:spacing w:after="0"/>
              <w:rPr>
                <w:sz w:val="20"/>
                <w:szCs w:val="20"/>
                <w:color w:val="auto"/>
              </w:rPr>
            </w:pPr>
            <w:r>
              <w:rPr>
                <w:rFonts w:ascii="Arial" w:cs="Arial" w:eastAsia="Arial" w:hAnsi="Arial"/>
                <w:sz w:val="14"/>
                <w:szCs w:val="14"/>
                <w:color w:val="auto"/>
              </w:rPr>
              <w:t>Founder of Kitty Hawk Capital</w:t>
            </w:r>
          </w:p>
        </w:tc>
        <w:tc>
          <w:tcPr>
            <w:tcW w:w="1420" w:type="dxa"/>
            <w:vAlign w:val="bottom"/>
            <w:tcBorders>
              <w:bottom w:val="single" w:sz="8" w:color="1269BC"/>
            </w:tcBorders>
            <w:shd w:val="clear" w:color="auto" w:fill="C3D9EE"/>
          </w:tcPr>
          <w:p>
            <w:pPr>
              <w:spacing w:after="0"/>
              <w:rPr>
                <w:sz w:val="21"/>
                <w:szCs w:val="21"/>
                <w:color w:val="auto"/>
              </w:rPr>
            </w:pPr>
          </w:p>
        </w:tc>
        <w:tc>
          <w:tcPr>
            <w:tcW w:w="1300" w:type="dxa"/>
            <w:vAlign w:val="bottom"/>
            <w:tcBorders>
              <w:bottom w:val="single" w:sz="8" w:color="1269BC"/>
            </w:tcBorders>
            <w:shd w:val="clear" w:color="auto" w:fill="C3D9EE"/>
          </w:tcPr>
          <w:p>
            <w:pPr>
              <w:ind w:left="720"/>
              <w:spacing w:after="0"/>
              <w:rPr>
                <w:sz w:val="20"/>
                <w:szCs w:val="20"/>
                <w:color w:val="auto"/>
              </w:rPr>
            </w:pPr>
            <w:r>
              <w:rPr>
                <w:rFonts w:ascii="Arial" w:cs="Arial" w:eastAsia="Arial" w:hAnsi="Arial"/>
                <w:sz w:val="14"/>
                <w:szCs w:val="14"/>
                <w:color w:val="auto"/>
              </w:rPr>
              <w:t>X</w:t>
            </w:r>
          </w:p>
        </w:tc>
        <w:tc>
          <w:tcPr>
            <w:tcW w:w="440" w:type="dxa"/>
            <w:vAlign w:val="bottom"/>
            <w:tcBorders>
              <w:bottom w:val="single" w:sz="8" w:color="1269BC"/>
            </w:tcBorders>
            <w:shd w:val="clear" w:color="auto" w:fill="C3D9EE"/>
          </w:tcPr>
          <w:p>
            <w:pPr>
              <w:spacing w:after="0"/>
              <w:rPr>
                <w:sz w:val="21"/>
                <w:szCs w:val="21"/>
                <w:color w:val="auto"/>
              </w:rPr>
            </w:pPr>
          </w:p>
        </w:tc>
        <w:tc>
          <w:tcPr>
            <w:tcW w:w="480" w:type="dxa"/>
            <w:vAlign w:val="bottom"/>
            <w:tcBorders>
              <w:bottom w:val="single" w:sz="8" w:color="1269BC"/>
            </w:tcBorders>
            <w:shd w:val="clear" w:color="auto" w:fill="C3D9EE"/>
          </w:tcPr>
          <w:p>
            <w:pPr>
              <w:jc w:val="right"/>
              <w:ind w:right="88"/>
              <w:spacing w:after="0"/>
              <w:rPr>
                <w:sz w:val="20"/>
                <w:szCs w:val="20"/>
                <w:color w:val="auto"/>
              </w:rPr>
            </w:pPr>
            <w:r>
              <w:rPr>
                <w:rFonts w:ascii="Arial" w:cs="Arial" w:eastAsia="Arial" w:hAnsi="Arial"/>
                <w:sz w:val="14"/>
                <w:szCs w:val="14"/>
                <w:color w:val="auto"/>
              </w:rPr>
              <w:t>X</w:t>
            </w:r>
          </w:p>
        </w:tc>
        <w:tc>
          <w:tcPr>
            <w:tcW w:w="580" w:type="dxa"/>
            <w:vAlign w:val="bottom"/>
            <w:tcBorders>
              <w:bottom w:val="single" w:sz="8" w:color="1269BC"/>
            </w:tcBorders>
            <w:shd w:val="clear" w:color="auto" w:fill="C3D9EE"/>
          </w:tcPr>
          <w:p>
            <w:pPr>
              <w:jc w:val="right"/>
              <w:ind w:right="128"/>
              <w:spacing w:after="0"/>
              <w:rPr>
                <w:sz w:val="20"/>
                <w:szCs w:val="20"/>
                <w:color w:val="auto"/>
              </w:rPr>
            </w:pPr>
            <w:r>
              <w:rPr>
                <w:rFonts w:ascii="Arial" w:cs="Arial" w:eastAsia="Arial" w:hAnsi="Arial"/>
                <w:sz w:val="14"/>
                <w:szCs w:val="14"/>
                <w:color w:val="auto"/>
              </w:rPr>
              <w:t>C</w:t>
            </w:r>
          </w:p>
        </w:tc>
        <w:tc>
          <w:tcPr>
            <w:tcW w:w="500" w:type="dxa"/>
            <w:vAlign w:val="bottom"/>
            <w:tcBorders>
              <w:bottom w:val="single" w:sz="8" w:color="1269BC"/>
            </w:tcBorders>
            <w:shd w:val="clear" w:color="auto" w:fill="C3D9EE"/>
          </w:tcPr>
          <w:p>
            <w:pPr>
              <w:spacing w:after="0"/>
              <w:rPr>
                <w:sz w:val="21"/>
                <w:szCs w:val="21"/>
                <w:color w:val="auto"/>
              </w:rPr>
            </w:pPr>
          </w:p>
        </w:tc>
      </w:tr>
      <w:tr>
        <w:trPr>
          <w:trHeight w:val="463"/>
        </w:trPr>
        <w:tc>
          <w:tcPr>
            <w:tcW w:w="580" w:type="dxa"/>
            <w:vAlign w:val="bottom"/>
          </w:tcPr>
          <w:p>
            <w:pPr>
              <w:spacing w:after="0"/>
              <w:rPr>
                <w:sz w:val="20"/>
                <w:szCs w:val="20"/>
                <w:color w:val="auto"/>
              </w:rPr>
            </w:pPr>
            <w:r>
              <w:rPr>
                <w:rFonts w:ascii="Arial" w:cs="Arial" w:eastAsia="Arial" w:hAnsi="Arial"/>
                <w:sz w:val="14"/>
                <w:szCs w:val="14"/>
                <w:color w:val="auto"/>
              </w:rPr>
              <w:t>AC</w:t>
            </w:r>
          </w:p>
        </w:tc>
        <w:tc>
          <w:tcPr>
            <w:tcW w:w="1280" w:type="dxa"/>
            <w:vAlign w:val="bottom"/>
          </w:tcPr>
          <w:p>
            <w:pPr>
              <w:ind w:left="100"/>
              <w:spacing w:after="0"/>
              <w:rPr>
                <w:sz w:val="20"/>
                <w:szCs w:val="20"/>
                <w:color w:val="auto"/>
              </w:rPr>
            </w:pPr>
            <w:r>
              <w:rPr>
                <w:rFonts w:ascii="Arial" w:cs="Arial" w:eastAsia="Arial" w:hAnsi="Arial"/>
                <w:sz w:val="14"/>
                <w:szCs w:val="14"/>
                <w:color w:val="auto"/>
              </w:rPr>
              <w:t>Audit Committee</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80" w:type="dxa"/>
            <w:vAlign w:val="bottom"/>
          </w:tcPr>
          <w:p>
            <w:pPr>
              <w:ind w:left="2100"/>
              <w:spacing w:after="0"/>
              <w:rPr>
                <w:sz w:val="20"/>
                <w:szCs w:val="20"/>
                <w:color w:val="auto"/>
              </w:rPr>
            </w:pPr>
            <w:r>
              <w:rPr>
                <w:rFonts w:ascii="Arial" w:cs="Arial" w:eastAsia="Arial" w:hAnsi="Arial"/>
                <w:sz w:val="14"/>
                <w:szCs w:val="14"/>
                <w:color w:val="auto"/>
              </w:rPr>
              <w:t>CDC</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Corporate Development Committee</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62"/>
        </w:trPr>
        <w:tc>
          <w:tcPr>
            <w:tcW w:w="580" w:type="dxa"/>
            <w:vAlign w:val="bottom"/>
          </w:tcPr>
          <w:p>
            <w:pPr>
              <w:spacing w:after="0"/>
              <w:rPr>
                <w:sz w:val="20"/>
                <w:szCs w:val="20"/>
                <w:color w:val="auto"/>
              </w:rPr>
            </w:pPr>
            <w:r>
              <w:rPr>
                <w:rFonts w:ascii="Arial" w:cs="Arial" w:eastAsia="Arial" w:hAnsi="Arial"/>
                <w:sz w:val="14"/>
                <w:szCs w:val="14"/>
                <w:color w:val="auto"/>
              </w:rPr>
              <w:t>CC</w:t>
            </w:r>
          </w:p>
        </w:tc>
        <w:tc>
          <w:tcPr>
            <w:tcW w:w="2020" w:type="dxa"/>
            <w:vAlign w:val="bottom"/>
            <w:gridSpan w:val="2"/>
          </w:tcPr>
          <w:p>
            <w:pPr>
              <w:jc w:val="right"/>
              <w:ind w:right="168"/>
              <w:spacing w:after="0"/>
              <w:rPr>
                <w:sz w:val="20"/>
                <w:szCs w:val="20"/>
                <w:color w:val="auto"/>
              </w:rPr>
            </w:pPr>
            <w:r>
              <w:rPr>
                <w:rFonts w:ascii="Arial" w:cs="Arial" w:eastAsia="Arial" w:hAnsi="Arial"/>
                <w:sz w:val="14"/>
                <w:szCs w:val="14"/>
                <w:color w:val="auto"/>
              </w:rPr>
              <w:t>Compensation Committee</w:t>
            </w:r>
          </w:p>
        </w:tc>
        <w:tc>
          <w:tcPr>
            <w:tcW w:w="920" w:type="dxa"/>
            <w:vAlign w:val="bottom"/>
          </w:tcPr>
          <w:p>
            <w:pPr>
              <w:spacing w:after="0"/>
              <w:rPr>
                <w:sz w:val="14"/>
                <w:szCs w:val="14"/>
                <w:color w:val="auto"/>
              </w:rPr>
            </w:pPr>
          </w:p>
        </w:tc>
        <w:tc>
          <w:tcPr>
            <w:tcW w:w="2780" w:type="dxa"/>
            <w:vAlign w:val="bottom"/>
          </w:tcPr>
          <w:p>
            <w:pPr>
              <w:ind w:left="2100"/>
              <w:spacing w:after="0"/>
              <w:rPr>
                <w:sz w:val="20"/>
                <w:szCs w:val="20"/>
                <w:color w:val="auto"/>
              </w:rPr>
            </w:pPr>
            <w:r>
              <w:rPr>
                <w:rFonts w:ascii="Arial" w:cs="Arial" w:eastAsia="Arial" w:hAnsi="Arial"/>
                <w:sz w:val="14"/>
                <w:szCs w:val="14"/>
                <w:color w:val="auto"/>
              </w:rPr>
              <w:t>C</w:t>
            </w:r>
          </w:p>
        </w:tc>
        <w:tc>
          <w:tcPr>
            <w:tcW w:w="1420" w:type="dxa"/>
            <w:vAlign w:val="bottom"/>
          </w:tcPr>
          <w:p>
            <w:pPr>
              <w:ind w:left="20"/>
              <w:spacing w:after="0"/>
              <w:rPr>
                <w:sz w:val="20"/>
                <w:szCs w:val="20"/>
                <w:color w:val="auto"/>
              </w:rPr>
            </w:pPr>
            <w:r>
              <w:rPr>
                <w:rFonts w:ascii="Arial" w:cs="Arial" w:eastAsia="Arial" w:hAnsi="Arial"/>
                <w:sz w:val="14"/>
                <w:szCs w:val="14"/>
                <w:color w:val="auto"/>
              </w:rPr>
              <w:t>Committee Chair</w:t>
            </w: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2"/>
        </w:trPr>
        <w:tc>
          <w:tcPr>
            <w:tcW w:w="580" w:type="dxa"/>
            <w:vAlign w:val="bottom"/>
          </w:tcPr>
          <w:p>
            <w:pPr>
              <w:spacing w:after="0"/>
              <w:rPr>
                <w:sz w:val="20"/>
                <w:szCs w:val="20"/>
                <w:color w:val="auto"/>
              </w:rPr>
            </w:pPr>
            <w:r>
              <w:rPr>
                <w:rFonts w:ascii="Arial" w:cs="Arial" w:eastAsia="Arial" w:hAnsi="Arial"/>
                <w:sz w:val="14"/>
                <w:szCs w:val="14"/>
                <w:color w:val="auto"/>
              </w:rPr>
              <w:t>GNC</w:t>
            </w:r>
          </w:p>
        </w:tc>
        <w:tc>
          <w:tcPr>
            <w:tcW w:w="2940" w:type="dxa"/>
            <w:vAlign w:val="bottom"/>
            <w:gridSpan w:val="3"/>
          </w:tcPr>
          <w:p>
            <w:pPr>
              <w:ind w:left="100"/>
              <w:spacing w:after="0"/>
              <w:rPr>
                <w:sz w:val="20"/>
                <w:szCs w:val="20"/>
                <w:color w:val="auto"/>
              </w:rPr>
            </w:pPr>
            <w:r>
              <w:rPr>
                <w:rFonts w:ascii="Arial" w:cs="Arial" w:eastAsia="Arial" w:hAnsi="Arial"/>
                <w:sz w:val="14"/>
                <w:szCs w:val="14"/>
                <w:color w:val="auto"/>
              </w:rPr>
              <w:t>Governance and Nominating Committee</w:t>
            </w:r>
          </w:p>
        </w:tc>
        <w:tc>
          <w:tcPr>
            <w:tcW w:w="2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552"/>
        </w:trPr>
        <w:tc>
          <w:tcPr>
            <w:tcW w:w="580" w:type="dxa"/>
            <w:vAlign w:val="bottom"/>
          </w:tcPr>
          <w:p>
            <w:pPr>
              <w:spacing w:after="0"/>
              <w:rPr>
                <w:sz w:val="20"/>
                <w:szCs w:val="20"/>
                <w:color w:val="auto"/>
              </w:rPr>
            </w:pPr>
            <w:r>
              <w:rPr>
                <w:rFonts w:ascii="Arial" w:cs="Arial" w:eastAsia="Arial" w:hAnsi="Arial"/>
                <w:sz w:val="18"/>
                <w:szCs w:val="18"/>
                <w:color w:val="auto"/>
              </w:rPr>
              <w:t>ii</w:t>
            </w:r>
          </w:p>
        </w:tc>
        <w:tc>
          <w:tcPr>
            <w:tcW w:w="2940" w:type="dxa"/>
            <w:vAlign w:val="bottom"/>
            <w:gridSpan w:val="3"/>
          </w:tcPr>
          <w:p>
            <w:pPr>
              <w:ind w:left="920"/>
              <w:spacing w:after="0"/>
              <w:rPr>
                <w:sz w:val="20"/>
                <w:szCs w:val="20"/>
                <w:color w:val="auto"/>
              </w:rPr>
            </w:pPr>
            <w:r>
              <w:rPr>
                <w:rFonts w:ascii="Arial" w:cs="Arial" w:eastAsia="Arial" w:hAnsi="Arial"/>
                <w:sz w:val="18"/>
                <w:szCs w:val="18"/>
                <w:i w:val="1"/>
                <w:iCs w:val="1"/>
                <w:color w:val="1269BC"/>
              </w:rPr>
              <w:t>2020 Proxy Statement</w:t>
            </w:r>
          </w:p>
        </w:tc>
        <w:tc>
          <w:tcPr>
            <w:tcW w:w="2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-170815</wp:posOffset>
            </wp:positionV>
            <wp:extent cx="58293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1269BC"/>
        </w:rPr>
        <w:t>2020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Advisory Vote on the Compensation of our Named Executive Officers</w:t>
      </w:r>
    </w:p>
    <w:p>
      <w:pPr>
        <w:spacing w:after="0" w:line="128" w:lineRule="exact"/>
        <w:rPr>
          <w:sz w:val="20"/>
          <w:szCs w:val="20"/>
          <w:color w:val="auto"/>
        </w:rPr>
      </w:pPr>
    </w:p>
    <w:p>
      <w:pPr>
        <w:ind w:left="120" w:right="300"/>
        <w:spacing w:after="0" w:line="253" w:lineRule="auto"/>
        <w:rPr>
          <w:sz w:val="20"/>
          <w:szCs w:val="20"/>
          <w:color w:val="auto"/>
        </w:rPr>
      </w:pPr>
      <w:r>
        <w:rPr>
          <w:rFonts w:ascii="Arial" w:cs="Arial" w:eastAsia="Arial" w:hAnsi="Arial"/>
          <w:sz w:val="16"/>
          <w:szCs w:val="16"/>
          <w:color w:val="auto"/>
        </w:rPr>
        <w:t>We are asking our stockholders to approve, on a non-binding, advisory basis, the compensation of our Named Executive Officers. The Board believes that our compensation policies and practices are effective in achieving our goals of paying for financial and operating performance and aligning the interests of our Named Executive Officers with those of our stockholders.</w:t>
      </w:r>
    </w:p>
    <w:p>
      <w:pPr>
        <w:spacing w:after="0" w:line="93" w:lineRule="exact"/>
        <w:rPr>
          <w:sz w:val="20"/>
          <w:szCs w:val="20"/>
          <w:color w:val="auto"/>
        </w:rPr>
      </w:pPr>
    </w:p>
    <w:p>
      <w:pPr>
        <w:ind w:left="120" w:right="340"/>
        <w:spacing w:after="0" w:line="260" w:lineRule="auto"/>
        <w:rPr>
          <w:sz w:val="20"/>
          <w:szCs w:val="20"/>
          <w:color w:val="auto"/>
        </w:rPr>
      </w:pPr>
      <w:r>
        <w:rPr>
          <w:rFonts w:ascii="Arial" w:cs="Arial" w:eastAsia="Arial" w:hAnsi="Arial"/>
          <w:sz w:val="16"/>
          <w:szCs w:val="16"/>
          <w:color w:val="auto"/>
        </w:rPr>
        <w:t>We refer to our CEO, our CFO and our next three most highly compensated executive officers as our Named Executive Officers throughout this proxy statement.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Independent Registered Public Accounting Firm</w:t>
      </w:r>
    </w:p>
    <w:p>
      <w:pPr>
        <w:spacing w:after="0" w:line="128" w:lineRule="exact"/>
        <w:rPr>
          <w:sz w:val="20"/>
          <w:szCs w:val="20"/>
          <w:color w:val="auto"/>
        </w:rPr>
      </w:pPr>
    </w:p>
    <w:p>
      <w:pPr>
        <w:ind w:left="120" w:right="620"/>
        <w:spacing w:after="0" w:line="260" w:lineRule="auto"/>
        <w:rPr>
          <w:sz w:val="20"/>
          <w:szCs w:val="20"/>
          <w:color w:val="auto"/>
        </w:rPr>
      </w:pPr>
      <w:r>
        <w:rPr>
          <w:rFonts w:ascii="Arial" w:cs="Arial" w:eastAsia="Arial" w:hAnsi="Arial"/>
          <w:sz w:val="16"/>
          <w:szCs w:val="16"/>
          <w:color w:val="auto"/>
        </w:rPr>
        <w:t>As a matter of good governance, we are asking our stockholders to ratify the selection of Ernst &amp; Young LLP as our independent registered public accounting firm for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Fiscal 2020 Executive Compensation Elements</w:t>
      </w:r>
    </w:p>
    <w:p>
      <w:pPr>
        <w:spacing w:after="0" w:line="128" w:lineRule="exact"/>
        <w:rPr>
          <w:sz w:val="20"/>
          <w:szCs w:val="20"/>
          <w:color w:val="auto"/>
        </w:rPr>
      </w:pPr>
    </w:p>
    <w:p>
      <w:pPr>
        <w:ind w:left="120" w:right="320"/>
        <w:spacing w:after="0" w:line="260" w:lineRule="auto"/>
        <w:rPr>
          <w:sz w:val="20"/>
          <w:szCs w:val="20"/>
          <w:color w:val="auto"/>
        </w:rPr>
      </w:pPr>
      <w:r>
        <w:rPr>
          <w:rFonts w:ascii="Arial" w:cs="Arial" w:eastAsia="Arial" w:hAnsi="Arial"/>
          <w:sz w:val="16"/>
          <w:szCs w:val="16"/>
          <w:color w:val="auto"/>
        </w:rPr>
        <w:t>Base salary and short-term incentive compensation opportunities account for approximately 31% of each Named Executive Officer’s target total direct compensation, as further described below.</w:t>
      </w:r>
    </w:p>
    <w:p>
      <w:pPr>
        <w:spacing w:after="0" w:line="195" w:lineRule="exact"/>
        <w:rPr>
          <w:sz w:val="20"/>
          <w:szCs w:val="20"/>
          <w:color w:val="auto"/>
        </w:rPr>
      </w:pPr>
    </w:p>
    <w:p>
      <w:pPr>
        <w:ind w:left="120" w:right="520"/>
        <w:spacing w:after="0" w:line="260" w:lineRule="auto"/>
        <w:rPr>
          <w:sz w:val="20"/>
          <w:szCs w:val="20"/>
          <w:color w:val="auto"/>
        </w:rPr>
      </w:pPr>
      <w:r>
        <w:rPr>
          <w:rFonts w:ascii="Arial" w:cs="Arial" w:eastAsia="Arial" w:hAnsi="Arial"/>
          <w:sz w:val="16"/>
          <w:szCs w:val="16"/>
          <w:color w:val="auto"/>
        </w:rPr>
        <w:t>Long-term equity-based compensation, which accounts for approximately 69% of each Named Executive Officer’s target total direct compensation, consists of performance-based and service-based restricted stock unit awards as further described below.</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Approximately 85% of each Named Executive Officer’s target total direct compensation mix is “at-risk” and approximately 56% is tied to performance.</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960" w:type="dxa"/>
            <w:vAlign w:val="bottom"/>
            <w:tcBorders>
              <w:bottom w:val="single" w:sz="8" w:color="1269BC"/>
            </w:tcBorders>
          </w:tcPr>
          <w:p>
            <w:pPr>
              <w:spacing w:after="0"/>
              <w:rPr>
                <w:sz w:val="20"/>
                <w:szCs w:val="20"/>
                <w:color w:val="auto"/>
              </w:rPr>
            </w:pPr>
            <w:r>
              <w:rPr>
                <w:rFonts w:ascii="Arial" w:cs="Arial" w:eastAsia="Arial" w:hAnsi="Arial"/>
                <w:sz w:val="14"/>
                <w:szCs w:val="14"/>
                <w:b w:val="1"/>
                <w:bCs w:val="1"/>
                <w:color w:val="1269BC"/>
              </w:rPr>
              <w:t>Type</w:t>
            </w:r>
          </w:p>
        </w:tc>
        <w:tc>
          <w:tcPr>
            <w:tcW w:w="4580" w:type="dxa"/>
            <w:vAlign w:val="bottom"/>
            <w:tcBorders>
              <w:bottom w:val="single" w:sz="8" w:color="1269BC"/>
            </w:tcBorders>
          </w:tcPr>
          <w:p>
            <w:pPr>
              <w:ind w:left="120"/>
              <w:spacing w:after="0"/>
              <w:rPr>
                <w:sz w:val="20"/>
                <w:szCs w:val="20"/>
                <w:color w:val="auto"/>
              </w:rPr>
            </w:pPr>
            <w:r>
              <w:rPr>
                <w:rFonts w:ascii="Arial" w:cs="Arial" w:eastAsia="Arial" w:hAnsi="Arial"/>
                <w:sz w:val="14"/>
                <w:szCs w:val="14"/>
                <w:b w:val="1"/>
                <w:bCs w:val="1"/>
                <w:color w:val="1269BC"/>
              </w:rPr>
              <w:t>Form</w:t>
            </w:r>
          </w:p>
        </w:tc>
        <w:tc>
          <w:tcPr>
            <w:tcW w:w="4480" w:type="dxa"/>
            <w:vAlign w:val="bottom"/>
            <w:tcBorders>
              <w:bottom w:val="single" w:sz="8" w:color="1269BC"/>
            </w:tcBorders>
          </w:tcPr>
          <w:p>
            <w:pPr>
              <w:ind w:left="220"/>
              <w:spacing w:after="0"/>
              <w:rPr>
                <w:sz w:val="20"/>
                <w:szCs w:val="20"/>
                <w:color w:val="auto"/>
              </w:rPr>
            </w:pPr>
            <w:r>
              <w:rPr>
                <w:rFonts w:ascii="Arial" w:cs="Arial" w:eastAsia="Arial" w:hAnsi="Arial"/>
                <w:sz w:val="14"/>
                <w:szCs w:val="14"/>
                <w:b w:val="1"/>
                <w:bCs w:val="1"/>
                <w:color w:val="1269BC"/>
              </w:rPr>
              <w:t>Terms</w:t>
            </w:r>
          </w:p>
        </w:tc>
        <w:tc>
          <w:tcPr>
            <w:tcW w:w="0" w:type="dxa"/>
            <w:vAlign w:val="bottom"/>
          </w:tcPr>
          <w:p>
            <w:pPr>
              <w:spacing w:after="0"/>
              <w:rPr>
                <w:sz w:val="1"/>
                <w:szCs w:val="1"/>
                <w:color w:val="auto"/>
              </w:rPr>
            </w:pPr>
          </w:p>
        </w:tc>
      </w:tr>
      <w:tr>
        <w:trPr>
          <w:trHeight w:val="231"/>
        </w:trPr>
        <w:tc>
          <w:tcPr>
            <w:tcW w:w="1960" w:type="dxa"/>
            <w:vAlign w:val="bottom"/>
          </w:tcPr>
          <w:p>
            <w:pPr>
              <w:spacing w:after="0"/>
              <w:rPr>
                <w:sz w:val="20"/>
                <w:szCs w:val="20"/>
                <w:color w:val="auto"/>
              </w:rPr>
            </w:pPr>
            <w:r>
              <w:rPr>
                <w:rFonts w:ascii="Arial" w:cs="Arial" w:eastAsia="Arial" w:hAnsi="Arial"/>
                <w:sz w:val="16"/>
                <w:szCs w:val="16"/>
                <w:color w:val="auto"/>
              </w:rPr>
              <w:t>Base Salary</w:t>
            </w:r>
          </w:p>
        </w:tc>
        <w:tc>
          <w:tcPr>
            <w:tcW w:w="4580" w:type="dxa"/>
            <w:vAlign w:val="bottom"/>
          </w:tcPr>
          <w:p>
            <w:pPr>
              <w:ind w:left="120"/>
              <w:spacing w:after="0"/>
              <w:rPr>
                <w:sz w:val="20"/>
                <w:szCs w:val="20"/>
                <w:color w:val="auto"/>
              </w:rPr>
            </w:pPr>
            <w:r>
              <w:rPr>
                <w:rFonts w:ascii="Arial" w:cs="Arial" w:eastAsia="Arial" w:hAnsi="Arial"/>
                <w:sz w:val="16"/>
                <w:szCs w:val="16"/>
                <w:color w:val="auto"/>
              </w:rPr>
              <w:t>Cash</w:t>
            </w:r>
          </w:p>
        </w:tc>
        <w:tc>
          <w:tcPr>
            <w:tcW w:w="4480" w:type="dxa"/>
            <w:vAlign w:val="bottom"/>
          </w:tcPr>
          <w:p>
            <w:pPr>
              <w:ind w:left="220"/>
              <w:spacing w:after="0"/>
              <w:rPr>
                <w:sz w:val="20"/>
                <w:szCs w:val="20"/>
                <w:color w:val="auto"/>
              </w:rPr>
            </w:pPr>
            <w:r>
              <w:rPr>
                <w:rFonts w:ascii="Arial" w:cs="Arial" w:eastAsia="Arial" w:hAnsi="Arial"/>
                <w:sz w:val="16"/>
                <w:szCs w:val="16"/>
                <w:color w:val="auto"/>
              </w:rPr>
              <w:t>Generally eligible for annual increase.</w:t>
            </w: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0"/>
                <w:szCs w:val="20"/>
                <w:color w:val="auto"/>
              </w:rPr>
            </w:pPr>
            <w:r>
              <w:rPr>
                <w:rFonts w:ascii="Arial" w:cs="Arial" w:eastAsia="Arial" w:hAnsi="Arial"/>
                <w:sz w:val="16"/>
                <w:szCs w:val="16"/>
                <w:color w:val="auto"/>
              </w:rPr>
              <w:t>Short-Term Incentive</w:t>
            </w:r>
          </w:p>
        </w:tc>
        <w:tc>
          <w:tcPr>
            <w:tcW w:w="4580" w:type="dxa"/>
            <w:vAlign w:val="bottom"/>
          </w:tcPr>
          <w:p>
            <w:pPr>
              <w:ind w:left="120"/>
              <w:spacing w:after="0"/>
              <w:rPr>
                <w:sz w:val="20"/>
                <w:szCs w:val="20"/>
                <w:color w:val="auto"/>
              </w:rPr>
            </w:pPr>
            <w:r>
              <w:rPr>
                <w:rFonts w:ascii="Arial" w:cs="Arial" w:eastAsia="Arial" w:hAnsi="Arial"/>
                <w:sz w:val="16"/>
                <w:szCs w:val="16"/>
                <w:color w:val="auto"/>
              </w:rPr>
              <w:t>Cash or equity</w:t>
            </w:r>
          </w:p>
        </w:tc>
        <w:tc>
          <w:tcPr>
            <w:tcW w:w="4480" w:type="dxa"/>
            <w:vAlign w:val="bottom"/>
          </w:tcPr>
          <w:p>
            <w:pPr>
              <w:ind w:left="220"/>
              <w:spacing w:after="0"/>
              <w:rPr>
                <w:sz w:val="20"/>
                <w:szCs w:val="20"/>
                <w:color w:val="auto"/>
              </w:rPr>
            </w:pPr>
            <w:r>
              <w:rPr>
                <w:rFonts w:ascii="Arial" w:cs="Arial" w:eastAsia="Arial" w:hAnsi="Arial"/>
                <w:sz w:val="16"/>
                <w:szCs w:val="16"/>
                <w:color w:val="auto"/>
              </w:rPr>
              <w:t>Based on attainment of Company performance metrics.</w:t>
            </w:r>
          </w:p>
        </w:tc>
        <w:tc>
          <w:tcPr>
            <w:tcW w:w="0" w:type="dxa"/>
            <w:vAlign w:val="bottom"/>
          </w:tcPr>
          <w:p>
            <w:pPr>
              <w:spacing w:after="0"/>
              <w:rPr>
                <w:sz w:val="1"/>
                <w:szCs w:val="1"/>
                <w:color w:val="auto"/>
              </w:rPr>
            </w:pPr>
          </w:p>
        </w:tc>
      </w:tr>
      <w:tr>
        <w:trPr>
          <w:trHeight w:val="189"/>
        </w:trPr>
        <w:tc>
          <w:tcPr>
            <w:tcW w:w="1960" w:type="dxa"/>
            <w:vAlign w:val="bottom"/>
          </w:tcPr>
          <w:p>
            <w:pPr>
              <w:ind w:left="160"/>
              <w:spacing w:after="0"/>
              <w:rPr>
                <w:sz w:val="20"/>
                <w:szCs w:val="20"/>
                <w:color w:val="auto"/>
              </w:rPr>
            </w:pPr>
            <w:r>
              <w:rPr>
                <w:rFonts w:ascii="Arial" w:cs="Arial" w:eastAsia="Arial" w:hAnsi="Arial"/>
                <w:sz w:val="16"/>
                <w:szCs w:val="16"/>
                <w:color w:val="auto"/>
              </w:rPr>
              <w:t>Awards</w:t>
            </w:r>
          </w:p>
        </w:tc>
        <w:tc>
          <w:tcPr>
            <w:tcW w:w="4580" w:type="dxa"/>
            <w:vAlign w:val="bottom"/>
          </w:tcPr>
          <w:p>
            <w:pPr>
              <w:spacing w:after="0"/>
              <w:rPr>
                <w:sz w:val="16"/>
                <w:szCs w:val="16"/>
                <w:color w:val="auto"/>
              </w:rPr>
            </w:pPr>
          </w:p>
        </w:tc>
        <w:tc>
          <w:tcPr>
            <w:tcW w:w="4480" w:type="dxa"/>
            <w:vAlign w:val="bottom"/>
          </w:tcPr>
          <w:p>
            <w:pPr>
              <w:ind w:left="220"/>
              <w:spacing w:after="0"/>
              <w:rPr>
                <w:sz w:val="20"/>
                <w:szCs w:val="20"/>
                <w:color w:val="auto"/>
              </w:rPr>
            </w:pPr>
            <w:r>
              <w:rPr>
                <w:rFonts w:ascii="Arial" w:cs="Arial" w:eastAsia="Arial" w:hAnsi="Arial"/>
                <w:sz w:val="16"/>
                <w:szCs w:val="16"/>
                <w:color w:val="auto"/>
              </w:rPr>
              <w:t>Form of payment is determined by Compensation</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4480" w:type="dxa"/>
            <w:vAlign w:val="bottom"/>
          </w:tcPr>
          <w:p>
            <w:pPr>
              <w:ind w:left="220"/>
              <w:spacing w:after="0"/>
              <w:rPr>
                <w:sz w:val="20"/>
                <w:szCs w:val="20"/>
                <w:color w:val="auto"/>
              </w:rPr>
            </w:pPr>
            <w:r>
              <w:rPr>
                <w:rFonts w:ascii="Arial" w:cs="Arial" w:eastAsia="Arial" w:hAnsi="Arial"/>
                <w:sz w:val="16"/>
                <w:szCs w:val="16"/>
                <w:color w:val="auto"/>
              </w:rPr>
              <w:t>Committee.</w:t>
            </w:r>
          </w:p>
        </w:tc>
        <w:tc>
          <w:tcPr>
            <w:tcW w:w="0" w:type="dxa"/>
            <w:vAlign w:val="bottom"/>
          </w:tcPr>
          <w:p>
            <w:pPr>
              <w:spacing w:after="0"/>
              <w:rPr>
                <w:sz w:val="1"/>
                <w:szCs w:val="1"/>
                <w:color w:val="auto"/>
              </w:rPr>
            </w:pPr>
          </w:p>
        </w:tc>
      </w:tr>
      <w:tr>
        <w:trPr>
          <w:trHeight w:val="251"/>
        </w:trPr>
        <w:tc>
          <w:tcPr>
            <w:tcW w:w="1960" w:type="dxa"/>
            <w:vAlign w:val="bottom"/>
          </w:tcPr>
          <w:p>
            <w:pPr>
              <w:spacing w:after="0"/>
              <w:rPr>
                <w:sz w:val="20"/>
                <w:szCs w:val="20"/>
                <w:color w:val="auto"/>
              </w:rPr>
            </w:pPr>
            <w:r>
              <w:rPr>
                <w:rFonts w:ascii="Arial" w:cs="Arial" w:eastAsia="Arial" w:hAnsi="Arial"/>
                <w:sz w:val="16"/>
                <w:szCs w:val="16"/>
                <w:color w:val="auto"/>
              </w:rPr>
              <w:t>Long-Term Equity- Based</w:t>
            </w:r>
          </w:p>
        </w:tc>
        <w:tc>
          <w:tcPr>
            <w:tcW w:w="4580" w:type="dxa"/>
            <w:vAlign w:val="bottom"/>
          </w:tcPr>
          <w:p>
            <w:pPr>
              <w:ind w:left="120"/>
              <w:spacing w:after="0"/>
              <w:rPr>
                <w:sz w:val="20"/>
                <w:szCs w:val="20"/>
                <w:color w:val="auto"/>
              </w:rPr>
            </w:pPr>
            <w:r>
              <w:rPr>
                <w:rFonts w:ascii="Arial" w:cs="Arial" w:eastAsia="Arial" w:hAnsi="Arial"/>
                <w:sz w:val="16"/>
                <w:szCs w:val="16"/>
                <w:color w:val="auto"/>
              </w:rPr>
              <w:t>Restricted Stock Units (RSUs)</w:t>
            </w: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960" w:type="dxa"/>
            <w:vAlign w:val="bottom"/>
          </w:tcPr>
          <w:p>
            <w:pPr>
              <w:ind w:left="160"/>
              <w:spacing w:after="0"/>
              <w:rPr>
                <w:sz w:val="20"/>
                <w:szCs w:val="20"/>
                <w:color w:val="auto"/>
              </w:rPr>
            </w:pPr>
            <w:r>
              <w:rPr>
                <w:rFonts w:ascii="Arial" w:cs="Arial" w:eastAsia="Arial" w:hAnsi="Arial"/>
                <w:sz w:val="16"/>
                <w:szCs w:val="16"/>
                <w:color w:val="auto"/>
              </w:rPr>
              <w:t>Incentive Awards</w:t>
            </w:r>
          </w:p>
        </w:tc>
        <w:tc>
          <w:tcPr>
            <w:tcW w:w="4580" w:type="dxa"/>
            <w:vAlign w:val="bottom"/>
            <w:vMerge w:val="restart"/>
          </w:tcPr>
          <w:p>
            <w:pPr>
              <w:ind w:left="460"/>
              <w:spacing w:after="0"/>
              <w:rPr>
                <w:sz w:val="20"/>
                <w:szCs w:val="20"/>
                <w:color w:val="auto"/>
              </w:rPr>
            </w:pPr>
            <w:r>
              <w:rPr>
                <w:rFonts w:ascii="Arial" w:cs="Arial" w:eastAsia="Arial" w:hAnsi="Arial"/>
                <w:sz w:val="16"/>
                <w:szCs w:val="16"/>
                <w:color w:val="auto"/>
              </w:rPr>
              <w:t>Company Objectives-Based RSUs</w:t>
            </w:r>
          </w:p>
        </w:tc>
        <w:tc>
          <w:tcPr>
            <w:tcW w:w="4480" w:type="dxa"/>
            <w:vAlign w:val="bottom"/>
            <w:vMerge w:val="restart"/>
          </w:tcPr>
          <w:p>
            <w:pPr>
              <w:ind w:left="220"/>
              <w:spacing w:after="0"/>
              <w:rPr>
                <w:sz w:val="20"/>
                <w:szCs w:val="20"/>
                <w:color w:val="auto"/>
              </w:rPr>
            </w:pPr>
            <w:r>
              <w:rPr>
                <w:rFonts w:ascii="Arial" w:cs="Arial" w:eastAsia="Arial" w:hAnsi="Arial"/>
                <w:sz w:val="16"/>
                <w:szCs w:val="16"/>
                <w:color w:val="auto"/>
              </w:rPr>
              <w:t>Based on achievement of Company performance</w:t>
            </w:r>
          </w:p>
        </w:tc>
        <w:tc>
          <w:tcPr>
            <w:tcW w:w="0" w:type="dxa"/>
            <w:vAlign w:val="bottom"/>
          </w:tcPr>
          <w:p>
            <w:pPr>
              <w:spacing w:after="0"/>
              <w:rPr>
                <w:sz w:val="1"/>
                <w:szCs w:val="1"/>
                <w:color w:val="auto"/>
              </w:rPr>
            </w:pPr>
          </w:p>
        </w:tc>
      </w:tr>
      <w:tr>
        <w:trPr>
          <w:trHeight w:val="75"/>
        </w:trPr>
        <w:tc>
          <w:tcPr>
            <w:tcW w:w="1960" w:type="dxa"/>
            <w:vAlign w:val="bottom"/>
          </w:tcPr>
          <w:p>
            <w:pPr>
              <w:spacing w:after="0"/>
              <w:rPr>
                <w:sz w:val="6"/>
                <w:szCs w:val="6"/>
                <w:color w:val="auto"/>
              </w:rPr>
            </w:pPr>
          </w:p>
        </w:tc>
        <w:tc>
          <w:tcPr>
            <w:tcW w:w="4580" w:type="dxa"/>
            <w:vAlign w:val="bottom"/>
            <w:vMerge w:val="continue"/>
          </w:tcPr>
          <w:p>
            <w:pPr>
              <w:spacing w:after="0"/>
              <w:rPr>
                <w:sz w:val="6"/>
                <w:szCs w:val="6"/>
                <w:color w:val="auto"/>
              </w:rPr>
            </w:pPr>
          </w:p>
        </w:tc>
        <w:tc>
          <w:tcPr>
            <w:tcW w:w="4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96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4480" w:type="dxa"/>
            <w:vAlign w:val="bottom"/>
          </w:tcPr>
          <w:p>
            <w:pPr>
              <w:ind w:left="220"/>
              <w:spacing w:after="0"/>
              <w:rPr>
                <w:sz w:val="20"/>
                <w:szCs w:val="20"/>
                <w:color w:val="auto"/>
              </w:rPr>
            </w:pPr>
            <w:r>
              <w:rPr>
                <w:rFonts w:ascii="Arial" w:cs="Arial" w:eastAsia="Arial" w:hAnsi="Arial"/>
                <w:sz w:val="16"/>
                <w:szCs w:val="16"/>
                <w:color w:val="auto"/>
              </w:rPr>
              <w:t>objectives. Earned at the end of an annual performance</w:t>
            </w:r>
          </w:p>
        </w:tc>
        <w:tc>
          <w:tcPr>
            <w:tcW w:w="0" w:type="dxa"/>
            <w:vAlign w:val="bottom"/>
          </w:tcPr>
          <w:p>
            <w:pPr>
              <w:spacing w:after="0"/>
              <w:rPr>
                <w:sz w:val="1"/>
                <w:szCs w:val="1"/>
                <w:color w:val="auto"/>
              </w:rPr>
            </w:pPr>
          </w:p>
        </w:tc>
      </w:tr>
      <w:tr>
        <w:trPr>
          <w:trHeight w:val="189"/>
        </w:trPr>
        <w:tc>
          <w:tcPr>
            <w:tcW w:w="196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4480" w:type="dxa"/>
            <w:vAlign w:val="bottom"/>
          </w:tcPr>
          <w:p>
            <w:pPr>
              <w:ind w:left="220"/>
              <w:spacing w:after="0"/>
              <w:rPr>
                <w:sz w:val="20"/>
                <w:szCs w:val="20"/>
                <w:color w:val="auto"/>
              </w:rPr>
            </w:pPr>
            <w:r>
              <w:rPr>
                <w:rFonts w:ascii="Arial" w:cs="Arial" w:eastAsia="Arial" w:hAnsi="Arial"/>
                <w:sz w:val="16"/>
                <w:szCs w:val="16"/>
                <w:color w:val="auto"/>
              </w:rPr>
              <w:t>period, with 50% vesting at the end of the performance</w:t>
            </w:r>
          </w:p>
        </w:tc>
        <w:tc>
          <w:tcPr>
            <w:tcW w:w="0" w:type="dxa"/>
            <w:vAlign w:val="bottom"/>
          </w:tcPr>
          <w:p>
            <w:pPr>
              <w:spacing w:after="0"/>
              <w:rPr>
                <w:sz w:val="1"/>
                <w:szCs w:val="1"/>
                <w:color w:val="auto"/>
              </w:rPr>
            </w:pPr>
          </w:p>
        </w:tc>
      </w:tr>
      <w:tr>
        <w:trPr>
          <w:trHeight w:val="189"/>
        </w:trPr>
        <w:tc>
          <w:tcPr>
            <w:tcW w:w="196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4480" w:type="dxa"/>
            <w:vAlign w:val="bottom"/>
          </w:tcPr>
          <w:p>
            <w:pPr>
              <w:ind w:left="220"/>
              <w:spacing w:after="0"/>
              <w:rPr>
                <w:sz w:val="20"/>
                <w:szCs w:val="20"/>
                <w:color w:val="auto"/>
              </w:rPr>
            </w:pPr>
            <w:r>
              <w:rPr>
                <w:rFonts w:ascii="Arial" w:cs="Arial" w:eastAsia="Arial" w:hAnsi="Arial"/>
                <w:sz w:val="16"/>
                <w:szCs w:val="16"/>
                <w:color w:val="auto"/>
              </w:rPr>
              <w:t>period and the remaining 50% vesting in equal installments</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4480" w:type="dxa"/>
            <w:vAlign w:val="bottom"/>
          </w:tcPr>
          <w:p>
            <w:pPr>
              <w:ind w:left="220"/>
              <w:spacing w:after="0"/>
              <w:rPr>
                <w:sz w:val="20"/>
                <w:szCs w:val="20"/>
                <w:color w:val="auto"/>
              </w:rPr>
            </w:pPr>
            <w:r>
              <w:rPr>
                <w:rFonts w:ascii="Arial" w:cs="Arial" w:eastAsia="Arial" w:hAnsi="Arial"/>
                <w:sz w:val="16"/>
                <w:szCs w:val="16"/>
                <w:color w:val="auto"/>
              </w:rPr>
              <w:t>over the following two years.</w:t>
            </w:r>
          </w:p>
        </w:tc>
        <w:tc>
          <w:tcPr>
            <w:tcW w:w="0" w:type="dxa"/>
            <w:vAlign w:val="bottom"/>
          </w:tcPr>
          <w:p>
            <w:pPr>
              <w:spacing w:after="0"/>
              <w:rPr>
                <w:sz w:val="1"/>
                <w:szCs w:val="1"/>
                <w:color w:val="auto"/>
              </w:rPr>
            </w:pPr>
          </w:p>
        </w:tc>
      </w:tr>
      <w:tr>
        <w:trPr>
          <w:trHeight w:val="256"/>
        </w:trPr>
        <w:tc>
          <w:tcPr>
            <w:tcW w:w="1960" w:type="dxa"/>
            <w:vAlign w:val="bottom"/>
          </w:tcPr>
          <w:p>
            <w:pPr>
              <w:spacing w:after="0"/>
              <w:rPr>
                <w:sz w:val="22"/>
                <w:szCs w:val="22"/>
                <w:color w:val="auto"/>
              </w:rPr>
            </w:pPr>
          </w:p>
        </w:tc>
        <w:tc>
          <w:tcPr>
            <w:tcW w:w="4580" w:type="dxa"/>
            <w:vAlign w:val="bottom"/>
          </w:tcPr>
          <w:p>
            <w:pPr>
              <w:ind w:left="460"/>
              <w:spacing w:after="0"/>
              <w:rPr>
                <w:sz w:val="20"/>
                <w:szCs w:val="20"/>
                <w:color w:val="auto"/>
              </w:rPr>
            </w:pPr>
            <w:r>
              <w:rPr>
                <w:rFonts w:ascii="Arial" w:cs="Arial" w:eastAsia="Arial" w:hAnsi="Arial"/>
                <w:sz w:val="16"/>
                <w:szCs w:val="16"/>
                <w:color w:val="auto"/>
              </w:rPr>
              <w:t>Service-Based RSUs</w:t>
            </w:r>
          </w:p>
        </w:tc>
        <w:tc>
          <w:tcPr>
            <w:tcW w:w="4480" w:type="dxa"/>
            <w:vAlign w:val="bottom"/>
          </w:tcPr>
          <w:p>
            <w:pPr>
              <w:ind w:left="220"/>
              <w:spacing w:after="0"/>
              <w:rPr>
                <w:sz w:val="20"/>
                <w:szCs w:val="20"/>
                <w:color w:val="auto"/>
              </w:rPr>
            </w:pPr>
            <w:r>
              <w:rPr>
                <w:rFonts w:ascii="Arial" w:cs="Arial" w:eastAsia="Arial" w:hAnsi="Arial"/>
                <w:sz w:val="16"/>
                <w:szCs w:val="16"/>
                <w:color w:val="auto"/>
              </w:rPr>
              <w:t>Vest in increments of 25% per year over four years.</w:t>
            </w: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r>
              <w:rPr>
                <w:rFonts w:ascii="Arial" w:cs="Arial" w:eastAsia="Arial" w:hAnsi="Arial"/>
                <w:sz w:val="16"/>
                <w:szCs w:val="16"/>
                <w:color w:val="auto"/>
              </w:rPr>
              <w:t>Other Employee Benefits</w:t>
            </w:r>
          </w:p>
        </w:tc>
        <w:tc>
          <w:tcPr>
            <w:tcW w:w="4580" w:type="dxa"/>
            <w:vAlign w:val="bottom"/>
          </w:tcPr>
          <w:p>
            <w:pPr>
              <w:ind w:left="120"/>
              <w:spacing w:after="0"/>
              <w:rPr>
                <w:sz w:val="20"/>
                <w:szCs w:val="20"/>
                <w:color w:val="auto"/>
              </w:rPr>
            </w:pPr>
            <w:r>
              <w:rPr>
                <w:rFonts w:ascii="Arial" w:cs="Arial" w:eastAsia="Arial" w:hAnsi="Arial"/>
                <w:sz w:val="16"/>
                <w:szCs w:val="16"/>
                <w:color w:val="auto"/>
              </w:rPr>
              <w:t>Health &amp; Disability Insurance, 401(k) Plan, Employee Stock</w:t>
            </w:r>
          </w:p>
        </w:tc>
        <w:tc>
          <w:tcPr>
            <w:tcW w:w="4480" w:type="dxa"/>
            <w:vAlign w:val="bottom"/>
          </w:tcPr>
          <w:p>
            <w:pPr>
              <w:ind w:left="220"/>
              <w:spacing w:after="0"/>
              <w:rPr>
                <w:sz w:val="20"/>
                <w:szCs w:val="20"/>
                <w:color w:val="auto"/>
              </w:rPr>
            </w:pPr>
            <w:r>
              <w:rPr>
                <w:rFonts w:ascii="Arial" w:cs="Arial" w:eastAsia="Arial" w:hAnsi="Arial"/>
                <w:sz w:val="16"/>
                <w:szCs w:val="16"/>
                <w:color w:val="auto"/>
              </w:rPr>
              <w:t>Eligible to participate in the same employee benefit plans</w:t>
            </w:r>
          </w:p>
        </w:tc>
        <w:tc>
          <w:tcPr>
            <w:tcW w:w="0" w:type="dxa"/>
            <w:vAlign w:val="bottom"/>
          </w:tcPr>
          <w:p>
            <w:pPr>
              <w:spacing w:after="0"/>
              <w:rPr>
                <w:sz w:val="1"/>
                <w:szCs w:val="1"/>
                <w:color w:val="auto"/>
              </w:rPr>
            </w:pPr>
          </w:p>
        </w:tc>
      </w:tr>
      <w:tr>
        <w:trPr>
          <w:trHeight w:val="187"/>
        </w:trPr>
        <w:tc>
          <w:tcPr>
            <w:tcW w:w="1960" w:type="dxa"/>
            <w:vAlign w:val="bottom"/>
            <w:tcBorders>
              <w:bottom w:val="single" w:sz="8" w:color="1269BC"/>
            </w:tcBorders>
          </w:tcPr>
          <w:p>
            <w:pPr>
              <w:spacing w:after="0"/>
              <w:rPr>
                <w:sz w:val="16"/>
                <w:szCs w:val="16"/>
                <w:color w:val="auto"/>
              </w:rPr>
            </w:pPr>
          </w:p>
        </w:tc>
        <w:tc>
          <w:tcPr>
            <w:tcW w:w="4580" w:type="dxa"/>
            <w:vAlign w:val="bottom"/>
            <w:tcBorders>
              <w:bottom w:val="single" w:sz="8" w:color="1269BC"/>
            </w:tcBorders>
          </w:tcPr>
          <w:p>
            <w:pPr>
              <w:ind w:left="120"/>
              <w:spacing w:after="0"/>
              <w:rPr>
                <w:sz w:val="20"/>
                <w:szCs w:val="20"/>
                <w:color w:val="auto"/>
              </w:rPr>
            </w:pPr>
            <w:r>
              <w:rPr>
                <w:rFonts w:ascii="Arial" w:cs="Arial" w:eastAsia="Arial" w:hAnsi="Arial"/>
                <w:sz w:val="16"/>
                <w:szCs w:val="16"/>
                <w:color w:val="auto"/>
              </w:rPr>
              <w:t>Purchase Plan &amp; Deferred Compensation Plan</w:t>
            </w:r>
          </w:p>
        </w:tc>
        <w:tc>
          <w:tcPr>
            <w:tcW w:w="4480" w:type="dxa"/>
            <w:vAlign w:val="bottom"/>
            <w:tcBorders>
              <w:bottom w:val="single" w:sz="8" w:color="1269BC"/>
            </w:tcBorders>
          </w:tcPr>
          <w:p>
            <w:pPr>
              <w:ind w:left="220"/>
              <w:spacing w:after="0"/>
              <w:rPr>
                <w:sz w:val="20"/>
                <w:szCs w:val="20"/>
                <w:color w:val="auto"/>
              </w:rPr>
            </w:pPr>
            <w:r>
              <w:rPr>
                <w:rFonts w:ascii="Arial" w:cs="Arial" w:eastAsia="Arial" w:hAnsi="Arial"/>
                <w:sz w:val="16"/>
                <w:szCs w:val="16"/>
                <w:color w:val="auto"/>
              </w:rPr>
              <w:t>generally available to all employees.</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Fiscal 2020 Compensation Decisions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Effective as of the start of fiscal 2020, we made the following compensation decisions with respect to our Named Executive Officers:</w:t>
      </w:r>
    </w:p>
    <w:p>
      <w:pPr>
        <w:spacing w:after="0" w:line="127" w:lineRule="exact"/>
        <w:rPr>
          <w:sz w:val="20"/>
          <w:szCs w:val="20"/>
          <w:color w:val="auto"/>
        </w:rPr>
      </w:pPr>
    </w:p>
    <w:p>
      <w:pPr>
        <w:ind w:left="540" w:right="180" w:hanging="424"/>
        <w:spacing w:after="0" w:line="260" w:lineRule="auto"/>
        <w:tabs>
          <w:tab w:leader="none" w:pos="540" w:val="left"/>
        </w:tabs>
        <w:numPr>
          <w:ilvl w:val="0"/>
          <w:numId w:val="7"/>
        </w:numPr>
        <w:rPr>
          <w:rFonts w:ascii="Arial" w:cs="Arial" w:eastAsia="Arial" w:hAnsi="Arial"/>
          <w:sz w:val="16"/>
          <w:szCs w:val="16"/>
          <w:color w:val="1269BC"/>
        </w:rPr>
      </w:pPr>
      <w:r>
        <w:rPr>
          <w:rFonts w:ascii="Arial" w:cs="Arial" w:eastAsia="Arial" w:hAnsi="Arial"/>
          <w:sz w:val="16"/>
          <w:szCs w:val="16"/>
          <w:color w:val="auto"/>
        </w:rPr>
        <w:t>We increased the base salaries for each of our Named Executive Officers by between 3% and 4%, with consideration given to competitive market data as well as individual performance and the roles and responsibilities of each Named Executive Officer.</w:t>
      </w:r>
    </w:p>
    <w:p>
      <w:pPr>
        <w:spacing w:after="0" w:line="100" w:lineRule="exact"/>
        <w:rPr>
          <w:rFonts w:ascii="Arial" w:cs="Arial" w:eastAsia="Arial" w:hAnsi="Arial"/>
          <w:sz w:val="16"/>
          <w:szCs w:val="16"/>
          <w:color w:val="1269BC"/>
        </w:rPr>
      </w:pPr>
    </w:p>
    <w:p>
      <w:pPr>
        <w:ind w:left="540" w:right="240" w:hanging="424"/>
        <w:spacing w:after="0" w:line="253" w:lineRule="auto"/>
        <w:tabs>
          <w:tab w:leader="none" w:pos="540" w:val="left"/>
        </w:tabs>
        <w:numPr>
          <w:ilvl w:val="0"/>
          <w:numId w:val="7"/>
        </w:numPr>
        <w:rPr>
          <w:rFonts w:ascii="Arial" w:cs="Arial" w:eastAsia="Arial" w:hAnsi="Arial"/>
          <w:sz w:val="16"/>
          <w:szCs w:val="16"/>
          <w:color w:val="1269BC"/>
        </w:rPr>
      </w:pPr>
      <w:r>
        <w:rPr>
          <w:rFonts w:ascii="Arial" w:cs="Arial" w:eastAsia="Arial" w:hAnsi="Arial"/>
          <w:sz w:val="16"/>
          <w:szCs w:val="16"/>
          <w:color w:val="auto"/>
        </w:rPr>
        <w:t>Based on our financial performance in the first half and second half of fiscal 2020, the Named Executive Officers received short-term incentive awards at 83.7% and 144.8%, respectively, of their fiscal 2020 target percentage based on their base salary paid during the applicable six-month performance period.</w:t>
      </w:r>
    </w:p>
    <w:p>
      <w:pPr>
        <w:spacing w:after="0" w:line="106" w:lineRule="exact"/>
        <w:rPr>
          <w:rFonts w:ascii="Arial" w:cs="Arial" w:eastAsia="Arial" w:hAnsi="Arial"/>
          <w:sz w:val="16"/>
          <w:szCs w:val="16"/>
          <w:color w:val="1269BC"/>
        </w:rPr>
      </w:pPr>
    </w:p>
    <w:p>
      <w:pPr>
        <w:ind w:left="540" w:right="120" w:hanging="424"/>
        <w:spacing w:after="0" w:line="253" w:lineRule="auto"/>
        <w:tabs>
          <w:tab w:leader="none" w:pos="540" w:val="left"/>
        </w:tabs>
        <w:numPr>
          <w:ilvl w:val="0"/>
          <w:numId w:val="7"/>
        </w:numPr>
        <w:rPr>
          <w:rFonts w:ascii="Arial" w:cs="Arial" w:eastAsia="Arial" w:hAnsi="Arial"/>
          <w:sz w:val="16"/>
          <w:szCs w:val="16"/>
          <w:color w:val="1269BC"/>
        </w:rPr>
      </w:pPr>
      <w:r>
        <w:rPr>
          <w:rFonts w:ascii="Arial" w:cs="Arial" w:eastAsia="Arial" w:hAnsi="Arial"/>
          <w:sz w:val="16"/>
          <w:szCs w:val="16"/>
          <w:color w:val="auto"/>
        </w:rPr>
        <w:t>Our Named Executive Officers earned (i) Company Objectives-based RSUs at 125% of the targeted number of units, reflecting the achievement of eight of the ten pre-established Company objectives in full and partial achievement of one of the two remaining objectives, and (ii) Service-Based RSUs in amounts consistent with our equity-based compensation practices.</w:t>
      </w:r>
    </w:p>
    <w:p>
      <w:pPr>
        <w:spacing w:after="0" w:line="201"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We believe our executive compensation program provides a balanced and stable foundation for rewarding our Named Executive Officers for achieving our corporate objectives. Our compensation philosophy emphasizes team effort, which we believe fosters rapid adjustment and adaptation to fast-changing market conditions and helps not only to achieve our short-term and long-term goals, but also to align the interests of our management team with those of Qorvo 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84455</wp:posOffset>
            </wp:positionV>
            <wp:extent cx="58293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pacing w:after="0" w:line="148" w:lineRule="exact"/>
        <w:rPr>
          <w:sz w:val="20"/>
          <w:szCs w:val="20"/>
          <w:color w:val="auto"/>
        </w:rPr>
      </w:pPr>
    </w:p>
    <w:p>
      <w:pPr>
        <w:ind w:left="9040"/>
        <w:spacing w:after="0"/>
        <w:tabs>
          <w:tab w:leader="none" w:pos="11000" w:val="left"/>
        </w:tabs>
        <w:rPr>
          <w:sz w:val="20"/>
          <w:szCs w:val="20"/>
          <w:color w:val="auto"/>
        </w:rPr>
      </w:pPr>
      <w:r>
        <w:rPr>
          <w:rFonts w:ascii="Arial" w:cs="Arial" w:eastAsia="Arial" w:hAnsi="Arial"/>
          <w:sz w:val="18"/>
          <w:szCs w:val="18"/>
          <w:i w:val="1"/>
          <w:iCs w:val="1"/>
          <w:color w:val="1269BC"/>
        </w:rPr>
        <w:t>2020 Proxy Statement</w:t>
      </w:r>
      <w:r>
        <w:rPr>
          <w:sz w:val="20"/>
          <w:szCs w:val="20"/>
          <w:color w:val="auto"/>
        </w:rPr>
        <w:tab/>
      </w:r>
      <w:r>
        <w:rPr>
          <w:rFonts w:ascii="Arial" w:cs="Arial" w:eastAsia="Arial" w:hAnsi="Arial"/>
          <w:sz w:val="18"/>
          <w:szCs w:val="18"/>
          <w:color w:val="auto"/>
        </w:rPr>
        <w:t>iii</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2020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Fiscal 2020 Pay at a Glance</w:t>
      </w:r>
    </w:p>
    <w:p>
      <w:pPr>
        <w:spacing w:after="0" w:line="128" w:lineRule="exact"/>
        <w:rPr>
          <w:sz w:val="20"/>
          <w:szCs w:val="20"/>
          <w:color w:val="auto"/>
        </w:rPr>
      </w:pPr>
    </w:p>
    <w:p>
      <w:pPr>
        <w:ind w:left="120" w:right="400"/>
        <w:spacing w:after="0" w:line="260" w:lineRule="auto"/>
        <w:rPr>
          <w:sz w:val="20"/>
          <w:szCs w:val="20"/>
          <w:color w:val="auto"/>
        </w:rPr>
      </w:pPr>
      <w:r>
        <w:rPr>
          <w:rFonts w:ascii="Arial" w:cs="Arial" w:eastAsia="Arial" w:hAnsi="Arial"/>
          <w:sz w:val="16"/>
          <w:szCs w:val="16"/>
          <w:color w:val="auto"/>
        </w:rPr>
        <w:t>The following table summarizes the compensation of our Named Executive Officers for the fiscal year ended March 28, 2020, as determined by SEC rules. It is not a substitute for, and should be read together with, the Summary Compensation Table.</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1269BC"/>
              </w:rPr>
              <w:t>Non-Equity</w:t>
            </w: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1269BC"/>
              </w:rPr>
              <w:t>Salary</w:t>
            </w:r>
          </w:p>
        </w:tc>
        <w:tc>
          <w:tcPr>
            <w:tcW w:w="1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1269BC"/>
              </w:rPr>
              <w:t>Incentive Plan</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1269BC"/>
              </w:rPr>
              <w:t>All Other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1269BC"/>
                <w:w w:val="95"/>
              </w:rPr>
              <w:t>Total</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1269BC"/>
              </w:rPr>
              <w:t>Stock Awards</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1269BC"/>
              </w:rPr>
              <w:t>Compensation</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1269BC"/>
              </w:rPr>
              <w:t>Compensation</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1269BC"/>
              </w:rPr>
              <w:t>Compensation</w:t>
            </w:r>
          </w:p>
        </w:tc>
        <w:tc>
          <w:tcPr>
            <w:tcW w:w="0" w:type="dxa"/>
            <w:vAlign w:val="bottom"/>
          </w:tcPr>
          <w:p>
            <w:pPr>
              <w:spacing w:after="0"/>
              <w:rPr>
                <w:sz w:val="1"/>
                <w:szCs w:val="1"/>
                <w:color w:val="auto"/>
              </w:rPr>
            </w:pPr>
          </w:p>
        </w:tc>
      </w:tr>
      <w:tr>
        <w:trPr>
          <w:trHeight w:val="189"/>
        </w:trPr>
        <w:tc>
          <w:tcPr>
            <w:tcW w:w="4720" w:type="dxa"/>
            <w:vAlign w:val="bottom"/>
            <w:tcBorders>
              <w:bottom w:val="single" w:sz="8" w:color="1269BC"/>
            </w:tcBorders>
          </w:tcPr>
          <w:p>
            <w:pPr>
              <w:spacing w:after="0"/>
              <w:rPr>
                <w:sz w:val="20"/>
                <w:szCs w:val="20"/>
                <w:color w:val="auto"/>
              </w:rPr>
            </w:pPr>
            <w:r>
              <w:rPr>
                <w:rFonts w:ascii="Arial" w:cs="Arial" w:eastAsia="Arial" w:hAnsi="Arial"/>
                <w:sz w:val="14"/>
                <w:szCs w:val="14"/>
                <w:b w:val="1"/>
                <w:bCs w:val="1"/>
                <w:color w:val="1269BC"/>
              </w:rPr>
              <w:t>Name</w:t>
            </w:r>
          </w:p>
        </w:tc>
        <w:tc>
          <w:tcPr>
            <w:tcW w:w="680" w:type="dxa"/>
            <w:vAlign w:val="bottom"/>
            <w:tcBorders>
              <w:bottom w:val="single" w:sz="8" w:color="1269BC"/>
            </w:tcBorders>
          </w:tcPr>
          <w:p>
            <w:pPr>
              <w:ind w:left="180"/>
              <w:spacing w:after="0"/>
              <w:rPr>
                <w:sz w:val="20"/>
                <w:szCs w:val="20"/>
                <w:color w:val="auto"/>
              </w:rPr>
            </w:pPr>
            <w:r>
              <w:rPr>
                <w:rFonts w:ascii="Arial" w:cs="Arial" w:eastAsia="Arial" w:hAnsi="Arial"/>
                <w:sz w:val="14"/>
                <w:szCs w:val="14"/>
                <w:b w:val="1"/>
                <w:bCs w:val="1"/>
                <w:color w:val="1269BC"/>
              </w:rPr>
              <w:t>Year</w:t>
            </w:r>
          </w:p>
        </w:tc>
        <w:tc>
          <w:tcPr>
            <w:tcW w:w="940" w:type="dxa"/>
            <w:vAlign w:val="bottom"/>
            <w:tcBorders>
              <w:bottom w:val="single" w:sz="8" w:color="1269BC"/>
            </w:tcBorders>
          </w:tcPr>
          <w:p>
            <w:pPr>
              <w:jc w:val="right"/>
              <w:ind w:right="315"/>
              <w:spacing w:after="0"/>
              <w:rPr>
                <w:sz w:val="20"/>
                <w:szCs w:val="20"/>
                <w:color w:val="auto"/>
              </w:rPr>
            </w:pPr>
            <w:r>
              <w:rPr>
                <w:rFonts w:ascii="Arial" w:cs="Arial" w:eastAsia="Arial" w:hAnsi="Arial"/>
                <w:sz w:val="14"/>
                <w:szCs w:val="14"/>
                <w:b w:val="1"/>
                <w:bCs w:val="1"/>
                <w:color w:val="1269BC"/>
              </w:rPr>
              <w:t>($)</w:t>
            </w:r>
          </w:p>
        </w:tc>
        <w:tc>
          <w:tcPr>
            <w:tcW w:w="1120" w:type="dxa"/>
            <w:vAlign w:val="bottom"/>
            <w:tcBorders>
              <w:bottom w:val="single" w:sz="8" w:color="1269BC"/>
            </w:tcBorders>
          </w:tcPr>
          <w:p>
            <w:pPr>
              <w:jc w:val="right"/>
              <w:ind w:right="395"/>
              <w:spacing w:after="0"/>
              <w:rPr>
                <w:sz w:val="20"/>
                <w:szCs w:val="20"/>
                <w:color w:val="auto"/>
              </w:rPr>
            </w:pPr>
            <w:r>
              <w:rPr>
                <w:rFonts w:ascii="Arial" w:cs="Arial" w:eastAsia="Arial" w:hAnsi="Arial"/>
                <w:sz w:val="14"/>
                <w:szCs w:val="14"/>
                <w:b w:val="1"/>
                <w:bCs w:val="1"/>
                <w:color w:val="1269BC"/>
              </w:rPr>
              <w:t>($)</w:t>
            </w:r>
          </w:p>
        </w:tc>
        <w:tc>
          <w:tcPr>
            <w:tcW w:w="1180" w:type="dxa"/>
            <w:vAlign w:val="bottom"/>
            <w:tcBorders>
              <w:bottom w:val="single" w:sz="8" w:color="1269BC"/>
            </w:tcBorders>
          </w:tcPr>
          <w:p>
            <w:pPr>
              <w:jc w:val="center"/>
              <w:spacing w:after="0"/>
              <w:rPr>
                <w:sz w:val="20"/>
                <w:szCs w:val="20"/>
                <w:color w:val="auto"/>
              </w:rPr>
            </w:pPr>
            <w:r>
              <w:rPr>
                <w:rFonts w:ascii="Arial" w:cs="Arial" w:eastAsia="Arial" w:hAnsi="Arial"/>
                <w:sz w:val="14"/>
                <w:szCs w:val="14"/>
                <w:b w:val="1"/>
                <w:bCs w:val="1"/>
                <w:color w:val="1269BC"/>
              </w:rPr>
              <w:t>($)</w:t>
            </w:r>
          </w:p>
        </w:tc>
        <w:tc>
          <w:tcPr>
            <w:tcW w:w="1180" w:type="dxa"/>
            <w:vAlign w:val="bottom"/>
            <w:tcBorders>
              <w:bottom w:val="single" w:sz="8" w:color="1269BC"/>
            </w:tcBorders>
          </w:tcPr>
          <w:p>
            <w:pPr>
              <w:jc w:val="center"/>
              <w:spacing w:after="0"/>
              <w:rPr>
                <w:sz w:val="20"/>
                <w:szCs w:val="20"/>
                <w:color w:val="auto"/>
              </w:rPr>
            </w:pPr>
            <w:r>
              <w:rPr>
                <w:rFonts w:ascii="Arial" w:cs="Arial" w:eastAsia="Arial" w:hAnsi="Arial"/>
                <w:sz w:val="14"/>
                <w:szCs w:val="14"/>
                <w:b w:val="1"/>
                <w:bCs w:val="1"/>
                <w:color w:val="1269BC"/>
              </w:rPr>
              <w:t>($)</w:t>
            </w:r>
          </w:p>
        </w:tc>
        <w:tc>
          <w:tcPr>
            <w:tcW w:w="1200" w:type="dxa"/>
            <w:vAlign w:val="bottom"/>
            <w:tcBorders>
              <w:bottom w:val="single" w:sz="8" w:color="1269BC"/>
            </w:tcBorders>
          </w:tcPr>
          <w:p>
            <w:pPr>
              <w:jc w:val="center"/>
              <w:spacing w:after="0"/>
              <w:rPr>
                <w:sz w:val="20"/>
                <w:szCs w:val="20"/>
                <w:color w:val="auto"/>
              </w:rPr>
            </w:pPr>
            <w:r>
              <w:rPr>
                <w:rFonts w:ascii="Arial" w:cs="Arial" w:eastAsia="Arial" w:hAnsi="Arial"/>
                <w:sz w:val="14"/>
                <w:szCs w:val="14"/>
                <w:b w:val="1"/>
                <w:bCs w:val="1"/>
                <w:color w:val="1269BC"/>
              </w:rPr>
              <w:t>($)</w:t>
            </w:r>
          </w:p>
        </w:tc>
        <w:tc>
          <w:tcPr>
            <w:tcW w:w="0" w:type="dxa"/>
            <w:vAlign w:val="bottom"/>
          </w:tcPr>
          <w:p>
            <w:pPr>
              <w:spacing w:after="0"/>
              <w:rPr>
                <w:sz w:val="1"/>
                <w:szCs w:val="1"/>
                <w:color w:val="auto"/>
              </w:rPr>
            </w:pPr>
          </w:p>
        </w:tc>
      </w:tr>
      <w:tr>
        <w:trPr>
          <w:trHeight w:val="236"/>
        </w:trPr>
        <w:tc>
          <w:tcPr>
            <w:tcW w:w="4720" w:type="dxa"/>
            <w:vAlign w:val="bottom"/>
            <w:shd w:val="clear" w:color="auto" w:fill="C3D9EE"/>
          </w:tcPr>
          <w:p>
            <w:pPr>
              <w:ind w:left="100"/>
              <w:spacing w:after="0"/>
              <w:rPr>
                <w:sz w:val="20"/>
                <w:szCs w:val="20"/>
                <w:color w:val="auto"/>
              </w:rPr>
            </w:pPr>
            <w:r>
              <w:rPr>
                <w:rFonts w:ascii="Arial" w:cs="Arial" w:eastAsia="Arial" w:hAnsi="Arial"/>
                <w:sz w:val="18"/>
                <w:szCs w:val="18"/>
                <w:color w:val="auto"/>
              </w:rPr>
              <w:t>Robert A. Bruggeworth,</w:t>
            </w:r>
          </w:p>
        </w:tc>
        <w:tc>
          <w:tcPr>
            <w:tcW w:w="680" w:type="dxa"/>
            <w:vAlign w:val="bottom"/>
            <w:shd w:val="clear" w:color="auto" w:fill="C3D9EE"/>
          </w:tcPr>
          <w:p>
            <w:pPr>
              <w:ind w:left="160"/>
              <w:spacing w:after="0"/>
              <w:rPr>
                <w:sz w:val="20"/>
                <w:szCs w:val="20"/>
                <w:color w:val="auto"/>
              </w:rPr>
            </w:pPr>
            <w:r>
              <w:rPr>
                <w:rFonts w:ascii="Arial" w:cs="Arial" w:eastAsia="Arial" w:hAnsi="Arial"/>
                <w:sz w:val="18"/>
                <w:szCs w:val="18"/>
                <w:color w:val="auto"/>
              </w:rPr>
              <w:t>2020</w:t>
            </w:r>
          </w:p>
        </w:tc>
        <w:tc>
          <w:tcPr>
            <w:tcW w:w="940" w:type="dxa"/>
            <w:vAlign w:val="bottom"/>
            <w:shd w:val="clear" w:color="auto" w:fill="C3D9EE"/>
          </w:tcPr>
          <w:p>
            <w:pPr>
              <w:jc w:val="right"/>
              <w:spacing w:after="0"/>
              <w:rPr>
                <w:sz w:val="20"/>
                <w:szCs w:val="20"/>
                <w:color w:val="auto"/>
              </w:rPr>
            </w:pPr>
            <w:r>
              <w:rPr>
                <w:rFonts w:ascii="Arial" w:cs="Arial" w:eastAsia="Arial" w:hAnsi="Arial"/>
                <w:sz w:val="18"/>
                <w:szCs w:val="18"/>
                <w:color w:val="auto"/>
              </w:rPr>
              <w:t>$851,204</w:t>
            </w:r>
          </w:p>
        </w:tc>
        <w:tc>
          <w:tcPr>
            <w:tcW w:w="1120" w:type="dxa"/>
            <w:vAlign w:val="bottom"/>
            <w:shd w:val="clear" w:color="auto" w:fill="C3D9EE"/>
          </w:tcPr>
          <w:p>
            <w:pPr>
              <w:jc w:val="right"/>
              <w:spacing w:after="0"/>
              <w:rPr>
                <w:sz w:val="20"/>
                <w:szCs w:val="20"/>
                <w:color w:val="auto"/>
              </w:rPr>
            </w:pPr>
            <w:r>
              <w:rPr>
                <w:rFonts w:ascii="Arial" w:cs="Arial" w:eastAsia="Arial" w:hAnsi="Arial"/>
                <w:sz w:val="18"/>
                <w:szCs w:val="18"/>
                <w:color w:val="auto"/>
              </w:rPr>
              <w:t>$5,999,956</w:t>
            </w:r>
          </w:p>
        </w:tc>
        <w:tc>
          <w:tcPr>
            <w:tcW w:w="1180" w:type="dxa"/>
            <w:vAlign w:val="bottom"/>
            <w:shd w:val="clear" w:color="auto" w:fill="C3D9EE"/>
          </w:tcPr>
          <w:p>
            <w:pPr>
              <w:jc w:val="right"/>
              <w:spacing w:after="0"/>
              <w:rPr>
                <w:sz w:val="20"/>
                <w:szCs w:val="20"/>
                <w:color w:val="auto"/>
              </w:rPr>
            </w:pPr>
            <w:r>
              <w:rPr>
                <w:rFonts w:ascii="Arial" w:cs="Arial" w:eastAsia="Arial" w:hAnsi="Arial"/>
                <w:sz w:val="18"/>
                <w:szCs w:val="18"/>
                <w:color w:val="auto"/>
              </w:rPr>
              <w:t>$533,744</w:t>
            </w:r>
          </w:p>
        </w:tc>
        <w:tc>
          <w:tcPr>
            <w:tcW w:w="1180" w:type="dxa"/>
            <w:vAlign w:val="bottom"/>
            <w:shd w:val="clear" w:color="auto" w:fill="C3D9EE"/>
          </w:tcPr>
          <w:p>
            <w:pPr>
              <w:jc w:val="right"/>
              <w:ind w:right="17"/>
              <w:spacing w:after="0"/>
              <w:rPr>
                <w:sz w:val="20"/>
                <w:szCs w:val="20"/>
                <w:color w:val="auto"/>
              </w:rPr>
            </w:pPr>
            <w:r>
              <w:rPr>
                <w:rFonts w:ascii="Arial" w:cs="Arial" w:eastAsia="Arial" w:hAnsi="Arial"/>
                <w:sz w:val="18"/>
                <w:szCs w:val="18"/>
                <w:color w:val="auto"/>
              </w:rPr>
              <w:t>$10,000</w:t>
            </w:r>
          </w:p>
        </w:tc>
        <w:tc>
          <w:tcPr>
            <w:tcW w:w="1200" w:type="dxa"/>
            <w:vAlign w:val="bottom"/>
            <w:shd w:val="clear" w:color="auto" w:fill="C3D9EE"/>
          </w:tcPr>
          <w:p>
            <w:pPr>
              <w:jc w:val="right"/>
              <w:ind w:right="37"/>
              <w:spacing w:after="0"/>
              <w:rPr>
                <w:sz w:val="20"/>
                <w:szCs w:val="20"/>
                <w:color w:val="auto"/>
              </w:rPr>
            </w:pPr>
            <w:r>
              <w:rPr>
                <w:rFonts w:ascii="Arial" w:cs="Arial" w:eastAsia="Arial" w:hAnsi="Arial"/>
                <w:sz w:val="18"/>
                <w:szCs w:val="18"/>
                <w:color w:val="auto"/>
              </w:rPr>
              <w:t>$7,394,904</w:t>
            </w:r>
          </w:p>
        </w:tc>
        <w:tc>
          <w:tcPr>
            <w:tcW w:w="0" w:type="dxa"/>
            <w:vAlign w:val="bottom"/>
          </w:tcPr>
          <w:p>
            <w:pPr>
              <w:spacing w:after="0"/>
              <w:rPr>
                <w:sz w:val="1"/>
                <w:szCs w:val="1"/>
                <w:color w:val="auto"/>
              </w:rPr>
            </w:pPr>
          </w:p>
        </w:tc>
      </w:tr>
      <w:tr>
        <w:trPr>
          <w:trHeight w:val="217"/>
        </w:trPr>
        <w:tc>
          <w:tcPr>
            <w:tcW w:w="4720" w:type="dxa"/>
            <w:vAlign w:val="bottom"/>
            <w:shd w:val="clear" w:color="auto" w:fill="C3D9EE"/>
          </w:tcPr>
          <w:p>
            <w:pPr>
              <w:ind w:left="100"/>
              <w:spacing w:after="0"/>
              <w:rPr>
                <w:sz w:val="20"/>
                <w:szCs w:val="20"/>
                <w:color w:val="auto"/>
              </w:rPr>
            </w:pPr>
            <w:r>
              <w:rPr>
                <w:rFonts w:ascii="Arial" w:cs="Arial" w:eastAsia="Arial" w:hAnsi="Arial"/>
                <w:sz w:val="18"/>
                <w:szCs w:val="18"/>
                <w:color w:val="auto"/>
              </w:rPr>
              <w:t>President and CEO</w:t>
            </w:r>
          </w:p>
        </w:tc>
        <w:tc>
          <w:tcPr>
            <w:tcW w:w="680" w:type="dxa"/>
            <w:vAlign w:val="bottom"/>
            <w:shd w:val="clear" w:color="auto" w:fill="C3D9EE"/>
          </w:tcPr>
          <w:p>
            <w:pPr>
              <w:spacing w:after="0"/>
              <w:rPr>
                <w:sz w:val="18"/>
                <w:szCs w:val="18"/>
                <w:color w:val="auto"/>
              </w:rPr>
            </w:pPr>
          </w:p>
        </w:tc>
        <w:tc>
          <w:tcPr>
            <w:tcW w:w="940" w:type="dxa"/>
            <w:vAlign w:val="bottom"/>
            <w:shd w:val="clear" w:color="auto" w:fill="C3D9EE"/>
          </w:tcPr>
          <w:p>
            <w:pPr>
              <w:spacing w:after="0"/>
              <w:rPr>
                <w:sz w:val="18"/>
                <w:szCs w:val="18"/>
                <w:color w:val="auto"/>
              </w:rPr>
            </w:pPr>
          </w:p>
        </w:tc>
        <w:tc>
          <w:tcPr>
            <w:tcW w:w="1120" w:type="dxa"/>
            <w:vAlign w:val="bottom"/>
            <w:shd w:val="clear" w:color="auto" w:fill="C3D9EE"/>
          </w:tcPr>
          <w:p>
            <w:pPr>
              <w:spacing w:after="0"/>
              <w:rPr>
                <w:sz w:val="18"/>
                <w:szCs w:val="18"/>
                <w:color w:val="auto"/>
              </w:rPr>
            </w:pPr>
          </w:p>
        </w:tc>
        <w:tc>
          <w:tcPr>
            <w:tcW w:w="1180" w:type="dxa"/>
            <w:vAlign w:val="bottom"/>
            <w:shd w:val="clear" w:color="auto" w:fill="C3D9EE"/>
          </w:tcPr>
          <w:p>
            <w:pPr>
              <w:spacing w:after="0"/>
              <w:rPr>
                <w:sz w:val="18"/>
                <w:szCs w:val="18"/>
                <w:color w:val="auto"/>
              </w:rPr>
            </w:pPr>
          </w:p>
        </w:tc>
        <w:tc>
          <w:tcPr>
            <w:tcW w:w="1180" w:type="dxa"/>
            <w:vAlign w:val="bottom"/>
            <w:shd w:val="clear" w:color="auto" w:fill="C3D9EE"/>
          </w:tcPr>
          <w:p>
            <w:pPr>
              <w:spacing w:after="0"/>
              <w:rPr>
                <w:sz w:val="18"/>
                <w:szCs w:val="18"/>
                <w:color w:val="auto"/>
              </w:rPr>
            </w:pPr>
          </w:p>
        </w:tc>
        <w:tc>
          <w:tcPr>
            <w:tcW w:w="1200" w:type="dxa"/>
            <w:vAlign w:val="bottom"/>
            <w:shd w:val="clear" w:color="auto" w:fill="C3D9E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720" w:type="dxa"/>
            <w:vAlign w:val="bottom"/>
          </w:tcPr>
          <w:p>
            <w:pPr>
              <w:ind w:left="100"/>
              <w:spacing w:after="0"/>
              <w:rPr>
                <w:sz w:val="20"/>
                <w:szCs w:val="20"/>
                <w:color w:val="auto"/>
              </w:rPr>
            </w:pPr>
            <w:r>
              <w:rPr>
                <w:rFonts w:ascii="Arial" w:cs="Arial" w:eastAsia="Arial" w:hAnsi="Arial"/>
                <w:sz w:val="18"/>
                <w:szCs w:val="18"/>
                <w:color w:val="auto"/>
              </w:rPr>
              <w:t>Mark J. Murphy,</w:t>
            </w:r>
          </w:p>
        </w:tc>
        <w:tc>
          <w:tcPr>
            <w:tcW w:w="680" w:type="dxa"/>
            <w:vAlign w:val="bottom"/>
          </w:tcPr>
          <w:p>
            <w:pPr>
              <w:ind w:left="160"/>
              <w:spacing w:after="0"/>
              <w:rPr>
                <w:sz w:val="20"/>
                <w:szCs w:val="20"/>
                <w:color w:val="auto"/>
              </w:rPr>
            </w:pPr>
            <w:r>
              <w:rPr>
                <w:rFonts w:ascii="Arial" w:cs="Arial" w:eastAsia="Arial" w:hAnsi="Arial"/>
                <w:sz w:val="18"/>
                <w:szCs w:val="18"/>
                <w:color w:val="auto"/>
              </w:rPr>
              <w:t>2020</w:t>
            </w:r>
          </w:p>
        </w:tc>
        <w:tc>
          <w:tcPr>
            <w:tcW w:w="940" w:type="dxa"/>
            <w:vAlign w:val="bottom"/>
          </w:tcPr>
          <w:p>
            <w:pPr>
              <w:jc w:val="right"/>
              <w:spacing w:after="0"/>
              <w:rPr>
                <w:sz w:val="20"/>
                <w:szCs w:val="20"/>
                <w:color w:val="auto"/>
              </w:rPr>
            </w:pPr>
            <w:r>
              <w:rPr>
                <w:rFonts w:ascii="Arial" w:cs="Arial" w:eastAsia="Arial" w:hAnsi="Arial"/>
                <w:sz w:val="18"/>
                <w:szCs w:val="18"/>
                <w:color w:val="auto"/>
              </w:rPr>
              <w:t>518,465</w:t>
            </w:r>
          </w:p>
        </w:tc>
        <w:tc>
          <w:tcPr>
            <w:tcW w:w="1120" w:type="dxa"/>
            <w:vAlign w:val="bottom"/>
          </w:tcPr>
          <w:p>
            <w:pPr>
              <w:jc w:val="right"/>
              <w:spacing w:after="0"/>
              <w:rPr>
                <w:sz w:val="20"/>
                <w:szCs w:val="20"/>
                <w:color w:val="auto"/>
              </w:rPr>
            </w:pPr>
            <w:r>
              <w:rPr>
                <w:rFonts w:ascii="Arial" w:cs="Arial" w:eastAsia="Arial" w:hAnsi="Arial"/>
                <w:sz w:val="18"/>
                <w:szCs w:val="18"/>
                <w:color w:val="auto"/>
              </w:rPr>
              <w:t>1,650,059</w:t>
            </w:r>
          </w:p>
        </w:tc>
        <w:tc>
          <w:tcPr>
            <w:tcW w:w="1180" w:type="dxa"/>
            <w:vAlign w:val="bottom"/>
          </w:tcPr>
          <w:p>
            <w:pPr>
              <w:jc w:val="right"/>
              <w:spacing w:after="0"/>
              <w:rPr>
                <w:sz w:val="20"/>
                <w:szCs w:val="20"/>
                <w:color w:val="auto"/>
              </w:rPr>
            </w:pPr>
            <w:r>
              <w:rPr>
                <w:rFonts w:ascii="Arial" w:cs="Arial" w:eastAsia="Arial" w:hAnsi="Arial"/>
                <w:sz w:val="18"/>
                <w:szCs w:val="18"/>
                <w:color w:val="auto"/>
              </w:rPr>
              <w:t>195,061</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9,722</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2,373,307</w:t>
            </w:r>
          </w:p>
        </w:tc>
        <w:tc>
          <w:tcPr>
            <w:tcW w:w="0" w:type="dxa"/>
            <w:vAlign w:val="bottom"/>
          </w:tcPr>
          <w:p>
            <w:pPr>
              <w:spacing w:after="0"/>
              <w:rPr>
                <w:sz w:val="1"/>
                <w:szCs w:val="1"/>
                <w:color w:val="auto"/>
              </w:rPr>
            </w:pPr>
          </w:p>
        </w:tc>
      </w:tr>
      <w:tr>
        <w:trPr>
          <w:trHeight w:val="217"/>
        </w:trPr>
        <w:tc>
          <w:tcPr>
            <w:tcW w:w="4720" w:type="dxa"/>
            <w:vAlign w:val="bottom"/>
          </w:tcPr>
          <w:p>
            <w:pPr>
              <w:ind w:left="100"/>
              <w:spacing w:after="0"/>
              <w:rPr>
                <w:sz w:val="20"/>
                <w:szCs w:val="20"/>
                <w:color w:val="auto"/>
              </w:rPr>
            </w:pPr>
            <w:r>
              <w:rPr>
                <w:rFonts w:ascii="Arial" w:cs="Arial" w:eastAsia="Arial" w:hAnsi="Arial"/>
                <w:sz w:val="18"/>
                <w:szCs w:val="18"/>
                <w:color w:val="auto"/>
              </w:rPr>
              <w:t>CFO</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720" w:type="dxa"/>
            <w:vAlign w:val="bottom"/>
            <w:shd w:val="clear" w:color="auto" w:fill="C3D9EE"/>
          </w:tcPr>
          <w:p>
            <w:pPr>
              <w:ind w:left="100"/>
              <w:spacing w:after="0"/>
              <w:rPr>
                <w:sz w:val="20"/>
                <w:szCs w:val="20"/>
                <w:color w:val="auto"/>
              </w:rPr>
            </w:pPr>
            <w:r>
              <w:rPr>
                <w:rFonts w:ascii="Arial" w:cs="Arial" w:eastAsia="Arial" w:hAnsi="Arial"/>
                <w:sz w:val="18"/>
                <w:szCs w:val="18"/>
                <w:color w:val="auto"/>
              </w:rPr>
              <w:t>Steven E. Creviston,</w:t>
            </w:r>
          </w:p>
        </w:tc>
        <w:tc>
          <w:tcPr>
            <w:tcW w:w="680" w:type="dxa"/>
            <w:vAlign w:val="bottom"/>
            <w:shd w:val="clear" w:color="auto" w:fill="C3D9EE"/>
          </w:tcPr>
          <w:p>
            <w:pPr>
              <w:ind w:left="160"/>
              <w:spacing w:after="0"/>
              <w:rPr>
                <w:sz w:val="20"/>
                <w:szCs w:val="20"/>
                <w:color w:val="auto"/>
              </w:rPr>
            </w:pPr>
            <w:r>
              <w:rPr>
                <w:rFonts w:ascii="Arial" w:cs="Arial" w:eastAsia="Arial" w:hAnsi="Arial"/>
                <w:sz w:val="18"/>
                <w:szCs w:val="18"/>
                <w:color w:val="auto"/>
              </w:rPr>
              <w:t>2020</w:t>
            </w:r>
          </w:p>
        </w:tc>
        <w:tc>
          <w:tcPr>
            <w:tcW w:w="940" w:type="dxa"/>
            <w:vAlign w:val="bottom"/>
            <w:shd w:val="clear" w:color="auto" w:fill="C3D9EE"/>
          </w:tcPr>
          <w:p>
            <w:pPr>
              <w:jc w:val="right"/>
              <w:spacing w:after="0"/>
              <w:rPr>
                <w:sz w:val="20"/>
                <w:szCs w:val="20"/>
                <w:color w:val="auto"/>
              </w:rPr>
            </w:pPr>
            <w:r>
              <w:rPr>
                <w:rFonts w:ascii="Arial" w:cs="Arial" w:eastAsia="Arial" w:hAnsi="Arial"/>
                <w:sz w:val="18"/>
                <w:szCs w:val="18"/>
                <w:color w:val="auto"/>
              </w:rPr>
              <w:t>508,165</w:t>
            </w:r>
          </w:p>
        </w:tc>
        <w:tc>
          <w:tcPr>
            <w:tcW w:w="1120" w:type="dxa"/>
            <w:vAlign w:val="bottom"/>
            <w:shd w:val="clear" w:color="auto" w:fill="C3D9EE"/>
          </w:tcPr>
          <w:p>
            <w:pPr>
              <w:jc w:val="right"/>
              <w:spacing w:after="0"/>
              <w:rPr>
                <w:sz w:val="20"/>
                <w:szCs w:val="20"/>
                <w:color w:val="auto"/>
              </w:rPr>
            </w:pPr>
            <w:r>
              <w:rPr>
                <w:rFonts w:ascii="Arial" w:cs="Arial" w:eastAsia="Arial" w:hAnsi="Arial"/>
                <w:sz w:val="18"/>
                <w:szCs w:val="18"/>
                <w:color w:val="auto"/>
              </w:rPr>
              <w:t>2,000,008</w:t>
            </w:r>
          </w:p>
        </w:tc>
        <w:tc>
          <w:tcPr>
            <w:tcW w:w="1180" w:type="dxa"/>
            <w:vAlign w:val="bottom"/>
            <w:shd w:val="clear" w:color="auto" w:fill="C3D9EE"/>
          </w:tcPr>
          <w:p>
            <w:pPr>
              <w:jc w:val="right"/>
              <w:spacing w:after="0"/>
              <w:rPr>
                <w:sz w:val="20"/>
                <w:szCs w:val="20"/>
                <w:color w:val="auto"/>
              </w:rPr>
            </w:pPr>
            <w:r>
              <w:rPr>
                <w:rFonts w:ascii="Arial" w:cs="Arial" w:eastAsia="Arial" w:hAnsi="Arial"/>
                <w:sz w:val="18"/>
                <w:szCs w:val="18"/>
                <w:color w:val="auto"/>
              </w:rPr>
              <w:t>191,186</w:t>
            </w:r>
          </w:p>
        </w:tc>
        <w:tc>
          <w:tcPr>
            <w:tcW w:w="1180" w:type="dxa"/>
            <w:vAlign w:val="bottom"/>
            <w:shd w:val="clear" w:color="auto" w:fill="C3D9EE"/>
          </w:tcPr>
          <w:p>
            <w:pPr>
              <w:jc w:val="right"/>
              <w:ind w:right="17"/>
              <w:spacing w:after="0"/>
              <w:rPr>
                <w:sz w:val="20"/>
                <w:szCs w:val="20"/>
                <w:color w:val="auto"/>
              </w:rPr>
            </w:pPr>
            <w:r>
              <w:rPr>
                <w:rFonts w:ascii="Arial" w:cs="Arial" w:eastAsia="Arial" w:hAnsi="Arial"/>
                <w:sz w:val="18"/>
                <w:szCs w:val="18"/>
                <w:color w:val="auto"/>
              </w:rPr>
              <w:t>9,920</w:t>
            </w:r>
          </w:p>
        </w:tc>
        <w:tc>
          <w:tcPr>
            <w:tcW w:w="1200" w:type="dxa"/>
            <w:vAlign w:val="bottom"/>
            <w:shd w:val="clear" w:color="auto" w:fill="C3D9EE"/>
          </w:tcPr>
          <w:p>
            <w:pPr>
              <w:jc w:val="right"/>
              <w:ind w:right="37"/>
              <w:spacing w:after="0"/>
              <w:rPr>
                <w:sz w:val="20"/>
                <w:szCs w:val="20"/>
                <w:color w:val="auto"/>
              </w:rPr>
            </w:pPr>
            <w:r>
              <w:rPr>
                <w:rFonts w:ascii="Arial" w:cs="Arial" w:eastAsia="Arial" w:hAnsi="Arial"/>
                <w:sz w:val="18"/>
                <w:szCs w:val="18"/>
                <w:color w:val="auto"/>
              </w:rPr>
              <w:t>2,709,279</w:t>
            </w:r>
          </w:p>
        </w:tc>
        <w:tc>
          <w:tcPr>
            <w:tcW w:w="0" w:type="dxa"/>
            <w:vAlign w:val="bottom"/>
          </w:tcPr>
          <w:p>
            <w:pPr>
              <w:spacing w:after="0"/>
              <w:rPr>
                <w:sz w:val="1"/>
                <w:szCs w:val="1"/>
                <w:color w:val="auto"/>
              </w:rPr>
            </w:pPr>
          </w:p>
        </w:tc>
      </w:tr>
      <w:tr>
        <w:trPr>
          <w:trHeight w:val="217"/>
        </w:trPr>
        <w:tc>
          <w:tcPr>
            <w:tcW w:w="4720" w:type="dxa"/>
            <w:vAlign w:val="bottom"/>
            <w:shd w:val="clear" w:color="auto" w:fill="C3D9EE"/>
          </w:tcPr>
          <w:p>
            <w:pPr>
              <w:ind w:left="100"/>
              <w:spacing w:after="0"/>
              <w:rPr>
                <w:sz w:val="20"/>
                <w:szCs w:val="20"/>
                <w:color w:val="auto"/>
              </w:rPr>
            </w:pPr>
            <w:r>
              <w:rPr>
                <w:rFonts w:ascii="Arial" w:cs="Arial" w:eastAsia="Arial" w:hAnsi="Arial"/>
                <w:sz w:val="18"/>
                <w:szCs w:val="18"/>
                <w:color w:val="auto"/>
              </w:rPr>
              <w:t>Corporate VP</w:t>
            </w:r>
          </w:p>
        </w:tc>
        <w:tc>
          <w:tcPr>
            <w:tcW w:w="680" w:type="dxa"/>
            <w:vAlign w:val="bottom"/>
            <w:shd w:val="clear" w:color="auto" w:fill="C3D9EE"/>
          </w:tcPr>
          <w:p>
            <w:pPr>
              <w:spacing w:after="0"/>
              <w:rPr>
                <w:sz w:val="18"/>
                <w:szCs w:val="18"/>
                <w:color w:val="auto"/>
              </w:rPr>
            </w:pPr>
          </w:p>
        </w:tc>
        <w:tc>
          <w:tcPr>
            <w:tcW w:w="940" w:type="dxa"/>
            <w:vAlign w:val="bottom"/>
            <w:shd w:val="clear" w:color="auto" w:fill="C3D9EE"/>
          </w:tcPr>
          <w:p>
            <w:pPr>
              <w:spacing w:after="0"/>
              <w:rPr>
                <w:sz w:val="18"/>
                <w:szCs w:val="18"/>
                <w:color w:val="auto"/>
              </w:rPr>
            </w:pPr>
          </w:p>
        </w:tc>
        <w:tc>
          <w:tcPr>
            <w:tcW w:w="1120" w:type="dxa"/>
            <w:vAlign w:val="bottom"/>
            <w:shd w:val="clear" w:color="auto" w:fill="C3D9EE"/>
          </w:tcPr>
          <w:p>
            <w:pPr>
              <w:spacing w:after="0"/>
              <w:rPr>
                <w:sz w:val="18"/>
                <w:szCs w:val="18"/>
                <w:color w:val="auto"/>
              </w:rPr>
            </w:pPr>
          </w:p>
        </w:tc>
        <w:tc>
          <w:tcPr>
            <w:tcW w:w="1180" w:type="dxa"/>
            <w:vAlign w:val="bottom"/>
            <w:shd w:val="clear" w:color="auto" w:fill="C3D9EE"/>
          </w:tcPr>
          <w:p>
            <w:pPr>
              <w:spacing w:after="0"/>
              <w:rPr>
                <w:sz w:val="18"/>
                <w:szCs w:val="18"/>
                <w:color w:val="auto"/>
              </w:rPr>
            </w:pPr>
          </w:p>
        </w:tc>
        <w:tc>
          <w:tcPr>
            <w:tcW w:w="1180" w:type="dxa"/>
            <w:vAlign w:val="bottom"/>
            <w:shd w:val="clear" w:color="auto" w:fill="C3D9EE"/>
          </w:tcPr>
          <w:p>
            <w:pPr>
              <w:spacing w:after="0"/>
              <w:rPr>
                <w:sz w:val="18"/>
                <w:szCs w:val="18"/>
                <w:color w:val="auto"/>
              </w:rPr>
            </w:pPr>
          </w:p>
        </w:tc>
        <w:tc>
          <w:tcPr>
            <w:tcW w:w="1200" w:type="dxa"/>
            <w:vAlign w:val="bottom"/>
            <w:shd w:val="clear" w:color="auto" w:fill="C3D9E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720" w:type="dxa"/>
            <w:vAlign w:val="bottom"/>
          </w:tcPr>
          <w:p>
            <w:pPr>
              <w:ind w:left="100"/>
              <w:spacing w:after="0"/>
              <w:rPr>
                <w:sz w:val="20"/>
                <w:szCs w:val="20"/>
                <w:color w:val="auto"/>
              </w:rPr>
            </w:pPr>
            <w:r>
              <w:rPr>
                <w:rFonts w:ascii="Arial" w:cs="Arial" w:eastAsia="Arial" w:hAnsi="Arial"/>
                <w:sz w:val="18"/>
                <w:szCs w:val="18"/>
                <w:color w:val="auto"/>
              </w:rPr>
              <w:t>James L. Klein,</w:t>
            </w:r>
          </w:p>
        </w:tc>
        <w:tc>
          <w:tcPr>
            <w:tcW w:w="680" w:type="dxa"/>
            <w:vAlign w:val="bottom"/>
          </w:tcPr>
          <w:p>
            <w:pPr>
              <w:ind w:left="160"/>
              <w:spacing w:after="0"/>
              <w:rPr>
                <w:sz w:val="20"/>
                <w:szCs w:val="20"/>
                <w:color w:val="auto"/>
              </w:rPr>
            </w:pPr>
            <w:r>
              <w:rPr>
                <w:rFonts w:ascii="Arial" w:cs="Arial" w:eastAsia="Arial" w:hAnsi="Arial"/>
                <w:sz w:val="18"/>
                <w:szCs w:val="18"/>
                <w:color w:val="auto"/>
              </w:rPr>
              <w:t>2020</w:t>
            </w:r>
          </w:p>
        </w:tc>
        <w:tc>
          <w:tcPr>
            <w:tcW w:w="940" w:type="dxa"/>
            <w:vAlign w:val="bottom"/>
          </w:tcPr>
          <w:p>
            <w:pPr>
              <w:jc w:val="right"/>
              <w:spacing w:after="0"/>
              <w:rPr>
                <w:sz w:val="20"/>
                <w:szCs w:val="20"/>
                <w:color w:val="auto"/>
              </w:rPr>
            </w:pPr>
            <w:r>
              <w:rPr>
                <w:rFonts w:ascii="Arial" w:cs="Arial" w:eastAsia="Arial" w:hAnsi="Arial"/>
                <w:sz w:val="18"/>
                <w:szCs w:val="18"/>
                <w:color w:val="auto"/>
              </w:rPr>
              <w:t>465,362</w:t>
            </w:r>
          </w:p>
        </w:tc>
        <w:tc>
          <w:tcPr>
            <w:tcW w:w="1120" w:type="dxa"/>
            <w:vAlign w:val="bottom"/>
          </w:tcPr>
          <w:p>
            <w:pPr>
              <w:jc w:val="right"/>
              <w:spacing w:after="0"/>
              <w:rPr>
                <w:sz w:val="20"/>
                <w:szCs w:val="20"/>
                <w:color w:val="auto"/>
              </w:rPr>
            </w:pPr>
            <w:r>
              <w:rPr>
                <w:rFonts w:ascii="Arial" w:cs="Arial" w:eastAsia="Arial" w:hAnsi="Arial"/>
                <w:sz w:val="18"/>
                <w:szCs w:val="18"/>
                <w:color w:val="auto"/>
              </w:rPr>
              <w:t>1,499,989</w:t>
            </w:r>
          </w:p>
        </w:tc>
        <w:tc>
          <w:tcPr>
            <w:tcW w:w="1180" w:type="dxa"/>
            <w:vAlign w:val="bottom"/>
          </w:tcPr>
          <w:p>
            <w:pPr>
              <w:jc w:val="right"/>
              <w:spacing w:after="0"/>
              <w:rPr>
                <w:sz w:val="20"/>
                <w:szCs w:val="20"/>
                <w:color w:val="auto"/>
              </w:rPr>
            </w:pPr>
            <w:r>
              <w:rPr>
                <w:rFonts w:ascii="Arial" w:cs="Arial" w:eastAsia="Arial" w:hAnsi="Arial"/>
                <w:sz w:val="18"/>
                <w:szCs w:val="18"/>
                <w:color w:val="auto"/>
              </w:rPr>
              <w:t>175,019</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8,593</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2,148,963</w:t>
            </w:r>
          </w:p>
        </w:tc>
        <w:tc>
          <w:tcPr>
            <w:tcW w:w="0" w:type="dxa"/>
            <w:vAlign w:val="bottom"/>
          </w:tcPr>
          <w:p>
            <w:pPr>
              <w:spacing w:after="0"/>
              <w:rPr>
                <w:sz w:val="1"/>
                <w:szCs w:val="1"/>
                <w:color w:val="auto"/>
              </w:rPr>
            </w:pPr>
          </w:p>
        </w:tc>
      </w:tr>
      <w:tr>
        <w:trPr>
          <w:trHeight w:val="217"/>
        </w:trPr>
        <w:tc>
          <w:tcPr>
            <w:tcW w:w="4720" w:type="dxa"/>
            <w:vAlign w:val="bottom"/>
          </w:tcPr>
          <w:p>
            <w:pPr>
              <w:ind w:left="100"/>
              <w:spacing w:after="0"/>
              <w:rPr>
                <w:sz w:val="20"/>
                <w:szCs w:val="20"/>
                <w:color w:val="auto"/>
              </w:rPr>
            </w:pPr>
            <w:r>
              <w:rPr>
                <w:rFonts w:ascii="Arial" w:cs="Arial" w:eastAsia="Arial" w:hAnsi="Arial"/>
                <w:sz w:val="18"/>
                <w:szCs w:val="18"/>
                <w:color w:val="auto"/>
              </w:rPr>
              <w:t>Corporate VP</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720" w:type="dxa"/>
            <w:vAlign w:val="bottom"/>
            <w:shd w:val="clear" w:color="auto" w:fill="C3D9EE"/>
          </w:tcPr>
          <w:p>
            <w:pPr>
              <w:ind w:left="100"/>
              <w:spacing w:after="0"/>
              <w:rPr>
                <w:sz w:val="20"/>
                <w:szCs w:val="20"/>
                <w:color w:val="auto"/>
              </w:rPr>
            </w:pPr>
            <w:r>
              <w:rPr>
                <w:rFonts w:ascii="Arial" w:cs="Arial" w:eastAsia="Arial" w:hAnsi="Arial"/>
                <w:sz w:val="18"/>
                <w:szCs w:val="18"/>
                <w:color w:val="auto"/>
              </w:rPr>
              <w:t>Paul J. Fego,</w:t>
            </w:r>
          </w:p>
        </w:tc>
        <w:tc>
          <w:tcPr>
            <w:tcW w:w="680" w:type="dxa"/>
            <w:vAlign w:val="bottom"/>
            <w:shd w:val="clear" w:color="auto" w:fill="C3D9EE"/>
          </w:tcPr>
          <w:p>
            <w:pPr>
              <w:ind w:left="160"/>
              <w:spacing w:after="0"/>
              <w:rPr>
                <w:sz w:val="20"/>
                <w:szCs w:val="20"/>
                <w:color w:val="auto"/>
              </w:rPr>
            </w:pPr>
            <w:r>
              <w:rPr>
                <w:rFonts w:ascii="Arial" w:cs="Arial" w:eastAsia="Arial" w:hAnsi="Arial"/>
                <w:sz w:val="18"/>
                <w:szCs w:val="18"/>
                <w:color w:val="auto"/>
              </w:rPr>
              <w:t>2020</w:t>
            </w:r>
          </w:p>
        </w:tc>
        <w:tc>
          <w:tcPr>
            <w:tcW w:w="940" w:type="dxa"/>
            <w:vAlign w:val="bottom"/>
            <w:shd w:val="clear" w:color="auto" w:fill="C3D9EE"/>
          </w:tcPr>
          <w:p>
            <w:pPr>
              <w:jc w:val="right"/>
              <w:spacing w:after="0"/>
              <w:rPr>
                <w:sz w:val="20"/>
                <w:szCs w:val="20"/>
                <w:color w:val="auto"/>
              </w:rPr>
            </w:pPr>
            <w:r>
              <w:rPr>
                <w:rFonts w:ascii="Arial" w:cs="Arial" w:eastAsia="Arial" w:hAnsi="Arial"/>
                <w:sz w:val="18"/>
                <w:szCs w:val="18"/>
                <w:color w:val="auto"/>
              </w:rPr>
              <w:t>457,837</w:t>
            </w:r>
          </w:p>
        </w:tc>
        <w:tc>
          <w:tcPr>
            <w:tcW w:w="1120" w:type="dxa"/>
            <w:vAlign w:val="bottom"/>
            <w:shd w:val="clear" w:color="auto" w:fill="C3D9EE"/>
          </w:tcPr>
          <w:p>
            <w:pPr>
              <w:jc w:val="right"/>
              <w:spacing w:after="0"/>
              <w:rPr>
                <w:sz w:val="20"/>
                <w:szCs w:val="20"/>
                <w:color w:val="auto"/>
              </w:rPr>
            </w:pPr>
            <w:r>
              <w:rPr>
                <w:rFonts w:ascii="Arial" w:cs="Arial" w:eastAsia="Arial" w:hAnsi="Arial"/>
                <w:sz w:val="18"/>
                <w:szCs w:val="18"/>
                <w:color w:val="auto"/>
              </w:rPr>
              <w:t>1,499,987</w:t>
            </w:r>
          </w:p>
        </w:tc>
        <w:tc>
          <w:tcPr>
            <w:tcW w:w="1180" w:type="dxa"/>
            <w:vAlign w:val="bottom"/>
            <w:shd w:val="clear" w:color="auto" w:fill="C3D9EE"/>
          </w:tcPr>
          <w:p>
            <w:pPr>
              <w:jc w:val="right"/>
              <w:spacing w:after="0"/>
              <w:rPr>
                <w:sz w:val="20"/>
                <w:szCs w:val="20"/>
                <w:color w:val="auto"/>
              </w:rPr>
            </w:pPr>
            <w:r>
              <w:rPr>
                <w:rFonts w:ascii="Arial" w:cs="Arial" w:eastAsia="Arial" w:hAnsi="Arial"/>
                <w:sz w:val="18"/>
                <w:szCs w:val="18"/>
                <w:color w:val="auto"/>
              </w:rPr>
              <w:t>172,251</w:t>
            </w:r>
          </w:p>
        </w:tc>
        <w:tc>
          <w:tcPr>
            <w:tcW w:w="1180" w:type="dxa"/>
            <w:vAlign w:val="bottom"/>
            <w:shd w:val="clear" w:color="auto" w:fill="C3D9EE"/>
          </w:tcPr>
          <w:p>
            <w:pPr>
              <w:jc w:val="right"/>
              <w:ind w:right="17"/>
              <w:spacing w:after="0"/>
              <w:rPr>
                <w:sz w:val="20"/>
                <w:szCs w:val="20"/>
                <w:color w:val="auto"/>
              </w:rPr>
            </w:pPr>
            <w:r>
              <w:rPr>
                <w:rFonts w:ascii="Arial" w:cs="Arial" w:eastAsia="Arial" w:hAnsi="Arial"/>
                <w:sz w:val="18"/>
                <w:szCs w:val="18"/>
                <w:color w:val="auto"/>
              </w:rPr>
              <w:t>9,908</w:t>
            </w:r>
          </w:p>
        </w:tc>
        <w:tc>
          <w:tcPr>
            <w:tcW w:w="1200" w:type="dxa"/>
            <w:vAlign w:val="bottom"/>
            <w:shd w:val="clear" w:color="auto" w:fill="C3D9EE"/>
          </w:tcPr>
          <w:p>
            <w:pPr>
              <w:jc w:val="right"/>
              <w:ind w:right="37"/>
              <w:spacing w:after="0"/>
              <w:rPr>
                <w:sz w:val="20"/>
                <w:szCs w:val="20"/>
                <w:color w:val="auto"/>
              </w:rPr>
            </w:pPr>
            <w:r>
              <w:rPr>
                <w:rFonts w:ascii="Arial" w:cs="Arial" w:eastAsia="Arial" w:hAnsi="Arial"/>
                <w:sz w:val="18"/>
                <w:szCs w:val="18"/>
                <w:color w:val="auto"/>
              </w:rPr>
              <w:t>2,139,983</w:t>
            </w:r>
          </w:p>
        </w:tc>
        <w:tc>
          <w:tcPr>
            <w:tcW w:w="0" w:type="dxa"/>
            <w:vAlign w:val="bottom"/>
          </w:tcPr>
          <w:p>
            <w:pPr>
              <w:spacing w:after="0"/>
              <w:rPr>
                <w:sz w:val="1"/>
                <w:szCs w:val="1"/>
                <w:color w:val="auto"/>
              </w:rPr>
            </w:pPr>
          </w:p>
        </w:tc>
      </w:tr>
      <w:tr>
        <w:trPr>
          <w:trHeight w:val="217"/>
        </w:trPr>
        <w:tc>
          <w:tcPr>
            <w:tcW w:w="4720" w:type="dxa"/>
            <w:vAlign w:val="bottom"/>
            <w:tcBorders>
              <w:bottom w:val="single" w:sz="8" w:color="1269BC"/>
            </w:tcBorders>
            <w:shd w:val="clear" w:color="auto" w:fill="C3D9EE"/>
          </w:tcPr>
          <w:p>
            <w:pPr>
              <w:ind w:left="100"/>
              <w:spacing w:after="0"/>
              <w:rPr>
                <w:sz w:val="20"/>
                <w:szCs w:val="20"/>
                <w:color w:val="auto"/>
              </w:rPr>
            </w:pPr>
            <w:r>
              <w:rPr>
                <w:rFonts w:ascii="Arial" w:cs="Arial" w:eastAsia="Arial" w:hAnsi="Arial"/>
                <w:sz w:val="18"/>
                <w:szCs w:val="18"/>
                <w:color w:val="auto"/>
              </w:rPr>
              <w:t>Corporate VP</w:t>
            </w:r>
          </w:p>
        </w:tc>
        <w:tc>
          <w:tcPr>
            <w:tcW w:w="680" w:type="dxa"/>
            <w:vAlign w:val="bottom"/>
            <w:tcBorders>
              <w:bottom w:val="single" w:sz="8" w:color="1269BC"/>
            </w:tcBorders>
            <w:shd w:val="clear" w:color="auto" w:fill="C3D9EE"/>
          </w:tcPr>
          <w:p>
            <w:pPr>
              <w:spacing w:after="0"/>
              <w:rPr>
                <w:sz w:val="18"/>
                <w:szCs w:val="18"/>
                <w:color w:val="auto"/>
              </w:rPr>
            </w:pPr>
          </w:p>
        </w:tc>
        <w:tc>
          <w:tcPr>
            <w:tcW w:w="940" w:type="dxa"/>
            <w:vAlign w:val="bottom"/>
            <w:tcBorders>
              <w:bottom w:val="single" w:sz="8" w:color="1269BC"/>
            </w:tcBorders>
            <w:shd w:val="clear" w:color="auto" w:fill="C3D9EE"/>
          </w:tcPr>
          <w:p>
            <w:pPr>
              <w:spacing w:after="0"/>
              <w:rPr>
                <w:sz w:val="18"/>
                <w:szCs w:val="18"/>
                <w:color w:val="auto"/>
              </w:rPr>
            </w:pPr>
          </w:p>
        </w:tc>
        <w:tc>
          <w:tcPr>
            <w:tcW w:w="1120" w:type="dxa"/>
            <w:vAlign w:val="bottom"/>
            <w:tcBorders>
              <w:bottom w:val="single" w:sz="8" w:color="1269BC"/>
            </w:tcBorders>
            <w:shd w:val="clear" w:color="auto" w:fill="C3D9EE"/>
          </w:tcPr>
          <w:p>
            <w:pPr>
              <w:spacing w:after="0"/>
              <w:rPr>
                <w:sz w:val="18"/>
                <w:szCs w:val="18"/>
                <w:color w:val="auto"/>
              </w:rPr>
            </w:pPr>
          </w:p>
        </w:tc>
        <w:tc>
          <w:tcPr>
            <w:tcW w:w="1180" w:type="dxa"/>
            <w:vAlign w:val="bottom"/>
            <w:tcBorders>
              <w:bottom w:val="single" w:sz="8" w:color="1269BC"/>
            </w:tcBorders>
            <w:shd w:val="clear" w:color="auto" w:fill="C3D9EE"/>
          </w:tcPr>
          <w:p>
            <w:pPr>
              <w:spacing w:after="0"/>
              <w:rPr>
                <w:sz w:val="18"/>
                <w:szCs w:val="18"/>
                <w:color w:val="auto"/>
              </w:rPr>
            </w:pPr>
          </w:p>
        </w:tc>
        <w:tc>
          <w:tcPr>
            <w:tcW w:w="1180" w:type="dxa"/>
            <w:vAlign w:val="bottom"/>
            <w:tcBorders>
              <w:bottom w:val="single" w:sz="8" w:color="1269BC"/>
            </w:tcBorders>
            <w:shd w:val="clear" w:color="auto" w:fill="C3D9EE"/>
          </w:tcPr>
          <w:p>
            <w:pPr>
              <w:spacing w:after="0"/>
              <w:rPr>
                <w:sz w:val="18"/>
                <w:szCs w:val="18"/>
                <w:color w:val="auto"/>
              </w:rPr>
            </w:pPr>
          </w:p>
        </w:tc>
        <w:tc>
          <w:tcPr>
            <w:tcW w:w="1200" w:type="dxa"/>
            <w:vAlign w:val="bottom"/>
            <w:tcBorders>
              <w:bottom w:val="single" w:sz="8" w:color="1269BC"/>
            </w:tcBorders>
            <w:shd w:val="clear" w:color="auto" w:fill="C3D9EE"/>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2021 Annual Meeting</w:t>
      </w:r>
    </w:p>
    <w:p>
      <w:pPr>
        <w:spacing w:after="0" w:line="142" w:lineRule="exact"/>
        <w:rPr>
          <w:sz w:val="20"/>
          <w:szCs w:val="20"/>
          <w:color w:val="auto"/>
        </w:rPr>
      </w:pPr>
    </w:p>
    <w:p>
      <w:pPr>
        <w:ind w:left="540" w:hanging="424"/>
        <w:spacing w:after="0"/>
        <w:tabs>
          <w:tab w:leader="none" w:pos="540" w:val="left"/>
        </w:tabs>
        <w:numPr>
          <w:ilvl w:val="0"/>
          <w:numId w:val="8"/>
        </w:numPr>
        <w:rPr>
          <w:rFonts w:ascii="Arial" w:cs="Arial" w:eastAsia="Arial" w:hAnsi="Arial"/>
          <w:sz w:val="16"/>
          <w:szCs w:val="16"/>
          <w:color w:val="1269BC"/>
        </w:rPr>
      </w:pPr>
      <w:r>
        <w:rPr>
          <w:rFonts w:ascii="Arial" w:cs="Arial" w:eastAsia="Arial" w:hAnsi="Arial"/>
          <w:sz w:val="16"/>
          <w:szCs w:val="16"/>
          <w:color w:val="auto"/>
        </w:rPr>
        <w:t>Stockholder proposals submitted pursuant to SEC Rule 14a-8 must be received by us no later than February 23, 2021.</w:t>
      </w:r>
    </w:p>
    <w:p>
      <w:pPr>
        <w:spacing w:after="0" w:line="140" w:lineRule="exact"/>
        <w:rPr>
          <w:rFonts w:ascii="Arial" w:cs="Arial" w:eastAsia="Arial" w:hAnsi="Arial"/>
          <w:sz w:val="16"/>
          <w:szCs w:val="16"/>
          <w:color w:val="1269BC"/>
        </w:rPr>
      </w:pPr>
    </w:p>
    <w:p>
      <w:pPr>
        <w:ind w:left="540" w:right="80" w:hanging="424"/>
        <w:spacing w:after="0" w:line="260" w:lineRule="auto"/>
        <w:tabs>
          <w:tab w:leader="none" w:pos="540" w:val="left"/>
        </w:tabs>
        <w:numPr>
          <w:ilvl w:val="0"/>
          <w:numId w:val="8"/>
        </w:numPr>
        <w:rPr>
          <w:rFonts w:ascii="Arial" w:cs="Arial" w:eastAsia="Arial" w:hAnsi="Arial"/>
          <w:sz w:val="16"/>
          <w:szCs w:val="16"/>
          <w:color w:val="1269BC"/>
        </w:rPr>
      </w:pPr>
      <w:r>
        <w:rPr>
          <w:rFonts w:ascii="Arial" w:cs="Arial" w:eastAsia="Arial" w:hAnsi="Arial"/>
          <w:sz w:val="16"/>
          <w:szCs w:val="16"/>
          <w:color w:val="auto"/>
        </w:rPr>
        <w:t>Notice of stockholder proposals outside of SEC Rule 14a-8 submitted pursuant to the advance notice provisions of our bylaws must be delivered to us no earlier than April 6, 2021 and no later than May 6, 2021.</w:t>
      </w:r>
    </w:p>
    <w:p>
      <w:pPr>
        <w:spacing w:after="0" w:line="100" w:lineRule="exact"/>
        <w:rPr>
          <w:rFonts w:ascii="Arial" w:cs="Arial" w:eastAsia="Arial" w:hAnsi="Arial"/>
          <w:sz w:val="16"/>
          <w:szCs w:val="16"/>
          <w:color w:val="1269BC"/>
        </w:rPr>
      </w:pPr>
    </w:p>
    <w:p>
      <w:pPr>
        <w:ind w:left="540" w:right="660" w:hanging="424"/>
        <w:spacing w:after="0" w:line="260" w:lineRule="auto"/>
        <w:tabs>
          <w:tab w:leader="none" w:pos="540" w:val="left"/>
        </w:tabs>
        <w:numPr>
          <w:ilvl w:val="0"/>
          <w:numId w:val="8"/>
        </w:numPr>
        <w:rPr>
          <w:rFonts w:ascii="Arial" w:cs="Arial" w:eastAsia="Arial" w:hAnsi="Arial"/>
          <w:sz w:val="16"/>
          <w:szCs w:val="16"/>
          <w:color w:val="1269BC"/>
        </w:rPr>
      </w:pPr>
      <w:r>
        <w:rPr>
          <w:rFonts w:ascii="Arial" w:cs="Arial" w:eastAsia="Arial" w:hAnsi="Arial"/>
          <w:sz w:val="16"/>
          <w:szCs w:val="16"/>
          <w:color w:val="auto"/>
        </w:rPr>
        <w:t>Notice of stockholder nominations for director pursuant to the proxy access provisions of our bylaws must be delivered to us no earlier than January 24, 2021 and no later than February 23, 2021.</w:t>
      </w:r>
    </w:p>
    <w:p>
      <w:pPr>
        <w:spacing w:after="0" w:line="126" w:lineRule="exact"/>
        <w:rPr>
          <w:sz w:val="20"/>
          <w:szCs w:val="20"/>
          <w:color w:val="auto"/>
        </w:rPr>
      </w:pPr>
    </w:p>
    <w:p>
      <w:pPr>
        <w:ind w:left="120"/>
        <w:spacing w:after="0"/>
        <w:tabs>
          <w:tab w:leader="none" w:pos="473" w:val="left"/>
        </w:tabs>
        <w:rPr>
          <w:sz w:val="20"/>
          <w:szCs w:val="20"/>
          <w:color w:val="auto"/>
        </w:rPr>
      </w:pPr>
      <w:r>
        <w:rPr>
          <w:rFonts w:ascii="Arial" w:cs="Arial" w:eastAsia="Arial" w:hAnsi="Arial"/>
          <w:sz w:val="18"/>
          <w:szCs w:val="18"/>
          <w:color w:val="auto"/>
        </w:rPr>
        <w:t>iv</w:t>
      </w:r>
      <w:r>
        <w:rPr>
          <w:sz w:val="20"/>
          <w:szCs w:val="20"/>
          <w:color w:val="auto"/>
        </w:rPr>
        <w:tab/>
      </w:r>
      <w:r>
        <w:rPr>
          <w:sz w:val="1"/>
          <w:szCs w:val="1"/>
          <w:color w:val="auto"/>
        </w:rPr>
        <w:drawing>
          <wp:inline distT="0" distB="0" distL="0" distR="0">
            <wp:extent cx="582930" cy="13716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i w:val="1"/>
          <w:iCs w:val="1"/>
          <w:color w:val="1269BC"/>
        </w:rPr>
        <w:t xml:space="preserve">   2020 Proxy Statement</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1269B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160655</wp:posOffset>
            </wp:positionV>
            <wp:extent cx="1697355" cy="402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9735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TABLE OF CONTENTS</w:t>
      </w:r>
    </w:p>
    <w:p>
      <w:pPr>
        <w:spacing w:after="0" w:line="32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920" w:type="dxa"/>
            <w:vAlign w:val="bottom"/>
            <w:gridSpan w:val="7"/>
          </w:tcPr>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NOTICE OF ANNUAL MEETING OF STOCKHOLDERS</w:t>
              </w:r>
            </w:hyperlink>
          </w:p>
        </w:tc>
        <w:tc>
          <w:tcPr>
            <w:tcW w:w="1020" w:type="dxa"/>
            <w:vAlign w:val="bottom"/>
          </w:tcPr>
          <w:p>
            <w:pPr>
              <w:jc w:val="right"/>
              <w:ind w:right="639"/>
              <w:spacing w:after="0"/>
              <w:rPr>
                <w:sz w:val="20"/>
                <w:szCs w:val="20"/>
                <w:color w:val="auto"/>
              </w:rPr>
            </w:pPr>
            <w:r>
              <w:rPr>
                <w:rFonts w:ascii="Arial" w:cs="Arial" w:eastAsia="Arial" w:hAnsi="Arial"/>
                <w:sz w:val="16"/>
                <w:szCs w:val="16"/>
                <w:color w:val="1269BC"/>
              </w:rPr>
              <w:t>i</w:t>
            </w:r>
          </w:p>
        </w:tc>
        <w:tc>
          <w:tcPr>
            <w:tcW w:w="160" w:type="dxa"/>
            <w:vAlign w:val="bottom"/>
          </w:tcPr>
          <w:p>
            <w:pPr>
              <w:spacing w:after="0"/>
              <w:rPr>
                <w:sz w:val="16"/>
                <w:szCs w:val="16"/>
                <w:color w:val="auto"/>
              </w:rPr>
            </w:pPr>
          </w:p>
        </w:tc>
        <w:tc>
          <w:tcPr>
            <w:tcW w:w="4640" w:type="dxa"/>
            <w:vAlign w:val="bottom"/>
            <w:gridSpan w:val="20"/>
          </w:tcPr>
          <w:p>
            <w:pPr>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Potential Payments upon Termination or Change-In-Control</w:t>
              </w:r>
            </w:hyperlink>
          </w:p>
        </w:tc>
        <w:tc>
          <w:tcPr>
            <w:tcW w:w="2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189"/>
        </w:trPr>
        <w:tc>
          <w:tcPr>
            <w:tcW w:w="4920" w:type="dxa"/>
            <w:vAlign w:val="bottom"/>
            <w:gridSpan w:val="7"/>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2020 PROXY STATEMENT SUMMARY</w:t>
              </w:r>
            </w:hyperlink>
          </w:p>
        </w:tc>
        <w:tc>
          <w:tcPr>
            <w:tcW w:w="1020" w:type="dxa"/>
            <w:vAlign w:val="bottom"/>
          </w:tcPr>
          <w:p>
            <w:pPr>
              <w:jc w:val="right"/>
              <w:ind w:right="639"/>
              <w:spacing w:after="0"/>
              <w:rPr>
                <w:sz w:val="20"/>
                <w:szCs w:val="20"/>
                <w:color w:val="auto"/>
              </w:rPr>
            </w:pPr>
            <w:r>
              <w:rPr>
                <w:rFonts w:ascii="Arial" w:cs="Arial" w:eastAsia="Arial" w:hAnsi="Arial"/>
                <w:sz w:val="16"/>
                <w:szCs w:val="16"/>
                <w:color w:val="1269BC"/>
              </w:rPr>
              <w:t>ii</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80" w:type="dxa"/>
            <w:vAlign w:val="bottom"/>
            <w:gridSpan w:val="19"/>
          </w:tcPr>
          <w:p>
            <w:pPr>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Equity Awards</w:t>
              </w:r>
            </w:hyperlink>
          </w:p>
        </w:tc>
        <w:tc>
          <w:tcPr>
            <w:tcW w:w="2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189"/>
        </w:trPr>
        <w:tc>
          <w:tcPr>
            <w:tcW w:w="4920" w:type="dxa"/>
            <w:vAlign w:val="bottom"/>
            <w:gridSpan w:val="7"/>
          </w:tcPr>
          <w:p>
            <w:pPr>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PROXY STATEMENT</w:t>
              </w:r>
            </w:hyperlink>
          </w:p>
        </w:tc>
        <w:tc>
          <w:tcPr>
            <w:tcW w:w="1020" w:type="dxa"/>
            <w:vAlign w:val="bottom"/>
          </w:tcPr>
          <w:p>
            <w:pPr>
              <w:jc w:val="right"/>
              <w:ind w:right="639"/>
              <w:spacing w:after="0"/>
              <w:rPr>
                <w:sz w:val="20"/>
                <w:szCs w:val="20"/>
                <w:color w:val="auto"/>
              </w:rPr>
            </w:pPr>
            <w:r>
              <w:rPr>
                <w:rFonts w:ascii="Arial" w:cs="Arial" w:eastAsia="Arial" w:hAnsi="Arial"/>
                <w:sz w:val="16"/>
                <w:szCs w:val="16"/>
                <w:color w:val="1269BC"/>
              </w:rPr>
              <w:t>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80" w:type="dxa"/>
            <w:vAlign w:val="bottom"/>
            <w:gridSpan w:val="19"/>
          </w:tcPr>
          <w:p>
            <w:pPr>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401(k) Savings Plan; Deferred Compensation Plan</w:t>
              </w:r>
            </w:hyperlink>
          </w:p>
        </w:tc>
        <w:tc>
          <w:tcPr>
            <w:tcW w:w="2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189"/>
        </w:trPr>
        <w:tc>
          <w:tcPr>
            <w:tcW w:w="4920" w:type="dxa"/>
            <w:vAlign w:val="bottom"/>
            <w:gridSpan w:val="7"/>
          </w:tcPr>
          <w:p>
            <w:pPr>
              <w:ind w:left="320"/>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GENERAL INFORMATION</w:t>
              </w:r>
            </w:hyperlink>
          </w:p>
        </w:tc>
        <w:tc>
          <w:tcPr>
            <w:tcW w:w="1020" w:type="dxa"/>
            <w:vAlign w:val="bottom"/>
          </w:tcPr>
          <w:p>
            <w:pPr>
              <w:jc w:val="right"/>
              <w:ind w:right="639"/>
              <w:spacing w:after="0"/>
              <w:rPr>
                <w:sz w:val="20"/>
                <w:szCs w:val="20"/>
                <w:color w:val="auto"/>
              </w:rPr>
            </w:pPr>
            <w:r>
              <w:rPr>
                <w:rFonts w:ascii="Arial" w:cs="Arial" w:eastAsia="Arial" w:hAnsi="Arial"/>
                <w:sz w:val="16"/>
                <w:szCs w:val="16"/>
                <w:color w:val="1269BC"/>
              </w:rPr>
              <w:t>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80" w:type="dxa"/>
            <w:vAlign w:val="bottom"/>
            <w:gridSpan w:val="19"/>
          </w:tcPr>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Employee Stock Purchase Plan</w:t>
              </w:r>
            </w:hyperlink>
          </w:p>
        </w:tc>
        <w:tc>
          <w:tcPr>
            <w:tcW w:w="2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189"/>
        </w:trPr>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gridSpan w:val="5"/>
          </w:tcPr>
          <w:p>
            <w:pPr>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Solicitation of Proxies</w:t>
              </w:r>
            </w:hyperlink>
          </w:p>
        </w:tc>
        <w:tc>
          <w:tcPr>
            <w:tcW w:w="1020" w:type="dxa"/>
            <w:vAlign w:val="bottom"/>
          </w:tcPr>
          <w:p>
            <w:pPr>
              <w:jc w:val="right"/>
              <w:ind w:right="639"/>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80" w:type="dxa"/>
            <w:vAlign w:val="bottom"/>
            <w:gridSpan w:val="19"/>
          </w:tcPr>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Medical Benefits</w:t>
              </w:r>
            </w:hyperlink>
          </w:p>
        </w:tc>
        <w:tc>
          <w:tcPr>
            <w:tcW w:w="2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189"/>
        </w:trPr>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gridSpan w:val="5"/>
          </w:tcPr>
          <w:p>
            <w:pPr>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Voting Securities Outstanding</w:t>
              </w:r>
            </w:hyperlink>
          </w:p>
        </w:tc>
        <w:tc>
          <w:tcPr>
            <w:tcW w:w="1020" w:type="dxa"/>
            <w:vAlign w:val="bottom"/>
          </w:tcPr>
          <w:p>
            <w:pPr>
              <w:jc w:val="right"/>
              <w:ind w:right="639"/>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80" w:type="dxa"/>
            <w:vAlign w:val="bottom"/>
            <w:gridSpan w:val="19"/>
          </w:tcPr>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Individual Agreements</w:t>
              </w:r>
            </w:hyperlink>
          </w:p>
        </w:tc>
        <w:tc>
          <w:tcPr>
            <w:tcW w:w="2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160"/>
        </w:trPr>
        <w:tc>
          <w:tcPr>
            <w:tcW w:w="4920" w:type="dxa"/>
            <w:vAlign w:val="bottom"/>
            <w:gridSpan w:val="7"/>
          </w:tcPr>
          <w:p>
            <w:pPr>
              <w:ind w:left="320"/>
              <w:spacing w:after="0" w:line="160" w:lineRule="exact"/>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PROPOSAL 1 – ELECTION OF DIRECTORS</w:t>
              </w:r>
            </w:hyperlink>
          </w:p>
        </w:tc>
        <w:tc>
          <w:tcPr>
            <w:tcW w:w="1020" w:type="dxa"/>
            <w:vAlign w:val="bottom"/>
          </w:tcPr>
          <w:p>
            <w:pPr>
              <w:jc w:val="right"/>
              <w:ind w:right="639"/>
              <w:spacing w:after="0" w:line="160" w:lineRule="exact"/>
              <w:rPr>
                <w:sz w:val="20"/>
                <w:szCs w:val="20"/>
                <w:color w:val="auto"/>
              </w:rPr>
            </w:pPr>
            <w:r>
              <w:rPr>
                <w:rFonts w:ascii="Arial" w:cs="Arial" w:eastAsia="Arial" w:hAnsi="Arial"/>
                <w:sz w:val="16"/>
                <w:szCs w:val="16"/>
                <w:color w:val="1269BC"/>
              </w:rPr>
              <w:t>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140" w:type="dxa"/>
            <w:vAlign w:val="bottom"/>
            <w:tcBorders>
              <w:bottom w:val="single" w:sz="8" w:color="0000EE"/>
            </w:tcBorders>
            <w:gridSpan w:val="17"/>
          </w:tcPr>
          <w:p>
            <w:pPr>
              <w:spacing w:after="0" w:line="160" w:lineRule="exact"/>
              <w:rPr>
                <w:rFonts w:ascii="Arial" w:cs="Arial" w:eastAsia="Arial" w:hAnsi="Arial"/>
                <w:sz w:val="16"/>
                <w:szCs w:val="16"/>
                <w:color w:val="0000EE"/>
              </w:rPr>
            </w:pPr>
            <w:hyperlink w:anchor="page48">
              <w:r>
                <w:rPr>
                  <w:rFonts w:ascii="Arial" w:cs="Arial" w:eastAsia="Arial" w:hAnsi="Arial"/>
                  <w:sz w:val="16"/>
                  <w:szCs w:val="16"/>
                  <w:color w:val="0000EE"/>
                </w:rPr>
                <w:t>Potential Payments Upon a Qualifying Termination after a</w:t>
              </w:r>
            </w:hyperlink>
          </w:p>
        </w:tc>
        <w:tc>
          <w:tcPr>
            <w:tcW w:w="34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40" w:type="dxa"/>
            <w:vAlign w:val="bottom"/>
            <w:gridSpan w:val="5"/>
          </w:tcPr>
          <w:p>
            <w:pPr>
              <w:spacing w:after="0" w:line="169" w:lineRule="exact"/>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Nominees for Election of Directors</w:t>
              </w:r>
            </w:hyperlink>
          </w:p>
        </w:tc>
        <w:tc>
          <w:tcPr>
            <w:tcW w:w="1020" w:type="dxa"/>
            <w:vAlign w:val="bottom"/>
          </w:tcPr>
          <w:p>
            <w:pPr>
              <w:jc w:val="right"/>
              <w:ind w:right="639"/>
              <w:spacing w:after="0" w:line="169" w:lineRule="exact"/>
              <w:rPr>
                <w:sz w:val="20"/>
                <w:szCs w:val="20"/>
                <w:color w:val="auto"/>
              </w:rPr>
            </w:pPr>
            <w:r>
              <w:rPr>
                <w:rFonts w:ascii="Arial" w:cs="Arial" w:eastAsia="Arial" w:hAnsi="Arial"/>
                <w:sz w:val="16"/>
                <w:szCs w:val="16"/>
                <w:color w:val="auto"/>
              </w:rPr>
              <w:t>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Borders>
              <w:bottom w:val="single" w:sz="8" w:color="0000EE"/>
            </w:tcBorders>
            <w:gridSpan w:val="5"/>
          </w:tcPr>
          <w:p>
            <w:pPr>
              <w:spacing w:after="0" w:line="169" w:lineRule="exact"/>
              <w:rPr>
                <w:rFonts w:ascii="Arial" w:cs="Arial" w:eastAsia="Arial" w:hAnsi="Arial"/>
                <w:sz w:val="16"/>
                <w:szCs w:val="16"/>
                <w:color w:val="0000EE"/>
              </w:rPr>
            </w:pPr>
            <w:hyperlink w:anchor="page48">
              <w:r>
                <w:rPr>
                  <w:rFonts w:ascii="Arial" w:cs="Arial" w:eastAsia="Arial" w:hAnsi="Arial"/>
                  <w:sz w:val="16"/>
                  <w:szCs w:val="16"/>
                  <w:color w:val="0000EE"/>
                </w:rPr>
                <w:t>Change in Control</w:t>
              </w:r>
            </w:hyperlink>
          </w:p>
        </w:tc>
        <w:tc>
          <w:tcPr>
            <w:tcW w:w="3000" w:type="dxa"/>
            <w:vAlign w:val="bottom"/>
            <w:gridSpan w:val="13"/>
          </w:tcPr>
          <w:p>
            <w:pPr>
              <w:spacing w:after="0"/>
              <w:rPr>
                <w:sz w:val="14"/>
                <w:szCs w:val="14"/>
                <w:color w:val="auto"/>
              </w:rPr>
            </w:pPr>
          </w:p>
        </w:tc>
        <w:tc>
          <w:tcPr>
            <w:tcW w:w="280" w:type="dxa"/>
            <w:vAlign w:val="bottom"/>
          </w:tcPr>
          <w:p>
            <w:pPr>
              <w:jc w:val="right"/>
              <w:spacing w:after="0" w:line="169" w:lineRule="exact"/>
              <w:rPr>
                <w:sz w:val="20"/>
                <w:szCs w:val="20"/>
                <w:color w:val="auto"/>
              </w:rPr>
            </w:pPr>
            <w:r>
              <w:rPr>
                <w:rFonts w:ascii="Arial" w:cs="Arial" w:eastAsia="Arial" w:hAnsi="Arial"/>
                <w:sz w:val="16"/>
                <w:szCs w:val="16"/>
                <w:color w:val="auto"/>
              </w:rPr>
              <w:t>41</w:t>
            </w:r>
          </w:p>
        </w:tc>
      </w:tr>
      <w:tr>
        <w:trPr>
          <w:trHeight w:val="169"/>
        </w:trPr>
        <w:tc>
          <w:tcPr>
            <w:tcW w:w="4920" w:type="dxa"/>
            <w:vAlign w:val="bottom"/>
            <w:gridSpan w:val="7"/>
          </w:tcPr>
          <w:p>
            <w:pPr>
              <w:ind w:left="320"/>
              <w:spacing w:after="0" w:line="169" w:lineRule="exact"/>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CORPORATE GOVERNANCE</w:t>
              </w:r>
            </w:hyperlink>
          </w:p>
        </w:tc>
        <w:tc>
          <w:tcPr>
            <w:tcW w:w="102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120" w:type="dxa"/>
            <w:vAlign w:val="bottom"/>
            <w:tcBorders>
              <w:bottom w:val="single" w:sz="8" w:color="0000EE"/>
            </w:tcBorders>
            <w:gridSpan w:val="16"/>
          </w:tcPr>
          <w:p>
            <w:pPr>
              <w:spacing w:after="0" w:line="169" w:lineRule="exact"/>
              <w:rPr>
                <w:rFonts w:ascii="Arial" w:cs="Arial" w:eastAsia="Arial" w:hAnsi="Arial"/>
                <w:sz w:val="16"/>
                <w:szCs w:val="16"/>
                <w:color w:val="0000EE"/>
              </w:rPr>
            </w:pPr>
            <w:hyperlink w:anchor="page49">
              <w:r>
                <w:rPr>
                  <w:rFonts w:ascii="Arial" w:cs="Arial" w:eastAsia="Arial" w:hAnsi="Arial"/>
                  <w:sz w:val="16"/>
                  <w:szCs w:val="16"/>
                  <w:color w:val="0000EE"/>
                </w:rPr>
                <w:t>Other Potential Payments Upon Resignation, Termination</w:t>
              </w:r>
            </w:hyperlink>
          </w:p>
        </w:tc>
        <w:tc>
          <w:tcPr>
            <w:tcW w:w="360" w:type="dxa"/>
            <w:vAlign w:val="bottom"/>
            <w:gridSpan w:val="3"/>
          </w:tcPr>
          <w:p>
            <w:pPr>
              <w:spacing w:after="0"/>
              <w:rPr>
                <w:sz w:val="14"/>
                <w:szCs w:val="14"/>
                <w:color w:val="auto"/>
              </w:rPr>
            </w:pPr>
          </w:p>
        </w:tc>
        <w:tc>
          <w:tcPr>
            <w:tcW w:w="280" w:type="dxa"/>
            <w:vAlign w:val="bottom"/>
          </w:tcPr>
          <w:p>
            <w:pPr>
              <w:spacing w:after="0"/>
              <w:rPr>
                <w:sz w:val="14"/>
                <w:szCs w:val="14"/>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40" w:type="dxa"/>
            <w:vAlign w:val="bottom"/>
            <w:gridSpan w:val="5"/>
          </w:tcPr>
          <w:p>
            <w:pPr>
              <w:spacing w:after="0" w:line="169" w:lineRule="exact"/>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Independent Directors</w:t>
              </w:r>
            </w:hyperlink>
          </w:p>
        </w:tc>
        <w:tc>
          <w:tcPr>
            <w:tcW w:w="1020" w:type="dxa"/>
            <w:vAlign w:val="bottom"/>
          </w:tcPr>
          <w:p>
            <w:pPr>
              <w:jc w:val="right"/>
              <w:ind w:right="639"/>
              <w:spacing w:after="0" w:line="169" w:lineRule="exact"/>
              <w:rPr>
                <w:sz w:val="20"/>
                <w:szCs w:val="20"/>
                <w:color w:val="auto"/>
              </w:rPr>
            </w:pPr>
            <w:r>
              <w:rPr>
                <w:rFonts w:ascii="Arial" w:cs="Arial" w:eastAsia="Arial" w:hAnsi="Arial"/>
                <w:sz w:val="16"/>
                <w:szCs w:val="16"/>
                <w:color w:val="auto"/>
              </w:rPr>
              <w:t>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20" w:type="dxa"/>
            <w:vAlign w:val="bottom"/>
            <w:gridSpan w:val="18"/>
          </w:tcPr>
          <w:p>
            <w:pPr>
              <w:spacing w:after="0" w:line="169" w:lineRule="exact"/>
              <w:rPr>
                <w:rFonts w:ascii="Arial" w:cs="Arial" w:eastAsia="Arial" w:hAnsi="Arial"/>
                <w:sz w:val="16"/>
                <w:szCs w:val="16"/>
                <w:color w:val="0000EE"/>
              </w:rPr>
            </w:pPr>
            <w:hyperlink w:anchor="page49">
              <w:r>
                <w:rPr>
                  <w:rFonts w:ascii="Arial" w:cs="Arial" w:eastAsia="Arial" w:hAnsi="Arial"/>
                  <w:sz w:val="16"/>
                  <w:szCs w:val="16"/>
                  <w:color w:val="0000EE"/>
                </w:rPr>
                <w:t>for Cause, Termination without Cause, Retirement or</w:t>
              </w:r>
            </w:hyperlink>
          </w:p>
        </w:tc>
        <w:tc>
          <w:tcPr>
            <w:tcW w:w="280" w:type="dxa"/>
            <w:vAlign w:val="bottom"/>
          </w:tcPr>
          <w:p>
            <w:pPr>
              <w:spacing w:after="0"/>
              <w:rPr>
                <w:sz w:val="14"/>
                <w:szCs w:val="14"/>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40" w:type="dxa"/>
            <w:vAlign w:val="bottom"/>
            <w:gridSpan w:val="5"/>
          </w:tcPr>
          <w:p>
            <w:pPr>
              <w:spacing w:after="0" w:line="169" w:lineRule="exact"/>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Corporate Governance Guidelines</w:t>
              </w:r>
            </w:hyperlink>
          </w:p>
        </w:tc>
        <w:tc>
          <w:tcPr>
            <w:tcW w:w="1020" w:type="dxa"/>
            <w:vAlign w:val="bottom"/>
          </w:tcPr>
          <w:p>
            <w:pPr>
              <w:jc w:val="right"/>
              <w:ind w:right="639"/>
              <w:spacing w:after="0" w:line="169" w:lineRule="exact"/>
              <w:rPr>
                <w:sz w:val="20"/>
                <w:szCs w:val="20"/>
                <w:color w:val="auto"/>
              </w:rPr>
            </w:pPr>
            <w:r>
              <w:rPr>
                <w:rFonts w:ascii="Arial" w:cs="Arial" w:eastAsia="Arial" w:hAnsi="Arial"/>
                <w:sz w:val="16"/>
                <w:szCs w:val="16"/>
                <w:color w:val="auto"/>
              </w:rPr>
              <w:t>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0000EE"/>
              </w:rPr>
            </w:pPr>
            <w:hyperlink w:anchor="page49">
              <w:r>
                <w:rPr>
                  <w:rFonts w:ascii="Arial" w:cs="Arial" w:eastAsia="Arial" w:hAnsi="Arial"/>
                  <w:sz w:val="16"/>
                  <w:szCs w:val="16"/>
                  <w:color w:val="0000EE"/>
                </w:rPr>
                <w:t>Constructive Termination</w:t>
              </w:r>
            </w:hyperlink>
          </w:p>
        </w:tc>
        <w:tc>
          <w:tcPr>
            <w:tcW w:w="1980" w:type="dxa"/>
            <w:vAlign w:val="bottom"/>
            <w:tcBorders>
              <w:top w:val="single" w:sz="8" w:color="0000EE"/>
            </w:tcBorders>
            <w:gridSpan w:val="6"/>
          </w:tcPr>
          <w:p>
            <w:pPr>
              <w:spacing w:after="0"/>
              <w:rPr>
                <w:sz w:val="14"/>
                <w:szCs w:val="14"/>
                <w:color w:val="auto"/>
              </w:rPr>
            </w:pPr>
          </w:p>
        </w:tc>
        <w:tc>
          <w:tcPr>
            <w:tcW w:w="540" w:type="dxa"/>
            <w:vAlign w:val="bottom"/>
            <w:gridSpan w:val="6"/>
          </w:tcPr>
          <w:p>
            <w:pPr>
              <w:spacing w:after="0"/>
              <w:rPr>
                <w:sz w:val="14"/>
                <w:szCs w:val="14"/>
                <w:color w:val="auto"/>
              </w:rPr>
            </w:pPr>
          </w:p>
        </w:tc>
        <w:tc>
          <w:tcPr>
            <w:tcW w:w="280" w:type="dxa"/>
            <w:vAlign w:val="bottom"/>
          </w:tcPr>
          <w:p>
            <w:pPr>
              <w:jc w:val="right"/>
              <w:spacing w:after="0" w:line="169" w:lineRule="exact"/>
              <w:rPr>
                <w:sz w:val="20"/>
                <w:szCs w:val="20"/>
                <w:color w:val="auto"/>
              </w:rPr>
            </w:pPr>
            <w:r>
              <w:rPr>
                <w:rFonts w:ascii="Arial" w:cs="Arial" w:eastAsia="Arial" w:hAnsi="Arial"/>
                <w:sz w:val="16"/>
                <w:szCs w:val="16"/>
                <w:color w:val="auto"/>
              </w:rPr>
              <w:t>42</w:t>
            </w:r>
          </w:p>
        </w:tc>
      </w:tr>
      <w:tr>
        <w:trPr>
          <w:trHeight w:val="198"/>
        </w:trPr>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40" w:type="dxa"/>
            <w:vAlign w:val="bottom"/>
            <w:gridSpan w:val="5"/>
          </w:tcPr>
          <w:p>
            <w:pPr>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Board Leadership Structure</w:t>
              </w:r>
            </w:hyperlink>
          </w:p>
        </w:tc>
        <w:tc>
          <w:tcPr>
            <w:tcW w:w="1020" w:type="dxa"/>
            <w:vAlign w:val="bottom"/>
          </w:tcPr>
          <w:p>
            <w:pPr>
              <w:jc w:val="right"/>
              <w:ind w:right="639"/>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7"/>
                <w:szCs w:val="17"/>
                <w:color w:val="auto"/>
              </w:rPr>
            </w:pPr>
          </w:p>
        </w:tc>
        <w:tc>
          <w:tcPr>
            <w:tcW w:w="4640" w:type="dxa"/>
            <w:vAlign w:val="bottom"/>
            <w:gridSpan w:val="20"/>
          </w:tcPr>
          <w:p>
            <w:pPr>
              <w:spacing w:after="0"/>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CEO Pay Ratio Disclosure</w:t>
              </w:r>
            </w:hyperlink>
          </w:p>
        </w:tc>
        <w:tc>
          <w:tcPr>
            <w:tcW w:w="2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189"/>
        </w:trPr>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gridSpan w:val="5"/>
          </w:tcPr>
          <w:p>
            <w:pPr>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Risk Oversight</w:t>
              </w:r>
            </w:hyperlink>
          </w:p>
        </w:tc>
        <w:tc>
          <w:tcPr>
            <w:tcW w:w="1020" w:type="dxa"/>
            <w:vAlign w:val="bottom"/>
          </w:tcPr>
          <w:p>
            <w:pPr>
              <w:jc w:val="right"/>
              <w:ind w:right="639"/>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6"/>
                <w:szCs w:val="16"/>
                <w:color w:val="auto"/>
              </w:rPr>
            </w:pPr>
          </w:p>
        </w:tc>
        <w:tc>
          <w:tcPr>
            <w:tcW w:w="4640" w:type="dxa"/>
            <w:vAlign w:val="bottom"/>
            <w:gridSpan w:val="20"/>
          </w:tcPr>
          <w:p>
            <w:pPr>
              <w:spacing w:after="0"/>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Director Compensation</w:t>
              </w:r>
            </w:hyperlink>
          </w:p>
        </w:tc>
        <w:tc>
          <w:tcPr>
            <w:tcW w:w="2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189"/>
        </w:trPr>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gridSpan w:val="5"/>
          </w:tcPr>
          <w:p>
            <w:pPr>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Risk Oversight in Compensation Programs</w:t>
              </w:r>
            </w:hyperlink>
          </w:p>
        </w:tc>
        <w:tc>
          <w:tcPr>
            <w:tcW w:w="1020" w:type="dxa"/>
            <w:vAlign w:val="bottom"/>
          </w:tcPr>
          <w:p>
            <w:pPr>
              <w:jc w:val="right"/>
              <w:ind w:right="639"/>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80" w:type="dxa"/>
            <w:vAlign w:val="bottom"/>
            <w:gridSpan w:val="19"/>
          </w:tcPr>
          <w:p>
            <w:pPr>
              <w:spacing w:after="0"/>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Director Compensation Philosophy</w:t>
              </w:r>
            </w:hyperlink>
          </w:p>
        </w:tc>
        <w:tc>
          <w:tcPr>
            <w:tcW w:w="2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160"/>
        </w:trPr>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40" w:type="dxa"/>
            <w:vAlign w:val="bottom"/>
            <w:gridSpan w:val="5"/>
          </w:tcPr>
          <w:p>
            <w:pPr>
              <w:spacing w:after="0" w:line="160" w:lineRule="exact"/>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Code of Ethics</w:t>
              </w:r>
            </w:hyperlink>
          </w:p>
        </w:tc>
        <w:tc>
          <w:tcPr>
            <w:tcW w:w="1020" w:type="dxa"/>
            <w:vAlign w:val="bottom"/>
          </w:tcPr>
          <w:p>
            <w:pPr>
              <w:jc w:val="right"/>
              <w:ind w:right="639"/>
              <w:spacing w:after="0" w:line="160" w:lineRule="exact"/>
              <w:rPr>
                <w:sz w:val="20"/>
                <w:szCs w:val="20"/>
                <w:color w:val="auto"/>
              </w:rPr>
            </w:pPr>
            <w:r>
              <w:rPr>
                <w:rFonts w:ascii="Arial" w:cs="Arial" w:eastAsia="Arial" w:hAnsi="Arial"/>
                <w:sz w:val="16"/>
                <w:szCs w:val="16"/>
                <w:color w:val="auto"/>
              </w:rPr>
              <w:t>9</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20" w:type="dxa"/>
            <w:vAlign w:val="bottom"/>
            <w:tcBorders>
              <w:bottom w:val="single" w:sz="8" w:color="0000EE"/>
            </w:tcBorders>
            <w:gridSpan w:val="15"/>
          </w:tcPr>
          <w:p>
            <w:pPr>
              <w:spacing w:after="0" w:line="160" w:lineRule="exact"/>
              <w:rPr>
                <w:rFonts w:ascii="Arial" w:cs="Arial" w:eastAsia="Arial" w:hAnsi="Arial"/>
                <w:sz w:val="16"/>
                <w:szCs w:val="16"/>
                <w:color w:val="0000EE"/>
              </w:rPr>
            </w:pPr>
            <w:hyperlink w:anchor="page52">
              <w:r>
                <w:rPr>
                  <w:rFonts w:ascii="Arial" w:cs="Arial" w:eastAsia="Arial" w:hAnsi="Arial"/>
                  <w:sz w:val="16"/>
                  <w:szCs w:val="16"/>
                  <w:color w:val="0000EE"/>
                </w:rPr>
                <w:t>Director Compensation for Fiscal Year Ended March 28,</w:t>
              </w:r>
            </w:hyperlink>
          </w:p>
        </w:tc>
        <w:tc>
          <w:tcPr>
            <w:tcW w:w="460" w:type="dxa"/>
            <w:vAlign w:val="bottom"/>
            <w:gridSpan w:val="4"/>
          </w:tcPr>
          <w:p>
            <w:pPr>
              <w:spacing w:after="0"/>
              <w:rPr>
                <w:sz w:val="13"/>
                <w:szCs w:val="13"/>
                <w:color w:val="auto"/>
              </w:rPr>
            </w:pPr>
          </w:p>
        </w:tc>
        <w:tc>
          <w:tcPr>
            <w:tcW w:w="280" w:type="dxa"/>
            <w:vAlign w:val="bottom"/>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40" w:type="dxa"/>
            <w:vAlign w:val="bottom"/>
            <w:gridSpan w:val="5"/>
          </w:tcPr>
          <w:p>
            <w:pPr>
              <w:spacing w:after="0" w:line="169" w:lineRule="exact"/>
              <w:rPr>
                <w:rFonts w:ascii="Arial" w:cs="Arial" w:eastAsia="Arial" w:hAnsi="Arial"/>
                <w:sz w:val="16"/>
                <w:szCs w:val="16"/>
                <w:u w:val="single" w:color="auto"/>
                <w:color w:val="0000EE"/>
              </w:rPr>
            </w:pPr>
            <w:hyperlink w:anchor="page17">
              <w:r>
                <w:rPr>
                  <w:rFonts w:ascii="Arial" w:cs="Arial" w:eastAsia="Arial" w:hAnsi="Arial"/>
                  <w:sz w:val="16"/>
                  <w:szCs w:val="16"/>
                  <w:u w:val="single" w:color="auto"/>
                  <w:color w:val="0000EE"/>
                </w:rPr>
                <w:t>Committees and Meetings</w:t>
              </w:r>
            </w:hyperlink>
          </w:p>
        </w:tc>
        <w:tc>
          <w:tcPr>
            <w:tcW w:w="1020" w:type="dxa"/>
            <w:vAlign w:val="bottom"/>
          </w:tcPr>
          <w:p>
            <w:pPr>
              <w:jc w:val="right"/>
              <w:ind w:right="639"/>
              <w:spacing w:after="0" w:line="169" w:lineRule="exact"/>
              <w:rPr>
                <w:sz w:val="20"/>
                <w:szCs w:val="20"/>
                <w:color w:val="auto"/>
              </w:rPr>
            </w:pPr>
            <w:r>
              <w:rPr>
                <w:rFonts w:ascii="Arial" w:cs="Arial" w:eastAsia="Arial" w:hAnsi="Arial"/>
                <w:sz w:val="16"/>
                <w:szCs w:val="16"/>
                <w:color w:val="auto"/>
              </w:rPr>
              <w:t>10</w:t>
            </w:r>
          </w:p>
        </w:tc>
        <w:tc>
          <w:tcPr>
            <w:tcW w:w="480" w:type="dxa"/>
            <w:vAlign w:val="bottom"/>
            <w:gridSpan w:val="3"/>
          </w:tcPr>
          <w:p>
            <w:pPr>
              <w:spacing w:after="0"/>
              <w:rPr>
                <w:sz w:val="14"/>
                <w:szCs w:val="14"/>
                <w:color w:val="auto"/>
              </w:rPr>
            </w:pPr>
          </w:p>
        </w:tc>
        <w:tc>
          <w:tcPr>
            <w:tcW w:w="360" w:type="dxa"/>
            <w:vAlign w:val="bottom"/>
            <w:tcBorders>
              <w:bottom w:val="single" w:sz="8" w:color="0000EE"/>
            </w:tcBorders>
            <w:gridSpan w:val="2"/>
          </w:tcPr>
          <w:p>
            <w:pPr>
              <w:spacing w:after="0" w:line="169" w:lineRule="exact"/>
              <w:rPr>
                <w:rFonts w:ascii="Arial" w:cs="Arial" w:eastAsia="Arial" w:hAnsi="Arial"/>
                <w:sz w:val="16"/>
                <w:szCs w:val="16"/>
                <w:color w:val="0000EE"/>
                <w:w w:val="95"/>
              </w:rPr>
            </w:pPr>
            <w:hyperlink w:anchor="page52">
              <w:r>
                <w:rPr>
                  <w:rFonts w:ascii="Arial" w:cs="Arial" w:eastAsia="Arial" w:hAnsi="Arial"/>
                  <w:sz w:val="16"/>
                  <w:szCs w:val="16"/>
                  <w:color w:val="0000EE"/>
                  <w:w w:val="95"/>
                </w:rPr>
                <w:t>2020</w:t>
              </w:r>
            </w:hyperlink>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jc w:val="right"/>
              <w:spacing w:after="0" w:line="169" w:lineRule="exact"/>
              <w:rPr>
                <w:sz w:val="20"/>
                <w:szCs w:val="20"/>
                <w:color w:val="auto"/>
              </w:rPr>
            </w:pPr>
            <w:r>
              <w:rPr>
                <w:rFonts w:ascii="Arial" w:cs="Arial" w:eastAsia="Arial" w:hAnsi="Arial"/>
                <w:sz w:val="16"/>
                <w:szCs w:val="16"/>
                <w:color w:val="auto"/>
              </w:rPr>
              <w:t>45</w:t>
            </w: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40" w:type="dxa"/>
            <w:vAlign w:val="bottom"/>
            <w:gridSpan w:val="5"/>
          </w:tcPr>
          <w:p>
            <w:pPr>
              <w:ind w:left="160"/>
              <w:spacing w:after="0" w:line="169" w:lineRule="exact"/>
              <w:rPr>
                <w:rFonts w:ascii="Arial" w:cs="Arial" w:eastAsia="Arial" w:hAnsi="Arial"/>
                <w:sz w:val="16"/>
                <w:szCs w:val="16"/>
                <w:u w:val="single" w:color="auto"/>
                <w:color w:val="0000EE"/>
              </w:rPr>
            </w:pPr>
            <w:hyperlink w:anchor="page17">
              <w:r>
                <w:rPr>
                  <w:rFonts w:ascii="Arial" w:cs="Arial" w:eastAsia="Arial" w:hAnsi="Arial"/>
                  <w:sz w:val="16"/>
                  <w:szCs w:val="16"/>
                  <w:u w:val="single" w:color="auto"/>
                  <w:color w:val="0000EE"/>
                </w:rPr>
                <w:t>Audit Committee</w:t>
              </w:r>
            </w:hyperlink>
          </w:p>
        </w:tc>
        <w:tc>
          <w:tcPr>
            <w:tcW w:w="1020" w:type="dxa"/>
            <w:vAlign w:val="bottom"/>
          </w:tcPr>
          <w:p>
            <w:pPr>
              <w:jc w:val="right"/>
              <w:ind w:right="639"/>
              <w:spacing w:after="0" w:line="169" w:lineRule="exact"/>
              <w:rPr>
                <w:sz w:val="20"/>
                <w:szCs w:val="20"/>
                <w:color w:val="auto"/>
              </w:rPr>
            </w:pPr>
            <w:r>
              <w:rPr>
                <w:rFonts w:ascii="Arial" w:cs="Arial" w:eastAsia="Arial" w:hAnsi="Arial"/>
                <w:sz w:val="16"/>
                <w:szCs w:val="16"/>
                <w:color w:val="auto"/>
              </w:rPr>
              <w:t>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40" w:type="dxa"/>
            <w:vAlign w:val="bottom"/>
            <w:tcBorders>
              <w:bottom w:val="single" w:sz="8" w:color="0000EE"/>
            </w:tcBorders>
            <w:gridSpan w:val="18"/>
          </w:tcPr>
          <w:p>
            <w:pPr>
              <w:spacing w:after="0" w:line="169" w:lineRule="exact"/>
              <w:rPr>
                <w:rFonts w:ascii="Arial" w:cs="Arial" w:eastAsia="Arial" w:hAnsi="Arial"/>
                <w:sz w:val="16"/>
                <w:szCs w:val="16"/>
                <w:color w:val="0000EE"/>
              </w:rPr>
            </w:pPr>
            <w:hyperlink w:anchor="page53">
              <w:r>
                <w:rPr>
                  <w:rFonts w:ascii="Arial" w:cs="Arial" w:eastAsia="Arial" w:hAnsi="Arial"/>
                  <w:sz w:val="16"/>
                  <w:szCs w:val="16"/>
                  <w:color w:val="0000EE"/>
                </w:rPr>
                <w:t>Schedule of Director Fees for Fiscal Year Ended March 28,</w:t>
              </w:r>
            </w:hyperlink>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40" w:type="dxa"/>
            <w:vAlign w:val="bottom"/>
            <w:gridSpan w:val="5"/>
          </w:tcPr>
          <w:p>
            <w:pPr>
              <w:ind w:left="160"/>
              <w:spacing w:after="0" w:line="169" w:lineRule="exact"/>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Compensation Committee</w:t>
              </w:r>
            </w:hyperlink>
          </w:p>
        </w:tc>
        <w:tc>
          <w:tcPr>
            <w:tcW w:w="1020" w:type="dxa"/>
            <w:vAlign w:val="bottom"/>
          </w:tcPr>
          <w:p>
            <w:pPr>
              <w:jc w:val="right"/>
              <w:ind w:right="639"/>
              <w:spacing w:after="0" w:line="169" w:lineRule="exact"/>
              <w:rPr>
                <w:sz w:val="20"/>
                <w:szCs w:val="20"/>
                <w:color w:val="auto"/>
              </w:rPr>
            </w:pPr>
            <w:r>
              <w:rPr>
                <w:rFonts w:ascii="Arial" w:cs="Arial" w:eastAsia="Arial" w:hAnsi="Arial"/>
                <w:sz w:val="16"/>
                <w:szCs w:val="16"/>
                <w:color w:val="auto"/>
              </w:rPr>
              <w:t>11</w:t>
            </w:r>
          </w:p>
        </w:tc>
        <w:tc>
          <w:tcPr>
            <w:tcW w:w="480" w:type="dxa"/>
            <w:vAlign w:val="bottom"/>
            <w:gridSpan w:val="3"/>
          </w:tcPr>
          <w:p>
            <w:pPr>
              <w:spacing w:after="0"/>
              <w:rPr>
                <w:sz w:val="14"/>
                <w:szCs w:val="14"/>
                <w:color w:val="auto"/>
              </w:rPr>
            </w:pPr>
          </w:p>
        </w:tc>
        <w:tc>
          <w:tcPr>
            <w:tcW w:w="360" w:type="dxa"/>
            <w:vAlign w:val="bottom"/>
            <w:tcBorders>
              <w:bottom w:val="single" w:sz="8" w:color="0000EE"/>
            </w:tcBorders>
            <w:gridSpan w:val="2"/>
          </w:tcPr>
          <w:p>
            <w:pPr>
              <w:spacing w:after="0" w:line="169" w:lineRule="exact"/>
              <w:rPr>
                <w:rFonts w:ascii="Arial" w:cs="Arial" w:eastAsia="Arial" w:hAnsi="Arial"/>
                <w:sz w:val="16"/>
                <w:szCs w:val="16"/>
                <w:color w:val="0000EE"/>
                <w:w w:val="95"/>
              </w:rPr>
            </w:pPr>
            <w:hyperlink w:anchor="page53">
              <w:r>
                <w:rPr>
                  <w:rFonts w:ascii="Arial" w:cs="Arial" w:eastAsia="Arial" w:hAnsi="Arial"/>
                  <w:sz w:val="16"/>
                  <w:szCs w:val="16"/>
                  <w:color w:val="0000EE"/>
                  <w:w w:val="95"/>
                </w:rPr>
                <w:t>2020</w:t>
              </w:r>
            </w:hyperlink>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jc w:val="right"/>
              <w:spacing w:after="0" w:line="169" w:lineRule="exact"/>
              <w:rPr>
                <w:sz w:val="20"/>
                <w:szCs w:val="20"/>
                <w:color w:val="auto"/>
              </w:rPr>
            </w:pPr>
            <w:r>
              <w:rPr>
                <w:rFonts w:ascii="Arial" w:cs="Arial" w:eastAsia="Arial" w:hAnsi="Arial"/>
                <w:sz w:val="16"/>
                <w:szCs w:val="16"/>
                <w:color w:val="auto"/>
              </w:rPr>
              <w:t>46</w:t>
            </w:r>
          </w:p>
        </w:tc>
      </w:tr>
      <w:tr>
        <w:trPr>
          <w:trHeight w:val="198"/>
        </w:trPr>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40" w:type="dxa"/>
            <w:vAlign w:val="bottom"/>
            <w:gridSpan w:val="5"/>
          </w:tcPr>
          <w:p>
            <w:pPr>
              <w:ind w:left="160"/>
              <w:spacing w:after="0"/>
              <w:rPr>
                <w:rFonts w:ascii="Arial" w:cs="Arial" w:eastAsia="Arial" w:hAnsi="Arial"/>
                <w:sz w:val="16"/>
                <w:szCs w:val="16"/>
                <w:u w:val="single" w:color="auto"/>
                <w:color w:val="0000EE"/>
              </w:rPr>
            </w:pPr>
            <w:hyperlink w:anchor="page19">
              <w:r>
                <w:rPr>
                  <w:rFonts w:ascii="Arial" w:cs="Arial" w:eastAsia="Arial" w:hAnsi="Arial"/>
                  <w:sz w:val="16"/>
                  <w:szCs w:val="16"/>
                  <w:u w:val="single" w:color="auto"/>
                  <w:color w:val="0000EE"/>
                </w:rPr>
                <w:t>Governance and Nominating Committee</w:t>
              </w:r>
            </w:hyperlink>
          </w:p>
        </w:tc>
        <w:tc>
          <w:tcPr>
            <w:tcW w:w="1020" w:type="dxa"/>
            <w:vAlign w:val="bottom"/>
          </w:tcPr>
          <w:p>
            <w:pPr>
              <w:jc w:val="right"/>
              <w:ind w:right="639"/>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80" w:type="dxa"/>
            <w:vAlign w:val="bottom"/>
            <w:gridSpan w:val="19"/>
          </w:tcPr>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Equity Compensation</w:t>
              </w:r>
            </w:hyperlink>
          </w:p>
        </w:tc>
        <w:tc>
          <w:tcPr>
            <w:tcW w:w="2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189"/>
        </w:trPr>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gridSpan w:val="5"/>
          </w:tcPr>
          <w:p>
            <w:pPr>
              <w:ind w:left="160"/>
              <w:spacing w:after="0"/>
              <w:rPr>
                <w:rFonts w:ascii="Arial" w:cs="Arial" w:eastAsia="Arial" w:hAnsi="Arial"/>
                <w:sz w:val="16"/>
                <w:szCs w:val="16"/>
                <w:u w:val="single" w:color="auto"/>
                <w:color w:val="0000EE"/>
              </w:rPr>
            </w:pPr>
            <w:hyperlink w:anchor="page19">
              <w:r>
                <w:rPr>
                  <w:rFonts w:ascii="Arial" w:cs="Arial" w:eastAsia="Arial" w:hAnsi="Arial"/>
                  <w:sz w:val="16"/>
                  <w:szCs w:val="16"/>
                  <w:u w:val="single" w:color="auto"/>
                  <w:color w:val="0000EE"/>
                </w:rPr>
                <w:t>Corporate Development Committee</w:t>
              </w:r>
            </w:hyperlink>
          </w:p>
        </w:tc>
        <w:tc>
          <w:tcPr>
            <w:tcW w:w="1020" w:type="dxa"/>
            <w:vAlign w:val="bottom"/>
          </w:tcPr>
          <w:p>
            <w:pPr>
              <w:jc w:val="right"/>
              <w:ind w:right="639"/>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80" w:type="dxa"/>
            <w:vAlign w:val="bottom"/>
            <w:gridSpan w:val="19"/>
          </w:tcPr>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Other Compensation</w:t>
              </w:r>
            </w:hyperlink>
          </w:p>
        </w:tc>
        <w:tc>
          <w:tcPr>
            <w:tcW w:w="2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189"/>
        </w:trPr>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gridSpan w:val="5"/>
          </w:tcPr>
          <w:p>
            <w:pPr>
              <w:ind w:left="160"/>
              <w:spacing w:after="0"/>
              <w:rPr>
                <w:rFonts w:ascii="Arial" w:cs="Arial" w:eastAsia="Arial" w:hAnsi="Arial"/>
                <w:sz w:val="16"/>
                <w:szCs w:val="16"/>
                <w:u w:val="single" w:color="auto"/>
                <w:color w:val="0000EE"/>
              </w:rPr>
            </w:pPr>
            <w:hyperlink w:anchor="page19">
              <w:r>
                <w:rPr>
                  <w:rFonts w:ascii="Arial" w:cs="Arial" w:eastAsia="Arial" w:hAnsi="Arial"/>
                  <w:sz w:val="16"/>
                  <w:szCs w:val="16"/>
                  <w:u w:val="single" w:color="auto"/>
                  <w:color w:val="0000EE"/>
                </w:rPr>
                <w:t>Meeting Attendance</w:t>
              </w:r>
            </w:hyperlink>
          </w:p>
        </w:tc>
        <w:tc>
          <w:tcPr>
            <w:tcW w:w="1020" w:type="dxa"/>
            <w:vAlign w:val="bottom"/>
          </w:tcPr>
          <w:p>
            <w:pPr>
              <w:jc w:val="right"/>
              <w:ind w:right="639"/>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80" w:type="dxa"/>
            <w:vAlign w:val="bottom"/>
            <w:gridSpan w:val="19"/>
          </w:tcPr>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Director Compensation for Fiscal Year Ending April 3, 2021</w:t>
              </w:r>
            </w:hyperlink>
          </w:p>
        </w:tc>
        <w:tc>
          <w:tcPr>
            <w:tcW w:w="2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189"/>
        </w:trPr>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gridSpan w:val="5"/>
          </w:tcPr>
          <w:p>
            <w:pPr>
              <w:ind w:left="160"/>
              <w:spacing w:after="0"/>
              <w:rPr>
                <w:rFonts w:ascii="Arial" w:cs="Arial" w:eastAsia="Arial" w:hAnsi="Arial"/>
                <w:sz w:val="16"/>
                <w:szCs w:val="16"/>
                <w:u w:val="single" w:color="auto"/>
                <w:color w:val="0000EE"/>
              </w:rPr>
            </w:pPr>
            <w:hyperlink w:anchor="page19">
              <w:r>
                <w:rPr>
                  <w:rFonts w:ascii="Arial" w:cs="Arial" w:eastAsia="Arial" w:hAnsi="Arial"/>
                  <w:sz w:val="16"/>
                  <w:szCs w:val="16"/>
                  <w:u w:val="single" w:color="auto"/>
                  <w:color w:val="0000EE"/>
                </w:rPr>
                <w:t>Executive Sessions</w:t>
              </w:r>
            </w:hyperlink>
          </w:p>
        </w:tc>
        <w:tc>
          <w:tcPr>
            <w:tcW w:w="1020" w:type="dxa"/>
            <w:vAlign w:val="bottom"/>
          </w:tcPr>
          <w:p>
            <w:pPr>
              <w:jc w:val="right"/>
              <w:ind w:right="639"/>
              <w:spacing w:after="0"/>
              <w:rPr>
                <w:sz w:val="20"/>
                <w:szCs w:val="20"/>
                <w:color w:val="auto"/>
              </w:rPr>
            </w:pPr>
            <w:r>
              <w:rPr>
                <w:rFonts w:ascii="Arial" w:cs="Arial" w:eastAsia="Arial" w:hAnsi="Arial"/>
                <w:sz w:val="16"/>
                <w:szCs w:val="16"/>
                <w:color w:val="auto"/>
              </w:rPr>
              <w:t>12</w:t>
            </w:r>
          </w:p>
        </w:tc>
        <w:tc>
          <w:tcPr>
            <w:tcW w:w="4800" w:type="dxa"/>
            <w:vAlign w:val="bottom"/>
            <w:gridSpan w:val="21"/>
          </w:tcPr>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EQUITY COMPENSATION PLAN INFORMATION</w:t>
              </w:r>
            </w:hyperlink>
          </w:p>
        </w:tc>
        <w:tc>
          <w:tcPr>
            <w:tcW w:w="280" w:type="dxa"/>
            <w:vAlign w:val="bottom"/>
          </w:tcPr>
          <w:p>
            <w:pPr>
              <w:jc w:val="right"/>
              <w:spacing w:after="0"/>
              <w:rPr>
                <w:sz w:val="20"/>
                <w:szCs w:val="20"/>
                <w:color w:val="auto"/>
              </w:rPr>
            </w:pPr>
            <w:r>
              <w:rPr>
                <w:rFonts w:ascii="Arial" w:cs="Arial" w:eastAsia="Arial" w:hAnsi="Arial"/>
                <w:sz w:val="16"/>
                <w:szCs w:val="16"/>
                <w:color w:val="1269BC"/>
              </w:rPr>
              <w:t>47</w:t>
            </w:r>
          </w:p>
        </w:tc>
      </w:tr>
      <w:tr>
        <w:trPr>
          <w:trHeight w:val="189"/>
        </w:trPr>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gridSpan w:val="5"/>
          </w:tcPr>
          <w:p>
            <w:pPr>
              <w:spacing w:after="0"/>
              <w:rPr>
                <w:rFonts w:ascii="Arial" w:cs="Arial" w:eastAsia="Arial" w:hAnsi="Arial"/>
                <w:sz w:val="16"/>
                <w:szCs w:val="16"/>
                <w:u w:val="single" w:color="auto"/>
                <w:color w:val="0000EE"/>
              </w:rPr>
            </w:pPr>
            <w:hyperlink w:anchor="page19">
              <w:r>
                <w:rPr>
                  <w:rFonts w:ascii="Arial" w:cs="Arial" w:eastAsia="Arial" w:hAnsi="Arial"/>
                  <w:sz w:val="16"/>
                  <w:szCs w:val="16"/>
                  <w:u w:val="single" w:color="auto"/>
                  <w:color w:val="0000EE"/>
                </w:rPr>
                <w:t>Procedures for Director Nominations</w:t>
              </w:r>
            </w:hyperlink>
          </w:p>
        </w:tc>
        <w:tc>
          <w:tcPr>
            <w:tcW w:w="1020" w:type="dxa"/>
            <w:vAlign w:val="bottom"/>
          </w:tcPr>
          <w:p>
            <w:pPr>
              <w:jc w:val="right"/>
              <w:ind w:right="639"/>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6"/>
                <w:szCs w:val="16"/>
                <w:color w:val="auto"/>
              </w:rPr>
            </w:pPr>
          </w:p>
        </w:tc>
        <w:tc>
          <w:tcPr>
            <w:tcW w:w="4640" w:type="dxa"/>
            <w:vAlign w:val="bottom"/>
            <w:gridSpan w:val="20"/>
          </w:tcPr>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Non-Stockholder Approved Plans</w:t>
              </w:r>
            </w:hyperlink>
          </w:p>
        </w:tc>
        <w:tc>
          <w:tcPr>
            <w:tcW w:w="28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160"/>
        </w:trPr>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40" w:type="dxa"/>
            <w:vAlign w:val="bottom"/>
            <w:gridSpan w:val="5"/>
          </w:tcPr>
          <w:p>
            <w:pPr>
              <w:ind w:left="160"/>
              <w:spacing w:after="0" w:line="160" w:lineRule="exact"/>
              <w:rPr>
                <w:rFonts w:ascii="Arial" w:cs="Arial" w:eastAsia="Arial" w:hAnsi="Arial"/>
                <w:sz w:val="16"/>
                <w:szCs w:val="16"/>
                <w:u w:val="single" w:color="auto"/>
                <w:color w:val="0000EE"/>
              </w:rPr>
            </w:pPr>
            <w:hyperlink w:anchor="page19">
              <w:r>
                <w:rPr>
                  <w:rFonts w:ascii="Arial" w:cs="Arial" w:eastAsia="Arial" w:hAnsi="Arial"/>
                  <w:sz w:val="16"/>
                  <w:szCs w:val="16"/>
                  <w:u w:val="single" w:color="auto"/>
                  <w:color w:val="0000EE"/>
                </w:rPr>
                <w:t>Criteria for Director Nominees</w:t>
              </w:r>
            </w:hyperlink>
          </w:p>
        </w:tc>
        <w:tc>
          <w:tcPr>
            <w:tcW w:w="1020" w:type="dxa"/>
            <w:vAlign w:val="bottom"/>
          </w:tcPr>
          <w:p>
            <w:pPr>
              <w:jc w:val="right"/>
              <w:ind w:right="639"/>
              <w:spacing w:after="0" w:line="160" w:lineRule="exact"/>
              <w:rPr>
                <w:sz w:val="20"/>
                <w:szCs w:val="20"/>
                <w:color w:val="auto"/>
              </w:rPr>
            </w:pPr>
            <w:r>
              <w:rPr>
                <w:rFonts w:ascii="Arial" w:cs="Arial" w:eastAsia="Arial" w:hAnsi="Arial"/>
                <w:sz w:val="16"/>
                <w:szCs w:val="16"/>
                <w:color w:val="auto"/>
              </w:rPr>
              <w:t>12</w:t>
            </w:r>
          </w:p>
        </w:tc>
        <w:tc>
          <w:tcPr>
            <w:tcW w:w="4800" w:type="dxa"/>
            <w:vAlign w:val="bottom"/>
            <w:gridSpan w:val="21"/>
          </w:tcPr>
          <w:p>
            <w:pPr>
              <w:spacing w:after="0" w:line="160" w:lineRule="exact"/>
              <w:rPr>
                <w:rFonts w:ascii="Arial" w:cs="Arial" w:eastAsia="Arial" w:hAnsi="Arial"/>
                <w:sz w:val="16"/>
                <w:szCs w:val="16"/>
                <w:color w:val="0000EE"/>
              </w:rPr>
            </w:pPr>
            <w:hyperlink w:anchor="page55">
              <w:r>
                <w:rPr>
                  <w:rFonts w:ascii="Arial" w:cs="Arial" w:eastAsia="Arial" w:hAnsi="Arial"/>
                  <w:sz w:val="16"/>
                  <w:szCs w:val="16"/>
                  <w:color w:val="0000EE"/>
                </w:rPr>
                <w:t>PROPOSAL 2 – APPROVAL OF THE COMPENSATION OF</w:t>
              </w:r>
            </w:hyperlink>
          </w:p>
        </w:tc>
        <w:tc>
          <w:tcPr>
            <w:tcW w:w="280" w:type="dxa"/>
            <w:vAlign w:val="bottom"/>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40" w:type="dxa"/>
            <w:vAlign w:val="bottom"/>
            <w:gridSpan w:val="5"/>
          </w:tcPr>
          <w:p>
            <w:pPr>
              <w:ind w:left="160"/>
              <w:spacing w:after="0" w:line="169" w:lineRule="exact"/>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Stockholder Nominees for Director</w:t>
              </w:r>
            </w:hyperlink>
          </w:p>
        </w:tc>
        <w:tc>
          <w:tcPr>
            <w:tcW w:w="1020" w:type="dxa"/>
            <w:vAlign w:val="bottom"/>
          </w:tcPr>
          <w:p>
            <w:pPr>
              <w:jc w:val="right"/>
              <w:ind w:right="639"/>
              <w:spacing w:after="0" w:line="169" w:lineRule="exact"/>
              <w:rPr>
                <w:sz w:val="20"/>
                <w:szCs w:val="20"/>
                <w:color w:val="auto"/>
              </w:rPr>
            </w:pPr>
            <w:r>
              <w:rPr>
                <w:rFonts w:ascii="Arial" w:cs="Arial" w:eastAsia="Arial" w:hAnsi="Arial"/>
                <w:sz w:val="16"/>
                <w:szCs w:val="16"/>
                <w:color w:val="auto"/>
              </w:rPr>
              <w:t>13</w:t>
            </w:r>
          </w:p>
        </w:tc>
        <w:tc>
          <w:tcPr>
            <w:tcW w:w="160" w:type="dxa"/>
            <w:vAlign w:val="bottom"/>
            <w:tcBorders>
              <w:top w:val="single" w:sz="8" w:color="0000EE"/>
            </w:tcBorders>
          </w:tcPr>
          <w:p>
            <w:pPr>
              <w:spacing w:after="0"/>
              <w:rPr>
                <w:sz w:val="14"/>
                <w:szCs w:val="14"/>
                <w:color w:val="auto"/>
              </w:rPr>
            </w:pPr>
          </w:p>
        </w:tc>
        <w:tc>
          <w:tcPr>
            <w:tcW w:w="4160" w:type="dxa"/>
            <w:vAlign w:val="bottom"/>
            <w:tcBorders>
              <w:top w:val="single" w:sz="8" w:color="0000EE"/>
            </w:tcBorders>
            <w:gridSpan w:val="15"/>
          </w:tcPr>
          <w:p>
            <w:pPr>
              <w:spacing w:after="0" w:line="169" w:lineRule="exact"/>
              <w:rPr>
                <w:rFonts w:ascii="Arial" w:cs="Arial" w:eastAsia="Arial" w:hAnsi="Arial"/>
                <w:sz w:val="16"/>
                <w:szCs w:val="16"/>
                <w:color w:val="0000EE"/>
              </w:rPr>
            </w:pPr>
            <w:hyperlink w:anchor="page55">
              <w:r>
                <w:rPr>
                  <w:rFonts w:ascii="Arial" w:cs="Arial" w:eastAsia="Arial" w:hAnsi="Arial"/>
                  <w:sz w:val="16"/>
                  <w:szCs w:val="16"/>
                  <w:color w:val="0000EE"/>
                </w:rPr>
                <w:t>OUR NAMED EXECUTIVE OFFICERS</w:t>
              </w:r>
            </w:hyperlink>
          </w:p>
        </w:tc>
        <w:tc>
          <w:tcPr>
            <w:tcW w:w="480" w:type="dxa"/>
            <w:vAlign w:val="bottom"/>
            <w:gridSpan w:val="5"/>
          </w:tcPr>
          <w:p>
            <w:pPr>
              <w:spacing w:after="0"/>
              <w:rPr>
                <w:sz w:val="14"/>
                <w:szCs w:val="14"/>
                <w:color w:val="auto"/>
              </w:rPr>
            </w:pPr>
          </w:p>
        </w:tc>
        <w:tc>
          <w:tcPr>
            <w:tcW w:w="280" w:type="dxa"/>
            <w:vAlign w:val="bottom"/>
          </w:tcPr>
          <w:p>
            <w:pPr>
              <w:jc w:val="right"/>
              <w:spacing w:after="0" w:line="169" w:lineRule="exact"/>
              <w:rPr>
                <w:sz w:val="20"/>
                <w:szCs w:val="20"/>
                <w:color w:val="auto"/>
              </w:rPr>
            </w:pPr>
            <w:r>
              <w:rPr>
                <w:rFonts w:ascii="Arial" w:cs="Arial" w:eastAsia="Arial" w:hAnsi="Arial"/>
                <w:sz w:val="16"/>
                <w:szCs w:val="16"/>
                <w:color w:val="1269BC"/>
              </w:rPr>
              <w:t>48</w:t>
            </w: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40" w:type="dxa"/>
            <w:vAlign w:val="bottom"/>
            <w:gridSpan w:val="5"/>
          </w:tcPr>
          <w:p>
            <w:pPr>
              <w:spacing w:after="0" w:line="169" w:lineRule="exact"/>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Stockholder Communications with Directors</w:t>
              </w:r>
            </w:hyperlink>
          </w:p>
        </w:tc>
        <w:tc>
          <w:tcPr>
            <w:tcW w:w="1020" w:type="dxa"/>
            <w:vAlign w:val="bottom"/>
          </w:tcPr>
          <w:p>
            <w:pPr>
              <w:jc w:val="right"/>
              <w:ind w:right="639"/>
              <w:spacing w:after="0" w:line="169" w:lineRule="exact"/>
              <w:rPr>
                <w:sz w:val="20"/>
                <w:szCs w:val="20"/>
                <w:color w:val="auto"/>
              </w:rPr>
            </w:pPr>
            <w:r>
              <w:rPr>
                <w:rFonts w:ascii="Arial" w:cs="Arial" w:eastAsia="Arial" w:hAnsi="Arial"/>
                <w:sz w:val="16"/>
                <w:szCs w:val="16"/>
                <w:color w:val="auto"/>
              </w:rPr>
              <w:t>15</w:t>
            </w:r>
          </w:p>
        </w:tc>
        <w:tc>
          <w:tcPr>
            <w:tcW w:w="4800" w:type="dxa"/>
            <w:vAlign w:val="bottom"/>
            <w:gridSpan w:val="21"/>
          </w:tcPr>
          <w:p>
            <w:pPr>
              <w:spacing w:after="0" w:line="169" w:lineRule="exact"/>
              <w:rPr>
                <w:rFonts w:ascii="Arial" w:cs="Arial" w:eastAsia="Arial" w:hAnsi="Arial"/>
                <w:sz w:val="16"/>
                <w:szCs w:val="16"/>
                <w:color w:val="0000EE"/>
              </w:rPr>
            </w:pPr>
            <w:hyperlink w:anchor="page57">
              <w:r>
                <w:rPr>
                  <w:rFonts w:ascii="Arial" w:cs="Arial" w:eastAsia="Arial" w:hAnsi="Arial"/>
                  <w:sz w:val="16"/>
                  <w:szCs w:val="16"/>
                  <w:color w:val="0000EE"/>
                </w:rPr>
                <w:t>PROPOSAL 3 – RATIFICATION OF APPOINTMENT OF</w:t>
              </w:r>
            </w:hyperlink>
          </w:p>
        </w:tc>
        <w:tc>
          <w:tcPr>
            <w:tcW w:w="280" w:type="dxa"/>
            <w:vAlign w:val="bottom"/>
          </w:tcPr>
          <w:p>
            <w:pPr>
              <w:spacing w:after="0"/>
              <w:rPr>
                <w:sz w:val="14"/>
                <w:szCs w:val="14"/>
                <w:color w:val="auto"/>
              </w:rPr>
            </w:pP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40" w:type="dxa"/>
            <w:vAlign w:val="bottom"/>
            <w:gridSpan w:val="5"/>
          </w:tcPr>
          <w:p>
            <w:pPr>
              <w:spacing w:after="0" w:line="169" w:lineRule="exact"/>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Prohibition on Hedging and Pledging</w:t>
              </w:r>
            </w:hyperlink>
          </w:p>
        </w:tc>
        <w:tc>
          <w:tcPr>
            <w:tcW w:w="1020" w:type="dxa"/>
            <w:vAlign w:val="bottom"/>
          </w:tcPr>
          <w:p>
            <w:pPr>
              <w:jc w:val="right"/>
              <w:ind w:right="639"/>
              <w:spacing w:after="0" w:line="169" w:lineRule="exact"/>
              <w:rPr>
                <w:sz w:val="20"/>
                <w:szCs w:val="20"/>
                <w:color w:val="auto"/>
              </w:rPr>
            </w:pPr>
            <w:r>
              <w:rPr>
                <w:rFonts w:ascii="Arial" w:cs="Arial" w:eastAsia="Arial" w:hAnsi="Arial"/>
                <w:sz w:val="16"/>
                <w:szCs w:val="16"/>
                <w:color w:val="auto"/>
              </w:rPr>
              <w:t>15</w:t>
            </w:r>
          </w:p>
        </w:tc>
        <w:tc>
          <w:tcPr>
            <w:tcW w:w="160" w:type="dxa"/>
            <w:vAlign w:val="bottom"/>
          </w:tcPr>
          <w:p>
            <w:pPr>
              <w:spacing w:after="0"/>
              <w:rPr>
                <w:sz w:val="14"/>
                <w:szCs w:val="14"/>
                <w:color w:val="auto"/>
              </w:rPr>
            </w:pPr>
          </w:p>
        </w:tc>
        <w:tc>
          <w:tcPr>
            <w:tcW w:w="4640" w:type="dxa"/>
            <w:vAlign w:val="bottom"/>
            <w:gridSpan w:val="20"/>
          </w:tcPr>
          <w:p>
            <w:pPr>
              <w:spacing w:after="0" w:line="169" w:lineRule="exact"/>
              <w:rPr>
                <w:rFonts w:ascii="Arial" w:cs="Arial" w:eastAsia="Arial" w:hAnsi="Arial"/>
                <w:sz w:val="16"/>
                <w:szCs w:val="16"/>
                <w:color w:val="0000EE"/>
              </w:rPr>
            </w:pPr>
            <w:hyperlink w:anchor="page57">
              <w:r>
                <w:rPr>
                  <w:rFonts w:ascii="Arial" w:cs="Arial" w:eastAsia="Arial" w:hAnsi="Arial"/>
                  <w:sz w:val="16"/>
                  <w:szCs w:val="16"/>
                  <w:color w:val="0000EE"/>
                </w:rPr>
                <w:t>INDEPENDENT REGISTERED PUBLIC ACCOUNTING</w:t>
              </w:r>
            </w:hyperlink>
          </w:p>
        </w:tc>
        <w:tc>
          <w:tcPr>
            <w:tcW w:w="280" w:type="dxa"/>
            <w:vAlign w:val="bottom"/>
          </w:tcPr>
          <w:p>
            <w:pPr>
              <w:spacing w:after="0"/>
              <w:rPr>
                <w:sz w:val="14"/>
                <w:szCs w:val="14"/>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40" w:type="dxa"/>
            <w:vAlign w:val="bottom"/>
            <w:gridSpan w:val="5"/>
          </w:tcPr>
          <w:p>
            <w:pPr>
              <w:spacing w:after="0" w:line="169" w:lineRule="exact"/>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Pre-Approval Policies and Procedures</w:t>
              </w:r>
            </w:hyperlink>
          </w:p>
        </w:tc>
        <w:tc>
          <w:tcPr>
            <w:tcW w:w="1020" w:type="dxa"/>
            <w:vAlign w:val="bottom"/>
          </w:tcPr>
          <w:p>
            <w:pPr>
              <w:jc w:val="right"/>
              <w:ind w:right="639"/>
              <w:spacing w:after="0" w:line="169" w:lineRule="exact"/>
              <w:rPr>
                <w:sz w:val="20"/>
                <w:szCs w:val="20"/>
                <w:color w:val="auto"/>
              </w:rPr>
            </w:pPr>
            <w:r>
              <w:rPr>
                <w:rFonts w:ascii="Arial" w:cs="Arial" w:eastAsia="Arial" w:hAnsi="Arial"/>
                <w:sz w:val="16"/>
                <w:szCs w:val="16"/>
                <w:color w:val="auto"/>
              </w:rPr>
              <w:t>15</w:t>
            </w:r>
          </w:p>
        </w:tc>
        <w:tc>
          <w:tcPr>
            <w:tcW w:w="160" w:type="dxa"/>
            <w:vAlign w:val="bottom"/>
          </w:tcPr>
          <w:p>
            <w:pPr>
              <w:spacing w:after="0"/>
              <w:rPr>
                <w:sz w:val="14"/>
                <w:szCs w:val="14"/>
                <w:color w:val="auto"/>
              </w:rPr>
            </w:pPr>
          </w:p>
        </w:tc>
        <w:tc>
          <w:tcPr>
            <w:tcW w:w="4020" w:type="dxa"/>
            <w:vAlign w:val="bottom"/>
            <w:tcBorders>
              <w:top w:val="single" w:sz="8" w:color="0000EE"/>
            </w:tcBorders>
            <w:gridSpan w:val="13"/>
          </w:tcPr>
          <w:p>
            <w:pPr>
              <w:spacing w:after="0" w:line="169" w:lineRule="exact"/>
              <w:rPr>
                <w:rFonts w:ascii="Arial" w:cs="Arial" w:eastAsia="Arial" w:hAnsi="Arial"/>
                <w:sz w:val="16"/>
                <w:szCs w:val="16"/>
                <w:color w:val="0000EE"/>
              </w:rPr>
            </w:pPr>
            <w:hyperlink w:anchor="page57">
              <w:r>
                <w:rPr>
                  <w:rFonts w:ascii="Arial" w:cs="Arial" w:eastAsia="Arial" w:hAnsi="Arial"/>
                  <w:sz w:val="16"/>
                  <w:szCs w:val="16"/>
                  <w:color w:val="0000EE"/>
                </w:rPr>
                <w:t>FIRM</w:t>
              </w:r>
            </w:hyperlink>
          </w:p>
        </w:tc>
        <w:tc>
          <w:tcPr>
            <w:tcW w:w="620" w:type="dxa"/>
            <w:vAlign w:val="bottom"/>
            <w:gridSpan w:val="7"/>
          </w:tcPr>
          <w:p>
            <w:pPr>
              <w:spacing w:after="0"/>
              <w:rPr>
                <w:sz w:val="14"/>
                <w:szCs w:val="14"/>
                <w:color w:val="auto"/>
              </w:rPr>
            </w:pPr>
          </w:p>
        </w:tc>
        <w:tc>
          <w:tcPr>
            <w:tcW w:w="280" w:type="dxa"/>
            <w:vAlign w:val="bottom"/>
          </w:tcPr>
          <w:p>
            <w:pPr>
              <w:jc w:val="right"/>
              <w:spacing w:after="0" w:line="169" w:lineRule="exact"/>
              <w:rPr>
                <w:sz w:val="20"/>
                <w:szCs w:val="20"/>
                <w:color w:val="auto"/>
              </w:rPr>
            </w:pPr>
            <w:r>
              <w:rPr>
                <w:rFonts w:ascii="Arial" w:cs="Arial" w:eastAsia="Arial" w:hAnsi="Arial"/>
                <w:sz w:val="16"/>
                <w:szCs w:val="16"/>
                <w:color w:val="1269BC"/>
              </w:rPr>
              <w:t>50</w:t>
            </w: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40" w:type="dxa"/>
            <w:vAlign w:val="bottom"/>
            <w:gridSpan w:val="5"/>
          </w:tcPr>
          <w:p>
            <w:pPr>
              <w:spacing w:after="0" w:line="169" w:lineRule="exact"/>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Whistleblower Policy</w:t>
              </w:r>
            </w:hyperlink>
          </w:p>
        </w:tc>
        <w:tc>
          <w:tcPr>
            <w:tcW w:w="1020" w:type="dxa"/>
            <w:vAlign w:val="bottom"/>
          </w:tcPr>
          <w:p>
            <w:pPr>
              <w:jc w:val="right"/>
              <w:ind w:right="639"/>
              <w:spacing w:after="0" w:line="169" w:lineRule="exact"/>
              <w:rPr>
                <w:sz w:val="20"/>
                <w:szCs w:val="20"/>
                <w:color w:val="auto"/>
              </w:rPr>
            </w:pPr>
            <w:r>
              <w:rPr>
                <w:rFonts w:ascii="Arial" w:cs="Arial" w:eastAsia="Arial" w:hAnsi="Arial"/>
                <w:sz w:val="16"/>
                <w:szCs w:val="16"/>
                <w:color w:val="auto"/>
              </w:rPr>
              <w:t>15</w:t>
            </w:r>
          </w:p>
        </w:tc>
        <w:tc>
          <w:tcPr>
            <w:tcW w:w="160" w:type="dxa"/>
            <w:vAlign w:val="bottom"/>
          </w:tcPr>
          <w:p>
            <w:pPr>
              <w:spacing w:after="0"/>
              <w:rPr>
                <w:sz w:val="14"/>
                <w:szCs w:val="14"/>
                <w:color w:val="auto"/>
              </w:rPr>
            </w:pPr>
          </w:p>
        </w:tc>
        <w:tc>
          <w:tcPr>
            <w:tcW w:w="3760" w:type="dxa"/>
            <w:vAlign w:val="bottom"/>
            <w:tcBorders>
              <w:bottom w:val="single" w:sz="8" w:color="0000EE"/>
            </w:tcBorders>
            <w:gridSpan w:val="11"/>
          </w:tcPr>
          <w:p>
            <w:pPr>
              <w:spacing w:after="0" w:line="169" w:lineRule="exact"/>
              <w:rPr>
                <w:rFonts w:ascii="Arial" w:cs="Arial" w:eastAsia="Arial" w:hAnsi="Arial"/>
                <w:sz w:val="16"/>
                <w:szCs w:val="16"/>
                <w:color w:val="0000EE"/>
              </w:rPr>
            </w:pPr>
            <w:hyperlink w:anchor="page57">
              <w:r>
                <w:rPr>
                  <w:rFonts w:ascii="Arial" w:cs="Arial" w:eastAsia="Arial" w:hAnsi="Arial"/>
                  <w:sz w:val="16"/>
                  <w:szCs w:val="16"/>
                  <w:color w:val="0000EE"/>
                </w:rPr>
                <w:t>Independent Registered Public Accounting Firm Fee</w:t>
              </w:r>
            </w:hyperlink>
          </w:p>
        </w:tc>
        <w:tc>
          <w:tcPr>
            <w:tcW w:w="880" w:type="dxa"/>
            <w:vAlign w:val="bottom"/>
            <w:gridSpan w:val="9"/>
          </w:tcPr>
          <w:p>
            <w:pPr>
              <w:spacing w:after="0"/>
              <w:rPr>
                <w:sz w:val="14"/>
                <w:szCs w:val="14"/>
                <w:color w:val="auto"/>
              </w:rPr>
            </w:pPr>
          </w:p>
        </w:tc>
        <w:tc>
          <w:tcPr>
            <w:tcW w:w="280" w:type="dxa"/>
            <w:vAlign w:val="bottom"/>
          </w:tcPr>
          <w:p>
            <w:pPr>
              <w:spacing w:after="0"/>
              <w:rPr>
                <w:sz w:val="14"/>
                <w:szCs w:val="14"/>
                <w:color w:val="auto"/>
              </w:rPr>
            </w:pPr>
          </w:p>
        </w:tc>
      </w:tr>
      <w:tr>
        <w:trPr>
          <w:trHeight w:val="169"/>
        </w:trPr>
        <w:tc>
          <w:tcPr>
            <w:tcW w:w="320" w:type="dxa"/>
            <w:vAlign w:val="bottom"/>
          </w:tcPr>
          <w:p>
            <w:pPr>
              <w:spacing w:after="0"/>
              <w:rPr>
                <w:sz w:val="14"/>
                <w:szCs w:val="14"/>
                <w:color w:val="auto"/>
              </w:rPr>
            </w:pPr>
          </w:p>
        </w:tc>
        <w:tc>
          <w:tcPr>
            <w:tcW w:w="4500" w:type="dxa"/>
            <w:vAlign w:val="bottom"/>
            <w:tcBorders>
              <w:bottom w:val="single" w:sz="8" w:color="0000EE"/>
            </w:tcBorders>
            <w:gridSpan w:val="5"/>
          </w:tcPr>
          <w:p>
            <w:pPr>
              <w:spacing w:after="0" w:line="169" w:lineRule="exact"/>
              <w:rPr>
                <w:rFonts w:ascii="Arial" w:cs="Arial" w:eastAsia="Arial" w:hAnsi="Arial"/>
                <w:sz w:val="16"/>
                <w:szCs w:val="16"/>
                <w:color w:val="0000EE"/>
              </w:rPr>
            </w:pPr>
            <w:hyperlink w:anchor="page23">
              <w:r>
                <w:rPr>
                  <w:rFonts w:ascii="Arial" w:cs="Arial" w:eastAsia="Arial" w:hAnsi="Arial"/>
                  <w:sz w:val="16"/>
                  <w:szCs w:val="16"/>
                  <w:color w:val="0000EE"/>
                </w:rPr>
                <w:t>COMPENSATION COMMITTEE INTERLOCKS AND INSIDER</w:t>
              </w:r>
            </w:hyperlink>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0000EE"/>
            </w:tcBorders>
            <w:gridSpan w:val="5"/>
          </w:tcPr>
          <w:p>
            <w:pPr>
              <w:spacing w:after="0" w:line="169" w:lineRule="exact"/>
              <w:rPr>
                <w:rFonts w:ascii="Arial" w:cs="Arial" w:eastAsia="Arial" w:hAnsi="Arial"/>
                <w:sz w:val="16"/>
                <w:szCs w:val="16"/>
                <w:color w:val="0000EE"/>
                <w:w w:val="99"/>
              </w:rPr>
            </w:pPr>
            <w:hyperlink w:anchor="page57">
              <w:r>
                <w:rPr>
                  <w:rFonts w:ascii="Arial" w:cs="Arial" w:eastAsia="Arial" w:hAnsi="Arial"/>
                  <w:sz w:val="16"/>
                  <w:szCs w:val="16"/>
                  <w:color w:val="0000EE"/>
                  <w:w w:val="99"/>
                </w:rPr>
                <w:t>Information</w:t>
              </w:r>
            </w:hyperlink>
          </w:p>
        </w:tc>
        <w:tc>
          <w:tcPr>
            <w:tcW w:w="3660" w:type="dxa"/>
            <w:vAlign w:val="bottom"/>
            <w:gridSpan w:val="14"/>
          </w:tcPr>
          <w:p>
            <w:pPr>
              <w:spacing w:after="0"/>
              <w:rPr>
                <w:sz w:val="14"/>
                <w:szCs w:val="14"/>
                <w:color w:val="auto"/>
              </w:rPr>
            </w:pPr>
          </w:p>
        </w:tc>
        <w:tc>
          <w:tcPr>
            <w:tcW w:w="280" w:type="dxa"/>
            <w:vAlign w:val="bottom"/>
          </w:tcPr>
          <w:p>
            <w:pPr>
              <w:jc w:val="right"/>
              <w:spacing w:after="0" w:line="169" w:lineRule="exact"/>
              <w:rPr>
                <w:sz w:val="20"/>
                <w:szCs w:val="20"/>
                <w:color w:val="auto"/>
              </w:rPr>
            </w:pPr>
            <w:r>
              <w:rPr>
                <w:rFonts w:ascii="Arial" w:cs="Arial" w:eastAsia="Arial" w:hAnsi="Arial"/>
                <w:sz w:val="16"/>
                <w:szCs w:val="16"/>
                <w:color w:val="auto"/>
              </w:rPr>
              <w:t>50</w:t>
            </w: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40" w:type="dxa"/>
            <w:vAlign w:val="bottom"/>
            <w:gridSpan w:val="5"/>
          </w:tcPr>
          <w:p>
            <w:pPr>
              <w:spacing w:after="0" w:line="169" w:lineRule="exact"/>
              <w:rPr>
                <w:rFonts w:ascii="Arial" w:cs="Arial" w:eastAsia="Arial" w:hAnsi="Arial"/>
                <w:sz w:val="16"/>
                <w:szCs w:val="16"/>
                <w:color w:val="0000EE"/>
              </w:rPr>
            </w:pPr>
            <w:hyperlink w:anchor="page23">
              <w:r>
                <w:rPr>
                  <w:rFonts w:ascii="Arial" w:cs="Arial" w:eastAsia="Arial" w:hAnsi="Arial"/>
                  <w:sz w:val="16"/>
                  <w:szCs w:val="16"/>
                  <w:color w:val="0000EE"/>
                </w:rPr>
                <w:t>PARTICIPATION</w:t>
              </w:r>
            </w:hyperlink>
          </w:p>
        </w:tc>
        <w:tc>
          <w:tcPr>
            <w:tcW w:w="102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16</w:t>
            </w:r>
          </w:p>
        </w:tc>
        <w:tc>
          <w:tcPr>
            <w:tcW w:w="4800" w:type="dxa"/>
            <w:vAlign w:val="bottom"/>
            <w:gridSpan w:val="21"/>
          </w:tcPr>
          <w:p>
            <w:pPr>
              <w:spacing w:after="0" w:line="169" w:lineRule="exact"/>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REPORT OF THE AUDIT COMMITTEE</w:t>
              </w:r>
            </w:hyperlink>
          </w:p>
        </w:tc>
        <w:tc>
          <w:tcPr>
            <w:tcW w:w="280" w:type="dxa"/>
            <w:vAlign w:val="bottom"/>
          </w:tcPr>
          <w:p>
            <w:pPr>
              <w:jc w:val="right"/>
              <w:spacing w:after="0" w:line="169" w:lineRule="exact"/>
              <w:rPr>
                <w:sz w:val="20"/>
                <w:szCs w:val="20"/>
                <w:color w:val="auto"/>
              </w:rPr>
            </w:pPr>
            <w:r>
              <w:rPr>
                <w:rFonts w:ascii="Arial" w:cs="Arial" w:eastAsia="Arial" w:hAnsi="Arial"/>
                <w:sz w:val="16"/>
                <w:szCs w:val="16"/>
                <w:color w:val="1269BC"/>
              </w:rPr>
              <w:t>51</w:t>
            </w:r>
          </w:p>
        </w:tc>
      </w:tr>
      <w:tr>
        <w:trPr>
          <w:trHeight w:val="20"/>
        </w:trPr>
        <w:tc>
          <w:tcPr>
            <w:tcW w:w="480" w:type="dxa"/>
            <w:vAlign w:val="bottom"/>
            <w:gridSpan w:val="2"/>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4600" w:type="dxa"/>
            <w:vAlign w:val="bottom"/>
            <w:gridSpan w:val="6"/>
          </w:tcPr>
          <w:p>
            <w:pPr>
              <w:spacing w:after="0" w:line="169" w:lineRule="exact"/>
              <w:rPr>
                <w:rFonts w:ascii="Arial" w:cs="Arial" w:eastAsia="Arial" w:hAnsi="Arial"/>
                <w:sz w:val="16"/>
                <w:szCs w:val="16"/>
                <w:color w:val="0000EE"/>
              </w:rPr>
            </w:pPr>
            <w:hyperlink w:anchor="page24">
              <w:r>
                <w:rPr>
                  <w:rFonts w:ascii="Arial" w:cs="Arial" w:eastAsia="Arial" w:hAnsi="Arial"/>
                  <w:sz w:val="16"/>
                  <w:szCs w:val="16"/>
                  <w:color w:val="0000EE"/>
                </w:rPr>
                <w:t>SECURITY OWNERSHIP OF CERTAIN BENEFICIAL</w:t>
              </w:r>
            </w:hyperlink>
          </w:p>
        </w:tc>
        <w:tc>
          <w:tcPr>
            <w:tcW w:w="1020" w:type="dxa"/>
            <w:vAlign w:val="bottom"/>
          </w:tcPr>
          <w:p>
            <w:pPr>
              <w:spacing w:after="0"/>
              <w:rPr>
                <w:sz w:val="14"/>
                <w:szCs w:val="14"/>
                <w:color w:val="auto"/>
              </w:rPr>
            </w:pPr>
          </w:p>
        </w:tc>
        <w:tc>
          <w:tcPr>
            <w:tcW w:w="4800" w:type="dxa"/>
            <w:vAlign w:val="bottom"/>
            <w:gridSpan w:val="21"/>
          </w:tcPr>
          <w:p>
            <w:pPr>
              <w:spacing w:after="0" w:line="169" w:lineRule="exact"/>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RELATED PERSON TRANSACTIONS</w:t>
              </w:r>
            </w:hyperlink>
          </w:p>
        </w:tc>
        <w:tc>
          <w:tcPr>
            <w:tcW w:w="280" w:type="dxa"/>
            <w:vAlign w:val="bottom"/>
          </w:tcPr>
          <w:p>
            <w:pPr>
              <w:jc w:val="right"/>
              <w:spacing w:after="0" w:line="169" w:lineRule="exact"/>
              <w:rPr>
                <w:sz w:val="20"/>
                <w:szCs w:val="20"/>
                <w:color w:val="auto"/>
              </w:rPr>
            </w:pPr>
            <w:r>
              <w:rPr>
                <w:rFonts w:ascii="Arial" w:cs="Arial" w:eastAsia="Arial" w:hAnsi="Arial"/>
                <w:sz w:val="16"/>
                <w:szCs w:val="16"/>
                <w:color w:val="1269BC"/>
              </w:rPr>
              <w:t>52</w:t>
            </w:r>
          </w:p>
        </w:tc>
      </w:tr>
      <w:tr>
        <w:trPr>
          <w:trHeight w:val="169"/>
        </w:trPr>
        <w:tc>
          <w:tcPr>
            <w:tcW w:w="32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3700" w:type="dxa"/>
            <w:vAlign w:val="bottom"/>
            <w:tcBorders>
              <w:top w:val="single" w:sz="8" w:color="0000EE"/>
            </w:tcBorders>
            <w:gridSpan w:val="3"/>
          </w:tcPr>
          <w:p>
            <w:pPr>
              <w:spacing w:after="0" w:line="169" w:lineRule="exact"/>
              <w:rPr>
                <w:rFonts w:ascii="Arial" w:cs="Arial" w:eastAsia="Arial" w:hAnsi="Arial"/>
                <w:sz w:val="16"/>
                <w:szCs w:val="16"/>
                <w:color w:val="0000EE"/>
              </w:rPr>
            </w:pPr>
            <w:hyperlink w:anchor="page24">
              <w:r>
                <w:rPr>
                  <w:rFonts w:ascii="Arial" w:cs="Arial" w:eastAsia="Arial" w:hAnsi="Arial"/>
                  <w:sz w:val="16"/>
                  <w:szCs w:val="16"/>
                  <w:color w:val="0000EE"/>
                </w:rPr>
                <w:t>OWNERS AND MANAGEMENT</w:t>
              </w:r>
            </w:hyperlink>
          </w:p>
        </w:tc>
        <w:tc>
          <w:tcPr>
            <w:tcW w:w="740" w:type="dxa"/>
            <w:vAlign w:val="bottom"/>
            <w:gridSpan w:val="2"/>
          </w:tcPr>
          <w:p>
            <w:pPr>
              <w:spacing w:after="0"/>
              <w:rPr>
                <w:sz w:val="14"/>
                <w:szCs w:val="14"/>
                <w:color w:val="auto"/>
              </w:rPr>
            </w:pPr>
          </w:p>
        </w:tc>
        <w:tc>
          <w:tcPr>
            <w:tcW w:w="1020" w:type="dxa"/>
            <w:vAlign w:val="bottom"/>
          </w:tcPr>
          <w:p>
            <w:pPr>
              <w:jc w:val="right"/>
              <w:ind w:right="639"/>
              <w:spacing w:after="0" w:line="169" w:lineRule="exact"/>
              <w:rPr>
                <w:sz w:val="20"/>
                <w:szCs w:val="20"/>
                <w:color w:val="auto"/>
              </w:rPr>
            </w:pPr>
            <w:r>
              <w:rPr>
                <w:rFonts w:ascii="Arial" w:cs="Arial" w:eastAsia="Arial" w:hAnsi="Arial"/>
                <w:sz w:val="16"/>
                <w:szCs w:val="16"/>
                <w:color w:val="1269BC"/>
              </w:rPr>
              <w:t>17</w:t>
            </w:r>
          </w:p>
        </w:tc>
        <w:tc>
          <w:tcPr>
            <w:tcW w:w="160" w:type="dxa"/>
            <w:vAlign w:val="bottom"/>
          </w:tcPr>
          <w:p>
            <w:pPr>
              <w:spacing w:after="0"/>
              <w:rPr>
                <w:sz w:val="14"/>
                <w:szCs w:val="14"/>
                <w:color w:val="auto"/>
              </w:rPr>
            </w:pPr>
          </w:p>
        </w:tc>
        <w:tc>
          <w:tcPr>
            <w:tcW w:w="4640" w:type="dxa"/>
            <w:vAlign w:val="bottom"/>
            <w:gridSpan w:val="20"/>
          </w:tcPr>
          <w:p>
            <w:pPr>
              <w:spacing w:after="0" w:line="169" w:lineRule="exact"/>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Related Person Transactions Policy</w:t>
              </w:r>
            </w:hyperlink>
          </w:p>
        </w:tc>
        <w:tc>
          <w:tcPr>
            <w:tcW w:w="280" w:type="dxa"/>
            <w:vAlign w:val="bottom"/>
          </w:tcPr>
          <w:p>
            <w:pPr>
              <w:jc w:val="right"/>
              <w:spacing w:after="0" w:line="169" w:lineRule="exact"/>
              <w:rPr>
                <w:sz w:val="20"/>
                <w:szCs w:val="20"/>
                <w:color w:val="auto"/>
              </w:rPr>
            </w:pPr>
            <w:r>
              <w:rPr>
                <w:rFonts w:ascii="Arial" w:cs="Arial" w:eastAsia="Arial" w:hAnsi="Arial"/>
                <w:sz w:val="16"/>
                <w:szCs w:val="16"/>
                <w:color w:val="auto"/>
              </w:rPr>
              <w:t>52</w:t>
            </w:r>
          </w:p>
        </w:tc>
      </w:tr>
      <w:tr>
        <w:trPr>
          <w:trHeight w:val="20"/>
        </w:trPr>
        <w:tc>
          <w:tcPr>
            <w:tcW w:w="480" w:type="dxa"/>
            <w:vAlign w:val="bottom"/>
            <w:gridSpan w:val="2"/>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8"/>
        </w:trPr>
        <w:tc>
          <w:tcPr>
            <w:tcW w:w="4920" w:type="dxa"/>
            <w:vAlign w:val="bottom"/>
            <w:gridSpan w:val="7"/>
          </w:tcPr>
          <w:p>
            <w:pPr>
              <w:ind w:left="320"/>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EXECUTIVE OFFICERS</w:t>
              </w:r>
            </w:hyperlink>
          </w:p>
        </w:tc>
        <w:tc>
          <w:tcPr>
            <w:tcW w:w="1020" w:type="dxa"/>
            <w:vAlign w:val="bottom"/>
          </w:tcPr>
          <w:p>
            <w:pPr>
              <w:jc w:val="right"/>
              <w:ind w:right="639"/>
              <w:spacing w:after="0"/>
              <w:rPr>
                <w:sz w:val="20"/>
                <w:szCs w:val="20"/>
                <w:color w:val="auto"/>
              </w:rPr>
            </w:pPr>
            <w:r>
              <w:rPr>
                <w:rFonts w:ascii="Arial" w:cs="Arial" w:eastAsia="Arial" w:hAnsi="Arial"/>
                <w:sz w:val="16"/>
                <w:szCs w:val="16"/>
                <w:color w:val="1269BC"/>
              </w:rPr>
              <w:t>19</w:t>
            </w:r>
          </w:p>
        </w:tc>
        <w:tc>
          <w:tcPr>
            <w:tcW w:w="4800" w:type="dxa"/>
            <w:vAlign w:val="bottom"/>
            <w:gridSpan w:val="21"/>
          </w:tcPr>
          <w:p>
            <w:pPr>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PROPOSALS FOR 2021 ANNUAL MEETING</w:t>
              </w:r>
            </w:hyperlink>
          </w:p>
        </w:tc>
        <w:tc>
          <w:tcPr>
            <w:tcW w:w="280" w:type="dxa"/>
            <w:vAlign w:val="bottom"/>
          </w:tcPr>
          <w:p>
            <w:pPr>
              <w:jc w:val="right"/>
              <w:spacing w:after="0"/>
              <w:rPr>
                <w:sz w:val="20"/>
                <w:szCs w:val="20"/>
                <w:color w:val="auto"/>
              </w:rPr>
            </w:pPr>
            <w:r>
              <w:rPr>
                <w:rFonts w:ascii="Arial" w:cs="Arial" w:eastAsia="Arial" w:hAnsi="Arial"/>
                <w:sz w:val="16"/>
                <w:szCs w:val="16"/>
                <w:color w:val="1269BC"/>
              </w:rPr>
              <w:t>53</w:t>
            </w:r>
          </w:p>
        </w:tc>
      </w:tr>
      <w:tr>
        <w:trPr>
          <w:trHeight w:val="160"/>
        </w:trPr>
        <w:tc>
          <w:tcPr>
            <w:tcW w:w="4920" w:type="dxa"/>
            <w:vAlign w:val="bottom"/>
            <w:gridSpan w:val="7"/>
          </w:tcPr>
          <w:p>
            <w:pPr>
              <w:ind w:left="320"/>
              <w:spacing w:after="0" w:line="160" w:lineRule="exact"/>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EXECUTIVE COMPENSATION</w:t>
              </w:r>
            </w:hyperlink>
          </w:p>
        </w:tc>
        <w:tc>
          <w:tcPr>
            <w:tcW w:w="1020" w:type="dxa"/>
            <w:vAlign w:val="bottom"/>
          </w:tcPr>
          <w:p>
            <w:pPr>
              <w:jc w:val="right"/>
              <w:ind w:right="639"/>
              <w:spacing w:after="0" w:line="160" w:lineRule="exact"/>
              <w:rPr>
                <w:sz w:val="20"/>
                <w:szCs w:val="20"/>
                <w:color w:val="auto"/>
              </w:rPr>
            </w:pPr>
            <w:r>
              <w:rPr>
                <w:rFonts w:ascii="Arial" w:cs="Arial" w:eastAsia="Arial" w:hAnsi="Arial"/>
                <w:sz w:val="16"/>
                <w:szCs w:val="16"/>
                <w:color w:val="1269BC"/>
              </w:rPr>
              <w:t>20</w:t>
            </w:r>
          </w:p>
        </w:tc>
        <w:tc>
          <w:tcPr>
            <w:tcW w:w="3080" w:type="dxa"/>
            <w:vAlign w:val="bottom"/>
            <w:tcBorders>
              <w:bottom w:val="single" w:sz="8" w:color="0000EE"/>
            </w:tcBorders>
            <w:gridSpan w:val="11"/>
          </w:tcPr>
          <w:p>
            <w:pPr>
              <w:spacing w:after="0" w:line="160" w:lineRule="exact"/>
              <w:rPr>
                <w:rFonts w:ascii="Arial" w:cs="Arial" w:eastAsia="Arial" w:hAnsi="Arial"/>
                <w:sz w:val="16"/>
                <w:szCs w:val="16"/>
                <w:color w:val="0000EE"/>
              </w:rPr>
            </w:pPr>
            <w:hyperlink w:anchor="page61">
              <w:r>
                <w:rPr>
                  <w:rFonts w:ascii="Arial" w:cs="Arial" w:eastAsia="Arial" w:hAnsi="Arial"/>
                  <w:sz w:val="16"/>
                  <w:szCs w:val="16"/>
                  <w:color w:val="0000EE"/>
                </w:rPr>
                <w:t>HOUSEHOLDING OF ANNUAL MEETING</w:t>
              </w:r>
            </w:hyperlink>
          </w:p>
        </w:tc>
        <w:tc>
          <w:tcPr>
            <w:tcW w:w="1720" w:type="dxa"/>
            <w:vAlign w:val="bottom"/>
            <w:gridSpan w:val="10"/>
          </w:tcPr>
          <w:p>
            <w:pPr>
              <w:spacing w:after="0"/>
              <w:rPr>
                <w:sz w:val="13"/>
                <w:szCs w:val="13"/>
                <w:color w:val="auto"/>
              </w:rPr>
            </w:pPr>
          </w:p>
        </w:tc>
        <w:tc>
          <w:tcPr>
            <w:tcW w:w="280" w:type="dxa"/>
            <w:vAlign w:val="bottom"/>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40" w:type="dxa"/>
            <w:vAlign w:val="bottom"/>
            <w:gridSpan w:val="5"/>
          </w:tcPr>
          <w:p>
            <w:pPr>
              <w:spacing w:after="0" w:line="169" w:lineRule="exact"/>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Compensation Discussion and Analysis</w:t>
              </w:r>
            </w:hyperlink>
          </w:p>
        </w:tc>
        <w:tc>
          <w:tcPr>
            <w:tcW w:w="1020" w:type="dxa"/>
            <w:vAlign w:val="bottom"/>
          </w:tcPr>
          <w:p>
            <w:pPr>
              <w:jc w:val="right"/>
              <w:ind w:right="639"/>
              <w:spacing w:after="0" w:line="169" w:lineRule="exact"/>
              <w:rPr>
                <w:sz w:val="20"/>
                <w:szCs w:val="20"/>
                <w:color w:val="auto"/>
              </w:rPr>
            </w:pPr>
            <w:r>
              <w:rPr>
                <w:rFonts w:ascii="Arial" w:cs="Arial" w:eastAsia="Arial" w:hAnsi="Arial"/>
                <w:sz w:val="16"/>
                <w:szCs w:val="16"/>
                <w:color w:val="auto"/>
              </w:rPr>
              <w:t>20</w:t>
            </w:r>
          </w:p>
        </w:tc>
        <w:tc>
          <w:tcPr>
            <w:tcW w:w="160" w:type="dxa"/>
            <w:vAlign w:val="bottom"/>
          </w:tcPr>
          <w:p>
            <w:pPr>
              <w:spacing w:after="0"/>
              <w:rPr>
                <w:sz w:val="14"/>
                <w:szCs w:val="14"/>
                <w:color w:val="auto"/>
              </w:rPr>
            </w:pPr>
          </w:p>
        </w:tc>
        <w:tc>
          <w:tcPr>
            <w:tcW w:w="920" w:type="dxa"/>
            <w:vAlign w:val="bottom"/>
            <w:tcBorders>
              <w:bottom w:val="single" w:sz="8" w:color="0000EE"/>
            </w:tcBorders>
            <w:gridSpan w:val="5"/>
          </w:tcPr>
          <w:p>
            <w:pPr>
              <w:spacing w:after="0" w:line="169" w:lineRule="exact"/>
              <w:rPr>
                <w:rFonts w:ascii="Arial" w:cs="Arial" w:eastAsia="Arial" w:hAnsi="Arial"/>
                <w:sz w:val="16"/>
                <w:szCs w:val="16"/>
                <w:color w:val="0000EE"/>
                <w:w w:val="99"/>
              </w:rPr>
            </w:pPr>
            <w:hyperlink w:anchor="page61">
              <w:r>
                <w:rPr>
                  <w:rFonts w:ascii="Arial" w:cs="Arial" w:eastAsia="Arial" w:hAnsi="Arial"/>
                  <w:sz w:val="16"/>
                  <w:szCs w:val="16"/>
                  <w:color w:val="0000EE"/>
                  <w:w w:val="99"/>
                </w:rPr>
                <w:t>MATERIALS</w:t>
              </w:r>
            </w:hyperlink>
          </w:p>
        </w:tc>
        <w:tc>
          <w:tcPr>
            <w:tcW w:w="3720" w:type="dxa"/>
            <w:vAlign w:val="bottom"/>
            <w:gridSpan w:val="15"/>
          </w:tcPr>
          <w:p>
            <w:pPr>
              <w:spacing w:after="0"/>
              <w:rPr>
                <w:sz w:val="14"/>
                <w:szCs w:val="14"/>
                <w:color w:val="auto"/>
              </w:rPr>
            </w:pPr>
          </w:p>
        </w:tc>
        <w:tc>
          <w:tcPr>
            <w:tcW w:w="280" w:type="dxa"/>
            <w:vAlign w:val="bottom"/>
          </w:tcPr>
          <w:p>
            <w:pPr>
              <w:jc w:val="right"/>
              <w:spacing w:after="0" w:line="169" w:lineRule="exact"/>
              <w:rPr>
                <w:sz w:val="20"/>
                <w:szCs w:val="20"/>
                <w:color w:val="auto"/>
              </w:rPr>
            </w:pPr>
            <w:r>
              <w:rPr>
                <w:rFonts w:ascii="Arial" w:cs="Arial" w:eastAsia="Arial" w:hAnsi="Arial"/>
                <w:sz w:val="16"/>
                <w:szCs w:val="16"/>
                <w:color w:val="1269BC"/>
              </w:rPr>
              <w:t>54</w:t>
            </w:r>
          </w:p>
        </w:tc>
      </w:tr>
      <w:tr>
        <w:trPr>
          <w:trHeight w:val="198"/>
        </w:trPr>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40" w:type="dxa"/>
            <w:vAlign w:val="bottom"/>
            <w:gridSpan w:val="5"/>
          </w:tcPr>
          <w:p>
            <w:pPr>
              <w:ind w:left="160"/>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Executive Summary</w:t>
              </w:r>
            </w:hyperlink>
          </w:p>
        </w:tc>
        <w:tc>
          <w:tcPr>
            <w:tcW w:w="1020" w:type="dxa"/>
            <w:vAlign w:val="bottom"/>
          </w:tcPr>
          <w:p>
            <w:pPr>
              <w:jc w:val="right"/>
              <w:ind w:right="639"/>
              <w:spacing w:after="0"/>
              <w:rPr>
                <w:sz w:val="20"/>
                <w:szCs w:val="20"/>
                <w:color w:val="auto"/>
              </w:rPr>
            </w:pPr>
            <w:r>
              <w:rPr>
                <w:rFonts w:ascii="Arial" w:cs="Arial" w:eastAsia="Arial" w:hAnsi="Arial"/>
                <w:sz w:val="16"/>
                <w:szCs w:val="16"/>
                <w:color w:val="auto"/>
              </w:rPr>
              <w:t>20</w:t>
            </w:r>
          </w:p>
        </w:tc>
        <w:tc>
          <w:tcPr>
            <w:tcW w:w="4800" w:type="dxa"/>
            <w:vAlign w:val="bottom"/>
            <w:gridSpan w:val="21"/>
          </w:tcPr>
          <w:p>
            <w:pPr>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FINANCIAL INFORMATION</w:t>
              </w:r>
            </w:hyperlink>
          </w:p>
        </w:tc>
        <w:tc>
          <w:tcPr>
            <w:tcW w:w="280" w:type="dxa"/>
            <w:vAlign w:val="bottom"/>
          </w:tcPr>
          <w:p>
            <w:pPr>
              <w:jc w:val="right"/>
              <w:spacing w:after="0"/>
              <w:rPr>
                <w:sz w:val="20"/>
                <w:szCs w:val="20"/>
                <w:color w:val="auto"/>
              </w:rPr>
            </w:pPr>
            <w:r>
              <w:rPr>
                <w:rFonts w:ascii="Arial" w:cs="Arial" w:eastAsia="Arial" w:hAnsi="Arial"/>
                <w:sz w:val="16"/>
                <w:szCs w:val="16"/>
                <w:color w:val="1269BC"/>
              </w:rPr>
              <w:t>54</w:t>
            </w:r>
          </w:p>
        </w:tc>
      </w:tr>
      <w:tr>
        <w:trPr>
          <w:trHeight w:val="189"/>
        </w:trPr>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gridSpan w:val="5"/>
          </w:tcPr>
          <w:p>
            <w:pPr>
              <w:ind w:left="160"/>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Executive Compensation Program</w:t>
              </w:r>
            </w:hyperlink>
          </w:p>
        </w:tc>
        <w:tc>
          <w:tcPr>
            <w:tcW w:w="1020" w:type="dxa"/>
            <w:vAlign w:val="bottom"/>
          </w:tcPr>
          <w:p>
            <w:pPr>
              <w:jc w:val="right"/>
              <w:ind w:right="639"/>
              <w:spacing w:after="0"/>
              <w:rPr>
                <w:sz w:val="20"/>
                <w:szCs w:val="20"/>
                <w:color w:val="auto"/>
              </w:rPr>
            </w:pPr>
            <w:r>
              <w:rPr>
                <w:rFonts w:ascii="Arial" w:cs="Arial" w:eastAsia="Arial" w:hAnsi="Arial"/>
                <w:sz w:val="16"/>
                <w:szCs w:val="16"/>
                <w:color w:val="auto"/>
              </w:rPr>
              <w:t>23</w:t>
            </w:r>
          </w:p>
        </w:tc>
        <w:tc>
          <w:tcPr>
            <w:tcW w:w="4800" w:type="dxa"/>
            <w:vAlign w:val="bottom"/>
            <w:gridSpan w:val="21"/>
          </w:tcPr>
          <w:p>
            <w:pPr>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OTHER BUSINESS</w:t>
              </w:r>
            </w:hyperlink>
          </w:p>
        </w:tc>
        <w:tc>
          <w:tcPr>
            <w:tcW w:w="280" w:type="dxa"/>
            <w:vAlign w:val="bottom"/>
          </w:tcPr>
          <w:p>
            <w:pPr>
              <w:jc w:val="right"/>
              <w:spacing w:after="0"/>
              <w:rPr>
                <w:sz w:val="20"/>
                <w:szCs w:val="20"/>
                <w:color w:val="auto"/>
              </w:rPr>
            </w:pPr>
            <w:r>
              <w:rPr>
                <w:rFonts w:ascii="Arial" w:cs="Arial" w:eastAsia="Arial" w:hAnsi="Arial"/>
                <w:sz w:val="16"/>
                <w:szCs w:val="16"/>
                <w:color w:val="1269BC"/>
              </w:rPr>
              <w:t>54</w:t>
            </w:r>
          </w:p>
        </w:tc>
      </w:tr>
      <w:tr>
        <w:trPr>
          <w:trHeight w:val="189"/>
        </w:trPr>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gridSpan w:val="5"/>
          </w:tcPr>
          <w:p>
            <w:pPr>
              <w:ind w:left="160"/>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Compensation Decision-Making Processes</w:t>
              </w:r>
            </w:hyperlink>
          </w:p>
        </w:tc>
        <w:tc>
          <w:tcPr>
            <w:tcW w:w="1020" w:type="dxa"/>
            <w:vAlign w:val="bottom"/>
          </w:tcPr>
          <w:p>
            <w:pPr>
              <w:jc w:val="right"/>
              <w:ind w:right="639"/>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9"/>
        </w:trPr>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gridSpan w:val="5"/>
          </w:tcPr>
          <w:p>
            <w:pPr>
              <w:ind w:left="160"/>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Elements of Compensation</w:t>
              </w:r>
            </w:hyperlink>
          </w:p>
        </w:tc>
        <w:tc>
          <w:tcPr>
            <w:tcW w:w="1020" w:type="dxa"/>
            <w:vAlign w:val="bottom"/>
          </w:tcPr>
          <w:p>
            <w:pPr>
              <w:jc w:val="right"/>
              <w:ind w:right="639"/>
              <w:spacing w:after="0"/>
              <w:rPr>
                <w:sz w:val="20"/>
                <w:szCs w:val="20"/>
                <w:color w:val="auto"/>
              </w:rPr>
            </w:pPr>
            <w:r>
              <w:rPr>
                <w:rFonts w:ascii="Arial" w:cs="Arial" w:eastAsia="Arial" w:hAnsi="Arial"/>
                <w:sz w:val="16"/>
                <w:szCs w:val="16"/>
                <w:color w:val="auto"/>
              </w:rPr>
              <w:t>26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9"/>
        </w:trPr>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gridSpan w:val="5"/>
          </w:tcPr>
          <w:p>
            <w:pPr>
              <w:ind w:left="160"/>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Change in Control Agreements</w:t>
              </w:r>
            </w:hyperlink>
          </w:p>
        </w:tc>
        <w:tc>
          <w:tcPr>
            <w:tcW w:w="1020" w:type="dxa"/>
            <w:vAlign w:val="bottom"/>
          </w:tcPr>
          <w:p>
            <w:pPr>
              <w:jc w:val="right"/>
              <w:ind w:right="639"/>
              <w:spacing w:after="0"/>
              <w:rPr>
                <w:sz w:val="20"/>
                <w:szCs w:val="20"/>
                <w:color w:val="auto"/>
              </w:rPr>
            </w:pPr>
            <w:r>
              <w:rPr>
                <w:rFonts w:ascii="Arial" w:cs="Arial" w:eastAsia="Arial" w:hAnsi="Arial"/>
                <w:sz w:val="16"/>
                <w:szCs w:val="16"/>
                <w:color w:val="auto"/>
              </w:rPr>
              <w:t>32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9"/>
        </w:trPr>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gridSpan w:val="5"/>
          </w:tcPr>
          <w:p>
            <w:pPr>
              <w:ind w:left="160"/>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Conclusion</w:t>
              </w:r>
            </w:hyperlink>
          </w:p>
        </w:tc>
        <w:tc>
          <w:tcPr>
            <w:tcW w:w="1020" w:type="dxa"/>
            <w:vAlign w:val="bottom"/>
          </w:tcPr>
          <w:p>
            <w:pPr>
              <w:jc w:val="right"/>
              <w:ind w:right="639"/>
              <w:spacing w:after="0"/>
              <w:rPr>
                <w:sz w:val="20"/>
                <w:szCs w:val="20"/>
                <w:color w:val="auto"/>
              </w:rPr>
            </w:pPr>
            <w:r>
              <w:rPr>
                <w:rFonts w:ascii="Arial" w:cs="Arial" w:eastAsia="Arial" w:hAnsi="Arial"/>
                <w:sz w:val="16"/>
                <w:szCs w:val="16"/>
                <w:color w:val="auto"/>
              </w:rPr>
              <w:t>32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9"/>
        </w:trPr>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gridSpan w:val="5"/>
          </w:tcPr>
          <w:p>
            <w:pPr>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Compensation Committee Report</w:t>
              </w:r>
            </w:hyperlink>
          </w:p>
        </w:tc>
        <w:tc>
          <w:tcPr>
            <w:tcW w:w="1020" w:type="dxa"/>
            <w:vAlign w:val="bottom"/>
          </w:tcPr>
          <w:p>
            <w:pPr>
              <w:jc w:val="right"/>
              <w:ind w:right="639"/>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9"/>
        </w:trPr>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gridSpan w:val="5"/>
          </w:tcPr>
          <w:p>
            <w:pPr>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Summary Compensation Table</w:t>
              </w:r>
            </w:hyperlink>
          </w:p>
        </w:tc>
        <w:tc>
          <w:tcPr>
            <w:tcW w:w="1020" w:type="dxa"/>
            <w:vAlign w:val="bottom"/>
          </w:tcPr>
          <w:p>
            <w:pPr>
              <w:jc w:val="right"/>
              <w:ind w:right="639"/>
              <w:spacing w:after="0"/>
              <w:rPr>
                <w:sz w:val="20"/>
                <w:szCs w:val="20"/>
                <w:color w:val="auto"/>
              </w:rPr>
            </w:pPr>
            <w:r>
              <w:rPr>
                <w:rFonts w:ascii="Arial" w:cs="Arial" w:eastAsia="Arial" w:hAnsi="Arial"/>
                <w:sz w:val="16"/>
                <w:szCs w:val="16"/>
                <w:color w:val="auto"/>
              </w:rPr>
              <w:t>34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9"/>
        </w:trPr>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gridSpan w:val="5"/>
          </w:tcPr>
          <w:p>
            <w:pPr>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2020 Grants of Plan-Based Awards Table</w:t>
              </w:r>
            </w:hyperlink>
          </w:p>
        </w:tc>
        <w:tc>
          <w:tcPr>
            <w:tcW w:w="1020" w:type="dxa"/>
            <w:vAlign w:val="bottom"/>
          </w:tcPr>
          <w:p>
            <w:pPr>
              <w:jc w:val="right"/>
              <w:ind w:right="639"/>
              <w:spacing w:after="0"/>
              <w:rPr>
                <w:sz w:val="20"/>
                <w:szCs w:val="20"/>
                <w:color w:val="auto"/>
              </w:rPr>
            </w:pPr>
            <w:r>
              <w:rPr>
                <w:rFonts w:ascii="Arial" w:cs="Arial" w:eastAsia="Arial" w:hAnsi="Arial"/>
                <w:sz w:val="16"/>
                <w:szCs w:val="16"/>
                <w:color w:val="auto"/>
              </w:rPr>
              <w:t>35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9"/>
        </w:trPr>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gridSpan w:val="5"/>
          </w:tcPr>
          <w:p>
            <w:pPr>
              <w:ind w:left="160"/>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Equity Compensation Plans</w:t>
              </w:r>
            </w:hyperlink>
          </w:p>
        </w:tc>
        <w:tc>
          <w:tcPr>
            <w:tcW w:w="1020" w:type="dxa"/>
            <w:vAlign w:val="bottom"/>
          </w:tcPr>
          <w:p>
            <w:pPr>
              <w:jc w:val="right"/>
              <w:ind w:right="639"/>
              <w:spacing w:after="0"/>
              <w:rPr>
                <w:sz w:val="20"/>
                <w:szCs w:val="20"/>
                <w:color w:val="auto"/>
              </w:rPr>
            </w:pPr>
            <w:r>
              <w:rPr>
                <w:rFonts w:ascii="Arial" w:cs="Arial" w:eastAsia="Arial" w:hAnsi="Arial"/>
                <w:sz w:val="16"/>
                <w:szCs w:val="16"/>
                <w:color w:val="auto"/>
              </w:rPr>
              <w:t>36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9"/>
        </w:trPr>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gridSpan w:val="5"/>
          </w:tcPr>
          <w:p>
            <w:pPr>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Outstanding Equity Awards at Fiscal 2020 Year-End Table</w:t>
              </w:r>
            </w:hyperlink>
          </w:p>
        </w:tc>
        <w:tc>
          <w:tcPr>
            <w:tcW w:w="1020" w:type="dxa"/>
            <w:vAlign w:val="bottom"/>
          </w:tcPr>
          <w:p>
            <w:pPr>
              <w:jc w:val="right"/>
              <w:ind w:right="639"/>
              <w:spacing w:after="0"/>
              <w:rPr>
                <w:sz w:val="20"/>
                <w:szCs w:val="20"/>
                <w:color w:val="auto"/>
              </w:rPr>
            </w:pPr>
            <w:r>
              <w:rPr>
                <w:rFonts w:ascii="Arial" w:cs="Arial" w:eastAsia="Arial" w:hAnsi="Arial"/>
                <w:sz w:val="16"/>
                <w:szCs w:val="16"/>
                <w:color w:val="auto"/>
              </w:rPr>
              <w:t>37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5"/>
        </w:trPr>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40" w:type="dxa"/>
            <w:vAlign w:val="bottom"/>
            <w:gridSpan w:val="5"/>
          </w:tcPr>
          <w:p>
            <w:pPr>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2020 Option Exercises and Stock Vested Table</w:t>
              </w:r>
            </w:hyperlink>
          </w:p>
        </w:tc>
        <w:tc>
          <w:tcPr>
            <w:tcW w:w="1020" w:type="dxa"/>
            <w:vAlign w:val="bottom"/>
          </w:tcPr>
          <w:p>
            <w:pPr>
              <w:jc w:val="right"/>
              <w:ind w:right="639"/>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559"/>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20" w:type="dxa"/>
            <w:vAlign w:val="bottom"/>
            <w:gridSpan w:val="11"/>
          </w:tcPr>
          <w:p>
            <w:pPr>
              <w:ind w:left="20"/>
              <w:spacing w:after="0"/>
              <w:rPr>
                <w:sz w:val="20"/>
                <w:szCs w:val="20"/>
                <w:color w:val="auto"/>
              </w:rPr>
            </w:pPr>
            <w:r>
              <w:rPr>
                <w:rFonts w:ascii="Arial" w:cs="Arial" w:eastAsia="Arial" w:hAnsi="Arial"/>
                <w:sz w:val="18"/>
                <w:szCs w:val="18"/>
                <w:i w:val="1"/>
                <w:iCs w:val="1"/>
                <w:color w:val="1269BC"/>
                <w:w w:val="99"/>
              </w:rPr>
              <w:t>2020 Proxy Statement</w:t>
            </w:r>
          </w:p>
        </w:tc>
        <w:tc>
          <w:tcPr>
            <w:tcW w:w="280" w:type="dxa"/>
            <w:vAlign w:val="bottom"/>
          </w:tcPr>
          <w:p>
            <w:pPr>
              <w:jc w:val="right"/>
              <w:spacing w:after="0"/>
              <w:rPr>
                <w:sz w:val="20"/>
                <w:szCs w:val="20"/>
                <w:color w:val="auto"/>
              </w:rPr>
            </w:pPr>
            <w:r>
              <w:rPr>
                <w:rFonts w:ascii="Arial" w:cs="Arial" w:eastAsia="Arial" w:hAnsi="Arial"/>
                <w:sz w:val="18"/>
                <w:szCs w:val="18"/>
                <w:color w:val="auto"/>
              </w:rPr>
              <w:t>v</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-170815</wp:posOffset>
            </wp:positionV>
            <wp:extent cx="58293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1269BC"/>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QORVO, INC.</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7628 THORNDIKE ROAD</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GREENSBORO, NORTH CAROLINA 27409-9421</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PROXY STATEMENT</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GENERAL INFORMATION</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Solicitation of Proxies</w:t>
      </w:r>
    </w:p>
    <w:p>
      <w:pPr>
        <w:spacing w:after="0" w:line="128"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The accompanying proxy, for use at the 2020 Annual Meeting of Stockholders of Qorvo, Inc. (the “Company” or “Qorvo”) to be held on Tuesday, August 4, 2020, at 10:00 a.m. Eastern Daylight Time at the offices of Womble Bond Dickinson (US) LLP, One Wells Fargo Center, Suite 3500, 301 South College Street, Charlotte, North Carolina, and any adjournment thereof (the “annual meeting” or the “meeting”), is solicited on behalf of the Board of Directors of Qorvo. We are first sending and making available these proxy materials to stockholders on or about June 23, 2020. This solicitation is being made by mail and may also be made in person or by fax, telephone or Internet by our officers or employees. We will pay all expenses incurred in this solicitation. Qorvo will request banks, brokerage houses and other institutions, nominees and fiduciaries to forward the soliciting material to beneficial owners and to obtain authorization for the execution of proxies. We will, upon request, reimburse these parties for their reasonable expenses in forwarding proxy materials to beneficial owners.</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1269BC"/>
        </w:rPr>
        <w:t>Important Notice Regarding the Availability of Proxy Materials</w:t>
      </w:r>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1269BC"/>
        </w:rPr>
        <w:t>for the Stockholders Meeting to be held on August 4, 2020:</w:t>
      </w: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1269BC"/>
        </w:rPr>
        <w:t>The Notice of Annual Meeting of Stockholders, Proxy Statement, Form of Proxy and 2020 Annual Report to</w:t>
      </w:r>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1269BC"/>
        </w:rPr>
        <w:t>Stockholders are available at www.proxyvote.com.</w:t>
      </w:r>
    </w:p>
    <w:p>
      <w:pPr>
        <w:spacing w:after="0" w:line="113" w:lineRule="exact"/>
        <w:rPr>
          <w:sz w:val="20"/>
          <w:szCs w:val="20"/>
          <w:color w:val="auto"/>
        </w:rPr>
      </w:pPr>
    </w:p>
    <w:p>
      <w:pPr>
        <w:ind w:left="120" w:right="20"/>
        <w:spacing w:after="0" w:line="247" w:lineRule="auto"/>
        <w:rPr>
          <w:sz w:val="20"/>
          <w:szCs w:val="20"/>
          <w:color w:val="auto"/>
        </w:rPr>
      </w:pPr>
      <w:r>
        <w:rPr>
          <w:rFonts w:ascii="Arial" w:cs="Arial" w:eastAsia="Arial" w:hAnsi="Arial"/>
          <w:sz w:val="16"/>
          <w:szCs w:val="16"/>
          <w:color w:val="auto"/>
        </w:rPr>
        <w:t>The accompanying proxy is for use at the meeting if a stockholder either will be unable to attend in person or will attend but wishes to vote by proxy. “Registered holders” who have shares registered in the owner’s name through our transfer agent may vote by returning a completed proxy card in the enclosed postage-paid envelope. If your shares are held in “street name,” that is, shares held in the name of a brokerage firm, bank or other nominee, you may receive a voting instruction form from that institution in lieu of a proxy card. To lower costs, we have instructed these nominees to send a notice of Internet availability of proxy materials to certain beneficial owners. These beneficial owners will have electronic access to our proxy materials but will not receive paper proxy materials unless they request them as provided for in the notice. The notice or voting instruction form will provide information, if applicable, regarding the process for beneficial owners to vote over the Internet, by telephone or by mail. Many banks and brokerage firms participate in the Broadridge Financial Solutions online program, which provides eligible beneficial owners the opportunity to vote over the Internet or by telephone. The Internet and telephone voting facilities will close at 11:59 p.m. Eastern Daylight Time on Monday, August 3, 2020. The Internet and telephone voting procedures are designed to authenticate the stockholder’s identity and to allow stockholders to vote their shares and confirm that their instructions have been properly recorded. If a voting instruction form does not reference Internet or telephone voting information, or if the stockholder prefers to vote by mail, please complete and return the paper voting instruction form in the self-addressed, postage-paid envelope provided.</w:t>
      </w:r>
    </w:p>
    <w:p>
      <w:pPr>
        <w:spacing w:after="0" w:line="104"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auto"/>
        </w:rPr>
        <w:t>Stockholders who elected to access the proxy statement and annual report electronically over the Internet through an arrangement with their brokerage firm, bank or other nominee should receive an e-mail with information on how to access the stockholder information and voting instructions. Stockholders who vote over the Internet or by telephone need not return a proxy card or voting instruction form by mail, but may incur costs, such as usage charges, from telephone companies or Internet service providers, for which the stockholder is responsible. Registered holders may also vote their shares in person at the annual meeting. To vote shares held in street name in person at the meeting, a proxy issued in the owner’s name must be obtained from the record holder (typically the bank, broker or other nominee) and presented at the annual meeting. If you need directions to the offices of Womble Bond Dickinson (US) LLP so that you can attend the annual meeting and vote in person, please contact Jason K. Givens, our Corporate Secretary, at (336) 664-1233.</w:t>
      </w:r>
    </w:p>
    <w:p>
      <w:pPr>
        <w:spacing w:after="0" w:line="100" w:lineRule="exact"/>
        <w:rPr>
          <w:sz w:val="20"/>
          <w:szCs w:val="20"/>
          <w:color w:val="auto"/>
        </w:rPr>
      </w:pPr>
    </w:p>
    <w:p>
      <w:pPr>
        <w:ind w:left="120" w:right="60"/>
        <w:spacing w:after="0" w:line="248" w:lineRule="auto"/>
        <w:rPr>
          <w:sz w:val="20"/>
          <w:szCs w:val="20"/>
          <w:color w:val="auto"/>
        </w:rPr>
      </w:pPr>
      <w:r>
        <w:rPr>
          <w:rFonts w:ascii="Arial" w:cs="Arial" w:eastAsia="Arial" w:hAnsi="Arial"/>
          <w:sz w:val="16"/>
          <w:szCs w:val="16"/>
          <w:color w:val="auto"/>
        </w:rPr>
        <w:t>If you decide to attend the meeting in person, upon your arrival you will need to register as a visitor with the security desk on the Plaza level of One Wells Fargo Center. Please be sure to have state or other government-issued photo identification with you at the time of registration. After confirmation that you are a registered holder of Qorvo common stock as of the record date, you will receive a security pass that will allow you to access the offices of Womble Bond Dickinson (US) LLP and attend our annual meeting. If you are not a registered holder, please be sure that you bring your state or government-issued photo identification as well as either (i) a proxy issued to you in your name by your brokerage firm, bank or other nominee, or (ii) a brokerage statement showing your beneficial ownership of Qorvo common stock as of the record date (and a legal proxy from your brokerage firm, bank or other nominee if you wish to vote your shares at the meeting), to present to the registration desk upon your arrival.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88265</wp:posOffset>
            </wp:positionV>
            <wp:extent cx="58293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pacing w:after="0" w:line="154" w:lineRule="exact"/>
        <w:rPr>
          <w:sz w:val="20"/>
          <w:szCs w:val="20"/>
          <w:color w:val="auto"/>
        </w:rPr>
      </w:pPr>
    </w:p>
    <w:p>
      <w:pPr>
        <w:ind w:left="9060"/>
        <w:spacing w:after="0"/>
        <w:tabs>
          <w:tab w:leader="none" w:pos="11020" w:val="left"/>
        </w:tabs>
        <w:rPr>
          <w:sz w:val="20"/>
          <w:szCs w:val="20"/>
          <w:color w:val="auto"/>
        </w:rPr>
      </w:pPr>
      <w:r>
        <w:rPr>
          <w:rFonts w:ascii="Arial" w:cs="Arial" w:eastAsia="Arial" w:hAnsi="Arial"/>
          <w:sz w:val="18"/>
          <w:szCs w:val="18"/>
          <w:i w:val="1"/>
          <w:iCs w:val="1"/>
          <w:color w:val="1269BC"/>
        </w:rPr>
        <w:t>2020 Proxy Statement</w:t>
      </w:r>
      <w:r>
        <w:rPr>
          <w:sz w:val="20"/>
          <w:szCs w:val="20"/>
          <w:color w:val="auto"/>
        </w:rPr>
        <w:tab/>
      </w:r>
      <w:r>
        <w:rPr>
          <w:rFonts w:ascii="Arial" w:cs="Arial" w:eastAsia="Arial" w:hAnsi="Arial"/>
          <w:sz w:val="17"/>
          <w:szCs w:val="17"/>
          <w:color w:val="auto"/>
        </w:rPr>
        <w:t>1</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5"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You may revoke your proxy at any time before it is exercised by filing with our Corporate Secretary an instrument revoking it, filing a duly executed proxy bearing a later date (including a proxy given over the Internet or by telephone) or by attending the meeting and electing to vote in person. All shares of our common stock represented by valid proxies received pursuant to this solicitation, and not revoked before they are exercised, will be voted in the manner specified therein. If no specification is made, properly executed and returned proxies will be voted “for” all director nominees, “for” approval, on an advisory basis, of the compensation of our Named Executive Officers and “for” the ratification of the appointment of Ernst &amp; Young LLP as our independent registered public accounting firm for fiscal 2021. Management is not aware of any matters, other than those specified herein, that will be presented for action at the annual meeting. If other matters are properly presented at the annual meeting for consideration, the agents named on the proxy card will have the discretion to vote on those matters for you.</w:t>
      </w:r>
    </w:p>
    <w:p>
      <w:pPr>
        <w:spacing w:after="0" w:line="207" w:lineRule="exact"/>
        <w:rPr>
          <w:sz w:val="20"/>
          <w:szCs w:val="20"/>
          <w:color w:val="auto"/>
        </w:rPr>
      </w:pPr>
    </w:p>
    <w:p>
      <w:pPr>
        <w:jc w:val="both"/>
        <w:ind w:left="120" w:right="80"/>
        <w:spacing w:after="0" w:line="246" w:lineRule="auto"/>
        <w:rPr>
          <w:sz w:val="20"/>
          <w:szCs w:val="20"/>
          <w:color w:val="auto"/>
        </w:rPr>
      </w:pPr>
      <w:r>
        <w:rPr>
          <w:rFonts w:ascii="Arial" w:cs="Arial" w:eastAsia="Arial" w:hAnsi="Arial"/>
          <w:sz w:val="16"/>
          <w:szCs w:val="16"/>
          <w:color w:val="auto"/>
        </w:rPr>
        <w:t>The presence in person or by proxy of a majority of the shares of our common stock outstanding on the record date constitutes a quorum for purposes of voting on a particular matter and conducting business at the meeting. Once a share is represented for any purpose at a meeting, it is deemed present for quorum purposes for the remainder of the meeting. Brokers that are members of certain securities exchanges and that hold shares of our common stock in street name on behalf of beneficial owners have authority to vote on certain items when they have not received instructions from beneficial owners.</w:t>
      </w:r>
    </w:p>
    <w:p>
      <w:pPr>
        <w:spacing w:after="0" w:line="2"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Under applicable securities exchange rules, the proposal to ratify the appointment of Ernst &amp; Young LLP as our independent registered public accounting firm is considered a “discretionary” item. This means that brokers may vote in their discretion on this matter on behalf of beneficial owners who have not furnished voting instructions. In contrast, certain items are considered “non-discretionary,” and a “broker non-vote” occurs when brokers do not receive voting instructions from beneficial owners with respect to such items. Proposals 1 and 2 in this proxy statement are “non-discretionary” items, which means that brokers that have not received voting instructions from beneficial owners with respect to these matters may not vote on these proposals.</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Signed proxies that withhold authority or reflect abstentions or broker non-votes will be counted for purposes of determining whether a quorum is present.</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Assuming the existence of a quorum at the meeting:</w:t>
      </w:r>
    </w:p>
    <w:p>
      <w:pPr>
        <w:spacing w:after="0" w:line="127" w:lineRule="exact"/>
        <w:rPr>
          <w:sz w:val="20"/>
          <w:szCs w:val="20"/>
          <w:color w:val="auto"/>
        </w:rPr>
      </w:pPr>
    </w:p>
    <w:p>
      <w:pPr>
        <w:ind w:left="540" w:right="120" w:hanging="424"/>
        <w:spacing w:after="0" w:line="253" w:lineRule="auto"/>
        <w:tabs>
          <w:tab w:leader="none" w:pos="540" w:val="left"/>
        </w:tabs>
        <w:numPr>
          <w:ilvl w:val="0"/>
          <w:numId w:val="9"/>
        </w:numPr>
        <w:rPr>
          <w:rFonts w:ascii="Arial" w:cs="Arial" w:eastAsia="Arial" w:hAnsi="Arial"/>
          <w:sz w:val="16"/>
          <w:szCs w:val="16"/>
          <w:color w:val="1269BC"/>
        </w:rPr>
      </w:pPr>
      <w:r>
        <w:rPr>
          <w:rFonts w:ascii="Arial" w:cs="Arial" w:eastAsia="Arial" w:hAnsi="Arial"/>
          <w:sz w:val="16"/>
          <w:szCs w:val="16"/>
          <w:color w:val="auto"/>
        </w:rPr>
        <w:t>The director nominees receiving a majority of the votes cast at the meeting will be elected as directors. This means that the number of votes cast “for” a director nominee must exceed the number of votes cast “against” that nominee. Abstentions and broker non-votes are not counted as votes cast “for” or “against” a director nominee and will have no effect on the outcome of the vote on this proposal.</w:t>
      </w:r>
    </w:p>
    <w:p>
      <w:pPr>
        <w:spacing w:after="0" w:line="106" w:lineRule="exact"/>
        <w:rPr>
          <w:rFonts w:ascii="Arial" w:cs="Arial" w:eastAsia="Arial" w:hAnsi="Arial"/>
          <w:sz w:val="16"/>
          <w:szCs w:val="16"/>
          <w:color w:val="1269BC"/>
        </w:rPr>
      </w:pPr>
    </w:p>
    <w:p>
      <w:pPr>
        <w:ind w:left="540" w:hanging="424"/>
        <w:spacing w:after="0" w:line="249" w:lineRule="auto"/>
        <w:tabs>
          <w:tab w:leader="none" w:pos="540" w:val="left"/>
        </w:tabs>
        <w:numPr>
          <w:ilvl w:val="0"/>
          <w:numId w:val="9"/>
        </w:numPr>
        <w:rPr>
          <w:rFonts w:ascii="Arial" w:cs="Arial" w:eastAsia="Arial" w:hAnsi="Arial"/>
          <w:sz w:val="16"/>
          <w:szCs w:val="16"/>
          <w:color w:val="1269BC"/>
        </w:rPr>
      </w:pPr>
      <w:r>
        <w:rPr>
          <w:rFonts w:ascii="Arial" w:cs="Arial" w:eastAsia="Arial" w:hAnsi="Arial"/>
          <w:sz w:val="16"/>
          <w:szCs w:val="16"/>
          <w:color w:val="auto"/>
        </w:rPr>
        <w:t>The compensation of our Named Executive Officers will be approved, on an advisory basis, if a majority of the shares present in person or represented by proxy at the meeting and entitled to vote on the proposal vote “for” the proposal. Because abstentions constitute shares present and entitled to vote, they will have the effect of a vote against this proposal. Because broker non-votes are not entitled to vote for purposes of this proposal, they will not be counted as a vote for or against the proposal and will have no effect on the outcome of the vote on this proposal. Because your vote is advisory, it will not be binding on the Company, our Board of Directors or our Compensation Committee. However, the Board of Directors and the Compensation Committee will consider the outcome of the vote when making future compensation decisions for our executive officers.</w:t>
      </w:r>
    </w:p>
    <w:p>
      <w:pPr>
        <w:spacing w:after="0" w:line="299" w:lineRule="exact"/>
        <w:rPr>
          <w:rFonts w:ascii="Arial" w:cs="Arial" w:eastAsia="Arial" w:hAnsi="Arial"/>
          <w:sz w:val="16"/>
          <w:szCs w:val="16"/>
          <w:color w:val="1269BC"/>
        </w:rPr>
      </w:pPr>
    </w:p>
    <w:p>
      <w:pPr>
        <w:ind w:left="540" w:hanging="424"/>
        <w:spacing w:after="0" w:line="251" w:lineRule="auto"/>
        <w:tabs>
          <w:tab w:leader="none" w:pos="540" w:val="left"/>
        </w:tabs>
        <w:numPr>
          <w:ilvl w:val="0"/>
          <w:numId w:val="9"/>
        </w:numPr>
        <w:rPr>
          <w:rFonts w:ascii="Arial" w:cs="Arial" w:eastAsia="Arial" w:hAnsi="Arial"/>
          <w:sz w:val="16"/>
          <w:szCs w:val="16"/>
          <w:color w:val="1269BC"/>
        </w:rPr>
      </w:pPr>
      <w:r>
        <w:rPr>
          <w:rFonts w:ascii="Arial" w:cs="Arial" w:eastAsia="Arial" w:hAnsi="Arial"/>
          <w:sz w:val="16"/>
          <w:szCs w:val="16"/>
          <w:color w:val="auto"/>
        </w:rPr>
        <w:t>The ratification of the appointment of Ernst &amp; Young LLP will be approved if a majority of the shares present in person or represented by proxy at the meeting and entitled to vote on the proposal vote “for” the proposal. Because abstentions constitute shares present and entitled to vote, they will have the effect of a vote against the proposal. If your shares are held in street name and you do not provide voting instructions to your broker, bank or other nominee, your broker, bank or other nominee has discretionary authority to vote your shares with respect to the proposal.</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Voting Securities Outstanding</w:t>
      </w:r>
    </w:p>
    <w:p>
      <w:pPr>
        <w:spacing w:after="0" w:line="128" w:lineRule="exact"/>
        <w:rPr>
          <w:sz w:val="20"/>
          <w:szCs w:val="20"/>
          <w:color w:val="auto"/>
        </w:rPr>
      </w:pPr>
    </w:p>
    <w:p>
      <w:pPr>
        <w:ind w:left="120" w:right="100"/>
        <w:spacing w:after="0" w:line="251" w:lineRule="auto"/>
        <w:rPr>
          <w:sz w:val="20"/>
          <w:szCs w:val="20"/>
          <w:color w:val="auto"/>
        </w:rPr>
      </w:pPr>
      <w:r>
        <w:rPr>
          <w:rFonts w:ascii="Arial" w:cs="Arial" w:eastAsia="Arial" w:hAnsi="Arial"/>
          <w:sz w:val="16"/>
          <w:szCs w:val="16"/>
          <w:color w:val="auto"/>
        </w:rPr>
        <w:t>In accordance with Delaware law and our bylaws, June 11, 2020 was fixed as the record date for determining holders of our common stock entitled to notice of and to vote at the meeting. Each share of our common stock issued and outstanding on June 11, 2020 is entitled to one vote for each director nominee and one vote for each of the other proposals to be voted on at the meeting. Holders of shares of common stock vote together as a voting group on all proposals. At the close of business on June 11, 2020, there were 114,423,931 shares of Qorvo’s common stock outstanding and entitled to vote.</w:t>
      </w:r>
    </w:p>
    <w:p>
      <w:pPr>
        <w:spacing w:after="0" w:line="133" w:lineRule="exact"/>
        <w:rPr>
          <w:sz w:val="20"/>
          <w:szCs w:val="20"/>
          <w:color w:val="auto"/>
        </w:rPr>
      </w:pPr>
    </w:p>
    <w:p>
      <w:pPr>
        <w:ind w:left="120"/>
        <w:spacing w:after="0"/>
        <w:tabs>
          <w:tab w:leader="none" w:pos="446" w:val="left"/>
        </w:tabs>
        <w:rPr>
          <w:sz w:val="20"/>
          <w:szCs w:val="20"/>
          <w:color w:val="auto"/>
        </w:rPr>
      </w:pPr>
      <w:r>
        <w:rPr>
          <w:rFonts w:ascii="Arial" w:cs="Arial" w:eastAsia="Arial" w:hAnsi="Arial"/>
          <w:sz w:val="18"/>
          <w:szCs w:val="18"/>
          <w:color w:val="auto"/>
        </w:rPr>
        <w:t>2</w:t>
      </w:r>
      <w:r>
        <w:rPr>
          <w:sz w:val="20"/>
          <w:szCs w:val="20"/>
          <w:color w:val="auto"/>
        </w:rPr>
        <w:tab/>
      </w:r>
      <w:r>
        <w:rPr>
          <w:sz w:val="1"/>
          <w:szCs w:val="1"/>
          <w:color w:val="auto"/>
        </w:rPr>
        <w:drawing>
          <wp:inline distT="0" distB="0" distL="0" distR="0">
            <wp:extent cx="582930" cy="13716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i w:val="1"/>
          <w:iCs w:val="1"/>
          <w:color w:val="1269BC"/>
        </w:rPr>
        <w:t xml:space="preserve">   2020 Proxy Statement</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1269BC"/>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PROPOSAL 1 – ELECTION OF DIRECTORS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Nominees for Election of Directors</w:t>
      </w:r>
    </w:p>
    <w:p>
      <w:pPr>
        <w:spacing w:after="0" w:line="236"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Under our bylaws, the Board of Directors consists of one or more members, as determined by the Board or the stockholders from time to time. Each director is elected annually to serve for a one-year term and until his or her successor is duly elected and qualified or until his or her earlier death, resignation or removal. All nominees presently serve as directors. There are no family relationships among any of our directors or officers. We intend that the proxy holders named in the accompanying proxy card will vote properly returned proxies to elect the nine nominees listed below as directors, unless the authority to vote for such election is withheld. Although we expect that each of the nominees will be available for election, if any vacancy in the slate of nominees occurs, we expect that shares of common stock represented by proxies will be voted for the election of a substitute nominee or nominees recommended by the Governance and Nominating Committee and approved by the Board of Directors.</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names of the nine nominees for election to the Board, their principal occupations and certain other information are set forth below.</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52"/>
        </w:trPr>
        <w:tc>
          <w:tcPr>
            <w:tcW w:w="2320" w:type="dxa"/>
            <w:vAlign w:val="bottom"/>
            <w:tcBorders>
              <w:top w:val="single" w:sz="8" w:color="1269BC"/>
            </w:tcBorders>
            <w:shd w:val="clear" w:color="auto" w:fill="C3D9EE"/>
          </w:tcPr>
          <w:p>
            <w:pPr>
              <w:ind w:left="80"/>
              <w:spacing w:after="0"/>
              <w:rPr>
                <w:sz w:val="20"/>
                <w:szCs w:val="20"/>
                <w:color w:val="auto"/>
              </w:rPr>
            </w:pPr>
            <w:r>
              <w:rPr>
                <w:rFonts w:ascii="Arial" w:cs="Arial" w:eastAsia="Arial" w:hAnsi="Arial"/>
                <w:sz w:val="16"/>
                <w:szCs w:val="16"/>
                <w:b w:val="1"/>
                <w:bCs w:val="1"/>
                <w:color w:val="auto"/>
              </w:rPr>
              <w:t>Ralph G. Quinsey</w:t>
            </w:r>
          </w:p>
        </w:tc>
        <w:tc>
          <w:tcPr>
            <w:tcW w:w="8700" w:type="dxa"/>
            <w:vAlign w:val="bottom"/>
            <w:tcBorders>
              <w:top w:val="single" w:sz="8" w:color="1269BC"/>
            </w:tcBorders>
          </w:tcPr>
          <w:p>
            <w:pPr>
              <w:ind w:left="320"/>
              <w:spacing w:after="0"/>
              <w:rPr>
                <w:sz w:val="20"/>
                <w:szCs w:val="20"/>
                <w:color w:val="auto"/>
              </w:rPr>
            </w:pPr>
            <w:r>
              <w:rPr>
                <w:rFonts w:ascii="Arial" w:cs="Arial" w:eastAsia="Arial" w:hAnsi="Arial"/>
                <w:sz w:val="16"/>
                <w:szCs w:val="16"/>
                <w:color w:val="auto"/>
              </w:rPr>
              <w:t>Mr. Quinsey has served as Chairman of the Board of Qorvo since January 2015 and as Lead Independent Director</w:t>
            </w:r>
          </w:p>
        </w:tc>
      </w:tr>
      <w:tr>
        <w:trPr>
          <w:trHeight w:val="189"/>
        </w:trPr>
        <w:tc>
          <w:tcPr>
            <w:tcW w:w="2320" w:type="dxa"/>
            <w:vAlign w:val="bottom"/>
            <w:shd w:val="clear" w:color="auto" w:fill="C3D9EE"/>
          </w:tcPr>
          <w:p>
            <w:pPr>
              <w:ind w:left="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64</w:t>
            </w:r>
          </w:p>
        </w:tc>
        <w:tc>
          <w:tcPr>
            <w:tcW w:w="8700" w:type="dxa"/>
            <w:vAlign w:val="bottom"/>
          </w:tcPr>
          <w:p>
            <w:pPr>
              <w:ind w:left="320"/>
              <w:spacing w:after="0"/>
              <w:rPr>
                <w:sz w:val="20"/>
                <w:szCs w:val="20"/>
                <w:color w:val="auto"/>
              </w:rPr>
            </w:pPr>
            <w:r>
              <w:rPr>
                <w:rFonts w:ascii="Arial" w:cs="Arial" w:eastAsia="Arial" w:hAnsi="Arial"/>
                <w:sz w:val="16"/>
                <w:szCs w:val="16"/>
                <w:color w:val="auto"/>
              </w:rPr>
              <w:t>for Qorvo since August 2018. He was the President and Chief Executive Officer and a director of TriQuint</w:t>
            </w:r>
          </w:p>
        </w:tc>
      </w:tr>
      <w:tr>
        <w:trPr>
          <w:trHeight w:val="189"/>
        </w:trPr>
        <w:tc>
          <w:tcPr>
            <w:tcW w:w="2320" w:type="dxa"/>
            <w:vAlign w:val="bottom"/>
            <w:shd w:val="clear" w:color="auto" w:fill="C3D9EE"/>
          </w:tcPr>
          <w:p>
            <w:pPr>
              <w:ind w:left="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2015</w:t>
            </w:r>
          </w:p>
        </w:tc>
        <w:tc>
          <w:tcPr>
            <w:tcW w:w="8700" w:type="dxa"/>
            <w:vAlign w:val="bottom"/>
          </w:tcPr>
          <w:p>
            <w:pPr>
              <w:ind w:left="320"/>
              <w:spacing w:after="0"/>
              <w:rPr>
                <w:sz w:val="20"/>
                <w:szCs w:val="20"/>
                <w:color w:val="auto"/>
              </w:rPr>
            </w:pPr>
            <w:r>
              <w:rPr>
                <w:rFonts w:ascii="Arial" w:cs="Arial" w:eastAsia="Arial" w:hAnsi="Arial"/>
                <w:sz w:val="16"/>
                <w:szCs w:val="16"/>
                <w:color w:val="auto"/>
              </w:rPr>
              <w:t>Semiconductor, Inc. (“TriQuint”) from 2002 until TriQuint’s combination with RF Micro Devices, Inc. (“RFMD”) in a</w:t>
            </w:r>
          </w:p>
        </w:tc>
      </w:tr>
      <w:tr>
        <w:trPr>
          <w:trHeight w:val="209"/>
        </w:trPr>
        <w:tc>
          <w:tcPr>
            <w:tcW w:w="2320" w:type="dxa"/>
            <w:vAlign w:val="bottom"/>
            <w:shd w:val="clear" w:color="auto" w:fill="C3D9EE"/>
          </w:tcPr>
          <w:p>
            <w:pPr>
              <w:ind w:left="80"/>
              <w:spacing w:after="0"/>
              <w:rPr>
                <w:sz w:val="20"/>
                <w:szCs w:val="20"/>
                <w:color w:val="auto"/>
              </w:rPr>
            </w:pPr>
            <w:r>
              <w:rPr>
                <w:rFonts w:ascii="Arial" w:cs="Arial" w:eastAsia="Arial" w:hAnsi="Arial"/>
                <w:sz w:val="16"/>
                <w:szCs w:val="16"/>
                <w:b w:val="1"/>
                <w:bCs w:val="1"/>
                <w:color w:val="auto"/>
              </w:rPr>
              <w:t>Committees:</w:t>
            </w:r>
          </w:p>
        </w:tc>
        <w:tc>
          <w:tcPr>
            <w:tcW w:w="8700" w:type="dxa"/>
            <w:vAlign w:val="bottom"/>
          </w:tcPr>
          <w:p>
            <w:pPr>
              <w:ind w:left="320"/>
              <w:spacing w:after="0"/>
              <w:rPr>
                <w:sz w:val="20"/>
                <w:szCs w:val="20"/>
                <w:color w:val="auto"/>
              </w:rPr>
            </w:pPr>
            <w:r>
              <w:rPr>
                <w:rFonts w:ascii="Arial" w:cs="Arial" w:eastAsia="Arial" w:hAnsi="Arial"/>
                <w:sz w:val="16"/>
                <w:szCs w:val="16"/>
                <w:color w:val="auto"/>
              </w:rPr>
              <w:t>merger of equals to form Qorvo, effective January 1, 2015 (the “Business Combination”). From September 1999 to</w:t>
            </w:r>
          </w:p>
        </w:tc>
      </w:tr>
      <w:tr>
        <w:trPr>
          <w:trHeight w:val="189"/>
        </w:trPr>
        <w:tc>
          <w:tcPr>
            <w:tcW w:w="2320" w:type="dxa"/>
            <w:vAlign w:val="bottom"/>
            <w:shd w:val="clear" w:color="auto" w:fill="C3D9EE"/>
          </w:tcPr>
          <w:p>
            <w:pPr>
              <w:ind w:left="80"/>
              <w:spacing w:after="0"/>
              <w:rPr>
                <w:sz w:val="20"/>
                <w:szCs w:val="20"/>
                <w:color w:val="auto"/>
              </w:rPr>
            </w:pPr>
            <w:r>
              <w:rPr>
                <w:rFonts w:ascii="Arial" w:cs="Arial" w:eastAsia="Arial" w:hAnsi="Arial"/>
                <w:sz w:val="16"/>
                <w:szCs w:val="16"/>
                <w:color w:val="auto"/>
              </w:rPr>
              <w:t>Audit Committee</w:t>
            </w:r>
          </w:p>
        </w:tc>
        <w:tc>
          <w:tcPr>
            <w:tcW w:w="8700" w:type="dxa"/>
            <w:vAlign w:val="bottom"/>
          </w:tcPr>
          <w:p>
            <w:pPr>
              <w:ind w:left="320"/>
              <w:spacing w:after="0"/>
              <w:rPr>
                <w:sz w:val="20"/>
                <w:szCs w:val="20"/>
                <w:color w:val="auto"/>
              </w:rPr>
            </w:pPr>
            <w:r>
              <w:rPr>
                <w:rFonts w:ascii="Arial" w:cs="Arial" w:eastAsia="Arial" w:hAnsi="Arial"/>
                <w:sz w:val="16"/>
                <w:szCs w:val="16"/>
                <w:color w:val="auto"/>
              </w:rPr>
              <w:t>January 2002, Mr. Quinsey was Vice President and General Manager of the Analog Division of ON Semiconductor, a</w:t>
            </w:r>
          </w:p>
        </w:tc>
      </w:tr>
      <w:tr>
        <w:trPr>
          <w:trHeight w:val="189"/>
        </w:trPr>
        <w:tc>
          <w:tcPr>
            <w:tcW w:w="2320" w:type="dxa"/>
            <w:vAlign w:val="bottom"/>
            <w:shd w:val="clear" w:color="auto" w:fill="C3D9EE"/>
          </w:tcPr>
          <w:p>
            <w:pPr>
              <w:ind w:left="80"/>
              <w:spacing w:after="0"/>
              <w:rPr>
                <w:sz w:val="20"/>
                <w:szCs w:val="20"/>
                <w:color w:val="auto"/>
              </w:rPr>
            </w:pPr>
            <w:r>
              <w:rPr>
                <w:rFonts w:ascii="Arial" w:cs="Arial" w:eastAsia="Arial" w:hAnsi="Arial"/>
                <w:sz w:val="16"/>
                <w:szCs w:val="16"/>
                <w:color w:val="auto"/>
              </w:rPr>
              <w:t>Corporate Development</w:t>
            </w:r>
          </w:p>
        </w:tc>
        <w:tc>
          <w:tcPr>
            <w:tcW w:w="8700" w:type="dxa"/>
            <w:vAlign w:val="bottom"/>
          </w:tcPr>
          <w:p>
            <w:pPr>
              <w:ind w:left="320"/>
              <w:spacing w:after="0"/>
              <w:rPr>
                <w:sz w:val="20"/>
                <w:szCs w:val="20"/>
                <w:color w:val="auto"/>
              </w:rPr>
            </w:pPr>
            <w:r>
              <w:rPr>
                <w:rFonts w:ascii="Arial" w:cs="Arial" w:eastAsia="Arial" w:hAnsi="Arial"/>
                <w:sz w:val="16"/>
                <w:szCs w:val="16"/>
                <w:color w:val="auto"/>
              </w:rPr>
              <w:t>manufacturer of semiconductors for a wide array of applications. From 1979 to September 1999, Mr. Quinsey held</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various positions at Motorola, a manufacturer of semiconductors and communications equipment, including Vice</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President and General Manager of the RF/IF Circuits Division, which developed both silicon and GaAs technologies</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for wireless phone applications. Mr. Quinsey is the Secretary, Treasurer and a board member of Dry Fly Distilling, a</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privately held craft distiller, a board member of Perfect Company, a privately held Internet of Things (“IoT”)-based</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company, and an officer, board member and co-founder of ORCORAZON, a privately held medical devices</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company. As the former Chief Executive Officer of TriQuint, Mr. Quinsey brings to the Board his deep institutional</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knowledge regarding our company, with an exceptional understanding of our company’s strengths, challenges and</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opportunities. Additionally, Mr. Quinsey has significant experience leading a public company through various phases</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of growth and brings to the Board his extensive knowledge of and breadth of experience with our business resulting</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from over 35 years in the semiconductor industry. Mr. Quinsey’s strong leadership skills and unique perspective as</w:t>
            </w:r>
          </w:p>
        </w:tc>
      </w:tr>
      <w:tr>
        <w:trPr>
          <w:trHeight w:val="201"/>
        </w:trPr>
        <w:tc>
          <w:tcPr>
            <w:tcW w:w="2320" w:type="dxa"/>
            <w:vAlign w:val="bottom"/>
            <w:shd w:val="clear" w:color="auto" w:fill="C3D9EE"/>
          </w:tcPr>
          <w:p>
            <w:pPr>
              <w:spacing w:after="0"/>
              <w:rPr>
                <w:sz w:val="17"/>
                <w:szCs w:val="17"/>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the long-time leader of TriQuint make him a tremendous asset to the Board.</w:t>
            </w:r>
          </w:p>
        </w:tc>
      </w:tr>
      <w:tr>
        <w:trPr>
          <w:trHeight w:val="243"/>
        </w:trPr>
        <w:tc>
          <w:tcPr>
            <w:tcW w:w="2320" w:type="dxa"/>
            <w:vAlign w:val="bottom"/>
            <w:tcBorders>
              <w:bottom w:val="single" w:sz="8" w:color="1269BC"/>
            </w:tcBorders>
          </w:tcPr>
          <w:p>
            <w:pPr>
              <w:spacing w:after="0"/>
              <w:rPr>
                <w:sz w:val="21"/>
                <w:szCs w:val="21"/>
                <w:color w:val="auto"/>
              </w:rPr>
            </w:pPr>
          </w:p>
        </w:tc>
        <w:tc>
          <w:tcPr>
            <w:tcW w:w="8700" w:type="dxa"/>
            <w:vAlign w:val="bottom"/>
            <w:tcBorders>
              <w:bottom w:val="single" w:sz="8" w:color="1269BC"/>
            </w:tcBorders>
          </w:tcPr>
          <w:p>
            <w:pPr>
              <w:spacing w:after="0"/>
              <w:rPr>
                <w:sz w:val="21"/>
                <w:szCs w:val="21"/>
                <w:color w:val="auto"/>
              </w:rPr>
            </w:pPr>
          </w:p>
        </w:tc>
      </w:tr>
      <w:tr>
        <w:trPr>
          <w:trHeight w:val="232"/>
        </w:trPr>
        <w:tc>
          <w:tcPr>
            <w:tcW w:w="2320" w:type="dxa"/>
            <w:vAlign w:val="bottom"/>
            <w:shd w:val="clear" w:color="auto" w:fill="C3D9EE"/>
          </w:tcPr>
          <w:p>
            <w:pPr>
              <w:ind w:left="80"/>
              <w:spacing w:after="0"/>
              <w:rPr>
                <w:sz w:val="20"/>
                <w:szCs w:val="20"/>
                <w:color w:val="auto"/>
              </w:rPr>
            </w:pPr>
            <w:r>
              <w:rPr>
                <w:rFonts w:ascii="Arial" w:cs="Arial" w:eastAsia="Arial" w:hAnsi="Arial"/>
                <w:sz w:val="16"/>
                <w:szCs w:val="16"/>
                <w:b w:val="1"/>
                <w:bCs w:val="1"/>
                <w:color w:val="auto"/>
              </w:rPr>
              <w:t>Robert A. Bruggeworth</w:t>
            </w:r>
          </w:p>
        </w:tc>
        <w:tc>
          <w:tcPr>
            <w:tcW w:w="8700" w:type="dxa"/>
            <w:vAlign w:val="bottom"/>
          </w:tcPr>
          <w:p>
            <w:pPr>
              <w:ind w:left="320"/>
              <w:spacing w:after="0"/>
              <w:rPr>
                <w:sz w:val="20"/>
                <w:szCs w:val="20"/>
                <w:color w:val="auto"/>
              </w:rPr>
            </w:pPr>
            <w:r>
              <w:rPr>
                <w:rFonts w:ascii="Arial" w:cs="Arial" w:eastAsia="Arial" w:hAnsi="Arial"/>
                <w:sz w:val="16"/>
                <w:szCs w:val="16"/>
                <w:color w:val="auto"/>
              </w:rPr>
              <w:t>Mr. Bruggeworth has served as our President and Chief Executive Officer and as a director since Qorvo’s</w:t>
            </w:r>
          </w:p>
        </w:tc>
      </w:tr>
      <w:tr>
        <w:trPr>
          <w:trHeight w:val="189"/>
        </w:trPr>
        <w:tc>
          <w:tcPr>
            <w:tcW w:w="2320" w:type="dxa"/>
            <w:vAlign w:val="bottom"/>
            <w:shd w:val="clear" w:color="auto" w:fill="C3D9EE"/>
          </w:tcPr>
          <w:p>
            <w:pPr>
              <w:ind w:left="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59</w:t>
            </w:r>
          </w:p>
        </w:tc>
        <w:tc>
          <w:tcPr>
            <w:tcW w:w="8700" w:type="dxa"/>
            <w:vAlign w:val="bottom"/>
          </w:tcPr>
          <w:p>
            <w:pPr>
              <w:ind w:left="320"/>
              <w:spacing w:after="0"/>
              <w:rPr>
                <w:sz w:val="20"/>
                <w:szCs w:val="20"/>
                <w:color w:val="auto"/>
              </w:rPr>
            </w:pPr>
            <w:r>
              <w:rPr>
                <w:rFonts w:ascii="Arial" w:cs="Arial" w:eastAsia="Arial" w:hAnsi="Arial"/>
                <w:sz w:val="16"/>
                <w:szCs w:val="16"/>
                <w:color w:val="auto"/>
              </w:rPr>
              <w:t>incorporation in December 2013 in anticipation of the Business Combination. Prior to the Business Combination, he</w:t>
            </w:r>
          </w:p>
        </w:tc>
      </w:tr>
      <w:tr>
        <w:trPr>
          <w:trHeight w:val="189"/>
        </w:trPr>
        <w:tc>
          <w:tcPr>
            <w:tcW w:w="2320" w:type="dxa"/>
            <w:vAlign w:val="bottom"/>
            <w:shd w:val="clear" w:color="auto" w:fill="C3D9EE"/>
          </w:tcPr>
          <w:p>
            <w:pPr>
              <w:ind w:left="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2013</w:t>
            </w:r>
          </w:p>
        </w:tc>
        <w:tc>
          <w:tcPr>
            <w:tcW w:w="8700" w:type="dxa"/>
            <w:vAlign w:val="bottom"/>
          </w:tcPr>
          <w:p>
            <w:pPr>
              <w:ind w:left="320"/>
              <w:spacing w:after="0"/>
              <w:rPr>
                <w:sz w:val="20"/>
                <w:szCs w:val="20"/>
                <w:color w:val="auto"/>
              </w:rPr>
            </w:pPr>
            <w:r>
              <w:rPr>
                <w:rFonts w:ascii="Arial" w:cs="Arial" w:eastAsia="Arial" w:hAnsi="Arial"/>
                <w:sz w:val="16"/>
                <w:szCs w:val="16"/>
                <w:color w:val="auto"/>
              </w:rPr>
              <w:t>was RFMD’s President and Chief Executive Officer and a director from January 2003 until January 2015, having</w:t>
            </w:r>
          </w:p>
        </w:tc>
      </w:tr>
      <w:tr>
        <w:trPr>
          <w:trHeight w:val="209"/>
        </w:trPr>
        <w:tc>
          <w:tcPr>
            <w:tcW w:w="2320" w:type="dxa"/>
            <w:vAlign w:val="bottom"/>
            <w:shd w:val="clear" w:color="auto" w:fill="C3D9EE"/>
          </w:tcPr>
          <w:p>
            <w:pPr>
              <w:ind w:left="80"/>
              <w:spacing w:after="0"/>
              <w:rPr>
                <w:sz w:val="20"/>
                <w:szCs w:val="20"/>
                <w:color w:val="auto"/>
              </w:rPr>
            </w:pPr>
            <w:r>
              <w:rPr>
                <w:rFonts w:ascii="Arial" w:cs="Arial" w:eastAsia="Arial" w:hAnsi="Arial"/>
                <w:sz w:val="16"/>
                <w:szCs w:val="16"/>
                <w:b w:val="1"/>
                <w:bCs w:val="1"/>
                <w:color w:val="auto"/>
              </w:rPr>
              <w:t>Committees:</w:t>
            </w:r>
          </w:p>
        </w:tc>
        <w:tc>
          <w:tcPr>
            <w:tcW w:w="8700" w:type="dxa"/>
            <w:vAlign w:val="bottom"/>
          </w:tcPr>
          <w:p>
            <w:pPr>
              <w:ind w:left="320"/>
              <w:spacing w:after="0"/>
              <w:rPr>
                <w:sz w:val="20"/>
                <w:szCs w:val="20"/>
                <w:color w:val="auto"/>
              </w:rPr>
            </w:pPr>
            <w:r>
              <w:rPr>
                <w:rFonts w:ascii="Arial" w:cs="Arial" w:eastAsia="Arial" w:hAnsi="Arial"/>
                <w:sz w:val="16"/>
                <w:szCs w:val="16"/>
                <w:color w:val="auto"/>
              </w:rPr>
              <w:t>previously served in several senior management positions at RFMD beginning in September 1999. From July 1983</w:t>
            </w:r>
          </w:p>
        </w:tc>
      </w:tr>
      <w:tr>
        <w:trPr>
          <w:trHeight w:val="189"/>
        </w:trPr>
        <w:tc>
          <w:tcPr>
            <w:tcW w:w="2320" w:type="dxa"/>
            <w:vAlign w:val="bottom"/>
            <w:shd w:val="clear" w:color="auto" w:fill="C3D9EE"/>
          </w:tcPr>
          <w:p>
            <w:pPr>
              <w:ind w:left="80"/>
              <w:spacing w:after="0"/>
              <w:rPr>
                <w:sz w:val="20"/>
                <w:szCs w:val="20"/>
                <w:color w:val="auto"/>
              </w:rPr>
            </w:pPr>
            <w:r>
              <w:rPr>
                <w:rFonts w:ascii="Arial" w:cs="Arial" w:eastAsia="Arial" w:hAnsi="Arial"/>
                <w:sz w:val="16"/>
                <w:szCs w:val="16"/>
                <w:color w:val="auto"/>
              </w:rPr>
              <w:t>Corporate Development</w:t>
            </w:r>
          </w:p>
        </w:tc>
        <w:tc>
          <w:tcPr>
            <w:tcW w:w="8700" w:type="dxa"/>
            <w:vAlign w:val="bottom"/>
          </w:tcPr>
          <w:p>
            <w:pPr>
              <w:ind w:left="320"/>
              <w:spacing w:after="0"/>
              <w:rPr>
                <w:sz w:val="20"/>
                <w:szCs w:val="20"/>
                <w:color w:val="auto"/>
              </w:rPr>
            </w:pPr>
            <w:r>
              <w:rPr>
                <w:rFonts w:ascii="Arial" w:cs="Arial" w:eastAsia="Arial" w:hAnsi="Arial"/>
                <w:sz w:val="16"/>
                <w:szCs w:val="16"/>
                <w:color w:val="auto"/>
              </w:rPr>
              <w:t>to April 1999, Mr. Bruggeworth was employed at AMP Inc. (now TE Connectivity LTD), a supplier of electrical and</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electronic connection devices, in several manufacturing and engineering management positions, most recently as</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Divisional Vice President of Global Computer and Consumer Electronics based in Hong Kong. Since 2007, Mr.</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Bruggeworth has served on the board of directors, including as lead independent director since May 2017, of MSA</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Safety Incorporated, a publicly traded global leader in the development, manufacture and supply of safety products</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that protect people and facility infrastructures. In November 2019, the board of directors of the Semiconductor</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Industry Association elected Mr. Bruggeworth to serve as its 2020 Vice Chair. As our President and Chief Executive</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Officer, Mr. Bruggeworth understands our business and the challenges and issues that we face and brings to the</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Board strong leadership skills and substantial global business experience. Mr. Bruggeworth also has over 30 years</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of experience with respect to manufacturing, marketing and material sourcing for semiconductors and other</w:t>
            </w:r>
          </w:p>
        </w:tc>
      </w:tr>
      <w:tr>
        <w:trPr>
          <w:trHeight w:val="201"/>
        </w:trPr>
        <w:tc>
          <w:tcPr>
            <w:tcW w:w="2320" w:type="dxa"/>
            <w:vAlign w:val="bottom"/>
            <w:shd w:val="clear" w:color="auto" w:fill="C3D9EE"/>
          </w:tcPr>
          <w:p>
            <w:pPr>
              <w:spacing w:after="0"/>
              <w:rPr>
                <w:sz w:val="17"/>
                <w:szCs w:val="17"/>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electronic products.</w:t>
            </w:r>
          </w:p>
        </w:tc>
      </w:tr>
      <w:tr>
        <w:trPr>
          <w:trHeight w:val="419"/>
        </w:trPr>
        <w:tc>
          <w:tcPr>
            <w:tcW w:w="2320" w:type="dxa"/>
            <w:vAlign w:val="bottom"/>
          </w:tcPr>
          <w:p>
            <w:pPr>
              <w:spacing w:after="0"/>
              <w:rPr>
                <w:sz w:val="24"/>
                <w:szCs w:val="24"/>
                <w:color w:val="auto"/>
              </w:rPr>
            </w:pPr>
          </w:p>
        </w:tc>
        <w:tc>
          <w:tcPr>
            <w:tcW w:w="8700" w:type="dxa"/>
            <w:vAlign w:val="bottom"/>
          </w:tcPr>
          <w:p>
            <w:pPr>
              <w:ind w:left="6620"/>
              <w:spacing w:after="0"/>
              <w:rPr>
                <w:sz w:val="20"/>
                <w:szCs w:val="20"/>
                <w:color w:val="auto"/>
              </w:rPr>
            </w:pPr>
            <w:r>
              <w:rPr>
                <w:rFonts w:ascii="Arial" w:cs="Arial" w:eastAsia="Arial" w:hAnsi="Arial"/>
                <w:sz w:val="18"/>
                <w:szCs w:val="18"/>
                <w:i w:val="1"/>
                <w:iCs w:val="1"/>
                <w:color w:val="1269BC"/>
              </w:rPr>
              <w:t xml:space="preserve">2020 Proxy Statement  </w:t>
            </w:r>
            <w:r>
              <w:rPr>
                <w:rFonts w:ascii="Arial" w:cs="Arial" w:eastAsia="Arial" w:hAnsi="Arial"/>
                <w:sz w:val="18"/>
                <w:szCs w:val="18"/>
                <w:color w:val="000000"/>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-170815</wp:posOffset>
            </wp:positionV>
            <wp:extent cx="58293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252"/>
        </w:trPr>
        <w:tc>
          <w:tcPr>
            <w:tcW w:w="1500" w:type="dxa"/>
            <w:vAlign w:val="bottom"/>
            <w:tcBorders>
              <w:top w:val="single" w:sz="8" w:color="1269BC"/>
            </w:tcBorders>
            <w:shd w:val="clear" w:color="auto" w:fill="C3D9EE"/>
          </w:tcPr>
          <w:p>
            <w:pPr>
              <w:ind w:left="80"/>
              <w:spacing w:after="0"/>
              <w:rPr>
                <w:sz w:val="20"/>
                <w:szCs w:val="20"/>
                <w:color w:val="auto"/>
              </w:rPr>
            </w:pPr>
            <w:r>
              <w:rPr>
                <w:rFonts w:ascii="Arial" w:cs="Arial" w:eastAsia="Arial" w:hAnsi="Arial"/>
                <w:sz w:val="16"/>
                <w:szCs w:val="16"/>
                <w:b w:val="1"/>
                <w:bCs w:val="1"/>
                <w:color w:val="auto"/>
              </w:rPr>
              <w:t>Jeffery R. Gardner</w:t>
            </w:r>
          </w:p>
        </w:tc>
        <w:tc>
          <w:tcPr>
            <w:tcW w:w="820" w:type="dxa"/>
            <w:vAlign w:val="bottom"/>
            <w:tcBorders>
              <w:top w:val="single" w:sz="8" w:color="1269BC"/>
            </w:tcBorders>
            <w:shd w:val="clear" w:color="auto" w:fill="C3D9EE"/>
          </w:tcPr>
          <w:p>
            <w:pPr>
              <w:spacing w:after="0"/>
              <w:rPr>
                <w:sz w:val="21"/>
                <w:szCs w:val="21"/>
                <w:color w:val="auto"/>
              </w:rPr>
            </w:pPr>
          </w:p>
        </w:tc>
        <w:tc>
          <w:tcPr>
            <w:tcW w:w="8700" w:type="dxa"/>
            <w:vAlign w:val="bottom"/>
            <w:tcBorders>
              <w:top w:val="single" w:sz="8" w:color="1269BC"/>
            </w:tcBorders>
          </w:tcPr>
          <w:p>
            <w:pPr>
              <w:ind w:left="320"/>
              <w:spacing w:after="0"/>
              <w:rPr>
                <w:sz w:val="20"/>
                <w:szCs w:val="20"/>
                <w:color w:val="auto"/>
              </w:rPr>
            </w:pPr>
            <w:r>
              <w:rPr>
                <w:rFonts w:ascii="Arial" w:cs="Arial" w:eastAsia="Arial" w:hAnsi="Arial"/>
                <w:sz w:val="16"/>
                <w:szCs w:val="16"/>
                <w:color w:val="auto"/>
              </w:rPr>
              <w:t>Mr. Gardner has served on the Board of Directors since January 2015. From 2004 until 2015, he served as a director</w:t>
            </w:r>
          </w:p>
        </w:tc>
      </w:tr>
      <w:tr>
        <w:trPr>
          <w:trHeight w:val="189"/>
        </w:trPr>
        <w:tc>
          <w:tcPr>
            <w:tcW w:w="1500" w:type="dxa"/>
            <w:vAlign w:val="bottom"/>
            <w:shd w:val="clear" w:color="auto" w:fill="C3D9EE"/>
          </w:tcPr>
          <w:p>
            <w:pPr>
              <w:ind w:left="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60</w:t>
            </w: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of RFMD. Mr. Gardner has served as President and Chief Executive Officer of CalAmp Corp., a publicly traded</w:t>
            </w:r>
          </w:p>
        </w:tc>
      </w:tr>
      <w:tr>
        <w:trPr>
          <w:trHeight w:val="189"/>
        </w:trPr>
        <w:tc>
          <w:tcPr>
            <w:tcW w:w="2320" w:type="dxa"/>
            <w:vAlign w:val="bottom"/>
            <w:gridSpan w:val="2"/>
            <w:shd w:val="clear" w:color="auto" w:fill="C3D9EE"/>
          </w:tcPr>
          <w:p>
            <w:pPr>
              <w:ind w:left="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2015</w:t>
            </w:r>
          </w:p>
        </w:tc>
        <w:tc>
          <w:tcPr>
            <w:tcW w:w="8700" w:type="dxa"/>
            <w:vAlign w:val="bottom"/>
          </w:tcPr>
          <w:p>
            <w:pPr>
              <w:ind w:left="320"/>
              <w:spacing w:after="0"/>
              <w:rPr>
                <w:sz w:val="20"/>
                <w:szCs w:val="20"/>
                <w:color w:val="auto"/>
              </w:rPr>
            </w:pPr>
            <w:r>
              <w:rPr>
                <w:rFonts w:ascii="Arial" w:cs="Arial" w:eastAsia="Arial" w:hAnsi="Arial"/>
                <w:sz w:val="16"/>
                <w:szCs w:val="16"/>
                <w:color w:val="auto"/>
              </w:rPr>
              <w:t>company that is a leading provider of wireless communications solutions for a broad array of applications to</w:t>
            </w:r>
          </w:p>
        </w:tc>
      </w:tr>
      <w:tr>
        <w:trPr>
          <w:trHeight w:val="209"/>
        </w:trPr>
        <w:tc>
          <w:tcPr>
            <w:tcW w:w="1500" w:type="dxa"/>
            <w:vAlign w:val="bottom"/>
            <w:shd w:val="clear" w:color="auto" w:fill="C3D9EE"/>
          </w:tcPr>
          <w:p>
            <w:pPr>
              <w:ind w:left="80"/>
              <w:spacing w:after="0"/>
              <w:rPr>
                <w:sz w:val="20"/>
                <w:szCs w:val="20"/>
                <w:color w:val="auto"/>
              </w:rPr>
            </w:pPr>
            <w:r>
              <w:rPr>
                <w:rFonts w:ascii="Arial" w:cs="Arial" w:eastAsia="Arial" w:hAnsi="Arial"/>
                <w:sz w:val="16"/>
                <w:szCs w:val="16"/>
                <w:b w:val="1"/>
                <w:bCs w:val="1"/>
                <w:color w:val="auto"/>
              </w:rPr>
              <w:t>Committees:</w:t>
            </w:r>
          </w:p>
        </w:tc>
        <w:tc>
          <w:tcPr>
            <w:tcW w:w="820" w:type="dxa"/>
            <w:vAlign w:val="bottom"/>
            <w:shd w:val="clear" w:color="auto" w:fill="C3D9EE"/>
          </w:tcPr>
          <w:p>
            <w:pPr>
              <w:spacing w:after="0"/>
              <w:rPr>
                <w:sz w:val="18"/>
                <w:szCs w:val="18"/>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customers globally, since May 2020 (after having served in that interim role since March 2020) and has served as a</w:t>
            </w:r>
          </w:p>
        </w:tc>
      </w:tr>
      <w:tr>
        <w:trPr>
          <w:trHeight w:val="189"/>
        </w:trPr>
        <w:tc>
          <w:tcPr>
            <w:tcW w:w="1500" w:type="dxa"/>
            <w:vAlign w:val="bottom"/>
            <w:shd w:val="clear" w:color="auto" w:fill="C3D9EE"/>
          </w:tcPr>
          <w:p>
            <w:pPr>
              <w:ind w:left="80"/>
              <w:spacing w:after="0"/>
              <w:rPr>
                <w:sz w:val="20"/>
                <w:szCs w:val="20"/>
                <w:color w:val="auto"/>
              </w:rPr>
            </w:pPr>
            <w:r>
              <w:rPr>
                <w:rFonts w:ascii="Arial" w:cs="Arial" w:eastAsia="Arial" w:hAnsi="Arial"/>
                <w:sz w:val="16"/>
                <w:szCs w:val="16"/>
                <w:color w:val="auto"/>
              </w:rPr>
              <w:t>Audit (Chair)</w:t>
            </w: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member of its board of directors since January 2015. From September 2015 through February 2020, Mr. Gardner</w:t>
            </w:r>
          </w:p>
        </w:tc>
      </w:tr>
      <w:tr>
        <w:trPr>
          <w:trHeight w:val="189"/>
        </w:trPr>
        <w:tc>
          <w:tcPr>
            <w:tcW w:w="2320" w:type="dxa"/>
            <w:vAlign w:val="bottom"/>
            <w:gridSpan w:val="2"/>
            <w:shd w:val="clear" w:color="auto" w:fill="C3D9EE"/>
          </w:tcPr>
          <w:p>
            <w:pPr>
              <w:ind w:left="80"/>
              <w:spacing w:after="0"/>
              <w:rPr>
                <w:sz w:val="20"/>
                <w:szCs w:val="20"/>
                <w:color w:val="auto"/>
              </w:rPr>
            </w:pPr>
            <w:r>
              <w:rPr>
                <w:rFonts w:ascii="Arial" w:cs="Arial" w:eastAsia="Arial" w:hAnsi="Arial"/>
                <w:sz w:val="16"/>
                <w:szCs w:val="16"/>
                <w:color w:val="auto"/>
              </w:rPr>
              <w:t>Governance and Nominating</w:t>
            </w:r>
          </w:p>
        </w:tc>
        <w:tc>
          <w:tcPr>
            <w:tcW w:w="8700" w:type="dxa"/>
            <w:vAlign w:val="bottom"/>
          </w:tcPr>
          <w:p>
            <w:pPr>
              <w:ind w:left="320"/>
              <w:spacing w:after="0"/>
              <w:rPr>
                <w:sz w:val="20"/>
                <w:szCs w:val="20"/>
                <w:color w:val="auto"/>
              </w:rPr>
            </w:pPr>
            <w:r>
              <w:rPr>
                <w:rFonts w:ascii="Arial" w:cs="Arial" w:eastAsia="Arial" w:hAnsi="Arial"/>
                <w:sz w:val="16"/>
                <w:szCs w:val="16"/>
                <w:color w:val="auto"/>
              </w:rPr>
              <w:t>served as President and Chief Executive Officer of Brinks Home Security™, one of the largest home security</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monitoring companies in the U.S., which was an affiliate of Ascent Capital Group, Inc. through August 2019. Mr.</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Gardner served as Executive Vice President of Ascent from September 2015 to August 2019 and as a director of</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Ascent from November 2016 until August 2019. From 2005 until December 2014, Mr. Gardner was President and</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Chief Executive Officer of Windstream Corporation, a leading provider of advanced network communications and</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technology solutions, including cloud computing and managed services. Mr. Gardner also served as a director of</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Windstream from 2005 until February 2015. Prior to Windstream, Mr. Gardner held several positions at ALLTEL,</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including Executive Vice President and Chief Financial Officer. He is a National Association of Corporate Directors</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(NACD) Leadership Fellow, having completed the NACD’s program for corporate directors. Mr. Gardner is a former</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member of the Business Roundtable, an association of chief executive officers of leading U.S. companies. He also</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served as Chairman of the United States Telecom Association, a telecommunications trade association. Mr. Gardner</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has been in the communications industry since 1986 and brings to the Board and its committees valuable industry</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insight, including extensive knowledge regarding the requirements of downstream customers, resulting from his</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experience as a former CEO and CFO of public companies in the wireless telecommunications industry. Additionally,</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Mr. Gardner has specific expertise in the areas of strategic development, finance, financial reporting and accounting</w:t>
            </w:r>
          </w:p>
        </w:tc>
      </w:tr>
      <w:tr>
        <w:trPr>
          <w:trHeight w:val="201"/>
        </w:trPr>
        <w:tc>
          <w:tcPr>
            <w:tcW w:w="1500" w:type="dxa"/>
            <w:vAlign w:val="bottom"/>
            <w:shd w:val="clear" w:color="auto" w:fill="C3D9EE"/>
          </w:tcPr>
          <w:p>
            <w:pPr>
              <w:spacing w:after="0"/>
              <w:rPr>
                <w:sz w:val="17"/>
                <w:szCs w:val="17"/>
                <w:color w:val="auto"/>
              </w:rPr>
            </w:pPr>
          </w:p>
        </w:tc>
        <w:tc>
          <w:tcPr>
            <w:tcW w:w="820" w:type="dxa"/>
            <w:vAlign w:val="bottom"/>
            <w:shd w:val="clear" w:color="auto" w:fill="C3D9EE"/>
          </w:tcPr>
          <w:p>
            <w:pPr>
              <w:spacing w:after="0"/>
              <w:rPr>
                <w:sz w:val="17"/>
                <w:szCs w:val="17"/>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and internal controls.</w:t>
            </w:r>
          </w:p>
        </w:tc>
      </w:tr>
      <w:tr>
        <w:trPr>
          <w:trHeight w:val="243"/>
        </w:trPr>
        <w:tc>
          <w:tcPr>
            <w:tcW w:w="1500" w:type="dxa"/>
            <w:vAlign w:val="bottom"/>
            <w:tcBorders>
              <w:bottom w:val="single" w:sz="8" w:color="1269BC"/>
            </w:tcBorders>
          </w:tcPr>
          <w:p>
            <w:pPr>
              <w:spacing w:after="0"/>
              <w:rPr>
                <w:sz w:val="21"/>
                <w:szCs w:val="21"/>
                <w:color w:val="auto"/>
              </w:rPr>
            </w:pPr>
          </w:p>
        </w:tc>
        <w:tc>
          <w:tcPr>
            <w:tcW w:w="820" w:type="dxa"/>
            <w:vAlign w:val="bottom"/>
            <w:tcBorders>
              <w:bottom w:val="single" w:sz="8" w:color="1269BC"/>
            </w:tcBorders>
          </w:tcPr>
          <w:p>
            <w:pPr>
              <w:spacing w:after="0"/>
              <w:rPr>
                <w:sz w:val="21"/>
                <w:szCs w:val="21"/>
                <w:color w:val="auto"/>
              </w:rPr>
            </w:pPr>
          </w:p>
        </w:tc>
        <w:tc>
          <w:tcPr>
            <w:tcW w:w="8700" w:type="dxa"/>
            <w:vAlign w:val="bottom"/>
            <w:tcBorders>
              <w:bottom w:val="single" w:sz="8" w:color="1269BC"/>
            </w:tcBorders>
          </w:tcPr>
          <w:p>
            <w:pPr>
              <w:spacing w:after="0"/>
              <w:rPr>
                <w:sz w:val="21"/>
                <w:szCs w:val="21"/>
                <w:color w:val="auto"/>
              </w:rPr>
            </w:pPr>
          </w:p>
        </w:tc>
      </w:tr>
      <w:tr>
        <w:trPr>
          <w:trHeight w:val="232"/>
        </w:trPr>
        <w:tc>
          <w:tcPr>
            <w:tcW w:w="1500" w:type="dxa"/>
            <w:vAlign w:val="bottom"/>
            <w:shd w:val="clear" w:color="auto" w:fill="C3D9EE"/>
          </w:tcPr>
          <w:p>
            <w:pPr>
              <w:ind w:left="80"/>
              <w:spacing w:after="0"/>
              <w:rPr>
                <w:sz w:val="20"/>
                <w:szCs w:val="20"/>
                <w:color w:val="auto"/>
              </w:rPr>
            </w:pPr>
            <w:r>
              <w:rPr>
                <w:rFonts w:ascii="Arial" w:cs="Arial" w:eastAsia="Arial" w:hAnsi="Arial"/>
                <w:sz w:val="16"/>
                <w:szCs w:val="16"/>
                <w:b w:val="1"/>
                <w:bCs w:val="1"/>
                <w:color w:val="auto"/>
              </w:rPr>
              <w:t>John R. Harding</w:t>
            </w:r>
          </w:p>
        </w:tc>
        <w:tc>
          <w:tcPr>
            <w:tcW w:w="820" w:type="dxa"/>
            <w:vAlign w:val="bottom"/>
            <w:shd w:val="clear" w:color="auto" w:fill="C3D9EE"/>
          </w:tcPr>
          <w:p>
            <w:pPr>
              <w:spacing w:after="0"/>
              <w:rPr>
                <w:sz w:val="20"/>
                <w:szCs w:val="20"/>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Mr. Harding has served on the Board of Directors since January 2015. From 2006 until 2015, he served as a director</w:t>
            </w:r>
          </w:p>
        </w:tc>
      </w:tr>
      <w:tr>
        <w:trPr>
          <w:trHeight w:val="189"/>
        </w:trPr>
        <w:tc>
          <w:tcPr>
            <w:tcW w:w="1500" w:type="dxa"/>
            <w:vAlign w:val="bottom"/>
            <w:shd w:val="clear" w:color="auto" w:fill="C3D9EE"/>
          </w:tcPr>
          <w:p>
            <w:pPr>
              <w:ind w:left="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65</w:t>
            </w: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of RFMD. Since January 2020, Mr. Harding has served as a consultant in the fabless semiconductor design and</w:t>
            </w:r>
          </w:p>
        </w:tc>
      </w:tr>
      <w:tr>
        <w:trPr>
          <w:trHeight w:val="189"/>
        </w:trPr>
        <w:tc>
          <w:tcPr>
            <w:tcW w:w="2320" w:type="dxa"/>
            <w:vAlign w:val="bottom"/>
            <w:gridSpan w:val="2"/>
            <w:shd w:val="clear" w:color="auto" w:fill="C3D9EE"/>
          </w:tcPr>
          <w:p>
            <w:pPr>
              <w:ind w:left="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2015</w:t>
            </w:r>
          </w:p>
        </w:tc>
        <w:tc>
          <w:tcPr>
            <w:tcW w:w="8700" w:type="dxa"/>
            <w:vAlign w:val="bottom"/>
          </w:tcPr>
          <w:p>
            <w:pPr>
              <w:ind w:left="320"/>
              <w:spacing w:after="0"/>
              <w:rPr>
                <w:sz w:val="20"/>
                <w:szCs w:val="20"/>
                <w:color w:val="auto"/>
              </w:rPr>
            </w:pPr>
            <w:r>
              <w:rPr>
                <w:rFonts w:ascii="Arial" w:cs="Arial" w:eastAsia="Arial" w:hAnsi="Arial"/>
                <w:sz w:val="16"/>
                <w:szCs w:val="16"/>
                <w:color w:val="auto"/>
              </w:rPr>
              <w:t>manufacturing field as the General Partner of Harding Partners, LP. Mr. Harding co-founded eSilicon Corporation, a</w:t>
            </w:r>
          </w:p>
        </w:tc>
      </w:tr>
      <w:tr>
        <w:trPr>
          <w:trHeight w:val="209"/>
        </w:trPr>
        <w:tc>
          <w:tcPr>
            <w:tcW w:w="1500" w:type="dxa"/>
            <w:vAlign w:val="bottom"/>
            <w:shd w:val="clear" w:color="auto" w:fill="C3D9EE"/>
          </w:tcPr>
          <w:p>
            <w:pPr>
              <w:ind w:left="80"/>
              <w:spacing w:after="0"/>
              <w:rPr>
                <w:sz w:val="20"/>
                <w:szCs w:val="20"/>
                <w:color w:val="auto"/>
              </w:rPr>
            </w:pPr>
            <w:r>
              <w:rPr>
                <w:rFonts w:ascii="Arial" w:cs="Arial" w:eastAsia="Arial" w:hAnsi="Arial"/>
                <w:sz w:val="16"/>
                <w:szCs w:val="16"/>
                <w:b w:val="1"/>
                <w:bCs w:val="1"/>
                <w:color w:val="auto"/>
              </w:rPr>
              <w:t>Committees:</w:t>
            </w:r>
          </w:p>
        </w:tc>
        <w:tc>
          <w:tcPr>
            <w:tcW w:w="820" w:type="dxa"/>
            <w:vAlign w:val="bottom"/>
            <w:shd w:val="clear" w:color="auto" w:fill="C3D9EE"/>
          </w:tcPr>
          <w:p>
            <w:pPr>
              <w:spacing w:after="0"/>
              <w:rPr>
                <w:sz w:val="18"/>
                <w:szCs w:val="18"/>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privately held company that designed and manufactured complex, custom chips for a broad portfolio of large and</w:t>
            </w:r>
          </w:p>
        </w:tc>
      </w:tr>
      <w:tr>
        <w:trPr>
          <w:trHeight w:val="189"/>
        </w:trPr>
        <w:tc>
          <w:tcPr>
            <w:tcW w:w="1500" w:type="dxa"/>
            <w:vAlign w:val="bottom"/>
            <w:shd w:val="clear" w:color="auto" w:fill="C3D9EE"/>
          </w:tcPr>
          <w:p>
            <w:pPr>
              <w:ind w:left="80"/>
              <w:spacing w:after="0"/>
              <w:rPr>
                <w:sz w:val="20"/>
                <w:szCs w:val="20"/>
                <w:color w:val="auto"/>
              </w:rPr>
            </w:pPr>
            <w:r>
              <w:rPr>
                <w:rFonts w:ascii="Arial" w:cs="Arial" w:eastAsia="Arial" w:hAnsi="Arial"/>
                <w:sz w:val="16"/>
                <w:szCs w:val="16"/>
                <w:color w:val="auto"/>
              </w:rPr>
              <w:t>Audit</w:t>
            </w: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small firms. He served as President and Chief Executive Officer of eSilicon from its inception in May 2000 until it was</w:t>
            </w:r>
          </w:p>
        </w:tc>
      </w:tr>
      <w:tr>
        <w:trPr>
          <w:trHeight w:val="189"/>
        </w:trPr>
        <w:tc>
          <w:tcPr>
            <w:tcW w:w="2320" w:type="dxa"/>
            <w:vAlign w:val="bottom"/>
            <w:gridSpan w:val="2"/>
            <w:shd w:val="clear" w:color="auto" w:fill="C3D9EE"/>
          </w:tcPr>
          <w:p>
            <w:pPr>
              <w:ind w:left="80"/>
              <w:spacing w:after="0"/>
              <w:rPr>
                <w:sz w:val="20"/>
                <w:szCs w:val="20"/>
                <w:color w:val="auto"/>
              </w:rPr>
            </w:pPr>
            <w:r>
              <w:rPr>
                <w:rFonts w:ascii="Arial" w:cs="Arial" w:eastAsia="Arial" w:hAnsi="Arial"/>
                <w:sz w:val="16"/>
                <w:szCs w:val="16"/>
                <w:color w:val="auto"/>
              </w:rPr>
              <w:t>Corporate Development</w:t>
            </w:r>
          </w:p>
        </w:tc>
        <w:tc>
          <w:tcPr>
            <w:tcW w:w="8700" w:type="dxa"/>
            <w:vAlign w:val="bottom"/>
          </w:tcPr>
          <w:p>
            <w:pPr>
              <w:ind w:left="320"/>
              <w:spacing w:after="0"/>
              <w:rPr>
                <w:sz w:val="20"/>
                <w:szCs w:val="20"/>
                <w:color w:val="auto"/>
              </w:rPr>
            </w:pPr>
            <w:r>
              <w:rPr>
                <w:rFonts w:ascii="Arial" w:cs="Arial" w:eastAsia="Arial" w:hAnsi="Arial"/>
                <w:sz w:val="16"/>
                <w:szCs w:val="16"/>
                <w:color w:val="auto"/>
              </w:rPr>
              <w:t>acquired by Inphi Corporation (and concurrently sold certain assets to Synopsis, Inc.) in January 2020. Before</w:t>
            </w:r>
          </w:p>
        </w:tc>
      </w:tr>
      <w:tr>
        <w:trPr>
          <w:trHeight w:val="189"/>
        </w:trPr>
        <w:tc>
          <w:tcPr>
            <w:tcW w:w="1500" w:type="dxa"/>
            <w:vAlign w:val="bottom"/>
            <w:shd w:val="clear" w:color="auto" w:fill="C3D9EE"/>
          </w:tcPr>
          <w:p>
            <w:pPr>
              <w:ind w:left="80"/>
              <w:spacing w:after="0"/>
              <w:rPr>
                <w:sz w:val="20"/>
                <w:szCs w:val="20"/>
                <w:color w:val="auto"/>
              </w:rPr>
            </w:pPr>
            <w:r>
              <w:rPr>
                <w:rFonts w:ascii="Arial" w:cs="Arial" w:eastAsia="Arial" w:hAnsi="Arial"/>
                <w:sz w:val="16"/>
                <w:szCs w:val="16"/>
                <w:color w:val="auto"/>
              </w:rPr>
              <w:t>(Chair)</w:t>
            </w: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starting eSilicon Corporation, Mr. Harding served as President, Chief Executive Officer and a director of publicly</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traded Cadence Design Systems, Inc., which acquired his former employer, Cooper &amp; Chyan Technology, Inc. Mr.</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Harding held a variety of senior management positions at Zycad Corporation, and his career also includes positions</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with TXL and IBM Corporation. From 2012 to 2016, Mr. Harding served on the board of directors of Advanced Micro</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Devices, Inc. Mr. Harding has also held leadership roles at Drew University, where he was Vice Chairman of the</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Board of Trustees, and Indiana University, where he was a member of the Advisory Board for the School of Public</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and Environmental Affairs. In addition, Mr. Harding has served as a member of the Steering Committee at the U.S.</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Council on Competitiveness and was a former member of the National Academies Committee for Software, Growth</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and the Future of the U.S. Economy. From 2004 to 2020, Mr. Harding served as a member of the board of directors</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of the Global Semiconductor Alliance. Mr. Harding is a frequent international speaker on the topics of innovation,</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entrepreneurship and semiconductor trends and policies. Mr. Harding brings to the Board and its committees a deep</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understanding of the challenges and issues facing semiconductor companies gained from his experience as</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Chairman and Chief Executive Officer of eSilicon Corporation. Additionally, Mr. Harding has substantial operational</w:t>
            </w:r>
          </w:p>
        </w:tc>
      </w:tr>
      <w:tr>
        <w:trPr>
          <w:trHeight w:val="201"/>
        </w:trPr>
        <w:tc>
          <w:tcPr>
            <w:tcW w:w="1500" w:type="dxa"/>
            <w:vAlign w:val="bottom"/>
            <w:shd w:val="clear" w:color="auto" w:fill="C3D9EE"/>
          </w:tcPr>
          <w:p>
            <w:pPr>
              <w:spacing w:after="0"/>
              <w:rPr>
                <w:sz w:val="17"/>
                <w:szCs w:val="17"/>
                <w:color w:val="auto"/>
              </w:rPr>
            </w:pPr>
          </w:p>
        </w:tc>
        <w:tc>
          <w:tcPr>
            <w:tcW w:w="820" w:type="dxa"/>
            <w:vAlign w:val="bottom"/>
            <w:shd w:val="clear" w:color="auto" w:fill="C3D9EE"/>
          </w:tcPr>
          <w:p>
            <w:pPr>
              <w:spacing w:after="0"/>
              <w:rPr>
                <w:sz w:val="17"/>
                <w:szCs w:val="17"/>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experience, business acumen and expertise in corporate strategy development.</w:t>
            </w:r>
          </w:p>
        </w:tc>
      </w:tr>
      <w:tr>
        <w:trPr>
          <w:trHeight w:val="419"/>
        </w:trPr>
        <w:tc>
          <w:tcPr>
            <w:tcW w:w="1500" w:type="dxa"/>
            <w:vAlign w:val="bottom"/>
          </w:tcPr>
          <w:p>
            <w:pPr>
              <w:spacing w:after="0"/>
              <w:rPr>
                <w:sz w:val="20"/>
                <w:szCs w:val="20"/>
                <w:color w:val="auto"/>
              </w:rPr>
            </w:pPr>
            <w:r>
              <w:rPr>
                <w:rFonts w:ascii="Arial" w:cs="Arial" w:eastAsia="Arial" w:hAnsi="Arial"/>
                <w:sz w:val="18"/>
                <w:szCs w:val="18"/>
                <w:color w:val="auto"/>
              </w:rPr>
              <w:t>4</w:t>
            </w:r>
          </w:p>
        </w:tc>
        <w:tc>
          <w:tcPr>
            <w:tcW w:w="9520" w:type="dxa"/>
            <w:vAlign w:val="bottom"/>
            <w:gridSpan w:val="2"/>
          </w:tcPr>
          <w:p>
            <w:pPr>
              <w:ind w:left="20"/>
              <w:spacing w:after="0"/>
              <w:rPr>
                <w:sz w:val="20"/>
                <w:szCs w:val="20"/>
                <w:color w:val="auto"/>
              </w:rPr>
            </w:pPr>
            <w:r>
              <w:rPr>
                <w:rFonts w:ascii="Arial" w:cs="Arial" w:eastAsia="Arial" w:hAnsi="Arial"/>
                <w:sz w:val="18"/>
                <w:szCs w:val="18"/>
                <w:i w:val="1"/>
                <w:iCs w:val="1"/>
                <w:color w:val="1269BC"/>
              </w:rPr>
              <w:t>2020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-170815</wp:posOffset>
            </wp:positionV>
            <wp:extent cx="58293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2320" w:type="dxa"/>
            <w:vAlign w:val="bottom"/>
          </w:tcPr>
          <w:p>
            <w:pPr>
              <w:spacing w:after="0"/>
              <w:rPr>
                <w:sz w:val="18"/>
                <w:szCs w:val="18"/>
                <w:color w:val="auto"/>
              </w:rPr>
            </w:pPr>
          </w:p>
        </w:tc>
        <w:tc>
          <w:tcPr>
            <w:tcW w:w="8700" w:type="dxa"/>
            <w:vAlign w:val="bottom"/>
          </w:tcPr>
          <w:p>
            <w:pPr>
              <w:jc w:val="right"/>
              <w:spacing w:after="0"/>
              <w:rPr>
                <w:sz w:val="20"/>
                <w:szCs w:val="20"/>
                <w:color w:val="auto"/>
              </w:rPr>
            </w:pPr>
            <w:r>
              <w:rPr>
                <w:rFonts w:ascii="Arial" w:cs="Arial" w:eastAsia="Arial" w:hAnsi="Arial"/>
                <w:sz w:val="18"/>
                <w:szCs w:val="18"/>
                <w:color w:val="1269BC"/>
              </w:rPr>
              <w:t>Proposal 1 – Election of Directors</w:t>
            </w:r>
          </w:p>
        </w:tc>
      </w:tr>
      <w:tr>
        <w:trPr>
          <w:trHeight w:val="54"/>
        </w:trPr>
        <w:tc>
          <w:tcPr>
            <w:tcW w:w="2320" w:type="dxa"/>
            <w:vAlign w:val="bottom"/>
            <w:tcBorders>
              <w:bottom w:val="single" w:sz="8" w:color="1269BC"/>
            </w:tcBorders>
          </w:tcPr>
          <w:p>
            <w:pPr>
              <w:spacing w:after="0"/>
              <w:rPr>
                <w:sz w:val="4"/>
                <w:szCs w:val="4"/>
                <w:color w:val="auto"/>
              </w:rPr>
            </w:pPr>
          </w:p>
        </w:tc>
        <w:tc>
          <w:tcPr>
            <w:tcW w:w="8700" w:type="dxa"/>
            <w:vAlign w:val="bottom"/>
            <w:tcBorders>
              <w:bottom w:val="single" w:sz="8" w:color="1269BC"/>
            </w:tcBorders>
          </w:tcPr>
          <w:p>
            <w:pPr>
              <w:spacing w:after="0"/>
              <w:rPr>
                <w:sz w:val="4"/>
                <w:szCs w:val="4"/>
                <w:color w:val="auto"/>
              </w:rPr>
            </w:pPr>
          </w:p>
        </w:tc>
      </w:tr>
      <w:tr>
        <w:trPr>
          <w:trHeight w:val="169"/>
        </w:trPr>
        <w:tc>
          <w:tcPr>
            <w:tcW w:w="2320" w:type="dxa"/>
            <w:vAlign w:val="bottom"/>
            <w:tcBorders>
              <w:bottom w:val="single" w:sz="8" w:color="1269BC"/>
            </w:tcBorders>
          </w:tcPr>
          <w:p>
            <w:pPr>
              <w:spacing w:after="0"/>
              <w:rPr>
                <w:sz w:val="14"/>
                <w:szCs w:val="14"/>
                <w:color w:val="auto"/>
              </w:rPr>
            </w:pPr>
          </w:p>
        </w:tc>
        <w:tc>
          <w:tcPr>
            <w:tcW w:w="8700" w:type="dxa"/>
            <w:vAlign w:val="bottom"/>
            <w:tcBorders>
              <w:bottom w:val="single" w:sz="8" w:color="1269BC"/>
            </w:tcBorders>
          </w:tcPr>
          <w:p>
            <w:pPr>
              <w:spacing w:after="0"/>
              <w:rPr>
                <w:sz w:val="14"/>
                <w:szCs w:val="14"/>
                <w:color w:val="auto"/>
              </w:rPr>
            </w:pPr>
          </w:p>
        </w:tc>
      </w:tr>
      <w:tr>
        <w:trPr>
          <w:trHeight w:val="232"/>
        </w:trPr>
        <w:tc>
          <w:tcPr>
            <w:tcW w:w="2320" w:type="dxa"/>
            <w:vAlign w:val="bottom"/>
            <w:shd w:val="clear" w:color="auto" w:fill="C3D9EE"/>
          </w:tcPr>
          <w:p>
            <w:pPr>
              <w:ind w:left="80"/>
              <w:spacing w:after="0"/>
              <w:rPr>
                <w:sz w:val="20"/>
                <w:szCs w:val="20"/>
                <w:color w:val="auto"/>
              </w:rPr>
            </w:pPr>
            <w:r>
              <w:rPr>
                <w:rFonts w:ascii="Arial" w:cs="Arial" w:eastAsia="Arial" w:hAnsi="Arial"/>
                <w:sz w:val="16"/>
                <w:szCs w:val="16"/>
                <w:b w:val="1"/>
                <w:bCs w:val="1"/>
                <w:color w:val="auto"/>
              </w:rPr>
              <w:t>David H. Y. Ho</w:t>
            </w:r>
          </w:p>
        </w:tc>
        <w:tc>
          <w:tcPr>
            <w:tcW w:w="8700" w:type="dxa"/>
            <w:vAlign w:val="bottom"/>
          </w:tcPr>
          <w:p>
            <w:pPr>
              <w:ind w:left="320"/>
              <w:spacing w:after="0"/>
              <w:rPr>
                <w:sz w:val="20"/>
                <w:szCs w:val="20"/>
                <w:color w:val="auto"/>
              </w:rPr>
            </w:pPr>
            <w:r>
              <w:rPr>
                <w:rFonts w:ascii="Arial" w:cs="Arial" w:eastAsia="Arial" w:hAnsi="Arial"/>
                <w:sz w:val="16"/>
                <w:szCs w:val="16"/>
                <w:color w:val="auto"/>
              </w:rPr>
              <w:t>Mr. Ho has served on the Board of Directors since January 2015. From 2010 until 2015, he served as a director of</w:t>
            </w:r>
          </w:p>
        </w:tc>
      </w:tr>
      <w:tr>
        <w:trPr>
          <w:trHeight w:val="189"/>
        </w:trPr>
        <w:tc>
          <w:tcPr>
            <w:tcW w:w="2320" w:type="dxa"/>
            <w:vAlign w:val="bottom"/>
            <w:shd w:val="clear" w:color="auto" w:fill="C3D9EE"/>
          </w:tcPr>
          <w:p>
            <w:pPr>
              <w:ind w:left="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60</w:t>
            </w:r>
          </w:p>
        </w:tc>
        <w:tc>
          <w:tcPr>
            <w:tcW w:w="8700" w:type="dxa"/>
            <w:vAlign w:val="bottom"/>
          </w:tcPr>
          <w:p>
            <w:pPr>
              <w:ind w:left="320"/>
              <w:spacing w:after="0"/>
              <w:rPr>
                <w:sz w:val="20"/>
                <w:szCs w:val="20"/>
                <w:color w:val="auto"/>
              </w:rPr>
            </w:pPr>
            <w:r>
              <w:rPr>
                <w:rFonts w:ascii="Arial" w:cs="Arial" w:eastAsia="Arial" w:hAnsi="Arial"/>
                <w:sz w:val="16"/>
                <w:szCs w:val="16"/>
                <w:color w:val="auto"/>
              </w:rPr>
              <w:t>TriQuint. Mr. Ho is Chairman and Founder of Kiina Investment Ltd., a venture capital firm that invests in start-up</w:t>
            </w:r>
          </w:p>
        </w:tc>
      </w:tr>
      <w:tr>
        <w:trPr>
          <w:trHeight w:val="189"/>
        </w:trPr>
        <w:tc>
          <w:tcPr>
            <w:tcW w:w="2320" w:type="dxa"/>
            <w:vAlign w:val="bottom"/>
            <w:shd w:val="clear" w:color="auto" w:fill="C3D9EE"/>
          </w:tcPr>
          <w:p>
            <w:pPr>
              <w:ind w:left="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2015</w:t>
            </w:r>
          </w:p>
        </w:tc>
        <w:tc>
          <w:tcPr>
            <w:tcW w:w="8700" w:type="dxa"/>
            <w:vAlign w:val="bottom"/>
          </w:tcPr>
          <w:p>
            <w:pPr>
              <w:ind w:left="320"/>
              <w:spacing w:after="0"/>
              <w:rPr>
                <w:sz w:val="20"/>
                <w:szCs w:val="20"/>
                <w:color w:val="auto"/>
              </w:rPr>
            </w:pPr>
            <w:r>
              <w:rPr>
                <w:rFonts w:ascii="Arial" w:cs="Arial" w:eastAsia="Arial" w:hAnsi="Arial"/>
                <w:sz w:val="16"/>
                <w:szCs w:val="16"/>
                <w:color w:val="auto"/>
              </w:rPr>
              <w:t>companies in the technology, media and telecommunications industries. Additionally, Mr. Ho previously served as a</w:t>
            </w:r>
          </w:p>
        </w:tc>
      </w:tr>
      <w:tr>
        <w:trPr>
          <w:trHeight w:val="209"/>
        </w:trPr>
        <w:tc>
          <w:tcPr>
            <w:tcW w:w="2320" w:type="dxa"/>
            <w:vAlign w:val="bottom"/>
            <w:shd w:val="clear" w:color="auto" w:fill="C3D9EE"/>
          </w:tcPr>
          <w:p>
            <w:pPr>
              <w:ind w:left="80"/>
              <w:spacing w:after="0"/>
              <w:rPr>
                <w:sz w:val="20"/>
                <w:szCs w:val="20"/>
                <w:color w:val="auto"/>
              </w:rPr>
            </w:pPr>
            <w:r>
              <w:rPr>
                <w:rFonts w:ascii="Arial" w:cs="Arial" w:eastAsia="Arial" w:hAnsi="Arial"/>
                <w:sz w:val="16"/>
                <w:szCs w:val="16"/>
                <w:b w:val="1"/>
                <w:bCs w:val="1"/>
                <w:color w:val="auto"/>
              </w:rPr>
              <w:t>Committees:</w:t>
            </w:r>
          </w:p>
        </w:tc>
        <w:tc>
          <w:tcPr>
            <w:tcW w:w="8700" w:type="dxa"/>
            <w:vAlign w:val="bottom"/>
          </w:tcPr>
          <w:p>
            <w:pPr>
              <w:ind w:left="320"/>
              <w:spacing w:after="0"/>
              <w:rPr>
                <w:sz w:val="20"/>
                <w:szCs w:val="20"/>
                <w:color w:val="auto"/>
              </w:rPr>
            </w:pPr>
            <w:r>
              <w:rPr>
                <w:rFonts w:ascii="Arial" w:cs="Arial" w:eastAsia="Arial" w:hAnsi="Arial"/>
                <w:sz w:val="16"/>
                <w:szCs w:val="16"/>
                <w:color w:val="auto"/>
              </w:rPr>
              <w:t>senior advisor for Permira Advisors LLC, a private equity buyout fund, Chairman of Greater China for Nokia Siemens</w:t>
            </w:r>
          </w:p>
        </w:tc>
      </w:tr>
      <w:tr>
        <w:trPr>
          <w:trHeight w:val="189"/>
        </w:trPr>
        <w:tc>
          <w:tcPr>
            <w:tcW w:w="2320" w:type="dxa"/>
            <w:vAlign w:val="bottom"/>
            <w:shd w:val="clear" w:color="auto" w:fill="C3D9EE"/>
          </w:tcPr>
          <w:p>
            <w:pPr>
              <w:ind w:left="80"/>
              <w:spacing w:after="0"/>
              <w:rPr>
                <w:sz w:val="20"/>
                <w:szCs w:val="20"/>
                <w:color w:val="auto"/>
              </w:rPr>
            </w:pPr>
            <w:r>
              <w:rPr>
                <w:rFonts w:ascii="Arial" w:cs="Arial" w:eastAsia="Arial" w:hAnsi="Arial"/>
                <w:sz w:val="16"/>
                <w:szCs w:val="16"/>
                <w:color w:val="auto"/>
              </w:rPr>
              <w:t>Compensation</w:t>
            </w:r>
          </w:p>
        </w:tc>
        <w:tc>
          <w:tcPr>
            <w:tcW w:w="8700" w:type="dxa"/>
            <w:vAlign w:val="bottom"/>
          </w:tcPr>
          <w:p>
            <w:pPr>
              <w:ind w:left="320"/>
              <w:spacing w:after="0"/>
              <w:rPr>
                <w:sz w:val="20"/>
                <w:szCs w:val="20"/>
                <w:color w:val="auto"/>
              </w:rPr>
            </w:pPr>
            <w:r>
              <w:rPr>
                <w:rFonts w:ascii="Arial" w:cs="Arial" w:eastAsia="Arial" w:hAnsi="Arial"/>
                <w:sz w:val="16"/>
                <w:szCs w:val="16"/>
                <w:color w:val="auto"/>
              </w:rPr>
              <w:t>Networks, President of Greater China for Nokia Corporation and Senior Vice President of the Nokia Networks</w:t>
            </w:r>
          </w:p>
        </w:tc>
      </w:tr>
      <w:tr>
        <w:trPr>
          <w:trHeight w:val="189"/>
        </w:trPr>
        <w:tc>
          <w:tcPr>
            <w:tcW w:w="2320" w:type="dxa"/>
            <w:vAlign w:val="bottom"/>
            <w:shd w:val="clear" w:color="auto" w:fill="C3D9EE"/>
          </w:tcPr>
          <w:p>
            <w:pPr>
              <w:ind w:left="80"/>
              <w:spacing w:after="0"/>
              <w:rPr>
                <w:sz w:val="20"/>
                <w:szCs w:val="20"/>
                <w:color w:val="auto"/>
              </w:rPr>
            </w:pPr>
            <w:r>
              <w:rPr>
                <w:rFonts w:ascii="Arial" w:cs="Arial" w:eastAsia="Arial" w:hAnsi="Arial"/>
                <w:sz w:val="16"/>
                <w:szCs w:val="16"/>
                <w:color w:val="auto"/>
              </w:rPr>
              <w:t>Corporate Development</w:t>
            </w:r>
          </w:p>
        </w:tc>
        <w:tc>
          <w:tcPr>
            <w:tcW w:w="8700" w:type="dxa"/>
            <w:vAlign w:val="bottom"/>
          </w:tcPr>
          <w:p>
            <w:pPr>
              <w:ind w:left="320"/>
              <w:spacing w:after="0"/>
              <w:rPr>
                <w:sz w:val="20"/>
                <w:szCs w:val="20"/>
                <w:color w:val="auto"/>
              </w:rPr>
            </w:pPr>
            <w:r>
              <w:rPr>
                <w:rFonts w:ascii="Arial" w:cs="Arial" w:eastAsia="Arial" w:hAnsi="Arial"/>
                <w:sz w:val="16"/>
                <w:szCs w:val="16"/>
                <w:color w:val="auto"/>
              </w:rPr>
              <w:t>Business Group. He has also held senior leadership roles with Nortel Networks and Motorola in China and Canada.</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Mr. Ho currently serves as a member of the board of Air Products and Chemicals, Inc. (since 2013) in the United</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States and China COSCO Shipping Corporation (since 2016, and of China Ocean Shipping Company, which merged</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with China Shipping to become China COSCO Shipping Corporation, since 2012), the world’s largest shipping</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conglomerate and a Chinese state-owned enterprise; China Mobile Communications Corporation (since 2016), the</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world’s largest mobile communications carrier and a Chinese state-owned enterprise; and DBS Bank (Hong Kong)</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Limited, a subsidiary of DBS Group Holdings, a leading financial services group located in Singapore. Mr. Ho</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previously was a director of Pentair plc from 2007 until 2018 when it spun off its electrical business into nVent</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Electric plc, nVent Electric plc from 2018 until 2020, Dong Fang Electric Corporation from 2009 through 2015, 3Com</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Corporation from 2008 through 2010, Owens-Illinois Inc. from 2008 to 2012 and Sinosteel Corporation from 2008</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until 2012. Mr. Ho brings to the Board and its committees extensive experience and business knowledge of global</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markets in diversified industries, with a strong track record in establishing and building mobile handset and</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infrastructure businesses in China. He also has significant management expertise in operations, mergers,</w:t>
            </w:r>
          </w:p>
        </w:tc>
      </w:tr>
      <w:tr>
        <w:trPr>
          <w:trHeight w:val="201"/>
        </w:trPr>
        <w:tc>
          <w:tcPr>
            <w:tcW w:w="2320" w:type="dxa"/>
            <w:vAlign w:val="bottom"/>
            <w:shd w:val="clear" w:color="auto" w:fill="C3D9EE"/>
          </w:tcPr>
          <w:p>
            <w:pPr>
              <w:spacing w:after="0"/>
              <w:rPr>
                <w:sz w:val="17"/>
                <w:szCs w:val="17"/>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acquisitions and joint ventures in Asia.</w:t>
            </w:r>
          </w:p>
        </w:tc>
      </w:tr>
      <w:tr>
        <w:trPr>
          <w:trHeight w:val="243"/>
        </w:trPr>
        <w:tc>
          <w:tcPr>
            <w:tcW w:w="2320" w:type="dxa"/>
            <w:vAlign w:val="bottom"/>
            <w:tcBorders>
              <w:bottom w:val="single" w:sz="8" w:color="1269BC"/>
            </w:tcBorders>
          </w:tcPr>
          <w:p>
            <w:pPr>
              <w:spacing w:after="0"/>
              <w:rPr>
                <w:sz w:val="21"/>
                <w:szCs w:val="21"/>
                <w:color w:val="auto"/>
              </w:rPr>
            </w:pPr>
          </w:p>
        </w:tc>
        <w:tc>
          <w:tcPr>
            <w:tcW w:w="8700" w:type="dxa"/>
            <w:vAlign w:val="bottom"/>
            <w:tcBorders>
              <w:bottom w:val="single" w:sz="8" w:color="1269BC"/>
            </w:tcBorders>
          </w:tcPr>
          <w:p>
            <w:pPr>
              <w:spacing w:after="0"/>
              <w:rPr>
                <w:sz w:val="21"/>
                <w:szCs w:val="21"/>
                <w:color w:val="auto"/>
              </w:rPr>
            </w:pPr>
          </w:p>
        </w:tc>
      </w:tr>
      <w:tr>
        <w:trPr>
          <w:trHeight w:val="232"/>
        </w:trPr>
        <w:tc>
          <w:tcPr>
            <w:tcW w:w="2320" w:type="dxa"/>
            <w:vAlign w:val="bottom"/>
            <w:shd w:val="clear" w:color="auto" w:fill="C3D9EE"/>
          </w:tcPr>
          <w:p>
            <w:pPr>
              <w:ind w:left="80"/>
              <w:spacing w:after="0"/>
              <w:rPr>
                <w:sz w:val="20"/>
                <w:szCs w:val="20"/>
                <w:color w:val="auto"/>
              </w:rPr>
            </w:pPr>
            <w:r>
              <w:rPr>
                <w:rFonts w:ascii="Arial" w:cs="Arial" w:eastAsia="Arial" w:hAnsi="Arial"/>
                <w:sz w:val="16"/>
                <w:szCs w:val="16"/>
                <w:b w:val="1"/>
                <w:bCs w:val="1"/>
                <w:color w:val="auto"/>
              </w:rPr>
              <w:t>Roderick D. Nelson</w:t>
            </w:r>
          </w:p>
        </w:tc>
        <w:tc>
          <w:tcPr>
            <w:tcW w:w="8700" w:type="dxa"/>
            <w:vAlign w:val="bottom"/>
          </w:tcPr>
          <w:p>
            <w:pPr>
              <w:ind w:left="320"/>
              <w:spacing w:after="0"/>
              <w:rPr>
                <w:sz w:val="20"/>
                <w:szCs w:val="20"/>
                <w:color w:val="auto"/>
              </w:rPr>
            </w:pPr>
            <w:r>
              <w:rPr>
                <w:rFonts w:ascii="Arial" w:cs="Arial" w:eastAsia="Arial" w:hAnsi="Arial"/>
                <w:sz w:val="16"/>
                <w:szCs w:val="16"/>
                <w:color w:val="auto"/>
              </w:rPr>
              <w:t>Mr. Nelson has served on the Board of Directors since January 2015. From 2012 until 2015, he served as a director</w:t>
            </w:r>
          </w:p>
        </w:tc>
      </w:tr>
      <w:tr>
        <w:trPr>
          <w:trHeight w:val="189"/>
        </w:trPr>
        <w:tc>
          <w:tcPr>
            <w:tcW w:w="2320" w:type="dxa"/>
            <w:vAlign w:val="bottom"/>
            <w:shd w:val="clear" w:color="auto" w:fill="C3D9EE"/>
          </w:tcPr>
          <w:p>
            <w:pPr>
              <w:ind w:left="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60</w:t>
            </w:r>
          </w:p>
        </w:tc>
        <w:tc>
          <w:tcPr>
            <w:tcW w:w="8700" w:type="dxa"/>
            <w:vAlign w:val="bottom"/>
          </w:tcPr>
          <w:p>
            <w:pPr>
              <w:ind w:left="320"/>
              <w:spacing w:after="0"/>
              <w:rPr>
                <w:sz w:val="20"/>
                <w:szCs w:val="20"/>
                <w:color w:val="auto"/>
              </w:rPr>
            </w:pPr>
            <w:r>
              <w:rPr>
                <w:rFonts w:ascii="Arial" w:cs="Arial" w:eastAsia="Arial" w:hAnsi="Arial"/>
                <w:sz w:val="16"/>
                <w:szCs w:val="16"/>
                <w:color w:val="auto"/>
              </w:rPr>
              <w:t>of TriQuint. Since 2009, he has been the co-founder and principal of Tritech Sales and Services, LLC, a strategic</w:t>
            </w:r>
          </w:p>
        </w:tc>
      </w:tr>
      <w:tr>
        <w:trPr>
          <w:trHeight w:val="189"/>
        </w:trPr>
        <w:tc>
          <w:tcPr>
            <w:tcW w:w="2320" w:type="dxa"/>
            <w:vAlign w:val="bottom"/>
            <w:shd w:val="clear" w:color="auto" w:fill="C3D9EE"/>
          </w:tcPr>
          <w:p>
            <w:pPr>
              <w:ind w:left="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2015</w:t>
            </w:r>
          </w:p>
        </w:tc>
        <w:tc>
          <w:tcPr>
            <w:tcW w:w="8700" w:type="dxa"/>
            <w:vAlign w:val="bottom"/>
          </w:tcPr>
          <w:p>
            <w:pPr>
              <w:ind w:left="320"/>
              <w:spacing w:after="0"/>
              <w:rPr>
                <w:sz w:val="20"/>
                <w:szCs w:val="20"/>
                <w:color w:val="auto"/>
              </w:rPr>
            </w:pPr>
            <w:r>
              <w:rPr>
                <w:rFonts w:ascii="Arial" w:cs="Arial" w:eastAsia="Arial" w:hAnsi="Arial"/>
                <w:sz w:val="16"/>
                <w:szCs w:val="16"/>
                <w:color w:val="auto"/>
              </w:rPr>
              <w:t>product, business development and sales function consulting firm, and since June 2018, he has been the Chief</w:t>
            </w:r>
          </w:p>
        </w:tc>
      </w:tr>
      <w:tr>
        <w:trPr>
          <w:trHeight w:val="209"/>
        </w:trPr>
        <w:tc>
          <w:tcPr>
            <w:tcW w:w="2320" w:type="dxa"/>
            <w:vAlign w:val="bottom"/>
            <w:shd w:val="clear" w:color="auto" w:fill="C3D9EE"/>
          </w:tcPr>
          <w:p>
            <w:pPr>
              <w:ind w:left="80"/>
              <w:spacing w:after="0"/>
              <w:rPr>
                <w:sz w:val="20"/>
                <w:szCs w:val="20"/>
                <w:color w:val="auto"/>
              </w:rPr>
            </w:pPr>
            <w:r>
              <w:rPr>
                <w:rFonts w:ascii="Arial" w:cs="Arial" w:eastAsia="Arial" w:hAnsi="Arial"/>
                <w:sz w:val="16"/>
                <w:szCs w:val="16"/>
                <w:b w:val="1"/>
                <w:bCs w:val="1"/>
                <w:color w:val="auto"/>
              </w:rPr>
              <w:t>Committees:</w:t>
            </w:r>
          </w:p>
        </w:tc>
        <w:tc>
          <w:tcPr>
            <w:tcW w:w="8700" w:type="dxa"/>
            <w:vAlign w:val="bottom"/>
          </w:tcPr>
          <w:p>
            <w:pPr>
              <w:ind w:left="320"/>
              <w:spacing w:after="0"/>
              <w:rPr>
                <w:sz w:val="20"/>
                <w:szCs w:val="20"/>
                <w:color w:val="auto"/>
              </w:rPr>
            </w:pPr>
            <w:r>
              <w:rPr>
                <w:rFonts w:ascii="Arial" w:cs="Arial" w:eastAsia="Arial" w:hAnsi="Arial"/>
                <w:sz w:val="16"/>
                <w:szCs w:val="16"/>
                <w:color w:val="auto"/>
              </w:rPr>
              <w:t>Executive Officer of Geoverse, LLC, a company which designs, deploys and manages in-building cellular LTE</w:t>
            </w:r>
          </w:p>
        </w:tc>
      </w:tr>
      <w:tr>
        <w:trPr>
          <w:trHeight w:val="189"/>
        </w:trPr>
        <w:tc>
          <w:tcPr>
            <w:tcW w:w="2320" w:type="dxa"/>
            <w:vAlign w:val="bottom"/>
            <w:shd w:val="clear" w:color="auto" w:fill="C3D9EE"/>
          </w:tcPr>
          <w:p>
            <w:pPr>
              <w:ind w:left="80"/>
              <w:spacing w:after="0"/>
              <w:rPr>
                <w:sz w:val="20"/>
                <w:szCs w:val="20"/>
                <w:color w:val="auto"/>
              </w:rPr>
            </w:pPr>
            <w:r>
              <w:rPr>
                <w:rFonts w:ascii="Arial" w:cs="Arial" w:eastAsia="Arial" w:hAnsi="Arial"/>
                <w:sz w:val="16"/>
                <w:szCs w:val="16"/>
                <w:color w:val="auto"/>
              </w:rPr>
              <w:t>Audit</w:t>
            </w:r>
          </w:p>
        </w:tc>
        <w:tc>
          <w:tcPr>
            <w:tcW w:w="8700" w:type="dxa"/>
            <w:vAlign w:val="bottom"/>
          </w:tcPr>
          <w:p>
            <w:pPr>
              <w:ind w:left="320"/>
              <w:spacing w:after="0"/>
              <w:rPr>
                <w:sz w:val="20"/>
                <w:szCs w:val="20"/>
                <w:color w:val="auto"/>
              </w:rPr>
            </w:pPr>
            <w:r>
              <w:rPr>
                <w:rFonts w:ascii="Arial" w:cs="Arial" w:eastAsia="Arial" w:hAnsi="Arial"/>
                <w:sz w:val="16"/>
                <w:szCs w:val="16"/>
                <w:color w:val="auto"/>
              </w:rPr>
              <w:t>systems. Mr. Nelson served as the Chief Technology Officer for Globetouch, Inc., a privately held global provider of</w:t>
            </w:r>
          </w:p>
        </w:tc>
      </w:tr>
      <w:tr>
        <w:trPr>
          <w:trHeight w:val="189"/>
        </w:trPr>
        <w:tc>
          <w:tcPr>
            <w:tcW w:w="2320" w:type="dxa"/>
            <w:vAlign w:val="bottom"/>
            <w:shd w:val="clear" w:color="auto" w:fill="C3D9EE"/>
          </w:tcPr>
          <w:p>
            <w:pPr>
              <w:ind w:left="80"/>
              <w:spacing w:after="0"/>
              <w:rPr>
                <w:sz w:val="20"/>
                <w:szCs w:val="20"/>
                <w:color w:val="auto"/>
              </w:rPr>
            </w:pPr>
            <w:r>
              <w:rPr>
                <w:rFonts w:ascii="Arial" w:cs="Arial" w:eastAsia="Arial" w:hAnsi="Arial"/>
                <w:sz w:val="16"/>
                <w:szCs w:val="16"/>
                <w:color w:val="auto"/>
              </w:rPr>
              <w:t>Corporate Development</w:t>
            </w:r>
          </w:p>
        </w:tc>
        <w:tc>
          <w:tcPr>
            <w:tcW w:w="8700" w:type="dxa"/>
            <w:vAlign w:val="bottom"/>
          </w:tcPr>
          <w:p>
            <w:pPr>
              <w:ind w:left="320"/>
              <w:spacing w:after="0"/>
              <w:rPr>
                <w:sz w:val="20"/>
                <w:szCs w:val="20"/>
                <w:color w:val="auto"/>
              </w:rPr>
            </w:pPr>
            <w:r>
              <w:rPr>
                <w:rFonts w:ascii="Arial" w:cs="Arial" w:eastAsia="Arial" w:hAnsi="Arial"/>
                <w:sz w:val="16"/>
                <w:szCs w:val="16"/>
                <w:color w:val="auto"/>
              </w:rPr>
              <w:t>3G and LTE mobile broadband services for connected devices and IoT applications, from January 2015 to August</w:t>
            </w:r>
          </w:p>
        </w:tc>
      </w:tr>
      <w:tr>
        <w:trPr>
          <w:trHeight w:val="189"/>
        </w:trPr>
        <w:tc>
          <w:tcPr>
            <w:tcW w:w="2320" w:type="dxa"/>
            <w:vAlign w:val="bottom"/>
            <w:shd w:val="clear" w:color="auto" w:fill="C3D9EE"/>
          </w:tcPr>
          <w:p>
            <w:pPr>
              <w:ind w:left="80"/>
              <w:spacing w:after="0"/>
              <w:rPr>
                <w:sz w:val="20"/>
                <w:szCs w:val="20"/>
                <w:color w:val="auto"/>
              </w:rPr>
            </w:pPr>
            <w:r>
              <w:rPr>
                <w:rFonts w:ascii="Arial" w:cs="Arial" w:eastAsia="Arial" w:hAnsi="Arial"/>
                <w:sz w:val="16"/>
                <w:szCs w:val="16"/>
                <w:color w:val="auto"/>
              </w:rPr>
              <w:t>Governance and Nominating</w:t>
            </w:r>
          </w:p>
        </w:tc>
        <w:tc>
          <w:tcPr>
            <w:tcW w:w="8700" w:type="dxa"/>
            <w:vAlign w:val="bottom"/>
          </w:tcPr>
          <w:p>
            <w:pPr>
              <w:ind w:left="320"/>
              <w:spacing w:after="0"/>
              <w:rPr>
                <w:sz w:val="20"/>
                <w:szCs w:val="20"/>
                <w:color w:val="auto"/>
              </w:rPr>
            </w:pPr>
            <w:r>
              <w:rPr>
                <w:rFonts w:ascii="Arial" w:cs="Arial" w:eastAsia="Arial" w:hAnsi="Arial"/>
                <w:sz w:val="16"/>
                <w:szCs w:val="16"/>
                <w:color w:val="auto"/>
              </w:rPr>
              <w:t>2017. He served as Executive Vice President and Chief Technology Officer of AT&amp;T Wireless Services, where he led</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the Technology Development Group responsible for the development and deployment of the first 3G networks in the</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U.S. During his career, Mr. Nelson has worked closely with both national and international regulators and standards</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bodies on the creation of 3G specifications and standards. Mr. Nelson holds numerous patents covering broad and</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fundamental aspects of wireless communications. Mr. Nelson brings to the Board and its committees substantial</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experience in the wireless communications industry, including his extensive knowledge regarding the requirements</w:t>
            </w:r>
          </w:p>
        </w:tc>
      </w:tr>
      <w:tr>
        <w:trPr>
          <w:trHeight w:val="189"/>
        </w:trPr>
        <w:tc>
          <w:tcPr>
            <w:tcW w:w="23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of downstream customers. He also has significant technical expertise, such as his 3G standards development</w:t>
            </w:r>
          </w:p>
        </w:tc>
      </w:tr>
      <w:tr>
        <w:trPr>
          <w:trHeight w:val="201"/>
        </w:trPr>
        <w:tc>
          <w:tcPr>
            <w:tcW w:w="2320" w:type="dxa"/>
            <w:vAlign w:val="bottom"/>
            <w:shd w:val="clear" w:color="auto" w:fill="C3D9EE"/>
          </w:tcPr>
          <w:p>
            <w:pPr>
              <w:spacing w:after="0"/>
              <w:rPr>
                <w:sz w:val="17"/>
                <w:szCs w:val="17"/>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experience, and a deep understanding of the regulatory environment applicable to our business.</w:t>
            </w:r>
          </w:p>
        </w:tc>
      </w:tr>
      <w:tr>
        <w:trPr>
          <w:trHeight w:val="418"/>
        </w:trPr>
        <w:tc>
          <w:tcPr>
            <w:tcW w:w="2320" w:type="dxa"/>
            <w:vAlign w:val="bottom"/>
          </w:tcPr>
          <w:p>
            <w:pPr>
              <w:spacing w:after="0"/>
              <w:rPr>
                <w:sz w:val="24"/>
                <w:szCs w:val="24"/>
                <w:color w:val="auto"/>
              </w:rPr>
            </w:pPr>
          </w:p>
        </w:tc>
        <w:tc>
          <w:tcPr>
            <w:tcW w:w="8700" w:type="dxa"/>
            <w:vAlign w:val="bottom"/>
          </w:tcPr>
          <w:p>
            <w:pPr>
              <w:jc w:val="right"/>
              <w:spacing w:after="0"/>
              <w:rPr>
                <w:sz w:val="20"/>
                <w:szCs w:val="20"/>
                <w:color w:val="auto"/>
              </w:rPr>
            </w:pPr>
            <w:r>
              <w:rPr>
                <w:rFonts w:ascii="Arial" w:cs="Arial" w:eastAsia="Arial" w:hAnsi="Arial"/>
                <w:sz w:val="18"/>
                <w:szCs w:val="18"/>
                <w:i w:val="1"/>
                <w:iCs w:val="1"/>
                <w:color w:val="1269BC"/>
              </w:rPr>
              <w:t xml:space="preserve">2020 Proxy Statement  </w:t>
            </w:r>
            <w:r>
              <w:rPr>
                <w:rFonts w:ascii="Arial" w:cs="Arial" w:eastAsia="Arial" w:hAnsi="Arial"/>
                <w:sz w:val="18"/>
                <w:szCs w:val="18"/>
                <w:color w:val="000000"/>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-170815</wp:posOffset>
            </wp:positionV>
            <wp:extent cx="58293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252"/>
        </w:trPr>
        <w:tc>
          <w:tcPr>
            <w:tcW w:w="2320" w:type="dxa"/>
            <w:vAlign w:val="bottom"/>
            <w:tcBorders>
              <w:top w:val="single" w:sz="8" w:color="1269BC"/>
            </w:tcBorders>
            <w:gridSpan w:val="2"/>
            <w:shd w:val="clear" w:color="auto" w:fill="C3D9EE"/>
          </w:tcPr>
          <w:p>
            <w:pPr>
              <w:ind w:left="80"/>
              <w:spacing w:after="0"/>
              <w:rPr>
                <w:sz w:val="20"/>
                <w:szCs w:val="20"/>
                <w:color w:val="auto"/>
              </w:rPr>
            </w:pPr>
            <w:r>
              <w:rPr>
                <w:rFonts w:ascii="Arial" w:cs="Arial" w:eastAsia="Arial" w:hAnsi="Arial"/>
                <w:sz w:val="16"/>
                <w:szCs w:val="16"/>
                <w:b w:val="1"/>
                <w:bCs w:val="1"/>
                <w:color w:val="auto"/>
              </w:rPr>
              <w:t>Dr. Walden C. Rhines</w:t>
            </w:r>
          </w:p>
        </w:tc>
        <w:tc>
          <w:tcPr>
            <w:tcW w:w="8700" w:type="dxa"/>
            <w:vAlign w:val="bottom"/>
            <w:tcBorders>
              <w:top w:val="single" w:sz="8" w:color="1269BC"/>
            </w:tcBorders>
          </w:tcPr>
          <w:p>
            <w:pPr>
              <w:ind w:left="320"/>
              <w:spacing w:after="0"/>
              <w:rPr>
                <w:sz w:val="20"/>
                <w:szCs w:val="20"/>
                <w:color w:val="auto"/>
              </w:rPr>
            </w:pPr>
            <w:r>
              <w:rPr>
                <w:rFonts w:ascii="Arial" w:cs="Arial" w:eastAsia="Arial" w:hAnsi="Arial"/>
                <w:sz w:val="16"/>
                <w:szCs w:val="16"/>
                <w:color w:val="auto"/>
              </w:rPr>
              <w:t>Dr. Rhines has served on the Board of Directors since January 2015. From 1995 until 2015, he served as a director</w:t>
            </w:r>
          </w:p>
        </w:tc>
      </w:tr>
      <w:tr>
        <w:trPr>
          <w:trHeight w:val="189"/>
        </w:trPr>
        <w:tc>
          <w:tcPr>
            <w:tcW w:w="1500" w:type="dxa"/>
            <w:vAlign w:val="bottom"/>
            <w:shd w:val="clear" w:color="auto" w:fill="C3D9EE"/>
          </w:tcPr>
          <w:p>
            <w:pPr>
              <w:ind w:left="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73</w:t>
            </w: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of TriQuint. Since March 2020, he has served as President and Chief Executive Officer of Cornami, Inc., a</w:t>
            </w:r>
          </w:p>
        </w:tc>
      </w:tr>
      <w:tr>
        <w:trPr>
          <w:trHeight w:val="189"/>
        </w:trPr>
        <w:tc>
          <w:tcPr>
            <w:tcW w:w="2320" w:type="dxa"/>
            <w:vAlign w:val="bottom"/>
            <w:gridSpan w:val="2"/>
            <w:shd w:val="clear" w:color="auto" w:fill="C3D9EE"/>
          </w:tcPr>
          <w:p>
            <w:pPr>
              <w:ind w:left="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2015</w:t>
            </w:r>
          </w:p>
        </w:tc>
        <w:tc>
          <w:tcPr>
            <w:tcW w:w="8700" w:type="dxa"/>
            <w:vAlign w:val="bottom"/>
          </w:tcPr>
          <w:p>
            <w:pPr>
              <w:ind w:left="320"/>
              <w:spacing w:after="0"/>
              <w:rPr>
                <w:sz w:val="20"/>
                <w:szCs w:val="20"/>
                <w:color w:val="auto"/>
              </w:rPr>
            </w:pPr>
            <w:r>
              <w:rPr>
                <w:rFonts w:ascii="Arial" w:cs="Arial" w:eastAsia="Arial" w:hAnsi="Arial"/>
                <w:sz w:val="16"/>
                <w:szCs w:val="16"/>
                <w:color w:val="auto"/>
              </w:rPr>
              <w:t>semiconductor processor company focused on fully homomorphic encryption. Since October 2019, he has served as</w:t>
            </w:r>
          </w:p>
        </w:tc>
      </w:tr>
      <w:tr>
        <w:trPr>
          <w:trHeight w:val="209"/>
        </w:trPr>
        <w:tc>
          <w:tcPr>
            <w:tcW w:w="1500" w:type="dxa"/>
            <w:vAlign w:val="bottom"/>
            <w:shd w:val="clear" w:color="auto" w:fill="C3D9EE"/>
          </w:tcPr>
          <w:p>
            <w:pPr>
              <w:ind w:left="80"/>
              <w:spacing w:after="0"/>
              <w:rPr>
                <w:sz w:val="20"/>
                <w:szCs w:val="20"/>
                <w:color w:val="auto"/>
              </w:rPr>
            </w:pPr>
            <w:r>
              <w:rPr>
                <w:rFonts w:ascii="Arial" w:cs="Arial" w:eastAsia="Arial" w:hAnsi="Arial"/>
                <w:sz w:val="16"/>
                <w:szCs w:val="16"/>
                <w:b w:val="1"/>
                <w:bCs w:val="1"/>
                <w:color w:val="auto"/>
              </w:rPr>
              <w:t>Committees:</w:t>
            </w:r>
          </w:p>
        </w:tc>
        <w:tc>
          <w:tcPr>
            <w:tcW w:w="820" w:type="dxa"/>
            <w:vAlign w:val="bottom"/>
            <w:shd w:val="clear" w:color="auto" w:fill="C3D9EE"/>
          </w:tcPr>
          <w:p>
            <w:pPr>
              <w:spacing w:after="0"/>
              <w:rPr>
                <w:sz w:val="18"/>
                <w:szCs w:val="18"/>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Chief Executive Officer of Rhines Consultants, a consulting firm in the semiconductor, integrated circuit design and</w:t>
            </w:r>
          </w:p>
        </w:tc>
      </w:tr>
      <w:tr>
        <w:trPr>
          <w:trHeight w:val="189"/>
        </w:trPr>
        <w:tc>
          <w:tcPr>
            <w:tcW w:w="2320" w:type="dxa"/>
            <w:vAlign w:val="bottom"/>
            <w:gridSpan w:val="2"/>
            <w:shd w:val="clear" w:color="auto" w:fill="C3D9EE"/>
          </w:tcPr>
          <w:p>
            <w:pPr>
              <w:ind w:left="80"/>
              <w:spacing w:after="0"/>
              <w:rPr>
                <w:sz w:val="20"/>
                <w:szCs w:val="20"/>
                <w:color w:val="auto"/>
              </w:rPr>
            </w:pPr>
            <w:r>
              <w:rPr>
                <w:rFonts w:ascii="Arial" w:cs="Arial" w:eastAsia="Arial" w:hAnsi="Arial"/>
                <w:sz w:val="16"/>
                <w:szCs w:val="16"/>
                <w:color w:val="auto"/>
              </w:rPr>
              <w:t>Compensation (Chair)</w:t>
            </w:r>
          </w:p>
        </w:tc>
        <w:tc>
          <w:tcPr>
            <w:tcW w:w="8700" w:type="dxa"/>
            <w:vAlign w:val="bottom"/>
          </w:tcPr>
          <w:p>
            <w:pPr>
              <w:ind w:left="320"/>
              <w:spacing w:after="0"/>
              <w:rPr>
                <w:sz w:val="20"/>
                <w:szCs w:val="20"/>
                <w:color w:val="auto"/>
              </w:rPr>
            </w:pPr>
            <w:r>
              <w:rPr>
                <w:rFonts w:ascii="Arial" w:cs="Arial" w:eastAsia="Arial" w:hAnsi="Arial"/>
                <w:sz w:val="16"/>
                <w:szCs w:val="16"/>
                <w:color w:val="auto"/>
              </w:rPr>
              <w:t>manufacturing fields. Dr. Rhines is also CEO Emeritus of Mentor, a Siemens Business, an electronic design</w:t>
            </w:r>
          </w:p>
        </w:tc>
      </w:tr>
      <w:tr>
        <w:trPr>
          <w:trHeight w:val="189"/>
        </w:trPr>
        <w:tc>
          <w:tcPr>
            <w:tcW w:w="2320" w:type="dxa"/>
            <w:vAlign w:val="bottom"/>
            <w:gridSpan w:val="2"/>
            <w:shd w:val="clear" w:color="auto" w:fill="C3D9EE"/>
          </w:tcPr>
          <w:p>
            <w:pPr>
              <w:ind w:left="80"/>
              <w:spacing w:after="0"/>
              <w:rPr>
                <w:sz w:val="20"/>
                <w:szCs w:val="20"/>
                <w:color w:val="auto"/>
              </w:rPr>
            </w:pPr>
            <w:r>
              <w:rPr>
                <w:rFonts w:ascii="Arial" w:cs="Arial" w:eastAsia="Arial" w:hAnsi="Arial"/>
                <w:sz w:val="16"/>
                <w:szCs w:val="16"/>
                <w:color w:val="auto"/>
              </w:rPr>
              <w:t>Governance and Nominating</w:t>
            </w:r>
          </w:p>
        </w:tc>
        <w:tc>
          <w:tcPr>
            <w:tcW w:w="8700" w:type="dxa"/>
            <w:vAlign w:val="bottom"/>
          </w:tcPr>
          <w:p>
            <w:pPr>
              <w:ind w:left="320"/>
              <w:spacing w:after="0"/>
              <w:rPr>
                <w:sz w:val="20"/>
                <w:szCs w:val="20"/>
                <w:color w:val="auto"/>
              </w:rPr>
            </w:pPr>
            <w:r>
              <w:rPr>
                <w:rFonts w:ascii="Arial" w:cs="Arial" w:eastAsia="Arial" w:hAnsi="Arial"/>
                <w:sz w:val="16"/>
                <w:szCs w:val="16"/>
                <w:color w:val="auto"/>
              </w:rPr>
              <w:t>automation company, having previously served as President and Chief Executive Officer of Mentor from its</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acquisition by Siemens Industry, Inc. in March 2017 until October 2018. He previously served as Chief Executive</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Officer of Mentor Graphics Corporation from 1993 and chairman of its board of directors from 2000 until the</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acquisition of Mentor Graphics by Siemens in 2017. Prior to joining Mentor Graphics, he spent 21 years at Texas</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Instruments, a semiconductor manufacturer, with his most recent position as the Executive Vice President of its</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Semiconductor Group with responsibility for its worldwide semiconductor business. Dr. Rhines also served as a</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director of Cirrus Logic, Inc., a semiconductor company, from 1995 to 2009, and as a director of Electronic System</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Design Alliance, a trade association for electronic design companies, from 1994 to 2019. Dr. Rhines serves as a</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director of PTK Acquisition Corp., a special purpose acquisition company, as a director of Semiconductor Research</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Corporation, a technology research consortium, and as a consultant to the Defense Advanced Research Projects</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Agency (DARPA), a research investment arm of the U.S. government. Dr. Rhines brings to the Board and its</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committees over 45 years of experience in the semiconductor industry, including substantial operating experience</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and management expertise as a CEO of a publicly traded technology company. He also brings strong leadership</w:t>
            </w:r>
          </w:p>
        </w:tc>
      </w:tr>
      <w:tr>
        <w:trPr>
          <w:trHeight w:val="201"/>
        </w:trPr>
        <w:tc>
          <w:tcPr>
            <w:tcW w:w="1500" w:type="dxa"/>
            <w:vAlign w:val="bottom"/>
            <w:shd w:val="clear" w:color="auto" w:fill="C3D9EE"/>
          </w:tcPr>
          <w:p>
            <w:pPr>
              <w:spacing w:after="0"/>
              <w:rPr>
                <w:sz w:val="17"/>
                <w:szCs w:val="17"/>
                <w:color w:val="auto"/>
              </w:rPr>
            </w:pPr>
          </w:p>
        </w:tc>
        <w:tc>
          <w:tcPr>
            <w:tcW w:w="820" w:type="dxa"/>
            <w:vAlign w:val="bottom"/>
            <w:shd w:val="clear" w:color="auto" w:fill="C3D9EE"/>
          </w:tcPr>
          <w:p>
            <w:pPr>
              <w:spacing w:after="0"/>
              <w:rPr>
                <w:sz w:val="17"/>
                <w:szCs w:val="17"/>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skills and a significant understanding of international markets.</w:t>
            </w:r>
          </w:p>
        </w:tc>
      </w:tr>
      <w:tr>
        <w:trPr>
          <w:trHeight w:val="243"/>
        </w:trPr>
        <w:tc>
          <w:tcPr>
            <w:tcW w:w="1500" w:type="dxa"/>
            <w:vAlign w:val="bottom"/>
            <w:tcBorders>
              <w:bottom w:val="single" w:sz="8" w:color="1269BC"/>
            </w:tcBorders>
          </w:tcPr>
          <w:p>
            <w:pPr>
              <w:spacing w:after="0"/>
              <w:rPr>
                <w:sz w:val="21"/>
                <w:szCs w:val="21"/>
                <w:color w:val="auto"/>
              </w:rPr>
            </w:pPr>
          </w:p>
        </w:tc>
        <w:tc>
          <w:tcPr>
            <w:tcW w:w="820" w:type="dxa"/>
            <w:vAlign w:val="bottom"/>
            <w:tcBorders>
              <w:bottom w:val="single" w:sz="8" w:color="1269BC"/>
            </w:tcBorders>
          </w:tcPr>
          <w:p>
            <w:pPr>
              <w:spacing w:after="0"/>
              <w:rPr>
                <w:sz w:val="21"/>
                <w:szCs w:val="21"/>
                <w:color w:val="auto"/>
              </w:rPr>
            </w:pPr>
          </w:p>
        </w:tc>
        <w:tc>
          <w:tcPr>
            <w:tcW w:w="8700" w:type="dxa"/>
            <w:vAlign w:val="bottom"/>
            <w:tcBorders>
              <w:bottom w:val="single" w:sz="8" w:color="1269BC"/>
            </w:tcBorders>
          </w:tcPr>
          <w:p>
            <w:pPr>
              <w:spacing w:after="0"/>
              <w:rPr>
                <w:sz w:val="21"/>
                <w:szCs w:val="21"/>
                <w:color w:val="auto"/>
              </w:rPr>
            </w:pPr>
          </w:p>
        </w:tc>
      </w:tr>
      <w:tr>
        <w:trPr>
          <w:trHeight w:val="232"/>
        </w:trPr>
        <w:tc>
          <w:tcPr>
            <w:tcW w:w="1500" w:type="dxa"/>
            <w:vAlign w:val="bottom"/>
            <w:shd w:val="clear" w:color="auto" w:fill="C3D9EE"/>
          </w:tcPr>
          <w:p>
            <w:pPr>
              <w:ind w:left="80"/>
              <w:spacing w:after="0"/>
              <w:rPr>
                <w:sz w:val="20"/>
                <w:szCs w:val="20"/>
                <w:color w:val="auto"/>
              </w:rPr>
            </w:pPr>
            <w:r>
              <w:rPr>
                <w:rFonts w:ascii="Arial" w:cs="Arial" w:eastAsia="Arial" w:hAnsi="Arial"/>
                <w:sz w:val="16"/>
                <w:szCs w:val="16"/>
                <w:b w:val="1"/>
                <w:bCs w:val="1"/>
                <w:color w:val="auto"/>
              </w:rPr>
              <w:t>Susan L. Spradley</w:t>
            </w:r>
          </w:p>
        </w:tc>
        <w:tc>
          <w:tcPr>
            <w:tcW w:w="820" w:type="dxa"/>
            <w:vAlign w:val="bottom"/>
            <w:shd w:val="clear" w:color="auto" w:fill="C3D9EE"/>
          </w:tcPr>
          <w:p>
            <w:pPr>
              <w:spacing w:after="0"/>
              <w:rPr>
                <w:sz w:val="20"/>
                <w:szCs w:val="20"/>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Ms. Spradley has served on the Board of Directors since January 2017. She has served as Chief Executive Officer</w:t>
            </w:r>
          </w:p>
        </w:tc>
      </w:tr>
      <w:tr>
        <w:trPr>
          <w:trHeight w:val="189"/>
        </w:trPr>
        <w:tc>
          <w:tcPr>
            <w:tcW w:w="1500" w:type="dxa"/>
            <w:vAlign w:val="bottom"/>
            <w:shd w:val="clear" w:color="auto" w:fill="C3D9EE"/>
          </w:tcPr>
          <w:p>
            <w:pPr>
              <w:ind w:left="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59</w:t>
            </w: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of Motion Intelligence, a privately held software-as-a-service company, since January 2018. Previously, she was</w:t>
            </w:r>
          </w:p>
        </w:tc>
      </w:tr>
      <w:tr>
        <w:trPr>
          <w:trHeight w:val="189"/>
        </w:trPr>
        <w:tc>
          <w:tcPr>
            <w:tcW w:w="2320" w:type="dxa"/>
            <w:vAlign w:val="bottom"/>
            <w:gridSpan w:val="2"/>
            <w:shd w:val="clear" w:color="auto" w:fill="C3D9EE"/>
          </w:tcPr>
          <w:p>
            <w:pPr>
              <w:ind w:left="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2017</w:t>
            </w:r>
          </w:p>
        </w:tc>
        <w:tc>
          <w:tcPr>
            <w:tcW w:w="8700" w:type="dxa"/>
            <w:vAlign w:val="bottom"/>
          </w:tcPr>
          <w:p>
            <w:pPr>
              <w:ind w:left="320"/>
              <w:spacing w:after="0"/>
              <w:rPr>
                <w:sz w:val="20"/>
                <w:szCs w:val="20"/>
                <w:color w:val="auto"/>
              </w:rPr>
            </w:pPr>
            <w:r>
              <w:rPr>
                <w:rFonts w:ascii="Arial" w:cs="Arial" w:eastAsia="Arial" w:hAnsi="Arial"/>
                <w:sz w:val="16"/>
                <w:szCs w:val="16"/>
                <w:color w:val="auto"/>
              </w:rPr>
              <w:t>principal of Spradley Consulting LLC, a consulting firm that she founded, from February 2017 until January 2020,</w:t>
            </w:r>
          </w:p>
        </w:tc>
      </w:tr>
      <w:tr>
        <w:trPr>
          <w:trHeight w:val="209"/>
        </w:trPr>
        <w:tc>
          <w:tcPr>
            <w:tcW w:w="1500" w:type="dxa"/>
            <w:vAlign w:val="bottom"/>
            <w:shd w:val="clear" w:color="auto" w:fill="C3D9EE"/>
          </w:tcPr>
          <w:p>
            <w:pPr>
              <w:ind w:left="80"/>
              <w:spacing w:after="0"/>
              <w:rPr>
                <w:sz w:val="20"/>
                <w:szCs w:val="20"/>
                <w:color w:val="auto"/>
              </w:rPr>
            </w:pPr>
            <w:r>
              <w:rPr>
                <w:rFonts w:ascii="Arial" w:cs="Arial" w:eastAsia="Arial" w:hAnsi="Arial"/>
                <w:sz w:val="16"/>
                <w:szCs w:val="16"/>
                <w:b w:val="1"/>
                <w:bCs w:val="1"/>
                <w:color w:val="auto"/>
              </w:rPr>
              <w:t>Committees:</w:t>
            </w:r>
          </w:p>
        </w:tc>
        <w:tc>
          <w:tcPr>
            <w:tcW w:w="820" w:type="dxa"/>
            <w:vAlign w:val="bottom"/>
            <w:shd w:val="clear" w:color="auto" w:fill="C3D9EE"/>
          </w:tcPr>
          <w:p>
            <w:pPr>
              <w:spacing w:after="0"/>
              <w:rPr>
                <w:sz w:val="18"/>
                <w:szCs w:val="18"/>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and a partner in the TAP Growth Group, a senior executive consulting firm, from August 2017 to June 2019. From</w:t>
            </w:r>
          </w:p>
        </w:tc>
      </w:tr>
      <w:tr>
        <w:trPr>
          <w:trHeight w:val="189"/>
        </w:trPr>
        <w:tc>
          <w:tcPr>
            <w:tcW w:w="1500" w:type="dxa"/>
            <w:vAlign w:val="bottom"/>
            <w:shd w:val="clear" w:color="auto" w:fill="C3D9EE"/>
          </w:tcPr>
          <w:p>
            <w:pPr>
              <w:ind w:left="80"/>
              <w:spacing w:after="0"/>
              <w:rPr>
                <w:sz w:val="20"/>
                <w:szCs w:val="20"/>
                <w:color w:val="auto"/>
              </w:rPr>
            </w:pPr>
            <w:r>
              <w:rPr>
                <w:rFonts w:ascii="Arial" w:cs="Arial" w:eastAsia="Arial" w:hAnsi="Arial"/>
                <w:sz w:val="16"/>
                <w:szCs w:val="16"/>
                <w:color w:val="auto"/>
              </w:rPr>
              <w:t>Compensation</w:t>
            </w: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January 2013 until January 2017, she served in various roles at Viavi Solutions Inc. (formerly JDS Uniphase), most</w:t>
            </w:r>
          </w:p>
        </w:tc>
      </w:tr>
      <w:tr>
        <w:trPr>
          <w:trHeight w:val="189"/>
        </w:trPr>
        <w:tc>
          <w:tcPr>
            <w:tcW w:w="2320" w:type="dxa"/>
            <w:vAlign w:val="bottom"/>
            <w:gridSpan w:val="2"/>
            <w:shd w:val="clear" w:color="auto" w:fill="C3D9EE"/>
          </w:tcPr>
          <w:p>
            <w:pPr>
              <w:ind w:left="80"/>
              <w:spacing w:after="0"/>
              <w:rPr>
                <w:sz w:val="20"/>
                <w:szCs w:val="20"/>
                <w:color w:val="auto"/>
              </w:rPr>
            </w:pPr>
            <w:r>
              <w:rPr>
                <w:rFonts w:ascii="Arial" w:cs="Arial" w:eastAsia="Arial" w:hAnsi="Arial"/>
                <w:sz w:val="16"/>
                <w:szCs w:val="16"/>
                <w:color w:val="auto"/>
              </w:rPr>
              <w:t>Corporate Development</w:t>
            </w:r>
          </w:p>
        </w:tc>
        <w:tc>
          <w:tcPr>
            <w:tcW w:w="8700" w:type="dxa"/>
            <w:vAlign w:val="bottom"/>
          </w:tcPr>
          <w:p>
            <w:pPr>
              <w:ind w:left="320"/>
              <w:spacing w:after="0"/>
              <w:rPr>
                <w:sz w:val="20"/>
                <w:szCs w:val="20"/>
                <w:color w:val="auto"/>
              </w:rPr>
            </w:pPr>
            <w:r>
              <w:rPr>
                <w:rFonts w:ascii="Arial" w:cs="Arial" w:eastAsia="Arial" w:hAnsi="Arial"/>
                <w:sz w:val="16"/>
                <w:szCs w:val="16"/>
                <w:color w:val="auto"/>
              </w:rPr>
              <w:t>recently as Executive Vice President and General Manager–Network and Service Enablement. Prior to joining Viavi</w:t>
            </w:r>
          </w:p>
        </w:tc>
      </w:tr>
      <w:tr>
        <w:trPr>
          <w:trHeight w:val="189"/>
        </w:trPr>
        <w:tc>
          <w:tcPr>
            <w:tcW w:w="2320" w:type="dxa"/>
            <w:vAlign w:val="bottom"/>
            <w:gridSpan w:val="2"/>
            <w:shd w:val="clear" w:color="auto" w:fill="C3D9EE"/>
          </w:tcPr>
          <w:p>
            <w:pPr>
              <w:ind w:left="80"/>
              <w:spacing w:after="0"/>
              <w:rPr>
                <w:sz w:val="20"/>
                <w:szCs w:val="20"/>
                <w:color w:val="auto"/>
              </w:rPr>
            </w:pPr>
            <w:r>
              <w:rPr>
                <w:rFonts w:ascii="Arial" w:cs="Arial" w:eastAsia="Arial" w:hAnsi="Arial"/>
                <w:sz w:val="16"/>
                <w:szCs w:val="16"/>
                <w:color w:val="auto"/>
              </w:rPr>
              <w:t>Governance and Nominating</w:t>
            </w:r>
          </w:p>
        </w:tc>
        <w:tc>
          <w:tcPr>
            <w:tcW w:w="8700" w:type="dxa"/>
            <w:vAlign w:val="bottom"/>
          </w:tcPr>
          <w:p>
            <w:pPr>
              <w:ind w:left="320"/>
              <w:spacing w:after="0"/>
              <w:rPr>
                <w:sz w:val="20"/>
                <w:szCs w:val="20"/>
                <w:color w:val="auto"/>
              </w:rPr>
            </w:pPr>
            <w:r>
              <w:rPr>
                <w:rFonts w:ascii="Arial" w:cs="Arial" w:eastAsia="Arial" w:hAnsi="Arial"/>
                <w:sz w:val="16"/>
                <w:szCs w:val="16"/>
                <w:color w:val="auto"/>
              </w:rPr>
              <w:t>Solutions Inc., Ms. Spradley served as executive director at US-Ignite from April 2011 to December 2012. Prior to</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that, Ms. Spradley was President of the North America region at Nokia Siemens Networks from 2007 to 2011,</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responsible for regional profit and loss, sales and service. From 1997 to 2005, she held executive positions at Nortel</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Networks Corporation. Ms. Spradley has served on the board of directors of Avaya Holdings Corp., a publicly traded</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communications applications provider, since December 2017, and NetScout Systems, Inc., a publicly traded real-</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time operational intelligence and performance analytics company, since April 2018. She previously served on the</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board of directors of publicly traded EXFO Inc. from October 2011 through November 2012. She brings to the Board</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and its committees more than 25 years of experience in the wireless telecommunications industry, including broad</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operating experience in sales, product portfolio management, and research and development for multiple global</w:t>
            </w:r>
          </w:p>
        </w:tc>
      </w:tr>
      <w:tr>
        <w:trPr>
          <w:trHeight w:val="189"/>
        </w:trPr>
        <w:tc>
          <w:tcPr>
            <w:tcW w:w="1500" w:type="dxa"/>
            <w:vAlign w:val="bottom"/>
            <w:shd w:val="clear" w:color="auto" w:fill="C3D9EE"/>
          </w:tcPr>
          <w:p>
            <w:pPr>
              <w:spacing w:after="0"/>
              <w:rPr>
                <w:sz w:val="16"/>
                <w:szCs w:val="16"/>
                <w:color w:val="auto"/>
              </w:rPr>
            </w:pPr>
          </w:p>
        </w:tc>
        <w:tc>
          <w:tcPr>
            <w:tcW w:w="820" w:type="dxa"/>
            <w:vAlign w:val="bottom"/>
            <w:shd w:val="clear" w:color="auto" w:fill="C3D9EE"/>
          </w:tcPr>
          <w:p>
            <w:pPr>
              <w:spacing w:after="0"/>
              <w:rPr>
                <w:sz w:val="16"/>
                <w:szCs w:val="16"/>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communications-related companies. Ms. Spradley also has extensive public company executive leadership</w:t>
            </w:r>
          </w:p>
        </w:tc>
      </w:tr>
      <w:tr>
        <w:trPr>
          <w:trHeight w:val="201"/>
        </w:trPr>
        <w:tc>
          <w:tcPr>
            <w:tcW w:w="1500" w:type="dxa"/>
            <w:vAlign w:val="bottom"/>
            <w:shd w:val="clear" w:color="auto" w:fill="C3D9EE"/>
          </w:tcPr>
          <w:p>
            <w:pPr>
              <w:spacing w:after="0"/>
              <w:rPr>
                <w:sz w:val="17"/>
                <w:szCs w:val="17"/>
                <w:color w:val="auto"/>
              </w:rPr>
            </w:pPr>
          </w:p>
        </w:tc>
        <w:tc>
          <w:tcPr>
            <w:tcW w:w="820" w:type="dxa"/>
            <w:vAlign w:val="bottom"/>
            <w:shd w:val="clear" w:color="auto" w:fill="C3D9EE"/>
          </w:tcPr>
          <w:p>
            <w:pPr>
              <w:spacing w:after="0"/>
              <w:rPr>
                <w:sz w:val="17"/>
                <w:szCs w:val="17"/>
                <w:color w:val="auto"/>
              </w:rPr>
            </w:pPr>
          </w:p>
        </w:tc>
        <w:tc>
          <w:tcPr>
            <w:tcW w:w="8700" w:type="dxa"/>
            <w:vAlign w:val="bottom"/>
          </w:tcPr>
          <w:p>
            <w:pPr>
              <w:ind w:left="320"/>
              <w:spacing w:after="0"/>
              <w:rPr>
                <w:sz w:val="20"/>
                <w:szCs w:val="20"/>
                <w:color w:val="auto"/>
              </w:rPr>
            </w:pPr>
            <w:r>
              <w:rPr>
                <w:rFonts w:ascii="Arial" w:cs="Arial" w:eastAsia="Arial" w:hAnsi="Arial"/>
                <w:sz w:val="16"/>
                <w:szCs w:val="16"/>
                <w:color w:val="auto"/>
              </w:rPr>
              <w:t>experience.</w:t>
            </w:r>
          </w:p>
        </w:tc>
      </w:tr>
      <w:tr>
        <w:trPr>
          <w:trHeight w:val="419"/>
        </w:trPr>
        <w:tc>
          <w:tcPr>
            <w:tcW w:w="1500" w:type="dxa"/>
            <w:vAlign w:val="bottom"/>
          </w:tcPr>
          <w:p>
            <w:pPr>
              <w:spacing w:after="0"/>
              <w:rPr>
                <w:sz w:val="20"/>
                <w:szCs w:val="20"/>
                <w:color w:val="auto"/>
              </w:rPr>
            </w:pPr>
            <w:r>
              <w:rPr>
                <w:rFonts w:ascii="Arial" w:cs="Arial" w:eastAsia="Arial" w:hAnsi="Arial"/>
                <w:sz w:val="18"/>
                <w:szCs w:val="18"/>
                <w:color w:val="auto"/>
              </w:rPr>
              <w:t>6</w:t>
            </w:r>
          </w:p>
        </w:tc>
        <w:tc>
          <w:tcPr>
            <w:tcW w:w="9520" w:type="dxa"/>
            <w:vAlign w:val="bottom"/>
            <w:gridSpan w:val="2"/>
          </w:tcPr>
          <w:p>
            <w:pPr>
              <w:ind w:left="20"/>
              <w:spacing w:after="0"/>
              <w:rPr>
                <w:sz w:val="20"/>
                <w:szCs w:val="20"/>
                <w:color w:val="auto"/>
              </w:rPr>
            </w:pPr>
            <w:r>
              <w:rPr>
                <w:rFonts w:ascii="Arial" w:cs="Arial" w:eastAsia="Arial" w:hAnsi="Arial"/>
                <w:sz w:val="18"/>
                <w:szCs w:val="18"/>
                <w:i w:val="1"/>
                <w:iCs w:val="1"/>
                <w:color w:val="1269BC"/>
              </w:rPr>
              <w:t>2020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-170815</wp:posOffset>
            </wp:positionV>
            <wp:extent cx="58293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2400" w:type="dxa"/>
            <w:vAlign w:val="bottom"/>
          </w:tcPr>
          <w:p>
            <w:pPr>
              <w:spacing w:after="0"/>
              <w:rPr>
                <w:sz w:val="18"/>
                <w:szCs w:val="18"/>
                <w:color w:val="auto"/>
              </w:rPr>
            </w:pPr>
          </w:p>
        </w:tc>
        <w:tc>
          <w:tcPr>
            <w:tcW w:w="8620" w:type="dxa"/>
            <w:vAlign w:val="bottom"/>
          </w:tcPr>
          <w:p>
            <w:pPr>
              <w:ind w:left="5940"/>
              <w:spacing w:after="0"/>
              <w:rPr>
                <w:sz w:val="20"/>
                <w:szCs w:val="20"/>
                <w:color w:val="auto"/>
              </w:rPr>
            </w:pPr>
            <w:r>
              <w:rPr>
                <w:rFonts w:ascii="Arial" w:cs="Arial" w:eastAsia="Arial" w:hAnsi="Arial"/>
                <w:sz w:val="18"/>
                <w:szCs w:val="18"/>
                <w:color w:val="1269BC"/>
                <w:w w:val="99"/>
              </w:rPr>
              <w:t>Proposal 1 – Election of Directors</w:t>
            </w:r>
          </w:p>
        </w:tc>
      </w:tr>
      <w:tr>
        <w:trPr>
          <w:trHeight w:val="54"/>
        </w:trPr>
        <w:tc>
          <w:tcPr>
            <w:tcW w:w="2400" w:type="dxa"/>
            <w:vAlign w:val="bottom"/>
            <w:tcBorders>
              <w:bottom w:val="single" w:sz="8" w:color="1269BC"/>
            </w:tcBorders>
          </w:tcPr>
          <w:p>
            <w:pPr>
              <w:spacing w:after="0"/>
              <w:rPr>
                <w:sz w:val="4"/>
                <w:szCs w:val="4"/>
                <w:color w:val="auto"/>
              </w:rPr>
            </w:pPr>
          </w:p>
        </w:tc>
        <w:tc>
          <w:tcPr>
            <w:tcW w:w="8620" w:type="dxa"/>
            <w:vAlign w:val="bottom"/>
            <w:tcBorders>
              <w:bottom w:val="single" w:sz="8" w:color="1269BC"/>
            </w:tcBorders>
          </w:tcPr>
          <w:p>
            <w:pPr>
              <w:spacing w:after="0"/>
              <w:rPr>
                <w:sz w:val="4"/>
                <w:szCs w:val="4"/>
                <w:color w:val="auto"/>
              </w:rPr>
            </w:pPr>
          </w:p>
        </w:tc>
      </w:tr>
      <w:tr>
        <w:trPr>
          <w:trHeight w:val="169"/>
        </w:trPr>
        <w:tc>
          <w:tcPr>
            <w:tcW w:w="2400" w:type="dxa"/>
            <w:vAlign w:val="bottom"/>
            <w:tcBorders>
              <w:bottom w:val="single" w:sz="8" w:color="1269BC"/>
            </w:tcBorders>
          </w:tcPr>
          <w:p>
            <w:pPr>
              <w:spacing w:after="0"/>
              <w:rPr>
                <w:sz w:val="14"/>
                <w:szCs w:val="14"/>
                <w:color w:val="auto"/>
              </w:rPr>
            </w:pPr>
          </w:p>
        </w:tc>
        <w:tc>
          <w:tcPr>
            <w:tcW w:w="8620" w:type="dxa"/>
            <w:vAlign w:val="bottom"/>
            <w:tcBorders>
              <w:bottom w:val="single" w:sz="8" w:color="1269BC"/>
            </w:tcBorders>
          </w:tcPr>
          <w:p>
            <w:pPr>
              <w:spacing w:after="0"/>
              <w:rPr>
                <w:sz w:val="14"/>
                <w:szCs w:val="14"/>
                <w:color w:val="auto"/>
              </w:rPr>
            </w:pPr>
          </w:p>
        </w:tc>
      </w:tr>
      <w:tr>
        <w:trPr>
          <w:trHeight w:val="232"/>
        </w:trPr>
        <w:tc>
          <w:tcPr>
            <w:tcW w:w="2400" w:type="dxa"/>
            <w:vAlign w:val="bottom"/>
          </w:tcPr>
          <w:p>
            <w:pPr>
              <w:ind w:left="80"/>
              <w:spacing w:after="0"/>
              <w:rPr>
                <w:sz w:val="20"/>
                <w:szCs w:val="20"/>
                <w:color w:val="auto"/>
              </w:rPr>
            </w:pPr>
            <w:r>
              <w:rPr>
                <w:rFonts w:ascii="Arial" w:cs="Arial" w:eastAsia="Arial" w:hAnsi="Arial"/>
                <w:sz w:val="16"/>
                <w:szCs w:val="16"/>
                <w:b w:val="1"/>
                <w:bCs w:val="1"/>
                <w:color w:val="auto"/>
              </w:rPr>
              <w:t>Walter H. Wilkinson, Jr.</w:t>
            </w:r>
          </w:p>
        </w:tc>
        <w:tc>
          <w:tcPr>
            <w:tcW w:w="8620" w:type="dxa"/>
            <w:vAlign w:val="bottom"/>
          </w:tcPr>
          <w:p>
            <w:pPr>
              <w:ind w:left="240"/>
              <w:spacing w:after="0"/>
              <w:rPr>
                <w:sz w:val="20"/>
                <w:szCs w:val="20"/>
                <w:color w:val="auto"/>
              </w:rPr>
            </w:pPr>
            <w:r>
              <w:rPr>
                <w:rFonts w:ascii="Arial" w:cs="Arial" w:eastAsia="Arial" w:hAnsi="Arial"/>
                <w:sz w:val="16"/>
                <w:szCs w:val="16"/>
                <w:color w:val="auto"/>
              </w:rPr>
              <w:t>Mr. Wilkinson has served on the Board of Directors since January 2015. He was Lead Independent Director for</w:t>
            </w:r>
          </w:p>
        </w:tc>
      </w:tr>
      <w:tr>
        <w:trPr>
          <w:trHeight w:val="189"/>
        </w:trPr>
        <w:tc>
          <w:tcPr>
            <w:tcW w:w="2400" w:type="dxa"/>
            <w:vAlign w:val="bottom"/>
          </w:tcPr>
          <w:p>
            <w:pPr>
              <w:ind w:left="8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74</w:t>
            </w:r>
          </w:p>
        </w:tc>
        <w:tc>
          <w:tcPr>
            <w:tcW w:w="8620" w:type="dxa"/>
            <w:vAlign w:val="bottom"/>
          </w:tcPr>
          <w:p>
            <w:pPr>
              <w:ind w:left="240"/>
              <w:spacing w:after="0"/>
              <w:rPr>
                <w:sz w:val="20"/>
                <w:szCs w:val="20"/>
                <w:color w:val="auto"/>
              </w:rPr>
            </w:pPr>
            <w:r>
              <w:rPr>
                <w:rFonts w:ascii="Arial" w:cs="Arial" w:eastAsia="Arial" w:hAnsi="Arial"/>
                <w:sz w:val="16"/>
                <w:szCs w:val="16"/>
                <w:color w:val="auto"/>
              </w:rPr>
              <w:t>Qorvo from 2015 until August 2018. From 1992 until 2015, he served as a director of RFMD, including as the</w:t>
            </w:r>
          </w:p>
        </w:tc>
      </w:tr>
      <w:tr>
        <w:trPr>
          <w:trHeight w:val="189"/>
        </w:trPr>
        <w:tc>
          <w:tcPr>
            <w:tcW w:w="2400" w:type="dxa"/>
            <w:vAlign w:val="bottom"/>
          </w:tcPr>
          <w:p>
            <w:pPr>
              <w:ind w:left="8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2015</w:t>
            </w:r>
          </w:p>
        </w:tc>
        <w:tc>
          <w:tcPr>
            <w:tcW w:w="8620" w:type="dxa"/>
            <w:vAlign w:val="bottom"/>
          </w:tcPr>
          <w:p>
            <w:pPr>
              <w:ind w:left="240"/>
              <w:spacing w:after="0"/>
              <w:rPr>
                <w:sz w:val="20"/>
                <w:szCs w:val="20"/>
                <w:color w:val="auto"/>
              </w:rPr>
            </w:pPr>
            <w:r>
              <w:rPr>
                <w:rFonts w:ascii="Arial" w:cs="Arial" w:eastAsia="Arial" w:hAnsi="Arial"/>
                <w:sz w:val="16"/>
                <w:szCs w:val="16"/>
                <w:color w:val="auto"/>
              </w:rPr>
              <w:t>Chairman of the Board from 2008 until 2015. He is the founder and was a general partner of Kitty Hawk Capital, a</w:t>
            </w:r>
          </w:p>
        </w:tc>
      </w:tr>
      <w:tr>
        <w:trPr>
          <w:trHeight w:val="209"/>
        </w:trPr>
        <w:tc>
          <w:tcPr>
            <w:tcW w:w="2400" w:type="dxa"/>
            <w:vAlign w:val="bottom"/>
          </w:tcPr>
          <w:p>
            <w:pPr>
              <w:ind w:left="80"/>
              <w:spacing w:after="0"/>
              <w:rPr>
                <w:sz w:val="20"/>
                <w:szCs w:val="20"/>
                <w:color w:val="auto"/>
              </w:rPr>
            </w:pPr>
            <w:r>
              <w:rPr>
                <w:rFonts w:ascii="Arial" w:cs="Arial" w:eastAsia="Arial" w:hAnsi="Arial"/>
                <w:sz w:val="16"/>
                <w:szCs w:val="16"/>
                <w:b w:val="1"/>
                <w:bCs w:val="1"/>
                <w:color w:val="auto"/>
              </w:rPr>
              <w:t>Committees:</w:t>
            </w:r>
          </w:p>
        </w:tc>
        <w:tc>
          <w:tcPr>
            <w:tcW w:w="8620" w:type="dxa"/>
            <w:vAlign w:val="bottom"/>
          </w:tcPr>
          <w:p>
            <w:pPr>
              <w:ind w:left="240"/>
              <w:spacing w:after="0"/>
              <w:rPr>
                <w:sz w:val="20"/>
                <w:szCs w:val="20"/>
                <w:color w:val="auto"/>
              </w:rPr>
            </w:pPr>
            <w:r>
              <w:rPr>
                <w:rFonts w:ascii="Arial" w:cs="Arial" w:eastAsia="Arial" w:hAnsi="Arial"/>
                <w:sz w:val="16"/>
                <w:szCs w:val="16"/>
                <w:color w:val="auto"/>
              </w:rPr>
              <w:t>venture capital firm established in 1980, through December 2016 and was a founding investor in RFMD. He currently</w:t>
            </w:r>
          </w:p>
        </w:tc>
      </w:tr>
      <w:tr>
        <w:trPr>
          <w:trHeight w:val="189"/>
        </w:trPr>
        <w:tc>
          <w:tcPr>
            <w:tcW w:w="2400" w:type="dxa"/>
            <w:vAlign w:val="bottom"/>
          </w:tcPr>
          <w:p>
            <w:pPr>
              <w:ind w:left="80"/>
              <w:spacing w:after="0"/>
              <w:rPr>
                <w:sz w:val="20"/>
                <w:szCs w:val="20"/>
                <w:color w:val="auto"/>
              </w:rPr>
            </w:pPr>
            <w:r>
              <w:rPr>
                <w:rFonts w:ascii="Arial" w:cs="Arial" w:eastAsia="Arial" w:hAnsi="Arial"/>
                <w:sz w:val="16"/>
                <w:szCs w:val="16"/>
                <w:color w:val="auto"/>
              </w:rPr>
              <w:t>Compensation</w:t>
            </w:r>
          </w:p>
        </w:tc>
        <w:tc>
          <w:tcPr>
            <w:tcW w:w="8620" w:type="dxa"/>
            <w:vAlign w:val="bottom"/>
          </w:tcPr>
          <w:p>
            <w:pPr>
              <w:ind w:left="240"/>
              <w:spacing w:after="0"/>
              <w:rPr>
                <w:sz w:val="20"/>
                <w:szCs w:val="20"/>
                <w:color w:val="auto"/>
              </w:rPr>
            </w:pPr>
            <w:r>
              <w:rPr>
                <w:rFonts w:ascii="Arial" w:cs="Arial" w:eastAsia="Arial" w:hAnsi="Arial"/>
                <w:sz w:val="16"/>
                <w:szCs w:val="16"/>
                <w:color w:val="auto"/>
              </w:rPr>
              <w:t>serves on the board of directors of Gladstone Capital Corporation and three of its affiliated publicly traded funds that</w:t>
            </w:r>
          </w:p>
        </w:tc>
      </w:tr>
      <w:tr>
        <w:trPr>
          <w:trHeight w:val="189"/>
        </w:trPr>
        <w:tc>
          <w:tcPr>
            <w:tcW w:w="2400" w:type="dxa"/>
            <w:vAlign w:val="bottom"/>
          </w:tcPr>
          <w:p>
            <w:pPr>
              <w:ind w:left="80"/>
              <w:spacing w:after="0"/>
              <w:rPr>
                <w:sz w:val="20"/>
                <w:szCs w:val="20"/>
                <w:color w:val="auto"/>
              </w:rPr>
            </w:pPr>
            <w:r>
              <w:rPr>
                <w:rFonts w:ascii="Arial" w:cs="Arial" w:eastAsia="Arial" w:hAnsi="Arial"/>
                <w:sz w:val="16"/>
                <w:szCs w:val="16"/>
                <w:color w:val="auto"/>
              </w:rPr>
              <w:t>Governance and Nominating</w:t>
            </w:r>
          </w:p>
        </w:tc>
        <w:tc>
          <w:tcPr>
            <w:tcW w:w="8620" w:type="dxa"/>
            <w:vAlign w:val="bottom"/>
          </w:tcPr>
          <w:p>
            <w:pPr>
              <w:ind w:left="240"/>
              <w:spacing w:after="0"/>
              <w:rPr>
                <w:sz w:val="20"/>
                <w:szCs w:val="20"/>
                <w:color w:val="auto"/>
              </w:rPr>
            </w:pPr>
            <w:r>
              <w:rPr>
                <w:rFonts w:ascii="Arial" w:cs="Arial" w:eastAsia="Arial" w:hAnsi="Arial"/>
                <w:sz w:val="16"/>
                <w:szCs w:val="16"/>
                <w:color w:val="auto"/>
              </w:rPr>
              <w:t>share an investment advisor and administrator (Gladstone Commercial Corporation; Gladstone Investment</w:t>
            </w:r>
          </w:p>
        </w:tc>
      </w:tr>
      <w:tr>
        <w:trPr>
          <w:trHeight w:val="189"/>
        </w:trPr>
        <w:tc>
          <w:tcPr>
            <w:tcW w:w="2400" w:type="dxa"/>
            <w:vAlign w:val="bottom"/>
          </w:tcPr>
          <w:p>
            <w:pPr>
              <w:ind w:left="80"/>
              <w:spacing w:after="0"/>
              <w:rPr>
                <w:sz w:val="20"/>
                <w:szCs w:val="20"/>
                <w:color w:val="auto"/>
              </w:rPr>
            </w:pPr>
            <w:r>
              <w:rPr>
                <w:rFonts w:ascii="Arial" w:cs="Arial" w:eastAsia="Arial" w:hAnsi="Arial"/>
                <w:sz w:val="16"/>
                <w:szCs w:val="16"/>
                <w:color w:val="auto"/>
              </w:rPr>
              <w:t>(Chair)</w:t>
            </w:r>
          </w:p>
        </w:tc>
        <w:tc>
          <w:tcPr>
            <w:tcW w:w="8620" w:type="dxa"/>
            <w:vAlign w:val="bottom"/>
          </w:tcPr>
          <w:p>
            <w:pPr>
              <w:ind w:left="240"/>
              <w:spacing w:after="0"/>
              <w:rPr>
                <w:sz w:val="20"/>
                <w:szCs w:val="20"/>
                <w:color w:val="auto"/>
              </w:rPr>
            </w:pPr>
            <w:r>
              <w:rPr>
                <w:rFonts w:ascii="Arial" w:cs="Arial" w:eastAsia="Arial" w:hAnsi="Arial"/>
                <w:sz w:val="16"/>
                <w:szCs w:val="16"/>
                <w:color w:val="auto"/>
              </w:rPr>
              <w:t>Corporation; and Gladstone Land Corporation). He previously served on the board of the N.C. State University</w:t>
            </w:r>
          </w:p>
        </w:tc>
      </w:tr>
      <w:tr>
        <w:trPr>
          <w:trHeight w:val="189"/>
        </w:trPr>
        <w:tc>
          <w:tcPr>
            <w:tcW w:w="2400" w:type="dxa"/>
            <w:vAlign w:val="bottom"/>
          </w:tcPr>
          <w:p>
            <w:pPr>
              <w:spacing w:after="0"/>
              <w:rPr>
                <w:sz w:val="16"/>
                <w:szCs w:val="16"/>
                <w:color w:val="auto"/>
              </w:rPr>
            </w:pPr>
          </w:p>
        </w:tc>
        <w:tc>
          <w:tcPr>
            <w:tcW w:w="8620" w:type="dxa"/>
            <w:vAlign w:val="bottom"/>
          </w:tcPr>
          <w:p>
            <w:pPr>
              <w:ind w:left="240"/>
              <w:spacing w:after="0"/>
              <w:rPr>
                <w:sz w:val="20"/>
                <w:szCs w:val="20"/>
                <w:color w:val="auto"/>
              </w:rPr>
            </w:pPr>
            <w:r>
              <w:rPr>
                <w:rFonts w:ascii="Arial" w:cs="Arial" w:eastAsia="Arial" w:hAnsi="Arial"/>
                <w:sz w:val="16"/>
                <w:szCs w:val="16"/>
                <w:color w:val="auto"/>
              </w:rPr>
              <w:t>Foundation and on the boards of other universities and related organizations. He is a past member and director of</w:t>
            </w:r>
          </w:p>
        </w:tc>
      </w:tr>
      <w:tr>
        <w:trPr>
          <w:trHeight w:val="189"/>
        </w:trPr>
        <w:tc>
          <w:tcPr>
            <w:tcW w:w="2400" w:type="dxa"/>
            <w:vAlign w:val="bottom"/>
          </w:tcPr>
          <w:p>
            <w:pPr>
              <w:spacing w:after="0"/>
              <w:rPr>
                <w:sz w:val="16"/>
                <w:szCs w:val="16"/>
                <w:color w:val="auto"/>
              </w:rPr>
            </w:pPr>
          </w:p>
        </w:tc>
        <w:tc>
          <w:tcPr>
            <w:tcW w:w="8620" w:type="dxa"/>
            <w:vAlign w:val="bottom"/>
          </w:tcPr>
          <w:p>
            <w:pPr>
              <w:ind w:left="240"/>
              <w:spacing w:after="0"/>
              <w:rPr>
                <w:sz w:val="20"/>
                <w:szCs w:val="20"/>
                <w:color w:val="auto"/>
              </w:rPr>
            </w:pPr>
            <w:r>
              <w:rPr>
                <w:rFonts w:ascii="Arial" w:cs="Arial" w:eastAsia="Arial" w:hAnsi="Arial"/>
                <w:sz w:val="16"/>
                <w:szCs w:val="16"/>
                <w:color w:val="auto"/>
              </w:rPr>
              <w:t>the National Venture Capital Association and is a past member and Chairman of the National Association of Small</w:t>
            </w:r>
          </w:p>
        </w:tc>
      </w:tr>
      <w:tr>
        <w:trPr>
          <w:trHeight w:val="189"/>
        </w:trPr>
        <w:tc>
          <w:tcPr>
            <w:tcW w:w="2400" w:type="dxa"/>
            <w:vAlign w:val="bottom"/>
          </w:tcPr>
          <w:p>
            <w:pPr>
              <w:spacing w:after="0"/>
              <w:rPr>
                <w:sz w:val="16"/>
                <w:szCs w:val="16"/>
                <w:color w:val="auto"/>
              </w:rPr>
            </w:pPr>
          </w:p>
        </w:tc>
        <w:tc>
          <w:tcPr>
            <w:tcW w:w="8620" w:type="dxa"/>
            <w:vAlign w:val="bottom"/>
          </w:tcPr>
          <w:p>
            <w:pPr>
              <w:ind w:left="240"/>
              <w:spacing w:after="0"/>
              <w:rPr>
                <w:sz w:val="20"/>
                <w:szCs w:val="20"/>
                <w:color w:val="auto"/>
              </w:rPr>
            </w:pPr>
            <w:r>
              <w:rPr>
                <w:rFonts w:ascii="Arial" w:cs="Arial" w:eastAsia="Arial" w:hAnsi="Arial"/>
                <w:sz w:val="16"/>
                <w:szCs w:val="16"/>
                <w:color w:val="auto"/>
              </w:rPr>
              <w:t>Business Investment Companies. He is Founding Chairman of the Carolinas Chapter of the NACD, where he served</w:t>
            </w:r>
          </w:p>
        </w:tc>
      </w:tr>
      <w:tr>
        <w:trPr>
          <w:trHeight w:val="189"/>
        </w:trPr>
        <w:tc>
          <w:tcPr>
            <w:tcW w:w="2400" w:type="dxa"/>
            <w:vAlign w:val="bottom"/>
          </w:tcPr>
          <w:p>
            <w:pPr>
              <w:spacing w:after="0"/>
              <w:rPr>
                <w:sz w:val="16"/>
                <w:szCs w:val="16"/>
                <w:color w:val="auto"/>
              </w:rPr>
            </w:pPr>
          </w:p>
        </w:tc>
        <w:tc>
          <w:tcPr>
            <w:tcW w:w="8620" w:type="dxa"/>
            <w:vAlign w:val="bottom"/>
          </w:tcPr>
          <w:p>
            <w:pPr>
              <w:ind w:left="240"/>
              <w:spacing w:after="0"/>
              <w:rPr>
                <w:sz w:val="20"/>
                <w:szCs w:val="20"/>
                <w:color w:val="auto"/>
              </w:rPr>
            </w:pPr>
            <w:r>
              <w:rPr>
                <w:rFonts w:ascii="Arial" w:cs="Arial" w:eastAsia="Arial" w:hAnsi="Arial"/>
                <w:sz w:val="16"/>
                <w:szCs w:val="16"/>
                <w:color w:val="auto"/>
              </w:rPr>
              <w:t>as a director until December 2015, and is a NACD Leadership Fellow. Mr. Wilkinson serves or has served as a</w:t>
            </w:r>
          </w:p>
        </w:tc>
      </w:tr>
      <w:tr>
        <w:trPr>
          <w:trHeight w:val="189"/>
        </w:trPr>
        <w:tc>
          <w:tcPr>
            <w:tcW w:w="2400" w:type="dxa"/>
            <w:vAlign w:val="bottom"/>
          </w:tcPr>
          <w:p>
            <w:pPr>
              <w:spacing w:after="0"/>
              <w:rPr>
                <w:sz w:val="16"/>
                <w:szCs w:val="16"/>
                <w:color w:val="auto"/>
              </w:rPr>
            </w:pPr>
          </w:p>
        </w:tc>
        <w:tc>
          <w:tcPr>
            <w:tcW w:w="8620" w:type="dxa"/>
            <w:vAlign w:val="bottom"/>
          </w:tcPr>
          <w:p>
            <w:pPr>
              <w:ind w:left="240"/>
              <w:spacing w:after="0"/>
              <w:rPr>
                <w:sz w:val="20"/>
                <w:szCs w:val="20"/>
                <w:color w:val="auto"/>
              </w:rPr>
            </w:pPr>
            <w:r>
              <w:rPr>
                <w:rFonts w:ascii="Arial" w:cs="Arial" w:eastAsia="Arial" w:hAnsi="Arial"/>
                <w:sz w:val="16"/>
                <w:szCs w:val="16"/>
                <w:color w:val="auto"/>
              </w:rPr>
              <w:t>director of numerous venture-backed companies, both public and private. Mr. Wilkinson brings to the Board and its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-1492250</wp:posOffset>
            </wp:positionV>
            <wp:extent cx="1474470" cy="18599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74470" cy="1859915"/>
                    </a:xfrm>
                    <a:prstGeom prst="rect">
                      <a:avLst/>
                    </a:prstGeom>
                    <a:noFill/>
                  </pic:spPr>
                </pic:pic>
              </a:graphicData>
            </a:graphic>
          </wp:anchor>
        </w:drawing>
      </w:r>
    </w:p>
    <w:p>
      <w:pPr>
        <w:ind w:left="2760" w:right="380"/>
        <w:spacing w:after="0" w:line="253" w:lineRule="auto"/>
        <w:rPr>
          <w:sz w:val="20"/>
          <w:szCs w:val="20"/>
          <w:color w:val="auto"/>
        </w:rPr>
      </w:pPr>
      <w:r>
        <w:rPr>
          <w:rFonts w:ascii="Arial" w:cs="Arial" w:eastAsia="Arial" w:hAnsi="Arial"/>
          <w:sz w:val="16"/>
          <w:szCs w:val="16"/>
          <w:color w:val="auto"/>
        </w:rPr>
        <w:t>committees strong leadership skills and a unique perspective gained from over 40 years of venture capital experience. He also understands the challenges of leading both private and public companies through changing economic conditions.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THE BOARD OF DIRECTORS RECOMMENDS A VOTE “FOR” THE ELECTION OF THE NOMINEES LISTED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106045</wp:posOffset>
            </wp:positionV>
            <wp:extent cx="58293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pacing w:after="0" w:line="182" w:lineRule="exact"/>
        <w:rPr>
          <w:sz w:val="20"/>
          <w:szCs w:val="20"/>
          <w:color w:val="auto"/>
        </w:rPr>
      </w:pPr>
    </w:p>
    <w:p>
      <w:pPr>
        <w:ind w:left="9060"/>
        <w:spacing w:after="0"/>
        <w:tabs>
          <w:tab w:leader="none" w:pos="11020" w:val="left"/>
        </w:tabs>
        <w:rPr>
          <w:sz w:val="20"/>
          <w:szCs w:val="20"/>
          <w:color w:val="auto"/>
        </w:rPr>
      </w:pPr>
      <w:r>
        <w:rPr>
          <w:rFonts w:ascii="Arial" w:cs="Arial" w:eastAsia="Arial" w:hAnsi="Arial"/>
          <w:sz w:val="18"/>
          <w:szCs w:val="18"/>
          <w:i w:val="1"/>
          <w:iCs w:val="1"/>
          <w:color w:val="1269BC"/>
        </w:rPr>
        <w:t>2020 Proxy Statement</w:t>
      </w:r>
      <w:r>
        <w:rPr>
          <w:sz w:val="20"/>
          <w:szCs w:val="20"/>
          <w:color w:val="auto"/>
        </w:rPr>
        <w:tab/>
      </w:r>
      <w:r>
        <w:rPr>
          <w:rFonts w:ascii="Arial" w:cs="Arial" w:eastAsia="Arial" w:hAnsi="Arial"/>
          <w:sz w:val="17"/>
          <w:szCs w:val="17"/>
          <w:color w:val="auto"/>
        </w:rPr>
        <w:t>7</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CORPORATE GOVERNANCE</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Independent Directors</w:t>
      </w:r>
    </w:p>
    <w:p>
      <w:pPr>
        <w:spacing w:after="0" w:line="132" w:lineRule="exact"/>
        <w:rPr>
          <w:sz w:val="20"/>
          <w:szCs w:val="20"/>
          <w:color w:val="auto"/>
        </w:rPr>
      </w:pPr>
    </w:p>
    <w:p>
      <w:pPr>
        <w:ind w:left="120" w:right="80"/>
        <w:spacing w:after="0" w:line="246" w:lineRule="auto"/>
        <w:rPr>
          <w:sz w:val="20"/>
          <w:szCs w:val="20"/>
          <w:color w:val="auto"/>
        </w:rPr>
      </w:pPr>
      <w:r>
        <w:rPr>
          <w:rFonts w:ascii="Arial" w:cs="Arial" w:eastAsia="Arial" w:hAnsi="Arial"/>
          <w:sz w:val="16"/>
          <w:szCs w:val="16"/>
          <w:color w:val="auto"/>
        </w:rPr>
        <w:t>In accordance with the listing standards of The Nasdaq Stock Market LLC, or Nasdaq, and our Corporate Governance Guidelines, the Board of Directors must consist of a majority of independent directors. The Board has determined that Messrs. Gardner, Harding, Ho, Nelson, Quinsey and Wilkinson,</w:t>
      </w:r>
    </w:p>
    <w:p>
      <w:pPr>
        <w:spacing w:after="0" w:line="1" w:lineRule="exact"/>
        <w:rPr>
          <w:sz w:val="20"/>
          <w:szCs w:val="20"/>
          <w:color w:val="auto"/>
        </w:rPr>
      </w:pPr>
    </w:p>
    <w:p>
      <w:pPr>
        <w:ind w:left="120" w:right="160"/>
        <w:spacing w:after="0" w:line="248" w:lineRule="auto"/>
        <w:rPr>
          <w:sz w:val="20"/>
          <w:szCs w:val="20"/>
          <w:color w:val="auto"/>
        </w:rPr>
      </w:pPr>
      <w:r>
        <w:rPr>
          <w:rFonts w:ascii="Arial" w:cs="Arial" w:eastAsia="Arial" w:hAnsi="Arial"/>
          <w:sz w:val="16"/>
          <w:szCs w:val="16"/>
          <w:color w:val="auto"/>
        </w:rPr>
        <w:t>Dr. Rhines and Ms. Spradley each satisfy the definition of “independent director” under the Nasdaq listing standards. The Board, in concert with its Governance and Nominating Committee, performed a review to determine the independence of its members and made a subjective determination as to each of these independent directors that no transactions, relationships or arrangements exist that, in the opinion of the Board, would interfere with the exercise of independent judgment in carrying out the responsibilities of a director of Qorvo. In making these determinations, the Board reviewed the information provided by the directors and Qorvo regarding each director’s business and personal activities as they may relate to Qorvo and its management, including that Mr. Quinsey served as the Chief Executive Officer of TriQuint prior to the Business Combination, but has never been employed by Qorvo.</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Corporate Governance Guidelines</w:t>
      </w:r>
    </w:p>
    <w:p>
      <w:pPr>
        <w:spacing w:after="0" w:line="132"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Effective January 2015, and as most recently amended in May 2020, the Board implemented written Corporate Governance Guidelines designed to assist the Board in fulfilling its duties and responsibilities. The Corporate Governance Guidelines address several matters applicable to directors, including director qualification standards, Board and committee meetings, executive sessions, director compensation, management succession, director continuing education, stock ownership guidelines, “withheld vote” policy, prohibitions on pledging and hedging of our securities and other matters. These Corporate Governance Guidelines are available in the “Investors” section of our website under the heading “Corporate Governance” at http://www.qorvo.com. A stockholder may request a copy of the Corporate Governance Guidelines by contacting our Investor Relations Department at 7628 Thorndike Road, Greensboro, North Carolina 27409-9421.</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Board Leadership Structure</w:t>
      </w:r>
    </w:p>
    <w:p>
      <w:pPr>
        <w:spacing w:after="0" w:line="132"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As described in the Corporate Governance Guidelines, the Board has a general policy that the roles of Chairman of the Board and Chief Executive Officer should be separated and that the independent directors should be led by a Lead Independent Director, who would be the Chairman of the Board unless the Chairman is not independent. The Board believes this separation of roles promotes communication between the Board, the Chief Executive Officer and other senior management and enhances the Board’s oversight of management.</w:t>
      </w:r>
    </w:p>
    <w:p>
      <w:pPr>
        <w:spacing w:after="0" w:line="202" w:lineRule="exact"/>
        <w:rPr>
          <w:sz w:val="20"/>
          <w:szCs w:val="20"/>
          <w:color w:val="auto"/>
        </w:rPr>
      </w:pPr>
    </w:p>
    <w:p>
      <w:pPr>
        <w:ind w:left="120" w:right="120"/>
        <w:spacing w:after="0" w:line="250" w:lineRule="auto"/>
        <w:rPr>
          <w:sz w:val="20"/>
          <w:szCs w:val="20"/>
          <w:color w:val="auto"/>
        </w:rPr>
      </w:pPr>
      <w:r>
        <w:rPr>
          <w:rFonts w:ascii="Arial" w:cs="Arial" w:eastAsia="Arial" w:hAnsi="Arial"/>
          <w:sz w:val="16"/>
          <w:szCs w:val="16"/>
          <w:color w:val="auto"/>
        </w:rPr>
        <w:t>We believe our leadership structure provides increased accountability of our Chief Executive Officer to the Board and encourages balanced decision-making. We also separate the Chairman and Chief Executive Officer roles in recognition of the differences in the roles. While the Chief Executive Officer is responsible for day-to-day leadership of Qorvo and the setting of strategic direction, the Chairman of the Board provides guidance to the Chief Executive Officer and coordinates and manages the operation of the Board and its committees. Since January 1, 2015, non-employee director Ralph G. Quinsey has held the position of Chairman of the Board.</w:t>
      </w:r>
    </w:p>
    <w:p>
      <w:pPr>
        <w:spacing w:after="0" w:line="203" w:lineRule="exact"/>
        <w:rPr>
          <w:sz w:val="20"/>
          <w:szCs w:val="20"/>
          <w:color w:val="auto"/>
        </w:rPr>
      </w:pPr>
    </w:p>
    <w:p>
      <w:pPr>
        <w:ind w:left="120" w:right="240"/>
        <w:spacing w:after="0" w:line="260" w:lineRule="auto"/>
        <w:rPr>
          <w:sz w:val="20"/>
          <w:szCs w:val="20"/>
          <w:color w:val="auto"/>
        </w:rPr>
      </w:pPr>
      <w:r>
        <w:rPr>
          <w:rFonts w:ascii="Arial" w:cs="Arial" w:eastAsia="Arial" w:hAnsi="Arial"/>
          <w:sz w:val="16"/>
          <w:szCs w:val="16"/>
          <w:color w:val="auto"/>
        </w:rPr>
        <w:t>The duties of the Chairman of the Board include presiding at meetings of the Board, establishing, with the Chief Executive Officer, the agenda for each Board meeting and exercising such other powers and performing other duties as may from time to time be assigned to him by the Board.</w:t>
      </w:r>
    </w:p>
    <w:p>
      <w:pPr>
        <w:spacing w:after="0" w:line="195" w:lineRule="exact"/>
        <w:rPr>
          <w:sz w:val="20"/>
          <w:szCs w:val="20"/>
          <w:color w:val="auto"/>
        </w:rPr>
      </w:pPr>
    </w:p>
    <w:p>
      <w:pPr>
        <w:ind w:left="120" w:right="140"/>
        <w:spacing w:after="0" w:line="246" w:lineRule="auto"/>
        <w:rPr>
          <w:sz w:val="20"/>
          <w:szCs w:val="20"/>
          <w:color w:val="auto"/>
        </w:rPr>
      </w:pPr>
      <w:r>
        <w:rPr>
          <w:rFonts w:ascii="Arial" w:cs="Arial" w:eastAsia="Arial" w:hAnsi="Arial"/>
          <w:sz w:val="16"/>
          <w:szCs w:val="16"/>
          <w:color w:val="auto"/>
        </w:rPr>
        <w:t>Mr. Quinsey assumed the Lead Independent Director responsibilities immediately following the 2018 annual meeting since the Board determined in May 2018 that he was independent under Nasdaq listing standards. The Lead Independent Director is responsible for coordinating the activities of the independent directors, including, among other things: (a) determining appropriate schedules of and agendas for Board and committee meetings;</w:t>
      </w:r>
    </w:p>
    <w:p>
      <w:pPr>
        <w:spacing w:after="0" w:line="1" w:lineRule="exact"/>
        <w:rPr>
          <w:sz w:val="20"/>
          <w:szCs w:val="20"/>
          <w:color w:val="auto"/>
        </w:rPr>
      </w:pPr>
    </w:p>
    <w:p>
      <w:pPr>
        <w:ind w:left="120" w:right="80" w:hanging="4"/>
        <w:spacing w:after="0" w:line="251" w:lineRule="auto"/>
        <w:tabs>
          <w:tab w:leader="none" w:pos="363"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advising the Board as to the quality, quantity and timeliness of the flow of information that is necessary for the independent directors to effectively and responsibly perform their duties; and (c) coordinating, developing the agenda for and moderating executive sessions of the independent directors. The Board believes our current leadership structure with a non-employee Chairman of the Board is appropriate for Qorvo and provides many advantages for the effective operation of the Board.</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Risk Oversight</w:t>
      </w:r>
    </w:p>
    <w:p>
      <w:pPr>
        <w:spacing w:after="0" w:line="132"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The Board, acting through itself or one or more of its committees, has general oversight responsibility for corporate risk management, including oversight of management’s implementation and application of risk management policies, practices and procedures. The Board directly oversees strategic risks such as those relating to competitive dynamics, market trends, global</w:t>
      </w:r>
    </w:p>
    <w:p>
      <w:pPr>
        <w:spacing w:after="0" w:line="132" w:lineRule="exact"/>
        <w:rPr>
          <w:sz w:val="20"/>
          <w:szCs w:val="20"/>
          <w:color w:val="auto"/>
        </w:rPr>
      </w:pPr>
    </w:p>
    <w:p>
      <w:pPr>
        <w:ind w:left="120"/>
        <w:spacing w:after="0"/>
        <w:tabs>
          <w:tab w:leader="none" w:pos="446" w:val="left"/>
        </w:tabs>
        <w:rPr>
          <w:sz w:val="20"/>
          <w:szCs w:val="20"/>
          <w:color w:val="auto"/>
        </w:rPr>
      </w:pPr>
      <w:r>
        <w:rPr>
          <w:rFonts w:ascii="Arial" w:cs="Arial" w:eastAsia="Arial" w:hAnsi="Arial"/>
          <w:sz w:val="18"/>
          <w:szCs w:val="18"/>
          <w:color w:val="auto"/>
        </w:rPr>
        <w:t>8</w:t>
      </w:r>
      <w:r>
        <w:rPr>
          <w:sz w:val="20"/>
          <w:szCs w:val="20"/>
          <w:color w:val="auto"/>
        </w:rPr>
        <w:tab/>
      </w:r>
      <w:r>
        <w:rPr>
          <w:sz w:val="1"/>
          <w:szCs w:val="1"/>
          <w:color w:val="auto"/>
        </w:rPr>
        <w:drawing>
          <wp:inline distT="0" distB="0" distL="0" distR="0">
            <wp:extent cx="582930" cy="13716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i w:val="1"/>
          <w:iCs w:val="1"/>
          <w:color w:val="1269BC"/>
        </w:rPr>
        <w:t xml:space="preserve">   2020 Proxy Statement</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1269B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5" w:lineRule="exact"/>
        <w:rPr>
          <w:sz w:val="20"/>
          <w:szCs w:val="20"/>
          <w:color w:val="auto"/>
        </w:rPr>
      </w:pPr>
    </w:p>
    <w:p>
      <w:pPr>
        <w:ind w:left="120" w:right="80"/>
        <w:spacing w:after="0" w:line="248" w:lineRule="auto"/>
        <w:rPr>
          <w:sz w:val="20"/>
          <w:szCs w:val="20"/>
          <w:color w:val="auto"/>
        </w:rPr>
      </w:pPr>
      <w:r>
        <w:rPr>
          <w:rFonts w:ascii="Arial" w:cs="Arial" w:eastAsia="Arial" w:hAnsi="Arial"/>
          <w:sz w:val="16"/>
          <w:szCs w:val="16"/>
          <w:color w:val="auto"/>
        </w:rPr>
        <w:t>operations and developments and changes in macroeconomic conditions. While the Board is responsible for risk oversight, management is ultimately responsible for assessing and managing material risk exposures. Our senior management typically reports to the Board or one of its committees on key enterprise risk topics, including network security, quality assurance, global trade matters, financial risks and disaster recovery. The Board and its committees receive these reports at regularly scheduled Board and committee meetings and through telephone briefings and other communications from management when potentially significant risks develop, such as risks relating to the COVID-19 pandemic. Members of the Board use these communications with management to discuss and develop a shared understanding of the potential severity of these risks and management’s strategies for addressing these risks. In addition, the Board evaluates our strategic goals and objectives to determine how they may be affected by particular risk exposures.</w:t>
      </w:r>
    </w:p>
    <w:p>
      <w:pPr>
        <w:spacing w:after="0" w:line="207" w:lineRule="exact"/>
        <w:rPr>
          <w:sz w:val="20"/>
          <w:szCs w:val="20"/>
          <w:color w:val="auto"/>
        </w:rPr>
      </w:pPr>
    </w:p>
    <w:p>
      <w:pPr>
        <w:ind w:left="120" w:right="100"/>
        <w:spacing w:after="0" w:line="248" w:lineRule="auto"/>
        <w:rPr>
          <w:sz w:val="20"/>
          <w:szCs w:val="20"/>
          <w:color w:val="auto"/>
        </w:rPr>
      </w:pPr>
      <w:r>
        <w:rPr>
          <w:rFonts w:ascii="Arial" w:cs="Arial" w:eastAsia="Arial" w:hAnsi="Arial"/>
          <w:sz w:val="16"/>
          <w:szCs w:val="16"/>
          <w:color w:val="auto"/>
        </w:rPr>
        <w:t>The Board also exercises a risk oversight role through certain of its committees. Specifically, the Audit Committee discusses certain material risks and exposures with our independent registered public accounting firm and receives reports from our accounting and internal audit management personnel regarding such risks or exposures and how management has attempted to minimize Qorvo’s risk. The Audit Committee’s primary focus is financial risk, including our internal control over financial reporting. Particular areas of focus by the Audit Committee include risks associated with material litigation, regulatory matters, taxes, foreign exchange, liquidity, investments, global operations and information technology security. As part of its oversight role, the Audit Committee reviews global insurance coverage, oversees Qorvo’s investment policy and works with management to develop policies and practices to mitigate risks in its areas of focus, including finance and accounting, information technology, fraud and anti- corruption. As part of its oversight of information technology, the Audit Committee receives regular reports on actions Qorvo is taking to enhance the protection of its IT networks and assets and to mitigate global cybersecurity risks.</w:t>
      </w:r>
    </w:p>
    <w:p>
      <w:pPr>
        <w:spacing w:after="0" w:line="206" w:lineRule="exact"/>
        <w:rPr>
          <w:sz w:val="20"/>
          <w:szCs w:val="20"/>
          <w:color w:val="auto"/>
        </w:rPr>
      </w:pPr>
    </w:p>
    <w:p>
      <w:pPr>
        <w:ind w:left="120" w:right="220"/>
        <w:spacing w:after="0" w:line="251" w:lineRule="auto"/>
        <w:rPr>
          <w:sz w:val="20"/>
          <w:szCs w:val="20"/>
          <w:color w:val="auto"/>
        </w:rPr>
      </w:pPr>
      <w:r>
        <w:rPr>
          <w:rFonts w:ascii="Arial" w:cs="Arial" w:eastAsia="Arial" w:hAnsi="Arial"/>
          <w:sz w:val="16"/>
          <w:szCs w:val="16"/>
          <w:color w:val="auto"/>
        </w:rPr>
        <w:t>The Compensation Committee makes a specific determination regarding risks associated with our compensation policies and practices as described below under “Risk Oversight in Compensation Programs.” The Compensation Committee also evaluates risks associated with equity “overhang” and regulatory and other legal risks in regard to equity and retirement plans. This includes receiving reports from Qorvo’s Retirement Committee on matters related to its 401(k) and non-qualified deferred compensation plans.</w:t>
      </w:r>
    </w:p>
    <w:p>
      <w:pPr>
        <w:spacing w:after="0" w:line="202" w:lineRule="exact"/>
        <w:rPr>
          <w:sz w:val="20"/>
          <w:szCs w:val="20"/>
          <w:color w:val="auto"/>
        </w:rPr>
      </w:pPr>
    </w:p>
    <w:p>
      <w:pPr>
        <w:ind w:left="120" w:right="240"/>
        <w:spacing w:after="0" w:line="250" w:lineRule="auto"/>
        <w:rPr>
          <w:sz w:val="20"/>
          <w:szCs w:val="20"/>
          <w:color w:val="auto"/>
        </w:rPr>
      </w:pPr>
      <w:r>
        <w:rPr>
          <w:rFonts w:ascii="Arial" w:cs="Arial" w:eastAsia="Arial" w:hAnsi="Arial"/>
          <w:sz w:val="16"/>
          <w:szCs w:val="16"/>
          <w:color w:val="auto"/>
        </w:rPr>
        <w:t>The Governance and Nominating Committee performs risk oversight in the areas of management succession and corporate governance. This includes adoption and administration of our Code of Business Conduct and Ethics, development of succession plans for our Chief Executive Officer and other senior management positions, addressing governance-related matters raised by our stockholders and serving as the Board’s primary independent decision-making authority for assessing and resolving matters, such as potential conflicts of interest, that fall within the broader category of corporate governance.</w:t>
      </w:r>
    </w:p>
    <w:p>
      <w:pPr>
        <w:spacing w:after="0" w:line="203" w:lineRule="exact"/>
        <w:rPr>
          <w:sz w:val="20"/>
          <w:szCs w:val="20"/>
          <w:color w:val="auto"/>
        </w:rPr>
      </w:pPr>
    </w:p>
    <w:p>
      <w:pPr>
        <w:ind w:left="120" w:right="80"/>
        <w:spacing w:after="0" w:line="260" w:lineRule="auto"/>
        <w:rPr>
          <w:sz w:val="20"/>
          <w:szCs w:val="20"/>
          <w:color w:val="auto"/>
        </w:rPr>
      </w:pPr>
      <w:r>
        <w:rPr>
          <w:rFonts w:ascii="Arial" w:cs="Arial" w:eastAsia="Arial" w:hAnsi="Arial"/>
          <w:sz w:val="16"/>
          <w:szCs w:val="16"/>
          <w:color w:val="auto"/>
        </w:rPr>
        <w:t>Each of the above committees reports to the full Board with respect to the risk categories it oversees. These ongoing reports enable the Board, and other committees, to monitor our exposure and evaluate the mitigation of risks Qorvo faces.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Risk Oversight in Compensation Programs</w:t>
      </w:r>
    </w:p>
    <w:p>
      <w:pPr>
        <w:spacing w:after="0" w:line="132" w:lineRule="exact"/>
        <w:rPr>
          <w:sz w:val="20"/>
          <w:szCs w:val="20"/>
          <w:color w:val="auto"/>
        </w:rPr>
      </w:pPr>
    </w:p>
    <w:p>
      <w:pPr>
        <w:ind w:left="120" w:right="160"/>
        <w:spacing w:after="0" w:line="248" w:lineRule="auto"/>
        <w:rPr>
          <w:sz w:val="20"/>
          <w:szCs w:val="20"/>
          <w:color w:val="auto"/>
        </w:rPr>
      </w:pPr>
      <w:r>
        <w:rPr>
          <w:rFonts w:ascii="Arial" w:cs="Arial" w:eastAsia="Arial" w:hAnsi="Arial"/>
          <w:sz w:val="16"/>
          <w:szCs w:val="16"/>
          <w:color w:val="auto"/>
        </w:rPr>
        <w:t>We have assessed our compensation programs and have concluded that the risks arising from our compensation policies and practices are not reasonably likely to have a material adverse effect on us. The risk assessment process included a review of program policies and practices, focusing on programs with variable compensation provisions and identifying the risks related to the programs. The Compensation Committee determined that our compensation programs encourage our employees to take appropriate risk in the performance of our business, but do not encourage excessive risk-taking. We encourage our employees to make decisions that should result in positive short-term and long-term results for our business and our stockholders without providing an incentive for unnecessary risk. The Compensation Committee will continue to monitor our compensation programs on an ongoing basis to ensure that risks arising from our compensation policies and practices are not reasonably likely to have a material adverse effect on us.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Code of Ethics</w:t>
      </w:r>
    </w:p>
    <w:p>
      <w:pPr>
        <w:spacing w:after="0" w:line="132"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color w:val="auto"/>
        </w:rPr>
        <w:t>Effective January 2015, and as most recently amended in May 2019, the Board adopted a Code of Business Conduct and Ethics to provide guidance on maintaining our commitment to high ethical standards. The Code of Business Conduct and Ethics applies to all employees, officers, directors, agents, independent contractors and other personnel of Qorvo and our subsidiaries.</w:t>
      </w:r>
    </w:p>
    <w:p>
      <w:pPr>
        <w:spacing w:after="0" w:line="201"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A copy of the code is available in the “Investors” section of our website under the heading “Corporate Governance” at http://www.qorvo.com or may be obtained by contacting the Investor Relations Department at the address set forth above. In the event that we amend one or more of the provisions of our code that requires disclosure under applicable law, SEC rules or Nasdaq listing standards, we intend to disclose such amendment on our website. Any waiver of the code with respect to any executive officer or director of Qorvo must be approved by the Board and will be promptly disclosed, along with the reasons for the waiver, as required by applicable law or Nasdaq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84455</wp:posOffset>
            </wp:positionV>
            <wp:extent cx="58293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pacing w:after="0" w:line="148"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i w:val="1"/>
          <w:iCs w:val="1"/>
          <w:color w:val="1269BC"/>
        </w:rPr>
        <w:t>2020 Proxy Statement</w:t>
      </w:r>
      <w:r>
        <w:rPr>
          <w:sz w:val="20"/>
          <w:szCs w:val="20"/>
          <w:color w:val="auto"/>
        </w:rPr>
        <w:tab/>
      </w:r>
      <w:r>
        <w:rPr>
          <w:rFonts w:ascii="Arial" w:cs="Arial" w:eastAsia="Arial" w:hAnsi="Arial"/>
          <w:sz w:val="17"/>
          <w:szCs w:val="17"/>
          <w:color w:val="auto"/>
        </w:rPr>
        <w:t>9</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Committees and Meetings</w:t>
      </w:r>
    </w:p>
    <w:p>
      <w:pPr>
        <w:spacing w:after="0" w:line="132" w:lineRule="exact"/>
        <w:rPr>
          <w:sz w:val="20"/>
          <w:szCs w:val="20"/>
          <w:color w:val="auto"/>
        </w:rPr>
      </w:pPr>
    </w:p>
    <w:p>
      <w:pPr>
        <w:ind w:left="120" w:right="280"/>
        <w:spacing w:after="0" w:line="251" w:lineRule="auto"/>
        <w:rPr>
          <w:sz w:val="20"/>
          <w:szCs w:val="20"/>
          <w:color w:val="auto"/>
        </w:rPr>
      </w:pPr>
      <w:r>
        <w:rPr>
          <w:rFonts w:ascii="Arial" w:cs="Arial" w:eastAsia="Arial" w:hAnsi="Arial"/>
          <w:sz w:val="16"/>
          <w:szCs w:val="16"/>
          <w:color w:val="auto"/>
        </w:rPr>
        <w:t>The Board maintains four standing committees: the Audit Committee; the Compensation Committee; the Governance and Nominating Committee; and the Corporate Development Committee. Each committee operates under a written charter and reports regularly to the Board. A copy of each of these committee charters is available in the “Investors” section of our website under the heading “Corporate Governance” at http://www.qorvo.com and may also be obtained by contacting the Investor Relations Department at the address set forth above.</w:t>
      </w:r>
    </w:p>
    <w:p>
      <w:pPr>
        <w:spacing w:after="0" w:line="202" w:lineRule="exact"/>
        <w:rPr>
          <w:sz w:val="20"/>
          <w:szCs w:val="20"/>
          <w:color w:val="auto"/>
        </w:rPr>
      </w:pPr>
    </w:p>
    <w:p>
      <w:pPr>
        <w:ind w:left="120" w:right="80"/>
        <w:spacing w:after="0" w:line="248" w:lineRule="auto"/>
        <w:rPr>
          <w:sz w:val="20"/>
          <w:szCs w:val="20"/>
          <w:color w:val="auto"/>
        </w:rPr>
      </w:pPr>
      <w:r>
        <w:rPr>
          <w:rFonts w:ascii="Arial" w:cs="Arial" w:eastAsia="Arial" w:hAnsi="Arial"/>
          <w:sz w:val="16"/>
          <w:szCs w:val="16"/>
          <w:color w:val="auto"/>
        </w:rPr>
        <w:t>Each of the Audit Committee, the Compensation Committee, the Governance and Nominating Committee and the Corporate Development Committee must be comprised of no fewer than three members, each of whom must satisfy membership requirements imposed by the applicable committee charter and, where applicable, Nasdaq listing standards and SEC rules and regulations. Each of the members of the Audit Committee, the Compensation Committee and the Governance and Nominating Committee has been determined by the Board to be independent under applicable Nasdaq listing standards and, in the case of the Audit Committee and the Compensation Committee, under the independence requirements established by the SEC. A majority of the members of the Corporate Development Committee has been determined by the Board to be independent under applicable Nasdaq listing standards. A brief description of the responsibilities of each of these committees and their current membership follows.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6460" w:type="dxa"/>
            <w:vAlign w:val="bottom"/>
          </w:tcPr>
          <w:p>
            <w:pPr>
              <w:spacing w:after="0"/>
              <w:rPr>
                <w:sz w:val="19"/>
                <w:szCs w:val="19"/>
                <w:color w:val="auto"/>
              </w:rPr>
            </w:pPr>
          </w:p>
        </w:tc>
        <w:tc>
          <w:tcPr>
            <w:tcW w:w="3420" w:type="dxa"/>
            <w:vAlign w:val="bottom"/>
            <w:tcBorders>
              <w:bottom w:val="single" w:sz="8" w:color="1269BC"/>
            </w:tcBorders>
            <w:gridSpan w:val="2"/>
          </w:tcPr>
          <w:p>
            <w:pPr>
              <w:ind w:left="1480"/>
              <w:spacing w:after="0"/>
              <w:rPr>
                <w:sz w:val="20"/>
                <w:szCs w:val="20"/>
                <w:color w:val="auto"/>
              </w:rPr>
            </w:pPr>
            <w:r>
              <w:rPr>
                <w:rFonts w:ascii="Arial" w:cs="Arial" w:eastAsia="Arial" w:hAnsi="Arial"/>
                <w:sz w:val="16"/>
                <w:szCs w:val="16"/>
                <w:b w:val="1"/>
                <w:bCs w:val="1"/>
                <w:color w:val="1269BC"/>
              </w:rPr>
              <w:t>Committee Membership</w:t>
            </w:r>
          </w:p>
        </w:tc>
        <w:tc>
          <w:tcPr>
            <w:tcW w:w="1140" w:type="dxa"/>
            <w:vAlign w:val="bottom"/>
            <w:tcBorders>
              <w:bottom w:val="single" w:sz="8" w:color="1269BC"/>
            </w:tcBorders>
          </w:tcPr>
          <w:p>
            <w:pPr>
              <w:spacing w:after="0"/>
              <w:rPr>
                <w:sz w:val="19"/>
                <w:szCs w:val="19"/>
                <w:color w:val="auto"/>
              </w:rPr>
            </w:pPr>
          </w:p>
        </w:tc>
      </w:tr>
      <w:tr>
        <w:trPr>
          <w:trHeight w:val="171"/>
        </w:trPr>
        <w:tc>
          <w:tcPr>
            <w:tcW w:w="64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20" w:type="dxa"/>
            <w:vAlign w:val="bottom"/>
          </w:tcPr>
          <w:p>
            <w:pPr>
              <w:jc w:val="center"/>
              <w:spacing w:after="0" w:line="171" w:lineRule="exact"/>
              <w:rPr>
                <w:sz w:val="20"/>
                <w:szCs w:val="20"/>
                <w:color w:val="auto"/>
              </w:rPr>
            </w:pPr>
            <w:r>
              <w:rPr>
                <w:rFonts w:ascii="Arial" w:cs="Arial" w:eastAsia="Arial" w:hAnsi="Arial"/>
                <w:sz w:val="16"/>
                <w:szCs w:val="16"/>
                <w:b w:val="1"/>
                <w:bCs w:val="1"/>
                <w:color w:val="1269BC"/>
              </w:rPr>
              <w:t>Governance</w:t>
            </w:r>
          </w:p>
        </w:tc>
        <w:tc>
          <w:tcPr>
            <w:tcW w:w="1140" w:type="dxa"/>
            <w:vAlign w:val="bottom"/>
          </w:tcPr>
          <w:p>
            <w:pPr>
              <w:spacing w:after="0"/>
              <w:rPr>
                <w:sz w:val="14"/>
                <w:szCs w:val="14"/>
                <w:color w:val="auto"/>
              </w:rPr>
            </w:pPr>
          </w:p>
        </w:tc>
      </w:tr>
      <w:tr>
        <w:trPr>
          <w:trHeight w:val="189"/>
        </w:trPr>
        <w:tc>
          <w:tcPr>
            <w:tcW w:w="64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1269BC"/>
                <w:w w:val="98"/>
              </w:rPr>
              <w:t>and</w:t>
            </w:r>
          </w:p>
        </w:tc>
        <w:tc>
          <w:tcPr>
            <w:tcW w:w="1140" w:type="dxa"/>
            <w:vAlign w:val="bottom"/>
          </w:tcPr>
          <w:p>
            <w:pPr>
              <w:jc w:val="center"/>
              <w:ind w:left="12"/>
              <w:spacing w:after="0"/>
              <w:rPr>
                <w:sz w:val="20"/>
                <w:szCs w:val="20"/>
                <w:color w:val="auto"/>
              </w:rPr>
            </w:pPr>
            <w:r>
              <w:rPr>
                <w:rFonts w:ascii="Arial" w:cs="Arial" w:eastAsia="Arial" w:hAnsi="Arial"/>
                <w:sz w:val="16"/>
                <w:szCs w:val="16"/>
                <w:b w:val="1"/>
                <w:bCs w:val="1"/>
                <w:color w:val="1269BC"/>
                <w:w w:val="99"/>
              </w:rPr>
              <w:t>Corporate</w:t>
            </w:r>
          </w:p>
        </w:tc>
      </w:tr>
      <w:tr>
        <w:trPr>
          <w:trHeight w:val="228"/>
        </w:trPr>
        <w:tc>
          <w:tcPr>
            <w:tcW w:w="6460" w:type="dxa"/>
            <w:vAlign w:val="bottom"/>
            <w:tcBorders>
              <w:bottom w:val="single" w:sz="8" w:color="1269BC"/>
            </w:tcBorders>
          </w:tcPr>
          <w:p>
            <w:pPr>
              <w:ind w:left="80"/>
              <w:spacing w:after="0"/>
              <w:rPr>
                <w:sz w:val="20"/>
                <w:szCs w:val="20"/>
                <w:color w:val="auto"/>
              </w:rPr>
            </w:pPr>
            <w:r>
              <w:rPr>
                <w:rFonts w:ascii="Arial" w:cs="Arial" w:eastAsia="Arial" w:hAnsi="Arial"/>
                <w:sz w:val="16"/>
                <w:szCs w:val="16"/>
                <w:b w:val="1"/>
                <w:bCs w:val="1"/>
                <w:color w:val="1269BC"/>
              </w:rPr>
              <w:t>Director</w:t>
            </w:r>
          </w:p>
        </w:tc>
        <w:tc>
          <w:tcPr>
            <w:tcW w:w="2200" w:type="dxa"/>
            <w:vAlign w:val="bottom"/>
            <w:tcBorders>
              <w:bottom w:val="single" w:sz="8" w:color="1269BC"/>
            </w:tcBorders>
          </w:tcPr>
          <w:p>
            <w:pPr>
              <w:ind w:left="260"/>
              <w:spacing w:after="0"/>
              <w:rPr>
                <w:sz w:val="20"/>
                <w:szCs w:val="20"/>
                <w:color w:val="auto"/>
              </w:rPr>
            </w:pPr>
            <w:r>
              <w:rPr>
                <w:rFonts w:ascii="Arial" w:cs="Arial" w:eastAsia="Arial" w:hAnsi="Arial"/>
                <w:sz w:val="16"/>
                <w:szCs w:val="16"/>
                <w:b w:val="1"/>
                <w:bCs w:val="1"/>
                <w:color w:val="1269BC"/>
              </w:rPr>
              <w:t>Audit   Compensation</w:t>
            </w:r>
          </w:p>
        </w:tc>
        <w:tc>
          <w:tcPr>
            <w:tcW w:w="122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w w:val="99"/>
              </w:rPr>
              <w:t>Nominating</w:t>
            </w:r>
          </w:p>
        </w:tc>
        <w:tc>
          <w:tcPr>
            <w:tcW w:w="1140" w:type="dxa"/>
            <w:vAlign w:val="bottom"/>
            <w:tcBorders>
              <w:bottom w:val="single" w:sz="8" w:color="1269BC"/>
            </w:tcBorders>
          </w:tcPr>
          <w:p>
            <w:pPr>
              <w:jc w:val="center"/>
              <w:ind w:left="12"/>
              <w:spacing w:after="0"/>
              <w:rPr>
                <w:sz w:val="20"/>
                <w:szCs w:val="20"/>
                <w:color w:val="auto"/>
              </w:rPr>
            </w:pPr>
            <w:r>
              <w:rPr>
                <w:rFonts w:ascii="Arial" w:cs="Arial" w:eastAsia="Arial" w:hAnsi="Arial"/>
                <w:sz w:val="16"/>
                <w:szCs w:val="16"/>
                <w:b w:val="1"/>
                <w:bCs w:val="1"/>
                <w:color w:val="1269BC"/>
                <w:w w:val="99"/>
              </w:rPr>
              <w:t>Development</w:t>
            </w:r>
          </w:p>
        </w:tc>
      </w:tr>
      <w:tr>
        <w:trPr>
          <w:trHeight w:val="304"/>
        </w:trPr>
        <w:tc>
          <w:tcPr>
            <w:tcW w:w="646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8"/>
                <w:szCs w:val="18"/>
                <w:color w:val="auto"/>
              </w:rPr>
              <w:t>Ralph G. Quinsey</w:t>
            </w:r>
          </w:p>
        </w:tc>
        <w:tc>
          <w:tcPr>
            <w:tcW w:w="2200" w:type="dxa"/>
            <w:vAlign w:val="bottom"/>
            <w:tcBorders>
              <w:bottom w:val="single" w:sz="8" w:color="C3D9EE"/>
            </w:tcBorders>
            <w:shd w:val="clear" w:color="auto" w:fill="C3D9EE"/>
          </w:tcPr>
          <w:p>
            <w:pPr>
              <w:ind w:left="400"/>
              <w:spacing w:after="0"/>
              <w:rPr>
                <w:sz w:val="20"/>
                <w:szCs w:val="20"/>
                <w:color w:val="auto"/>
              </w:rPr>
            </w:pPr>
            <w:r>
              <w:rPr>
                <w:rFonts w:ascii="Arial" w:cs="Arial" w:eastAsia="Arial" w:hAnsi="Arial"/>
                <w:sz w:val="18"/>
                <w:szCs w:val="18"/>
                <w:color w:val="auto"/>
              </w:rPr>
              <w:t>X</w:t>
            </w:r>
          </w:p>
        </w:tc>
        <w:tc>
          <w:tcPr>
            <w:tcW w:w="1220" w:type="dxa"/>
            <w:vAlign w:val="bottom"/>
            <w:tcBorders>
              <w:bottom w:val="single" w:sz="8" w:color="C3D9EE"/>
            </w:tcBorders>
            <w:shd w:val="clear" w:color="auto" w:fill="C3D9EE"/>
          </w:tcPr>
          <w:p>
            <w:pPr>
              <w:spacing w:after="0"/>
              <w:rPr>
                <w:sz w:val="24"/>
                <w:szCs w:val="24"/>
                <w:color w:val="auto"/>
              </w:rPr>
            </w:pPr>
          </w:p>
        </w:tc>
        <w:tc>
          <w:tcPr>
            <w:tcW w:w="1140" w:type="dxa"/>
            <w:vAlign w:val="bottom"/>
            <w:tcBorders>
              <w:bottom w:val="single" w:sz="8" w:color="C3D9EE"/>
            </w:tcBorders>
            <w:shd w:val="clear" w:color="auto" w:fill="C3D9EE"/>
          </w:tcPr>
          <w:p>
            <w:pPr>
              <w:jc w:val="center"/>
              <w:ind w:left="12"/>
              <w:spacing w:after="0"/>
              <w:rPr>
                <w:sz w:val="20"/>
                <w:szCs w:val="20"/>
                <w:color w:val="auto"/>
              </w:rPr>
            </w:pPr>
            <w:r>
              <w:rPr>
                <w:rFonts w:ascii="Arial" w:cs="Arial" w:eastAsia="Arial" w:hAnsi="Arial"/>
                <w:sz w:val="18"/>
                <w:szCs w:val="18"/>
                <w:color w:val="auto"/>
                <w:w w:val="99"/>
              </w:rPr>
              <w:t>X</w:t>
            </w:r>
          </w:p>
        </w:tc>
      </w:tr>
      <w:tr>
        <w:trPr>
          <w:trHeight w:val="311"/>
        </w:trPr>
        <w:tc>
          <w:tcPr>
            <w:tcW w:w="6460" w:type="dxa"/>
            <w:vAlign w:val="bottom"/>
          </w:tcPr>
          <w:p>
            <w:pPr>
              <w:ind w:left="100"/>
              <w:spacing w:after="0"/>
              <w:rPr>
                <w:sz w:val="20"/>
                <w:szCs w:val="20"/>
                <w:color w:val="auto"/>
              </w:rPr>
            </w:pPr>
            <w:r>
              <w:rPr>
                <w:rFonts w:ascii="Arial" w:cs="Arial" w:eastAsia="Arial" w:hAnsi="Arial"/>
                <w:sz w:val="18"/>
                <w:szCs w:val="18"/>
                <w:color w:val="auto"/>
              </w:rPr>
              <w:t>Robert A. Bruggeworth</w:t>
            </w:r>
          </w:p>
        </w:tc>
        <w:tc>
          <w:tcPr>
            <w:tcW w:w="2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jc w:val="center"/>
              <w:ind w:left="12"/>
              <w:spacing w:after="0"/>
              <w:rPr>
                <w:sz w:val="20"/>
                <w:szCs w:val="20"/>
                <w:color w:val="auto"/>
              </w:rPr>
            </w:pPr>
            <w:r>
              <w:rPr>
                <w:rFonts w:ascii="Arial" w:cs="Arial" w:eastAsia="Arial" w:hAnsi="Arial"/>
                <w:sz w:val="18"/>
                <w:szCs w:val="18"/>
                <w:color w:val="auto"/>
                <w:w w:val="99"/>
              </w:rPr>
              <w:t>X</w:t>
            </w:r>
          </w:p>
        </w:tc>
      </w:tr>
      <w:tr>
        <w:trPr>
          <w:trHeight w:val="27"/>
        </w:trPr>
        <w:tc>
          <w:tcPr>
            <w:tcW w:w="6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18"/>
        </w:trPr>
        <w:tc>
          <w:tcPr>
            <w:tcW w:w="646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8"/>
                <w:szCs w:val="18"/>
                <w:color w:val="auto"/>
              </w:rPr>
              <w:t>Jeffery R. Gardner</w:t>
            </w:r>
          </w:p>
        </w:tc>
        <w:tc>
          <w:tcPr>
            <w:tcW w:w="2200" w:type="dxa"/>
            <w:vAlign w:val="bottom"/>
            <w:tcBorders>
              <w:bottom w:val="single" w:sz="8" w:color="C3D9EE"/>
            </w:tcBorders>
            <w:shd w:val="clear" w:color="auto" w:fill="C3D9EE"/>
          </w:tcPr>
          <w:p>
            <w:pPr>
              <w:ind w:left="400"/>
              <w:spacing w:after="0"/>
              <w:rPr>
                <w:sz w:val="20"/>
                <w:szCs w:val="20"/>
                <w:color w:val="auto"/>
              </w:rPr>
            </w:pPr>
            <w:r>
              <w:rPr>
                <w:rFonts w:ascii="Arial" w:cs="Arial" w:eastAsia="Arial" w:hAnsi="Arial"/>
                <w:sz w:val="18"/>
                <w:szCs w:val="18"/>
                <w:color w:val="auto"/>
              </w:rPr>
              <w:t>C</w:t>
            </w:r>
          </w:p>
        </w:tc>
        <w:tc>
          <w:tcPr>
            <w:tcW w:w="1220" w:type="dxa"/>
            <w:vAlign w:val="bottom"/>
            <w:tcBorders>
              <w:bottom w:val="single" w:sz="8" w:color="C3D9EE"/>
            </w:tcBorders>
            <w:shd w:val="clear" w:color="auto" w:fill="C3D9EE"/>
          </w:tcPr>
          <w:p>
            <w:pPr>
              <w:jc w:val="center"/>
              <w:spacing w:after="0"/>
              <w:rPr>
                <w:sz w:val="20"/>
                <w:szCs w:val="20"/>
                <w:color w:val="auto"/>
              </w:rPr>
            </w:pPr>
            <w:r>
              <w:rPr>
                <w:rFonts w:ascii="Arial" w:cs="Arial" w:eastAsia="Arial" w:hAnsi="Arial"/>
                <w:sz w:val="18"/>
                <w:szCs w:val="18"/>
                <w:color w:val="auto"/>
                <w:w w:val="99"/>
              </w:rPr>
              <w:t>X</w:t>
            </w:r>
          </w:p>
        </w:tc>
        <w:tc>
          <w:tcPr>
            <w:tcW w:w="1140" w:type="dxa"/>
            <w:vAlign w:val="bottom"/>
            <w:tcBorders>
              <w:bottom w:val="single" w:sz="8" w:color="C3D9EE"/>
            </w:tcBorders>
            <w:shd w:val="clear" w:color="auto" w:fill="C3D9EE"/>
          </w:tcPr>
          <w:p>
            <w:pPr>
              <w:spacing w:after="0"/>
              <w:rPr>
                <w:sz w:val="24"/>
                <w:szCs w:val="24"/>
                <w:color w:val="auto"/>
              </w:rPr>
            </w:pPr>
          </w:p>
        </w:tc>
      </w:tr>
      <w:tr>
        <w:trPr>
          <w:trHeight w:val="311"/>
        </w:trPr>
        <w:tc>
          <w:tcPr>
            <w:tcW w:w="6460" w:type="dxa"/>
            <w:vAlign w:val="bottom"/>
          </w:tcPr>
          <w:p>
            <w:pPr>
              <w:ind w:left="100"/>
              <w:spacing w:after="0"/>
              <w:rPr>
                <w:sz w:val="20"/>
                <w:szCs w:val="20"/>
                <w:color w:val="auto"/>
              </w:rPr>
            </w:pPr>
            <w:r>
              <w:rPr>
                <w:rFonts w:ascii="Arial" w:cs="Arial" w:eastAsia="Arial" w:hAnsi="Arial"/>
                <w:sz w:val="18"/>
                <w:szCs w:val="18"/>
                <w:color w:val="auto"/>
              </w:rPr>
              <w:t>John R. Harding</w:t>
            </w:r>
          </w:p>
        </w:tc>
        <w:tc>
          <w:tcPr>
            <w:tcW w:w="2200" w:type="dxa"/>
            <w:vAlign w:val="bottom"/>
          </w:tcPr>
          <w:p>
            <w:pPr>
              <w:ind w:left="400"/>
              <w:spacing w:after="0"/>
              <w:rPr>
                <w:sz w:val="20"/>
                <w:szCs w:val="20"/>
                <w:color w:val="auto"/>
              </w:rPr>
            </w:pPr>
            <w:r>
              <w:rPr>
                <w:rFonts w:ascii="Arial" w:cs="Arial" w:eastAsia="Arial" w:hAnsi="Arial"/>
                <w:sz w:val="18"/>
                <w:szCs w:val="18"/>
                <w:color w:val="auto"/>
              </w:rPr>
              <w:t>X</w:t>
            </w:r>
          </w:p>
        </w:tc>
        <w:tc>
          <w:tcPr>
            <w:tcW w:w="1220" w:type="dxa"/>
            <w:vAlign w:val="bottom"/>
          </w:tcPr>
          <w:p>
            <w:pPr>
              <w:spacing w:after="0"/>
              <w:rPr>
                <w:sz w:val="24"/>
                <w:szCs w:val="24"/>
                <w:color w:val="auto"/>
              </w:rPr>
            </w:pPr>
          </w:p>
        </w:tc>
        <w:tc>
          <w:tcPr>
            <w:tcW w:w="1140" w:type="dxa"/>
            <w:vAlign w:val="bottom"/>
          </w:tcPr>
          <w:p>
            <w:pPr>
              <w:jc w:val="center"/>
              <w:ind w:left="12"/>
              <w:spacing w:after="0"/>
              <w:rPr>
                <w:sz w:val="20"/>
                <w:szCs w:val="20"/>
                <w:color w:val="auto"/>
              </w:rPr>
            </w:pPr>
            <w:r>
              <w:rPr>
                <w:rFonts w:ascii="Arial" w:cs="Arial" w:eastAsia="Arial" w:hAnsi="Arial"/>
                <w:sz w:val="18"/>
                <w:szCs w:val="18"/>
                <w:color w:val="auto"/>
                <w:w w:val="91"/>
              </w:rPr>
              <w:t>C</w:t>
            </w:r>
          </w:p>
        </w:tc>
      </w:tr>
      <w:tr>
        <w:trPr>
          <w:trHeight w:val="27"/>
        </w:trPr>
        <w:tc>
          <w:tcPr>
            <w:tcW w:w="6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18"/>
        </w:trPr>
        <w:tc>
          <w:tcPr>
            <w:tcW w:w="646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8"/>
                <w:szCs w:val="18"/>
                <w:color w:val="auto"/>
              </w:rPr>
              <w:t>David H. Y. Ho</w:t>
            </w:r>
          </w:p>
        </w:tc>
        <w:tc>
          <w:tcPr>
            <w:tcW w:w="2200" w:type="dxa"/>
            <w:vAlign w:val="bottom"/>
            <w:tcBorders>
              <w:bottom w:val="single" w:sz="8" w:color="C3D9EE"/>
            </w:tcBorders>
            <w:shd w:val="clear" w:color="auto" w:fill="C3D9EE"/>
          </w:tcPr>
          <w:p>
            <w:pPr>
              <w:ind w:left="1440"/>
              <w:spacing w:after="0"/>
              <w:rPr>
                <w:sz w:val="20"/>
                <w:szCs w:val="20"/>
                <w:color w:val="auto"/>
              </w:rPr>
            </w:pPr>
            <w:r>
              <w:rPr>
                <w:rFonts w:ascii="Arial" w:cs="Arial" w:eastAsia="Arial" w:hAnsi="Arial"/>
                <w:sz w:val="18"/>
                <w:szCs w:val="18"/>
                <w:color w:val="auto"/>
              </w:rPr>
              <w:t>X</w:t>
            </w:r>
          </w:p>
        </w:tc>
        <w:tc>
          <w:tcPr>
            <w:tcW w:w="1220" w:type="dxa"/>
            <w:vAlign w:val="bottom"/>
            <w:tcBorders>
              <w:bottom w:val="single" w:sz="8" w:color="C3D9EE"/>
            </w:tcBorders>
            <w:shd w:val="clear" w:color="auto" w:fill="C3D9EE"/>
          </w:tcPr>
          <w:p>
            <w:pPr>
              <w:spacing w:after="0"/>
              <w:rPr>
                <w:sz w:val="24"/>
                <w:szCs w:val="24"/>
                <w:color w:val="auto"/>
              </w:rPr>
            </w:pPr>
          </w:p>
        </w:tc>
        <w:tc>
          <w:tcPr>
            <w:tcW w:w="1140" w:type="dxa"/>
            <w:vAlign w:val="bottom"/>
            <w:tcBorders>
              <w:bottom w:val="single" w:sz="8" w:color="C3D9EE"/>
            </w:tcBorders>
            <w:shd w:val="clear" w:color="auto" w:fill="C3D9EE"/>
          </w:tcPr>
          <w:p>
            <w:pPr>
              <w:jc w:val="center"/>
              <w:ind w:left="12"/>
              <w:spacing w:after="0"/>
              <w:rPr>
                <w:sz w:val="20"/>
                <w:szCs w:val="20"/>
                <w:color w:val="auto"/>
              </w:rPr>
            </w:pPr>
            <w:r>
              <w:rPr>
                <w:rFonts w:ascii="Arial" w:cs="Arial" w:eastAsia="Arial" w:hAnsi="Arial"/>
                <w:sz w:val="18"/>
                <w:szCs w:val="18"/>
                <w:color w:val="auto"/>
                <w:w w:val="99"/>
              </w:rPr>
              <w:t>X</w:t>
            </w:r>
          </w:p>
        </w:tc>
      </w:tr>
      <w:tr>
        <w:trPr>
          <w:trHeight w:val="310"/>
        </w:trPr>
        <w:tc>
          <w:tcPr>
            <w:tcW w:w="6460" w:type="dxa"/>
            <w:vAlign w:val="bottom"/>
          </w:tcPr>
          <w:p>
            <w:pPr>
              <w:ind w:left="100"/>
              <w:spacing w:after="0"/>
              <w:rPr>
                <w:sz w:val="20"/>
                <w:szCs w:val="20"/>
                <w:color w:val="auto"/>
              </w:rPr>
            </w:pPr>
            <w:r>
              <w:rPr>
                <w:rFonts w:ascii="Arial" w:cs="Arial" w:eastAsia="Arial" w:hAnsi="Arial"/>
                <w:sz w:val="18"/>
                <w:szCs w:val="18"/>
                <w:color w:val="auto"/>
              </w:rPr>
              <w:t>Roderick D. Nelson</w:t>
            </w:r>
          </w:p>
        </w:tc>
        <w:tc>
          <w:tcPr>
            <w:tcW w:w="2200" w:type="dxa"/>
            <w:vAlign w:val="bottom"/>
          </w:tcPr>
          <w:p>
            <w:pPr>
              <w:ind w:left="400"/>
              <w:spacing w:after="0"/>
              <w:rPr>
                <w:sz w:val="20"/>
                <w:szCs w:val="20"/>
                <w:color w:val="auto"/>
              </w:rPr>
            </w:pPr>
            <w:r>
              <w:rPr>
                <w:rFonts w:ascii="Arial" w:cs="Arial" w:eastAsia="Arial" w:hAnsi="Arial"/>
                <w:sz w:val="18"/>
                <w:szCs w:val="18"/>
                <w:color w:val="auto"/>
              </w:rPr>
              <w:t>X</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140" w:type="dxa"/>
            <w:vAlign w:val="bottom"/>
          </w:tcPr>
          <w:p>
            <w:pPr>
              <w:jc w:val="center"/>
              <w:ind w:left="12"/>
              <w:spacing w:after="0"/>
              <w:rPr>
                <w:sz w:val="20"/>
                <w:szCs w:val="20"/>
                <w:color w:val="auto"/>
              </w:rPr>
            </w:pPr>
            <w:r>
              <w:rPr>
                <w:rFonts w:ascii="Arial" w:cs="Arial" w:eastAsia="Arial" w:hAnsi="Arial"/>
                <w:sz w:val="18"/>
                <w:szCs w:val="18"/>
                <w:color w:val="auto"/>
                <w:w w:val="99"/>
              </w:rPr>
              <w:t>X</w:t>
            </w:r>
          </w:p>
        </w:tc>
      </w:tr>
      <w:tr>
        <w:trPr>
          <w:trHeight w:val="27"/>
        </w:trPr>
        <w:tc>
          <w:tcPr>
            <w:tcW w:w="6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18"/>
        </w:trPr>
        <w:tc>
          <w:tcPr>
            <w:tcW w:w="646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8"/>
                <w:szCs w:val="18"/>
                <w:color w:val="auto"/>
              </w:rPr>
              <w:t>Dr. Walden C. Rhines</w:t>
            </w:r>
          </w:p>
        </w:tc>
        <w:tc>
          <w:tcPr>
            <w:tcW w:w="2200" w:type="dxa"/>
            <w:vAlign w:val="bottom"/>
            <w:tcBorders>
              <w:bottom w:val="single" w:sz="8" w:color="C3D9EE"/>
            </w:tcBorders>
            <w:shd w:val="clear" w:color="auto" w:fill="C3D9EE"/>
          </w:tcPr>
          <w:p>
            <w:pPr>
              <w:ind w:left="1440"/>
              <w:spacing w:after="0"/>
              <w:rPr>
                <w:sz w:val="20"/>
                <w:szCs w:val="20"/>
                <w:color w:val="auto"/>
              </w:rPr>
            </w:pPr>
            <w:r>
              <w:rPr>
                <w:rFonts w:ascii="Arial" w:cs="Arial" w:eastAsia="Arial" w:hAnsi="Arial"/>
                <w:sz w:val="18"/>
                <w:szCs w:val="18"/>
                <w:color w:val="auto"/>
              </w:rPr>
              <w:t>C</w:t>
            </w:r>
          </w:p>
        </w:tc>
        <w:tc>
          <w:tcPr>
            <w:tcW w:w="1220" w:type="dxa"/>
            <w:vAlign w:val="bottom"/>
            <w:tcBorders>
              <w:bottom w:val="single" w:sz="8" w:color="C3D9EE"/>
            </w:tcBorders>
            <w:shd w:val="clear" w:color="auto" w:fill="C3D9EE"/>
          </w:tcPr>
          <w:p>
            <w:pPr>
              <w:jc w:val="center"/>
              <w:spacing w:after="0"/>
              <w:rPr>
                <w:sz w:val="20"/>
                <w:szCs w:val="20"/>
                <w:color w:val="auto"/>
              </w:rPr>
            </w:pPr>
            <w:r>
              <w:rPr>
                <w:rFonts w:ascii="Arial" w:cs="Arial" w:eastAsia="Arial" w:hAnsi="Arial"/>
                <w:sz w:val="18"/>
                <w:szCs w:val="18"/>
                <w:color w:val="auto"/>
                <w:w w:val="99"/>
              </w:rPr>
              <w:t>X</w:t>
            </w:r>
          </w:p>
        </w:tc>
        <w:tc>
          <w:tcPr>
            <w:tcW w:w="1140" w:type="dxa"/>
            <w:vAlign w:val="bottom"/>
            <w:tcBorders>
              <w:bottom w:val="single" w:sz="8" w:color="C3D9EE"/>
            </w:tcBorders>
            <w:shd w:val="clear" w:color="auto" w:fill="C3D9EE"/>
          </w:tcPr>
          <w:p>
            <w:pPr>
              <w:spacing w:after="0"/>
              <w:rPr>
                <w:sz w:val="24"/>
                <w:szCs w:val="24"/>
                <w:color w:val="auto"/>
              </w:rPr>
            </w:pPr>
          </w:p>
        </w:tc>
      </w:tr>
      <w:tr>
        <w:trPr>
          <w:trHeight w:val="310"/>
        </w:trPr>
        <w:tc>
          <w:tcPr>
            <w:tcW w:w="6460" w:type="dxa"/>
            <w:vAlign w:val="bottom"/>
          </w:tcPr>
          <w:p>
            <w:pPr>
              <w:ind w:left="100"/>
              <w:spacing w:after="0"/>
              <w:rPr>
                <w:sz w:val="20"/>
                <w:szCs w:val="20"/>
                <w:color w:val="auto"/>
              </w:rPr>
            </w:pPr>
            <w:r>
              <w:rPr>
                <w:rFonts w:ascii="Arial" w:cs="Arial" w:eastAsia="Arial" w:hAnsi="Arial"/>
                <w:sz w:val="18"/>
                <w:szCs w:val="18"/>
                <w:color w:val="auto"/>
              </w:rPr>
              <w:t>Susan L. Spradley</w:t>
            </w:r>
          </w:p>
        </w:tc>
        <w:tc>
          <w:tcPr>
            <w:tcW w:w="2200" w:type="dxa"/>
            <w:vAlign w:val="bottom"/>
          </w:tcPr>
          <w:p>
            <w:pPr>
              <w:ind w:left="1440"/>
              <w:spacing w:after="0"/>
              <w:rPr>
                <w:sz w:val="20"/>
                <w:szCs w:val="20"/>
                <w:color w:val="auto"/>
              </w:rPr>
            </w:pPr>
            <w:r>
              <w:rPr>
                <w:rFonts w:ascii="Arial" w:cs="Arial" w:eastAsia="Arial" w:hAnsi="Arial"/>
                <w:sz w:val="18"/>
                <w:szCs w:val="18"/>
                <w:color w:val="auto"/>
              </w:rPr>
              <w:t>X</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140" w:type="dxa"/>
            <w:vAlign w:val="bottom"/>
          </w:tcPr>
          <w:p>
            <w:pPr>
              <w:jc w:val="center"/>
              <w:ind w:left="12"/>
              <w:spacing w:after="0"/>
              <w:rPr>
                <w:sz w:val="20"/>
                <w:szCs w:val="20"/>
                <w:color w:val="auto"/>
              </w:rPr>
            </w:pPr>
            <w:r>
              <w:rPr>
                <w:rFonts w:ascii="Arial" w:cs="Arial" w:eastAsia="Arial" w:hAnsi="Arial"/>
                <w:sz w:val="18"/>
                <w:szCs w:val="18"/>
                <w:color w:val="auto"/>
                <w:w w:val="99"/>
              </w:rPr>
              <w:t>X</w:t>
            </w:r>
          </w:p>
        </w:tc>
      </w:tr>
      <w:tr>
        <w:trPr>
          <w:trHeight w:val="27"/>
        </w:trPr>
        <w:tc>
          <w:tcPr>
            <w:tcW w:w="6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18"/>
        </w:trPr>
        <w:tc>
          <w:tcPr>
            <w:tcW w:w="646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8"/>
                <w:szCs w:val="18"/>
                <w:color w:val="auto"/>
              </w:rPr>
              <w:t>Walter H. Wilkinson, Jr.</w:t>
            </w:r>
          </w:p>
        </w:tc>
        <w:tc>
          <w:tcPr>
            <w:tcW w:w="2200" w:type="dxa"/>
            <w:vAlign w:val="bottom"/>
            <w:tcBorders>
              <w:bottom w:val="single" w:sz="8" w:color="C3D9EE"/>
            </w:tcBorders>
            <w:shd w:val="clear" w:color="auto" w:fill="C3D9EE"/>
          </w:tcPr>
          <w:p>
            <w:pPr>
              <w:ind w:left="1440"/>
              <w:spacing w:after="0"/>
              <w:rPr>
                <w:sz w:val="20"/>
                <w:szCs w:val="20"/>
                <w:color w:val="auto"/>
              </w:rPr>
            </w:pPr>
            <w:r>
              <w:rPr>
                <w:rFonts w:ascii="Arial" w:cs="Arial" w:eastAsia="Arial" w:hAnsi="Arial"/>
                <w:sz w:val="18"/>
                <w:szCs w:val="18"/>
                <w:color w:val="auto"/>
              </w:rPr>
              <w:t>X</w:t>
            </w:r>
          </w:p>
        </w:tc>
        <w:tc>
          <w:tcPr>
            <w:tcW w:w="1220" w:type="dxa"/>
            <w:vAlign w:val="bottom"/>
            <w:tcBorders>
              <w:bottom w:val="single" w:sz="8" w:color="C3D9EE"/>
            </w:tcBorders>
            <w:shd w:val="clear" w:color="auto" w:fill="C3D9EE"/>
          </w:tcPr>
          <w:p>
            <w:pPr>
              <w:jc w:val="center"/>
              <w:spacing w:after="0"/>
              <w:rPr>
                <w:sz w:val="20"/>
                <w:szCs w:val="20"/>
                <w:color w:val="auto"/>
              </w:rPr>
            </w:pPr>
            <w:r>
              <w:rPr>
                <w:rFonts w:ascii="Arial" w:cs="Arial" w:eastAsia="Arial" w:hAnsi="Arial"/>
                <w:sz w:val="18"/>
                <w:szCs w:val="18"/>
                <w:color w:val="auto"/>
                <w:w w:val="91"/>
              </w:rPr>
              <w:t>C</w:t>
            </w:r>
          </w:p>
        </w:tc>
        <w:tc>
          <w:tcPr>
            <w:tcW w:w="1140" w:type="dxa"/>
            <w:vAlign w:val="bottom"/>
            <w:tcBorders>
              <w:bottom w:val="single" w:sz="8" w:color="C3D9EE"/>
            </w:tcBorders>
            <w:shd w:val="clear" w:color="auto" w:fill="C3D9EE"/>
          </w:tcPr>
          <w:p>
            <w:pPr>
              <w:spacing w:after="0"/>
              <w:rPr>
                <w:sz w:val="24"/>
                <w:szCs w:val="24"/>
                <w:color w:val="auto"/>
              </w:rPr>
            </w:pPr>
          </w:p>
        </w:tc>
      </w:tr>
      <w:tr>
        <w:trPr>
          <w:trHeight w:val="311"/>
        </w:trPr>
        <w:tc>
          <w:tcPr>
            <w:tcW w:w="6460" w:type="dxa"/>
            <w:vAlign w:val="bottom"/>
          </w:tcPr>
          <w:p>
            <w:pPr>
              <w:ind w:left="100"/>
              <w:spacing w:after="0"/>
              <w:rPr>
                <w:sz w:val="20"/>
                <w:szCs w:val="20"/>
                <w:color w:val="auto"/>
              </w:rPr>
            </w:pPr>
            <w:r>
              <w:rPr>
                <w:rFonts w:ascii="Arial" w:cs="Arial" w:eastAsia="Arial" w:hAnsi="Arial"/>
                <w:sz w:val="18"/>
                <w:szCs w:val="18"/>
                <w:color w:val="auto"/>
              </w:rPr>
              <w:t>C = Committee Chair</w:t>
            </w:r>
          </w:p>
        </w:tc>
        <w:tc>
          <w:tcPr>
            <w:tcW w:w="2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6460" w:type="dxa"/>
            <w:vAlign w:val="bottom"/>
            <w:tcBorders>
              <w:bottom w:val="single" w:sz="8" w:color="1269BC"/>
            </w:tcBorders>
          </w:tcPr>
          <w:p>
            <w:pPr>
              <w:spacing w:after="0"/>
              <w:rPr>
                <w:sz w:val="2"/>
                <w:szCs w:val="2"/>
                <w:color w:val="auto"/>
              </w:rPr>
            </w:pPr>
          </w:p>
        </w:tc>
        <w:tc>
          <w:tcPr>
            <w:tcW w:w="2200" w:type="dxa"/>
            <w:vAlign w:val="bottom"/>
            <w:tcBorders>
              <w:bottom w:val="single" w:sz="8" w:color="1269BC"/>
            </w:tcBorders>
          </w:tcPr>
          <w:p>
            <w:pPr>
              <w:spacing w:after="0"/>
              <w:rPr>
                <w:sz w:val="2"/>
                <w:szCs w:val="2"/>
                <w:color w:val="auto"/>
              </w:rPr>
            </w:pPr>
          </w:p>
        </w:tc>
        <w:tc>
          <w:tcPr>
            <w:tcW w:w="1220" w:type="dxa"/>
            <w:vAlign w:val="bottom"/>
            <w:tcBorders>
              <w:bottom w:val="single" w:sz="8" w:color="1269BC"/>
            </w:tcBorders>
          </w:tcPr>
          <w:p>
            <w:pPr>
              <w:spacing w:after="0"/>
              <w:rPr>
                <w:sz w:val="2"/>
                <w:szCs w:val="2"/>
                <w:color w:val="auto"/>
              </w:rPr>
            </w:pPr>
          </w:p>
        </w:tc>
        <w:tc>
          <w:tcPr>
            <w:tcW w:w="1140" w:type="dxa"/>
            <w:vAlign w:val="bottom"/>
            <w:tcBorders>
              <w:bottom w:val="single" w:sz="8" w:color="1269BC"/>
            </w:tcBorders>
          </w:tcPr>
          <w:p>
            <w:pPr>
              <w:spacing w:after="0"/>
              <w:rPr>
                <w:sz w:val="2"/>
                <w:szCs w:val="2"/>
                <w:color w:val="auto"/>
              </w:rPr>
            </w:pP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Audit Committee</w:t>
      </w:r>
    </w:p>
    <w:p>
      <w:pPr>
        <w:spacing w:after="0" w:line="128" w:lineRule="exact"/>
        <w:rPr>
          <w:sz w:val="20"/>
          <w:szCs w:val="20"/>
          <w:color w:val="auto"/>
        </w:rPr>
      </w:pPr>
    </w:p>
    <w:p>
      <w:pPr>
        <w:ind w:left="120" w:right="40"/>
        <w:spacing w:after="0" w:line="246" w:lineRule="auto"/>
        <w:rPr>
          <w:sz w:val="20"/>
          <w:szCs w:val="20"/>
          <w:color w:val="auto"/>
        </w:rPr>
      </w:pPr>
      <w:r>
        <w:rPr>
          <w:rFonts w:ascii="Arial" w:cs="Arial" w:eastAsia="Arial" w:hAnsi="Arial"/>
          <w:sz w:val="16"/>
          <w:szCs w:val="16"/>
          <w:color w:val="auto"/>
        </w:rPr>
        <w:t>The Audit Committee is a separately-designated standing Audit Committee established in accordance with section 3(a)(58)(A) of the Securities Exchange Act of 1934, as amended, or the Exchange Act. The Audit Committee operates under a written charter adopted in January 2015 and most recently amended in May 2019. The Audit Committee is appointed by the Board to assist the Board in its duty to oversee our accounting, financial reporting and internal control functions and the audit of our financial statements. The Committee’s responsibilities include, among others, direct responsibility for:</w:t>
      </w:r>
    </w:p>
    <w:p>
      <w:pPr>
        <w:spacing w:after="0" w:line="2" w:lineRule="exact"/>
        <w:rPr>
          <w:sz w:val="20"/>
          <w:szCs w:val="20"/>
          <w:color w:val="auto"/>
        </w:rPr>
      </w:pPr>
    </w:p>
    <w:p>
      <w:pPr>
        <w:ind w:left="120" w:right="40" w:hanging="4"/>
        <w:spacing w:after="0" w:line="248" w:lineRule="auto"/>
        <w:tabs>
          <w:tab w:leader="none" w:pos="363" w:val="left"/>
        </w:tabs>
        <w:numPr>
          <w:ilvl w:val="0"/>
          <w:numId w:val="11"/>
        </w:numPr>
        <w:rPr>
          <w:rFonts w:ascii="Arial" w:cs="Arial" w:eastAsia="Arial" w:hAnsi="Arial"/>
          <w:sz w:val="16"/>
          <w:szCs w:val="16"/>
          <w:color w:val="auto"/>
        </w:rPr>
      </w:pPr>
      <w:r>
        <w:rPr>
          <w:rFonts w:ascii="Arial" w:cs="Arial" w:eastAsia="Arial" w:hAnsi="Arial"/>
          <w:sz w:val="16"/>
          <w:szCs w:val="16"/>
          <w:color w:val="auto"/>
        </w:rPr>
        <w:t>appointment, compensation, retention and oversight of our independent registered public accounting firm, which reports directly to the Audit Committee; (b) establishing policies and procedures for the review and pre-approval by the Committee of, and approving or pre-approving, all auditing services and permissible non-audit services to be performed by the independent registered public accounting firm, and any non-audit services to be performed by any other accounting firm; (c) periodically reviewing major issues regarding accounting principles and financial statement presentations, including any significant changes in our selection or application of accounting principles; (d) approving the report of the Audit Committee required by SEC rules to be included in our proxy statement; (e) discussing with management policies regarding risk assessment and risk management, including our major financial risk exposures and the steps management has taken to monitor and control such exposures; and (f) establishing and overseeing procedures for the receipt, retention and treatment of complaints received by Qorvo regarding accounting, internal accounting controls or auditing matters and for the confidential, anonymous submission by employees of concerns regarding questionable accounting or auditing matters.</w:t>
      </w:r>
    </w:p>
    <w:p>
      <w:pPr>
        <w:spacing w:after="0" w:line="137" w:lineRule="exact"/>
        <w:rPr>
          <w:sz w:val="20"/>
          <w:szCs w:val="20"/>
          <w:color w:val="auto"/>
        </w:rPr>
      </w:pPr>
    </w:p>
    <w:p>
      <w:pPr>
        <w:ind w:left="120"/>
        <w:spacing w:after="0"/>
        <w:tabs>
          <w:tab w:leader="none" w:pos="541" w:val="left"/>
        </w:tabs>
        <w:rPr>
          <w:sz w:val="20"/>
          <w:szCs w:val="20"/>
          <w:color w:val="auto"/>
        </w:rPr>
      </w:pPr>
      <w:r>
        <w:rPr>
          <w:rFonts w:ascii="Arial" w:cs="Arial" w:eastAsia="Arial" w:hAnsi="Arial"/>
          <w:sz w:val="18"/>
          <w:szCs w:val="18"/>
          <w:color w:val="auto"/>
        </w:rPr>
        <w:t>10</w:t>
      </w:r>
      <w:r>
        <w:rPr>
          <w:sz w:val="20"/>
          <w:szCs w:val="20"/>
          <w:color w:val="auto"/>
        </w:rPr>
        <w:tab/>
      </w:r>
      <w:r>
        <w:rPr>
          <w:sz w:val="1"/>
          <w:szCs w:val="1"/>
          <w:color w:val="auto"/>
        </w:rPr>
        <w:drawing>
          <wp:inline distT="0" distB="0" distL="0" distR="0">
            <wp:extent cx="582930" cy="13716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i w:val="1"/>
          <w:iCs w:val="1"/>
          <w:color w:val="1269BC"/>
        </w:rPr>
        <w:t xml:space="preserve">   2020 Proxy Statement</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300"/>
        <w:spacing w:after="0"/>
        <w:rPr>
          <w:sz w:val="20"/>
          <w:szCs w:val="20"/>
          <w:color w:val="auto"/>
        </w:rPr>
      </w:pPr>
      <w:r>
        <w:rPr>
          <w:rFonts w:ascii="Arial" w:cs="Arial" w:eastAsia="Arial" w:hAnsi="Arial"/>
          <w:sz w:val="18"/>
          <w:szCs w:val="18"/>
          <w:color w:val="1269B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5" w:lineRule="exact"/>
        <w:rPr>
          <w:sz w:val="20"/>
          <w:szCs w:val="20"/>
          <w:color w:val="auto"/>
        </w:rPr>
      </w:pPr>
    </w:p>
    <w:p>
      <w:pPr>
        <w:ind w:left="120" w:right="100"/>
        <w:spacing w:after="0" w:line="251" w:lineRule="auto"/>
        <w:rPr>
          <w:sz w:val="20"/>
          <w:szCs w:val="20"/>
          <w:color w:val="auto"/>
        </w:rPr>
      </w:pPr>
      <w:r>
        <w:rPr>
          <w:rFonts w:ascii="Arial" w:cs="Arial" w:eastAsia="Arial" w:hAnsi="Arial"/>
          <w:sz w:val="16"/>
          <w:szCs w:val="16"/>
          <w:color w:val="auto"/>
        </w:rPr>
        <w:t>The current members of the Audit Committee are Messrs. Gardner (Chair), Harding, Nelson and Quinsey, none of whom is an employee of Qorvo and each of whom is independent under existing Nasdaq listing standards and SEC requirements. The Board has examined the SEC’s definition of “audit committee financial expert” and determined that Messrs. Gardner, Harding and Quinsey each satisfy this definition. See “Report of the Audit Committee,” below.</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Compensation Committee</w:t>
      </w:r>
    </w:p>
    <w:p>
      <w:pPr>
        <w:spacing w:after="0" w:line="128" w:lineRule="exact"/>
        <w:rPr>
          <w:sz w:val="20"/>
          <w:szCs w:val="20"/>
          <w:color w:val="auto"/>
        </w:rPr>
      </w:pPr>
    </w:p>
    <w:p>
      <w:pPr>
        <w:ind w:left="120" w:right="20"/>
        <w:spacing w:after="0" w:line="247" w:lineRule="auto"/>
        <w:rPr>
          <w:sz w:val="20"/>
          <w:szCs w:val="20"/>
          <w:color w:val="auto"/>
        </w:rPr>
      </w:pPr>
      <w:r>
        <w:rPr>
          <w:rFonts w:ascii="Arial" w:cs="Arial" w:eastAsia="Arial" w:hAnsi="Arial"/>
          <w:sz w:val="16"/>
          <w:szCs w:val="16"/>
          <w:color w:val="auto"/>
        </w:rPr>
        <w:t>The Compensation Committee operates under a written charter adopted in January 2015 and most recently amended in May 2020. The Compensation Committee is appointed by the Board to exercise the Board’s authority concerning compensation of our officers and employees and administration of our incentive compensation plans. In fulfilling its duties, the Compensation Committee has the authority to, among other things: (a) evaluate and set the compensation of our officers, including our Chief Executive Officer, in accordance with our compensation philosophy; (b) prepare the Compensation Committee report that SEC rules require to be included in our Annual Report on Form 10-K (or timely filed proxy statement); (c) evaluate and make recommendations to the Board concerning compensation of non-employee directors; (d) periodically review, and modify if necessary, our philosophy concerning executive compensation and the components of executive compensation; (e) review and discuss with management our Compensation Discussion and Analysis disclosure and formally recommend to the Board that it be included in our Annual Report on Form 10-K (or timely filed proxy statement); (f) make the determination required under SEC rules regarding risks associated with our compensation policies and practices; (g) oversee our compliance with SEC rules and regulations regarding stockholder approval of certain executive compensation matters, including advisory votes on named executive officer compensation and the frequency of such votes; (h) retain (or obtain the advice of) and terminate a compensation consultant, independent legal counsel or other adviser to assist the Compensation Committee with the discharge of its duties under the charter, after taking into consideration factors and criteria required by applicable law; (i) review and discuss with management our key human capital management strategies and programs, including diversity and inclusion initiatives; and (j) discharge certain other responsibilities generally relating to the administration of our incentive and employee benefit plans. The Compensation Committee may condition its approval of any compensation matter on ratification by the Board if Board action is required by applicable law or otherwise deemed appropriate.</w:t>
      </w:r>
    </w:p>
    <w:p>
      <w:pPr>
        <w:spacing w:after="0" w:line="210"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auto"/>
        </w:rPr>
        <w:t>The Compensation Committee regularly consults with members of our executive management team regarding our executive compensation program. Our executive compensation program, including the level of participation by our executive officers in assisting with establishing compensation, is discussed below under “Executive Compensation – Compensation Discussion and Analysis.”</w:t>
      </w:r>
    </w:p>
    <w:p>
      <w:pPr>
        <w:spacing w:after="0" w:line="201"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auto"/>
        </w:rPr>
        <w:t>The Board has the discretion to delegate certain areas of authority that are reserved to the Board or the Compensation Committee under our equity compensation plans. The Board has delegated to the Chief Executive Officer, in his capacity as a member of the Board, the authority to grant equity awards: (a) generally to new or promoted Company employees provided that such employees are not directors or executive officers; (b) to Company employees to promote, reward and recognize outstanding engineering performance and other technical achievements; and (c) to individuals who become Company employees as a result of an acquisition by the Company. Pursuant to these delegations, no equity awards may be granted to persons who report directly to the Chief Executive Officer or are subject to Section 16 under the Exchange Act. Additionally, these delegations are subject to predetermined limits per individual and in the aggregate, as established by the Board or the Compensation Committee, and are subject to all terms and conditions of the applicable plan. The Chief Executive Officer is required to report all equity awards granted under these delegations to the Compensation Committee at its next regularly scheduled meeting following such grants.</w:t>
      </w:r>
    </w:p>
    <w:p>
      <w:pPr>
        <w:spacing w:after="0" w:line="206"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auto"/>
        </w:rPr>
        <w:t>To assist the Committee with its review and analysis of executive officer, non-employee director and employee compensation matters during fiscal 2020, the Compensation Committee engaged an independent compensation consulting firm, Compensia, Inc., which we refer to as Compensia. Compensia was instructed to analyze and provide recommendations on non-employee director compensation, and provide input on executive officer base salary and our short-term and long-term incentive plans. Additionally, the Committee has engaged Compensia for advice regarding executive compensation performance metrics for fiscal 2021, among other items. For a more detailed discussion of the nature and scope of the role of Compensia, see “Executive Compensation – Compensation Discussion and Analysis – Compensation Decision-Making Processes – Role of the Compensation Consultant,” below.</w:t>
      </w:r>
    </w:p>
    <w:p>
      <w:pPr>
        <w:spacing w:after="0" w:line="205" w:lineRule="exact"/>
        <w:rPr>
          <w:sz w:val="20"/>
          <w:szCs w:val="20"/>
          <w:color w:val="auto"/>
        </w:rPr>
      </w:pPr>
    </w:p>
    <w:p>
      <w:pPr>
        <w:ind w:left="120" w:right="140"/>
        <w:spacing w:after="0" w:line="260" w:lineRule="auto"/>
        <w:rPr>
          <w:sz w:val="20"/>
          <w:szCs w:val="20"/>
          <w:color w:val="auto"/>
        </w:rPr>
      </w:pPr>
      <w:r>
        <w:rPr>
          <w:rFonts w:ascii="Arial" w:cs="Arial" w:eastAsia="Arial" w:hAnsi="Arial"/>
          <w:sz w:val="16"/>
          <w:szCs w:val="16"/>
          <w:color w:val="auto"/>
        </w:rPr>
        <w:t>The current members of the Compensation Committee are Mr. Ho, Dr. Rhines (Chair), Ms. Spradley and Mr. Wilkinson, none of whom is an employee of Qorvo and each of whom is independent under existing Nasdaq listing standards and SEC requirements.</w:t>
      </w:r>
    </w:p>
    <w:p>
      <w:pPr>
        <w:spacing w:after="0" w:line="195" w:lineRule="exact"/>
        <w:rPr>
          <w:sz w:val="20"/>
          <w:szCs w:val="20"/>
          <w:color w:val="auto"/>
        </w:rPr>
      </w:pPr>
    </w:p>
    <w:p>
      <w:pPr>
        <w:ind w:left="120" w:right="40"/>
        <w:spacing w:after="0" w:line="260" w:lineRule="auto"/>
        <w:rPr>
          <w:sz w:val="20"/>
          <w:szCs w:val="20"/>
          <w:color w:val="auto"/>
        </w:rPr>
      </w:pPr>
      <w:r>
        <w:rPr>
          <w:rFonts w:ascii="Arial" w:cs="Arial" w:eastAsia="Arial" w:hAnsi="Arial"/>
          <w:sz w:val="16"/>
          <w:szCs w:val="16"/>
          <w:color w:val="auto"/>
        </w:rPr>
        <w:t>See “Executive Compensation – Compensation Discussion and Analysis,” below for details of the processes and procedures involved in setting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80010</wp:posOffset>
            </wp:positionV>
            <wp:extent cx="58293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i w:val="1"/>
          <w:iCs w:val="1"/>
          <w:color w:val="1269BC"/>
        </w:rPr>
        <w:t>2020 Proxy Statement</w:t>
      </w:r>
      <w:r>
        <w:rPr>
          <w:sz w:val="20"/>
          <w:szCs w:val="20"/>
          <w:color w:val="auto"/>
        </w:rPr>
        <w:tab/>
      </w:r>
      <w:r>
        <w:rPr>
          <w:rFonts w:ascii="Arial" w:cs="Arial" w:eastAsia="Arial" w:hAnsi="Arial"/>
          <w:sz w:val="17"/>
          <w:szCs w:val="17"/>
          <w:color w:val="auto"/>
        </w:rPr>
        <w:t>11</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Governance and Nominating Committee</w:t>
      </w:r>
    </w:p>
    <w:p>
      <w:pPr>
        <w:spacing w:after="0" w:line="128"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auto"/>
        </w:rPr>
        <w:t>The Governance and Nominating Committee operates under a written charter adopted in January 2015 and most recently amended in May 2020. The Governance and Nominating Committee is appointed by the Board to: (a) assist the Board in identifying individuals qualified to become Board and committee members and to recommend to the Board the director nominees; (b) develop and recommend to the Board the policies and guidelines relating to, and generally overseeing matters of, corporate governance and conflicts of interest; (c) lead the Board in its annual review of the performance of the Board and its committees; (d) periodically review and discuss with management the Company’s practices with respect to environmental, social and corporate governance matters; and (e) carry out the duties and responsibilities delegated by the Board relating to any matters required by the federal securities laws.</w:t>
      </w:r>
    </w:p>
    <w:p>
      <w:pPr>
        <w:spacing w:after="0" w:line="208"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The current members of the Governance and Nominating Committee are Mr. Gardner, Mr. Nelson, Dr. Rhines, Ms. Spradley and Mr. Wilkinson (Chair), none of whom is an employee of Qorvo and each of whom is independent under existing Nasdaq listing standards. For information regarding stockholder nominations to the Board, see “Procedures for Director Nominations” and “Proposals for 2021 Annual Meeting,” below.</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Corporate Development Committee</w:t>
      </w:r>
    </w:p>
    <w:p>
      <w:pPr>
        <w:spacing w:after="0" w:line="128" w:lineRule="exact"/>
        <w:rPr>
          <w:sz w:val="20"/>
          <w:szCs w:val="20"/>
          <w:color w:val="auto"/>
        </w:rPr>
      </w:pPr>
    </w:p>
    <w:p>
      <w:pPr>
        <w:ind w:left="120" w:right="180"/>
        <w:spacing w:after="0" w:line="249" w:lineRule="auto"/>
        <w:rPr>
          <w:sz w:val="20"/>
          <w:szCs w:val="20"/>
          <w:color w:val="auto"/>
        </w:rPr>
      </w:pPr>
      <w:r>
        <w:rPr>
          <w:rFonts w:ascii="Arial" w:cs="Arial" w:eastAsia="Arial" w:hAnsi="Arial"/>
          <w:sz w:val="16"/>
          <w:szCs w:val="16"/>
          <w:color w:val="auto"/>
        </w:rPr>
        <w:t>The Corporate Development Committee operates under a written charter adopted in January 2015 and most recently amended in March 2015. The Corporate Development Committee is appointed by the Board to: (a) assist the Board in fulfilling its responsibilities for overseeing and facilitating the development, implementation and monitoring of our business strategies and plans; and (b) exercise the Board’s authority with respect to the review, evaluation and approval of certain strategic transactions, subject to the limitations and requirements of applicable law and our governance documents. The current members of the Corporate Development Committee are Messrs. Bruggeworth, Harding (Chair), Ho, Nelson and Quinsey and Ms. Spradley. Other than Mr. Bruggeworth, these committee members are each independent under existing Nasdaq listing standards.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Meeting Attendance</w:t>
      </w:r>
    </w:p>
    <w:p>
      <w:pPr>
        <w:spacing w:after="0" w:line="128"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16"/>
          <w:szCs w:val="16"/>
          <w:color w:val="auto"/>
        </w:rPr>
        <w:t>Under our Corporate Governance Guidelines, all directors are expected to make every effort to attend meetings of the Board, assigned committees and annual meetings of stockholders. All of our directors attended the 2019 annual meeting of stockholders. During the fiscal year ended March 28, 2020, all of our directors attended at least 75% of the aggregate of the Board meetings and assigned committee meetings that were held. During fiscal 2020, the Board held six in-person meetings and seven telephonic meetings, the Audit Committee held three in-person meetings and five telephonic meetings, the Compensation Committee held four in-person meetings and two telephonic meetings, the Governance and Nominating Committee held three in-person meetings and the Corporate Development Committee held two in-person meetings.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Executive Sessions</w:t>
      </w:r>
    </w:p>
    <w:p>
      <w:pPr>
        <w:spacing w:after="0" w:line="128" w:lineRule="exact"/>
        <w:rPr>
          <w:sz w:val="20"/>
          <w:szCs w:val="20"/>
          <w:color w:val="auto"/>
        </w:rPr>
      </w:pPr>
    </w:p>
    <w:p>
      <w:pPr>
        <w:ind w:left="120" w:right="140"/>
        <w:spacing w:after="0" w:line="250" w:lineRule="auto"/>
        <w:rPr>
          <w:sz w:val="20"/>
          <w:szCs w:val="20"/>
          <w:color w:val="auto"/>
        </w:rPr>
      </w:pPr>
      <w:r>
        <w:rPr>
          <w:rFonts w:ascii="Arial" w:cs="Arial" w:eastAsia="Arial" w:hAnsi="Arial"/>
          <w:sz w:val="16"/>
          <w:szCs w:val="16"/>
          <w:color w:val="auto"/>
        </w:rPr>
        <w:t>Pursuant to our Corporate Governance Guidelines, independent directors are expected to meet in executive session at all regularly scheduled meetings of the Board with no members of management present. The Chair of the Governance and Nominating Committee or the Lead Independent Director presides at each executive session, unless the independent directors determine otherwise. During fiscal 2020, Mr. Quinsey presided as Lead Independent Director at the executive sessions. During fiscal 2020, the independent directors met in executive session at all of the regularly scheduled Board meetings.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Procedures for Director Nominations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Criteria for Director Nominees</w:t>
      </w:r>
    </w:p>
    <w:p>
      <w:pPr>
        <w:spacing w:after="0" w:line="128"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In accordance with our Corporate Governance Guidelines, members of the Board are expected to collectively possess a broad and diverse range of skills, industry and other knowledge and expertise, and business and other experience useful for the effective oversight of our business. The Governance and Nominating Committee is responsible for identifying, screening and recommending to the Board qualified candidates for membership. When searching for new director candidates, the Board will actively seek highly qualified women and individuals from minority groups to include in the pool of director candidates from which nominees are selected. All candidates must meet the minimum qualifications and other criteria established from time to time by the Board, and potential nominees will also be evaluated based on the other criteria identified in the Corporate Governance Guidelines. These minimum qualifications include, but are not limited to:</w:t>
      </w:r>
    </w:p>
    <w:p>
      <w:pPr>
        <w:spacing w:after="0" w:line="114" w:lineRule="exact"/>
        <w:rPr>
          <w:sz w:val="20"/>
          <w:szCs w:val="20"/>
          <w:color w:val="auto"/>
        </w:rPr>
      </w:pPr>
    </w:p>
    <w:p>
      <w:pPr>
        <w:ind w:left="540" w:right="380" w:hanging="424"/>
        <w:spacing w:after="0" w:line="260" w:lineRule="auto"/>
        <w:tabs>
          <w:tab w:leader="none" w:pos="540" w:val="left"/>
        </w:tabs>
        <w:numPr>
          <w:ilvl w:val="0"/>
          <w:numId w:val="12"/>
        </w:numPr>
        <w:rPr>
          <w:rFonts w:ascii="Arial" w:cs="Arial" w:eastAsia="Arial" w:hAnsi="Arial"/>
          <w:sz w:val="16"/>
          <w:szCs w:val="16"/>
          <w:color w:val="1269BC"/>
        </w:rPr>
      </w:pPr>
      <w:r>
        <w:rPr>
          <w:rFonts w:ascii="Arial" w:cs="Arial" w:eastAsia="Arial" w:hAnsi="Arial"/>
          <w:sz w:val="16"/>
          <w:szCs w:val="16"/>
          <w:color w:val="auto"/>
        </w:rPr>
        <w:t>having substantial or significant business or professional experience or an understanding of technology, finance, marketing, financial reporting, international business or other disciplines relevant to the business of Qorvo; and</w:t>
      </w:r>
    </w:p>
    <w:p>
      <w:pPr>
        <w:spacing w:after="0" w:line="126" w:lineRule="exact"/>
        <w:rPr>
          <w:sz w:val="20"/>
          <w:szCs w:val="20"/>
          <w:color w:val="auto"/>
        </w:rPr>
      </w:pPr>
    </w:p>
    <w:p>
      <w:pPr>
        <w:ind w:left="120"/>
        <w:spacing w:after="0"/>
        <w:tabs>
          <w:tab w:leader="none" w:pos="541" w:val="left"/>
        </w:tabs>
        <w:rPr>
          <w:sz w:val="20"/>
          <w:szCs w:val="20"/>
          <w:color w:val="auto"/>
        </w:rPr>
      </w:pPr>
      <w:r>
        <w:rPr>
          <w:rFonts w:ascii="Arial" w:cs="Arial" w:eastAsia="Arial" w:hAnsi="Arial"/>
          <w:sz w:val="18"/>
          <w:szCs w:val="18"/>
          <w:color w:val="auto"/>
        </w:rPr>
        <w:t>12</w:t>
      </w:r>
      <w:r>
        <w:rPr>
          <w:sz w:val="20"/>
          <w:szCs w:val="20"/>
          <w:color w:val="auto"/>
        </w:rPr>
        <w:tab/>
      </w:r>
      <w:r>
        <w:rPr>
          <w:sz w:val="1"/>
          <w:szCs w:val="1"/>
          <w:color w:val="auto"/>
        </w:rPr>
        <w:drawing>
          <wp:inline distT="0" distB="0" distL="0" distR="0">
            <wp:extent cx="582930" cy="13716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i w:val="1"/>
          <w:iCs w:val="1"/>
          <w:color w:val="1269BC"/>
        </w:rPr>
        <w:t xml:space="preserve">   2020 Proxy Statement</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300"/>
        <w:spacing w:after="0"/>
        <w:rPr>
          <w:sz w:val="20"/>
          <w:szCs w:val="20"/>
          <w:color w:val="auto"/>
        </w:rPr>
      </w:pPr>
      <w:r>
        <w:rPr>
          <w:rFonts w:ascii="Arial" w:cs="Arial" w:eastAsia="Arial" w:hAnsi="Arial"/>
          <w:sz w:val="18"/>
          <w:szCs w:val="18"/>
          <w:color w:val="1269B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5" w:lineRule="exact"/>
        <w:rPr>
          <w:sz w:val="20"/>
          <w:szCs w:val="20"/>
          <w:color w:val="auto"/>
        </w:rPr>
      </w:pPr>
    </w:p>
    <w:p>
      <w:pPr>
        <w:ind w:left="540" w:right="160" w:hanging="424"/>
        <w:spacing w:after="0" w:line="260" w:lineRule="auto"/>
        <w:tabs>
          <w:tab w:leader="none" w:pos="540" w:val="left"/>
        </w:tabs>
        <w:numPr>
          <w:ilvl w:val="0"/>
          <w:numId w:val="13"/>
        </w:numPr>
        <w:rPr>
          <w:rFonts w:ascii="Arial" w:cs="Arial" w:eastAsia="Arial" w:hAnsi="Arial"/>
          <w:sz w:val="16"/>
          <w:szCs w:val="16"/>
          <w:color w:val="1269BC"/>
        </w:rPr>
      </w:pPr>
      <w:r>
        <w:rPr>
          <w:rFonts w:ascii="Arial" w:cs="Arial" w:eastAsia="Arial" w:hAnsi="Arial"/>
          <w:sz w:val="16"/>
          <w:szCs w:val="16"/>
          <w:color w:val="auto"/>
        </w:rPr>
        <w:t>being free from any conflict of interest that would violate any applicable law or regulation or having any other relationship that, in the opinion of the Board, would interfere with the exercise of the individual’s judgment as a member of the Board or of a Board committee.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also consider the following criteria, among others, in our selection of directors:</w:t>
      </w:r>
    </w:p>
    <w:p>
      <w:pPr>
        <w:spacing w:after="0" w:line="127"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6"/>
          <w:szCs w:val="16"/>
          <w:color w:val="1269BC"/>
        </w:rPr>
      </w:pPr>
      <w:r>
        <w:rPr>
          <w:rFonts w:ascii="Arial" w:cs="Arial" w:eastAsia="Arial" w:hAnsi="Arial"/>
          <w:sz w:val="16"/>
          <w:szCs w:val="16"/>
          <w:color w:val="auto"/>
        </w:rPr>
        <w:t>economic, technical, scientific, academic, financial and other expertise, skills, knowledge and achievements useful to the oversight of our business;</w:t>
      </w:r>
    </w:p>
    <w:p>
      <w:pPr>
        <w:spacing w:after="0" w:line="140" w:lineRule="exact"/>
        <w:rPr>
          <w:rFonts w:ascii="Arial" w:cs="Arial" w:eastAsia="Arial" w:hAnsi="Arial"/>
          <w:sz w:val="16"/>
          <w:szCs w:val="16"/>
          <w:color w:val="1269BC"/>
        </w:rPr>
      </w:pPr>
    </w:p>
    <w:p>
      <w:pPr>
        <w:ind w:left="540" w:hanging="424"/>
        <w:spacing w:after="0"/>
        <w:tabs>
          <w:tab w:leader="none" w:pos="540" w:val="left"/>
        </w:tabs>
        <w:numPr>
          <w:ilvl w:val="0"/>
          <w:numId w:val="14"/>
        </w:numPr>
        <w:rPr>
          <w:rFonts w:ascii="Arial" w:cs="Arial" w:eastAsia="Arial" w:hAnsi="Arial"/>
          <w:sz w:val="16"/>
          <w:szCs w:val="16"/>
          <w:color w:val="1269BC"/>
        </w:rPr>
      </w:pPr>
      <w:r>
        <w:rPr>
          <w:rFonts w:ascii="Arial" w:cs="Arial" w:eastAsia="Arial" w:hAnsi="Arial"/>
          <w:sz w:val="16"/>
          <w:szCs w:val="16"/>
          <w:color w:val="auto"/>
        </w:rPr>
        <w:t>integrity, demonstrated sound business judgment and high moral and ethical character;</w:t>
      </w:r>
    </w:p>
    <w:p>
      <w:pPr>
        <w:spacing w:after="0" w:line="140" w:lineRule="exact"/>
        <w:rPr>
          <w:rFonts w:ascii="Arial" w:cs="Arial" w:eastAsia="Arial" w:hAnsi="Arial"/>
          <w:sz w:val="16"/>
          <w:szCs w:val="16"/>
          <w:color w:val="1269BC"/>
        </w:rPr>
      </w:pPr>
    </w:p>
    <w:p>
      <w:pPr>
        <w:ind w:left="540" w:hanging="424"/>
        <w:spacing w:after="0"/>
        <w:tabs>
          <w:tab w:leader="none" w:pos="540" w:val="left"/>
        </w:tabs>
        <w:numPr>
          <w:ilvl w:val="0"/>
          <w:numId w:val="14"/>
        </w:numPr>
        <w:rPr>
          <w:rFonts w:ascii="Arial" w:cs="Arial" w:eastAsia="Arial" w:hAnsi="Arial"/>
          <w:sz w:val="16"/>
          <w:szCs w:val="16"/>
          <w:color w:val="1269BC"/>
        </w:rPr>
      </w:pPr>
      <w:r>
        <w:rPr>
          <w:rFonts w:ascii="Arial" w:cs="Arial" w:eastAsia="Arial" w:hAnsi="Arial"/>
          <w:sz w:val="16"/>
          <w:szCs w:val="16"/>
          <w:color w:val="auto"/>
        </w:rPr>
        <w:t>diversity of viewpoints, backgrounds, experiences and other demographics;</w:t>
      </w:r>
    </w:p>
    <w:p>
      <w:pPr>
        <w:spacing w:after="0" w:line="140" w:lineRule="exact"/>
        <w:rPr>
          <w:rFonts w:ascii="Arial" w:cs="Arial" w:eastAsia="Arial" w:hAnsi="Arial"/>
          <w:sz w:val="16"/>
          <w:szCs w:val="16"/>
          <w:color w:val="1269BC"/>
        </w:rPr>
      </w:pPr>
    </w:p>
    <w:p>
      <w:pPr>
        <w:ind w:left="540" w:hanging="424"/>
        <w:spacing w:after="0"/>
        <w:tabs>
          <w:tab w:leader="none" w:pos="540" w:val="left"/>
        </w:tabs>
        <w:numPr>
          <w:ilvl w:val="0"/>
          <w:numId w:val="14"/>
        </w:numPr>
        <w:rPr>
          <w:rFonts w:ascii="Arial" w:cs="Arial" w:eastAsia="Arial" w:hAnsi="Arial"/>
          <w:sz w:val="16"/>
          <w:szCs w:val="16"/>
          <w:color w:val="1269BC"/>
        </w:rPr>
      </w:pPr>
      <w:r>
        <w:rPr>
          <w:rFonts w:ascii="Arial" w:cs="Arial" w:eastAsia="Arial" w:hAnsi="Arial"/>
          <w:sz w:val="16"/>
          <w:szCs w:val="16"/>
          <w:color w:val="auto"/>
        </w:rPr>
        <w:t>business or other relevant professional experience;</w:t>
      </w:r>
    </w:p>
    <w:p>
      <w:pPr>
        <w:spacing w:after="0" w:line="140" w:lineRule="exact"/>
        <w:rPr>
          <w:rFonts w:ascii="Arial" w:cs="Arial" w:eastAsia="Arial" w:hAnsi="Arial"/>
          <w:sz w:val="16"/>
          <w:szCs w:val="16"/>
          <w:color w:val="1269BC"/>
        </w:rPr>
      </w:pPr>
    </w:p>
    <w:p>
      <w:pPr>
        <w:ind w:left="540" w:right="140" w:hanging="424"/>
        <w:spacing w:after="0" w:line="260" w:lineRule="auto"/>
        <w:tabs>
          <w:tab w:leader="none" w:pos="540" w:val="left"/>
        </w:tabs>
        <w:numPr>
          <w:ilvl w:val="0"/>
          <w:numId w:val="14"/>
        </w:numPr>
        <w:rPr>
          <w:rFonts w:ascii="Arial" w:cs="Arial" w:eastAsia="Arial" w:hAnsi="Arial"/>
          <w:sz w:val="16"/>
          <w:szCs w:val="16"/>
          <w:color w:val="1269BC"/>
        </w:rPr>
      </w:pPr>
      <w:r>
        <w:rPr>
          <w:rFonts w:ascii="Arial" w:cs="Arial" w:eastAsia="Arial" w:hAnsi="Arial"/>
          <w:sz w:val="16"/>
          <w:szCs w:val="16"/>
          <w:color w:val="auto"/>
        </w:rPr>
        <w:t>capacity and desire to represent the balanced, best interests of Qorvo and its stockholders as a whole and not primarily a special interest group or constituency;</w:t>
      </w:r>
    </w:p>
    <w:p>
      <w:pPr>
        <w:spacing w:after="0" w:line="100" w:lineRule="exact"/>
        <w:rPr>
          <w:rFonts w:ascii="Arial" w:cs="Arial" w:eastAsia="Arial" w:hAnsi="Arial"/>
          <w:sz w:val="16"/>
          <w:szCs w:val="16"/>
          <w:color w:val="1269BC"/>
        </w:rPr>
      </w:pPr>
    </w:p>
    <w:p>
      <w:pPr>
        <w:ind w:left="540" w:hanging="424"/>
        <w:spacing w:after="0"/>
        <w:tabs>
          <w:tab w:leader="none" w:pos="540" w:val="left"/>
        </w:tabs>
        <w:numPr>
          <w:ilvl w:val="0"/>
          <w:numId w:val="14"/>
        </w:numPr>
        <w:rPr>
          <w:rFonts w:ascii="Arial" w:cs="Arial" w:eastAsia="Arial" w:hAnsi="Arial"/>
          <w:sz w:val="16"/>
          <w:szCs w:val="16"/>
          <w:color w:val="1269BC"/>
        </w:rPr>
      </w:pPr>
      <w:r>
        <w:rPr>
          <w:rFonts w:ascii="Arial" w:cs="Arial" w:eastAsia="Arial" w:hAnsi="Arial"/>
          <w:sz w:val="16"/>
          <w:szCs w:val="16"/>
          <w:color w:val="auto"/>
        </w:rPr>
        <w:t>ability and willingness to devote time to the affairs and success of Qorvo and to fulfill the responsibilities of a director; and</w:t>
      </w:r>
    </w:p>
    <w:p>
      <w:pPr>
        <w:spacing w:after="0" w:line="140" w:lineRule="exact"/>
        <w:rPr>
          <w:rFonts w:ascii="Arial" w:cs="Arial" w:eastAsia="Arial" w:hAnsi="Arial"/>
          <w:sz w:val="16"/>
          <w:szCs w:val="16"/>
          <w:color w:val="1269BC"/>
        </w:rPr>
      </w:pPr>
    </w:p>
    <w:p>
      <w:pPr>
        <w:ind w:left="540" w:right="140" w:hanging="424"/>
        <w:spacing w:after="0" w:line="260" w:lineRule="auto"/>
        <w:tabs>
          <w:tab w:leader="none" w:pos="540" w:val="left"/>
        </w:tabs>
        <w:numPr>
          <w:ilvl w:val="0"/>
          <w:numId w:val="14"/>
        </w:numPr>
        <w:rPr>
          <w:rFonts w:ascii="Arial" w:cs="Arial" w:eastAsia="Arial" w:hAnsi="Arial"/>
          <w:sz w:val="16"/>
          <w:szCs w:val="16"/>
          <w:color w:val="1269BC"/>
        </w:rPr>
      </w:pPr>
      <w:r>
        <w:rPr>
          <w:rFonts w:ascii="Arial" w:cs="Arial" w:eastAsia="Arial" w:hAnsi="Arial"/>
          <w:sz w:val="16"/>
          <w:szCs w:val="16"/>
          <w:color w:val="auto"/>
        </w:rPr>
        <w:t>the extent to which the interplay of the candidate’s expertise, skills, knowledge and experience with that of other Board members will build a Board that is effective, collegial and responsive to the needs of Qorvo.</w:t>
      </w:r>
    </w:p>
    <w:p>
      <w:pPr>
        <w:spacing w:after="0" w:line="195" w:lineRule="exact"/>
        <w:rPr>
          <w:sz w:val="20"/>
          <w:szCs w:val="20"/>
          <w:color w:val="auto"/>
        </w:rPr>
      </w:pPr>
    </w:p>
    <w:p>
      <w:pPr>
        <w:ind w:left="120" w:right="440"/>
        <w:spacing w:after="0" w:line="260" w:lineRule="auto"/>
        <w:rPr>
          <w:sz w:val="20"/>
          <w:szCs w:val="20"/>
          <w:color w:val="auto"/>
        </w:rPr>
      </w:pPr>
      <w:r>
        <w:rPr>
          <w:rFonts w:ascii="Arial" w:cs="Arial" w:eastAsia="Arial" w:hAnsi="Arial"/>
          <w:sz w:val="16"/>
          <w:szCs w:val="16"/>
          <w:color w:val="auto"/>
        </w:rPr>
        <w:t>The Governance and Nominating Committee is authorized to develop and review on a periodic basis policies regarding Board size, composition and member qualification.</w:t>
      </w:r>
    </w:p>
    <w:p>
      <w:pPr>
        <w:spacing w:after="0" w:line="195" w:lineRule="exact"/>
        <w:rPr>
          <w:sz w:val="20"/>
          <w:szCs w:val="20"/>
          <w:color w:val="auto"/>
        </w:rPr>
      </w:pPr>
    </w:p>
    <w:p>
      <w:pPr>
        <w:ind w:left="120" w:right="120"/>
        <w:spacing w:after="0" w:line="248" w:lineRule="auto"/>
        <w:rPr>
          <w:sz w:val="20"/>
          <w:szCs w:val="20"/>
          <w:color w:val="auto"/>
        </w:rPr>
      </w:pPr>
      <w:r>
        <w:rPr>
          <w:rFonts w:ascii="Arial" w:cs="Arial" w:eastAsia="Arial" w:hAnsi="Arial"/>
          <w:sz w:val="16"/>
          <w:szCs w:val="16"/>
          <w:color w:val="auto"/>
        </w:rPr>
        <w:t>The Governance and Nominating Committee evaluates suggestions concerning possible candidates for election to the Board submitted to Qorvo, including those submitted by Board members, stockholders and third parties. All candidates, including those submitted by stockholders, will be similarly evaluated by the Governance and Nominating Committee using the Board membership criteria described above and in accordance with applicable procedures. Once candidates have been identified, the Governance and Nominating Committee will determine whether such candidates meet the minimum qualifications for director nominees established in the Corporate Governance Guidelines. The Board, taking into consideration the recommendations of the Governance and Nominating Committee, is responsible for selecting the nominees for director and for appointing directors to fill vacancies, with primary emphasis on the criteria set forth in the Corporate Governance Guidelines.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Stockholder Nominees for Director</w:t>
      </w:r>
    </w:p>
    <w:p>
      <w:pPr>
        <w:spacing w:after="0" w:line="128" w:lineRule="exact"/>
        <w:rPr>
          <w:sz w:val="20"/>
          <w:szCs w:val="20"/>
          <w:color w:val="auto"/>
        </w:rPr>
      </w:pPr>
    </w:p>
    <w:p>
      <w:pPr>
        <w:ind w:left="120" w:right="160"/>
        <w:spacing w:after="0" w:line="249" w:lineRule="auto"/>
        <w:rPr>
          <w:sz w:val="20"/>
          <w:szCs w:val="20"/>
          <w:color w:val="auto"/>
        </w:rPr>
      </w:pPr>
      <w:r>
        <w:rPr>
          <w:rFonts w:ascii="Arial" w:cs="Arial" w:eastAsia="Arial" w:hAnsi="Arial"/>
          <w:sz w:val="16"/>
          <w:szCs w:val="16"/>
          <w:color w:val="auto"/>
        </w:rPr>
        <w:t>As noted above, the Governance and Nominating Committee will consider qualified director nominees recommended by stockholders when such recommendations are submitted in accordance with applicable SEC requirements, our bylaws and Corporate Governance Guidelines and any other applicable law, rule or regulation regarding director nominations. Under our bylaws, nominations of persons for election to the Board may be made at an annual meeting of stockholders by any Qorvo stockholder who: (a) was a stockholder of record at the time of giving of the notice provided for in our bylaws and at the time of the annual meeting; (b) is entitled to vote at the meeting; and (c) provides timely notice and otherwise complies with the procedures set forth in our bylaws.</w:t>
      </w:r>
    </w:p>
    <w:p>
      <w:pPr>
        <w:spacing w:after="0" w:line="205"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No candidates for director nominations were submitted to the Governance and Nominating Committee by any stockholder in connection with the annual meeting. Any stockholder desiring to present a nomination for consideration by the Governance and Nominating Committee prior to the 2021 annual meeting of stockholders (“2021 Annual Meeting”) must do so in accordance with our bylaws and policies. See “Proposals for 2021 Annual Meeting” below.</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Advance Notice Provisions</w:t>
      </w:r>
    </w:p>
    <w:p>
      <w:pPr>
        <w:spacing w:after="0" w:line="129" w:lineRule="exact"/>
        <w:rPr>
          <w:sz w:val="20"/>
          <w:szCs w:val="20"/>
          <w:color w:val="auto"/>
        </w:rPr>
      </w:pPr>
    </w:p>
    <w:p>
      <w:pPr>
        <w:ind w:left="120" w:right="120"/>
        <w:spacing w:after="0" w:line="248" w:lineRule="auto"/>
        <w:rPr>
          <w:sz w:val="20"/>
          <w:szCs w:val="20"/>
          <w:color w:val="auto"/>
        </w:rPr>
      </w:pPr>
      <w:r>
        <w:rPr>
          <w:rFonts w:ascii="Arial" w:cs="Arial" w:eastAsia="Arial" w:hAnsi="Arial"/>
          <w:sz w:val="16"/>
          <w:szCs w:val="16"/>
          <w:color w:val="auto"/>
        </w:rPr>
        <w:t>To be timely, a stockholder’s notice pursuant to the advance notice provisions of our bylaws must be delivered to our Secretary at our principal executive offices not later than the close of business on the 90th day and not earlier than the close of business on the 120th day prior to the first anniversary of the preceding year’s annual meeting; provided, however, that in the event that the date of the annual meeting is more than 30 days before or more than 60 days after such anniversary date, notice by the stockholder must be delivered not earlier than the close of business on the 120th day prior to the date of such annual meeting and not later than the close of business on the 90th day prior to the date of such annual meeting, or by the 10th day following the notice date for such meeting if the first public announcement of the date of the annual meeting is less than 100 days prior to the date of such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88265</wp:posOffset>
            </wp:positionV>
            <wp:extent cx="58293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pacing w:after="0" w:line="15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i w:val="1"/>
          <w:iCs w:val="1"/>
          <w:color w:val="1269BC"/>
        </w:rPr>
        <w:t>2020 Proxy Statement</w:t>
      </w:r>
      <w:r>
        <w:rPr>
          <w:sz w:val="20"/>
          <w:szCs w:val="20"/>
          <w:color w:val="auto"/>
        </w:rPr>
        <w:tab/>
      </w:r>
      <w:r>
        <w:rPr>
          <w:rFonts w:ascii="Arial" w:cs="Arial" w:eastAsia="Arial" w:hAnsi="Arial"/>
          <w:sz w:val="17"/>
          <w:szCs w:val="17"/>
          <w:color w:val="auto"/>
        </w:rPr>
        <w:t>13</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5"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color w:val="auto"/>
        </w:rPr>
        <w:t>To be in proper form, a stockholder’s notice pursuant to the advance notice provisions of our bylaws must set forth, as to the stockholder giving the notice and the beneficial owner, if any, on whose behalf the nomination is made:</w:t>
      </w:r>
    </w:p>
    <w:p>
      <w:pPr>
        <w:spacing w:after="0" w:line="101"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6"/>
          <w:szCs w:val="16"/>
          <w:color w:val="1269BC"/>
        </w:rPr>
      </w:pPr>
      <w:r>
        <w:rPr>
          <w:rFonts w:ascii="Arial" w:cs="Arial" w:eastAsia="Arial" w:hAnsi="Arial"/>
          <w:sz w:val="16"/>
          <w:szCs w:val="16"/>
          <w:color w:val="auto"/>
        </w:rPr>
        <w:t>the name and address of such stockholder, as they appear on our books, and of such beneficial owner, if any;</w:t>
      </w:r>
    </w:p>
    <w:p>
      <w:pPr>
        <w:spacing w:after="0" w:line="140" w:lineRule="exact"/>
        <w:rPr>
          <w:rFonts w:ascii="Arial" w:cs="Arial" w:eastAsia="Arial" w:hAnsi="Arial"/>
          <w:sz w:val="16"/>
          <w:szCs w:val="16"/>
          <w:color w:val="1269BC"/>
        </w:rPr>
      </w:pPr>
    </w:p>
    <w:p>
      <w:pPr>
        <w:ind w:left="540" w:right="80" w:hanging="424"/>
        <w:spacing w:after="0" w:line="260" w:lineRule="auto"/>
        <w:tabs>
          <w:tab w:leader="none" w:pos="540" w:val="left"/>
        </w:tabs>
        <w:numPr>
          <w:ilvl w:val="0"/>
          <w:numId w:val="15"/>
        </w:numPr>
        <w:rPr>
          <w:rFonts w:ascii="Arial" w:cs="Arial" w:eastAsia="Arial" w:hAnsi="Arial"/>
          <w:sz w:val="16"/>
          <w:szCs w:val="16"/>
          <w:color w:val="1269BC"/>
        </w:rPr>
      </w:pPr>
      <w:r>
        <w:rPr>
          <w:rFonts w:ascii="Arial" w:cs="Arial" w:eastAsia="Arial" w:hAnsi="Arial"/>
          <w:sz w:val="16"/>
          <w:szCs w:val="16"/>
          <w:color w:val="auto"/>
        </w:rPr>
        <w:t>the number of shares of our common stock that are, directly or indirectly, owned beneficially and of record by such stockholder and such beneficial owner;</w:t>
      </w:r>
    </w:p>
    <w:p>
      <w:pPr>
        <w:spacing w:after="0" w:line="100" w:lineRule="exact"/>
        <w:rPr>
          <w:rFonts w:ascii="Arial" w:cs="Arial" w:eastAsia="Arial" w:hAnsi="Arial"/>
          <w:sz w:val="16"/>
          <w:szCs w:val="16"/>
          <w:color w:val="1269BC"/>
        </w:rPr>
      </w:pPr>
    </w:p>
    <w:p>
      <w:pPr>
        <w:ind w:left="540" w:hanging="424"/>
        <w:spacing w:after="0"/>
        <w:tabs>
          <w:tab w:leader="none" w:pos="540" w:val="left"/>
        </w:tabs>
        <w:numPr>
          <w:ilvl w:val="0"/>
          <w:numId w:val="15"/>
        </w:numPr>
        <w:rPr>
          <w:rFonts w:ascii="Arial" w:cs="Arial" w:eastAsia="Arial" w:hAnsi="Arial"/>
          <w:sz w:val="16"/>
          <w:szCs w:val="16"/>
          <w:color w:val="1269BC"/>
        </w:rPr>
      </w:pPr>
      <w:r>
        <w:rPr>
          <w:rFonts w:ascii="Arial" w:cs="Arial" w:eastAsia="Arial" w:hAnsi="Arial"/>
          <w:sz w:val="16"/>
          <w:szCs w:val="16"/>
          <w:color w:val="auto"/>
        </w:rPr>
        <w:t>any derivative instruments with respect to our common stock directly or indirectly owned beneficially by such stockholder;</w:t>
      </w:r>
    </w:p>
    <w:p>
      <w:pPr>
        <w:spacing w:after="0" w:line="140" w:lineRule="exact"/>
        <w:rPr>
          <w:rFonts w:ascii="Arial" w:cs="Arial" w:eastAsia="Arial" w:hAnsi="Arial"/>
          <w:sz w:val="16"/>
          <w:szCs w:val="16"/>
          <w:color w:val="1269BC"/>
        </w:rPr>
      </w:pPr>
    </w:p>
    <w:p>
      <w:pPr>
        <w:ind w:left="540" w:hanging="424"/>
        <w:spacing w:after="0"/>
        <w:tabs>
          <w:tab w:leader="none" w:pos="540" w:val="left"/>
        </w:tabs>
        <w:numPr>
          <w:ilvl w:val="0"/>
          <w:numId w:val="15"/>
        </w:numPr>
        <w:rPr>
          <w:rFonts w:ascii="Arial" w:cs="Arial" w:eastAsia="Arial" w:hAnsi="Arial"/>
          <w:sz w:val="16"/>
          <w:szCs w:val="16"/>
          <w:color w:val="1269BC"/>
        </w:rPr>
      </w:pPr>
      <w:r>
        <w:rPr>
          <w:rFonts w:ascii="Arial" w:cs="Arial" w:eastAsia="Arial" w:hAnsi="Arial"/>
          <w:sz w:val="16"/>
          <w:szCs w:val="16"/>
          <w:color w:val="auto"/>
        </w:rPr>
        <w:t>any proxy, contract, arrangement, understanding or relationship pursuant to which such stockholder has a right to vote any of our securities;</w:t>
      </w:r>
    </w:p>
    <w:p>
      <w:pPr>
        <w:spacing w:after="0" w:line="140" w:lineRule="exact"/>
        <w:rPr>
          <w:rFonts w:ascii="Arial" w:cs="Arial" w:eastAsia="Arial" w:hAnsi="Arial"/>
          <w:sz w:val="16"/>
          <w:szCs w:val="16"/>
          <w:color w:val="1269BC"/>
        </w:rPr>
      </w:pPr>
    </w:p>
    <w:p>
      <w:pPr>
        <w:ind w:left="540" w:hanging="424"/>
        <w:spacing w:after="0"/>
        <w:tabs>
          <w:tab w:leader="none" w:pos="540" w:val="left"/>
        </w:tabs>
        <w:numPr>
          <w:ilvl w:val="0"/>
          <w:numId w:val="15"/>
        </w:numPr>
        <w:rPr>
          <w:rFonts w:ascii="Arial" w:cs="Arial" w:eastAsia="Arial" w:hAnsi="Arial"/>
          <w:sz w:val="16"/>
          <w:szCs w:val="16"/>
          <w:color w:val="1269BC"/>
        </w:rPr>
      </w:pPr>
      <w:r>
        <w:rPr>
          <w:rFonts w:ascii="Arial" w:cs="Arial" w:eastAsia="Arial" w:hAnsi="Arial"/>
          <w:sz w:val="16"/>
          <w:szCs w:val="16"/>
          <w:color w:val="auto"/>
        </w:rPr>
        <w:t>any short interest in any of our securities;</w:t>
      </w:r>
    </w:p>
    <w:p>
      <w:pPr>
        <w:spacing w:after="0" w:line="140" w:lineRule="exact"/>
        <w:rPr>
          <w:rFonts w:ascii="Arial" w:cs="Arial" w:eastAsia="Arial" w:hAnsi="Arial"/>
          <w:sz w:val="16"/>
          <w:szCs w:val="16"/>
          <w:color w:val="1269BC"/>
        </w:rPr>
      </w:pPr>
    </w:p>
    <w:p>
      <w:pPr>
        <w:ind w:left="540" w:right="560" w:hanging="424"/>
        <w:spacing w:after="0" w:line="260" w:lineRule="auto"/>
        <w:tabs>
          <w:tab w:leader="none" w:pos="540" w:val="left"/>
        </w:tabs>
        <w:numPr>
          <w:ilvl w:val="0"/>
          <w:numId w:val="15"/>
        </w:numPr>
        <w:rPr>
          <w:rFonts w:ascii="Arial" w:cs="Arial" w:eastAsia="Arial" w:hAnsi="Arial"/>
          <w:sz w:val="16"/>
          <w:szCs w:val="16"/>
          <w:color w:val="1269BC"/>
        </w:rPr>
      </w:pPr>
      <w:r>
        <w:rPr>
          <w:rFonts w:ascii="Arial" w:cs="Arial" w:eastAsia="Arial" w:hAnsi="Arial"/>
          <w:sz w:val="16"/>
          <w:szCs w:val="16"/>
          <w:color w:val="auto"/>
        </w:rPr>
        <w:t>any rights to dividends on the shares of our common stock owned beneficially by such stockholder that are separated or separable from the underlying shares of our common stock;</w:t>
      </w:r>
    </w:p>
    <w:p>
      <w:pPr>
        <w:spacing w:after="0" w:line="100" w:lineRule="exact"/>
        <w:rPr>
          <w:rFonts w:ascii="Arial" w:cs="Arial" w:eastAsia="Arial" w:hAnsi="Arial"/>
          <w:sz w:val="16"/>
          <w:szCs w:val="16"/>
          <w:color w:val="1269BC"/>
        </w:rPr>
      </w:pPr>
    </w:p>
    <w:p>
      <w:pPr>
        <w:ind w:left="540" w:right="100" w:hanging="424"/>
        <w:spacing w:after="0" w:line="260" w:lineRule="auto"/>
        <w:tabs>
          <w:tab w:leader="none" w:pos="540" w:val="left"/>
        </w:tabs>
        <w:numPr>
          <w:ilvl w:val="0"/>
          <w:numId w:val="15"/>
        </w:numPr>
        <w:rPr>
          <w:rFonts w:ascii="Arial" w:cs="Arial" w:eastAsia="Arial" w:hAnsi="Arial"/>
          <w:sz w:val="16"/>
          <w:szCs w:val="16"/>
          <w:color w:val="1269BC"/>
        </w:rPr>
      </w:pPr>
      <w:r>
        <w:rPr>
          <w:rFonts w:ascii="Arial" w:cs="Arial" w:eastAsia="Arial" w:hAnsi="Arial"/>
          <w:sz w:val="16"/>
          <w:szCs w:val="16"/>
          <w:color w:val="auto"/>
        </w:rPr>
        <w:t>any proportionate interest in shares of our common stock or derivative instruments held, directly or indirectly, by a general or limited partnership in which such stockholder is a general partner or, directly or indirectly, beneficially owns an interest in a general partner;</w:t>
      </w:r>
    </w:p>
    <w:p>
      <w:pPr>
        <w:spacing w:after="0" w:line="100" w:lineRule="exact"/>
        <w:rPr>
          <w:rFonts w:ascii="Arial" w:cs="Arial" w:eastAsia="Arial" w:hAnsi="Arial"/>
          <w:sz w:val="16"/>
          <w:szCs w:val="16"/>
          <w:color w:val="1269BC"/>
        </w:rPr>
      </w:pPr>
    </w:p>
    <w:p>
      <w:pPr>
        <w:ind w:left="540" w:hanging="424"/>
        <w:spacing w:after="0" w:line="260" w:lineRule="auto"/>
        <w:tabs>
          <w:tab w:leader="none" w:pos="540" w:val="left"/>
        </w:tabs>
        <w:numPr>
          <w:ilvl w:val="0"/>
          <w:numId w:val="15"/>
        </w:numPr>
        <w:rPr>
          <w:rFonts w:ascii="Arial" w:cs="Arial" w:eastAsia="Arial" w:hAnsi="Arial"/>
          <w:sz w:val="16"/>
          <w:szCs w:val="16"/>
          <w:color w:val="1269BC"/>
        </w:rPr>
      </w:pPr>
      <w:r>
        <w:rPr>
          <w:rFonts w:ascii="Arial" w:cs="Arial" w:eastAsia="Arial" w:hAnsi="Arial"/>
          <w:sz w:val="16"/>
          <w:szCs w:val="16"/>
          <w:color w:val="auto"/>
        </w:rPr>
        <w:t>any performance-related fees (other than an asset-based fee) that such stockholder is entitled to based on any increase or decrease in the value of shares of our common stock or derivative instruments, if any, as of the date of such notice; and</w:t>
      </w:r>
    </w:p>
    <w:p>
      <w:pPr>
        <w:spacing w:after="0" w:line="100" w:lineRule="exact"/>
        <w:rPr>
          <w:rFonts w:ascii="Arial" w:cs="Arial" w:eastAsia="Arial" w:hAnsi="Arial"/>
          <w:sz w:val="16"/>
          <w:szCs w:val="16"/>
          <w:color w:val="1269BC"/>
        </w:rPr>
      </w:pPr>
    </w:p>
    <w:p>
      <w:pPr>
        <w:ind w:left="540" w:right="80" w:hanging="424"/>
        <w:spacing w:after="0" w:line="260" w:lineRule="auto"/>
        <w:tabs>
          <w:tab w:leader="none" w:pos="540" w:val="left"/>
        </w:tabs>
        <w:numPr>
          <w:ilvl w:val="0"/>
          <w:numId w:val="15"/>
        </w:numPr>
        <w:rPr>
          <w:rFonts w:ascii="Arial" w:cs="Arial" w:eastAsia="Arial" w:hAnsi="Arial"/>
          <w:sz w:val="16"/>
          <w:szCs w:val="16"/>
          <w:color w:val="1269BC"/>
        </w:rPr>
      </w:pPr>
      <w:r>
        <w:rPr>
          <w:rFonts w:ascii="Arial" w:cs="Arial" w:eastAsia="Arial" w:hAnsi="Arial"/>
          <w:sz w:val="16"/>
          <w:szCs w:val="16"/>
          <w:color w:val="auto"/>
        </w:rPr>
        <w:t>any other information relating to such stockholder and beneficial owner, if any, that would be required to be disclosed in a proxy statement or other filings required to be made pursuant to applicable federal securities laws.</w:t>
      </w:r>
    </w:p>
    <w:p>
      <w:pPr>
        <w:spacing w:after="0" w:line="195" w:lineRule="exact"/>
        <w:rPr>
          <w:sz w:val="20"/>
          <w:szCs w:val="20"/>
          <w:color w:val="auto"/>
        </w:rPr>
      </w:pPr>
    </w:p>
    <w:p>
      <w:pPr>
        <w:ind w:left="120" w:right="200"/>
        <w:spacing w:after="0" w:line="260" w:lineRule="auto"/>
        <w:rPr>
          <w:sz w:val="20"/>
          <w:szCs w:val="20"/>
          <w:color w:val="auto"/>
        </w:rPr>
      </w:pPr>
      <w:r>
        <w:rPr>
          <w:rFonts w:ascii="Arial" w:cs="Arial" w:eastAsia="Arial" w:hAnsi="Arial"/>
          <w:sz w:val="16"/>
          <w:szCs w:val="16"/>
          <w:color w:val="auto"/>
        </w:rPr>
        <w:t>The stockholder’s notice must also set forth, as to each nominee whom the stockholder proposes to nominate for election to the Board, together with a completed and signed questionnaire, representation and agreement from such person:</w:t>
      </w:r>
    </w:p>
    <w:p>
      <w:pPr>
        <w:spacing w:after="0" w:line="101" w:lineRule="exact"/>
        <w:rPr>
          <w:sz w:val="20"/>
          <w:szCs w:val="20"/>
          <w:color w:val="auto"/>
        </w:rPr>
      </w:pPr>
    </w:p>
    <w:p>
      <w:pPr>
        <w:ind w:left="540" w:right="20" w:hanging="424"/>
        <w:spacing w:after="0" w:line="260" w:lineRule="auto"/>
        <w:tabs>
          <w:tab w:leader="none" w:pos="540" w:val="left"/>
        </w:tabs>
        <w:numPr>
          <w:ilvl w:val="0"/>
          <w:numId w:val="16"/>
        </w:numPr>
        <w:rPr>
          <w:rFonts w:ascii="Arial" w:cs="Arial" w:eastAsia="Arial" w:hAnsi="Arial"/>
          <w:sz w:val="16"/>
          <w:szCs w:val="16"/>
          <w:color w:val="1269BC"/>
        </w:rPr>
      </w:pPr>
      <w:r>
        <w:rPr>
          <w:rFonts w:ascii="Arial" w:cs="Arial" w:eastAsia="Arial" w:hAnsi="Arial"/>
          <w:sz w:val="16"/>
          <w:szCs w:val="16"/>
          <w:color w:val="auto"/>
        </w:rPr>
        <w:t>all information relating to such nominee that would be required to be disclosed in a proxy statement or other filings required to be made pursuant to applicable federal securities laws; and</w:t>
      </w:r>
    </w:p>
    <w:p>
      <w:pPr>
        <w:spacing w:after="0" w:line="100" w:lineRule="exact"/>
        <w:rPr>
          <w:rFonts w:ascii="Arial" w:cs="Arial" w:eastAsia="Arial" w:hAnsi="Arial"/>
          <w:sz w:val="16"/>
          <w:szCs w:val="16"/>
          <w:color w:val="1269BC"/>
        </w:rPr>
      </w:pPr>
    </w:p>
    <w:p>
      <w:pPr>
        <w:ind w:left="540" w:right="200" w:hanging="424"/>
        <w:spacing w:after="0" w:line="251" w:lineRule="auto"/>
        <w:tabs>
          <w:tab w:leader="none" w:pos="540" w:val="left"/>
        </w:tabs>
        <w:numPr>
          <w:ilvl w:val="0"/>
          <w:numId w:val="16"/>
        </w:numPr>
        <w:rPr>
          <w:rFonts w:ascii="Arial" w:cs="Arial" w:eastAsia="Arial" w:hAnsi="Arial"/>
          <w:sz w:val="16"/>
          <w:szCs w:val="16"/>
          <w:color w:val="1269BC"/>
        </w:rPr>
      </w:pPr>
      <w:r>
        <w:rPr>
          <w:rFonts w:ascii="Arial" w:cs="Arial" w:eastAsia="Arial" w:hAnsi="Arial"/>
          <w:sz w:val="16"/>
          <w:szCs w:val="16"/>
          <w:color w:val="auto"/>
        </w:rPr>
        <w:t>a description of all direct and indirect compensation and other material monetary agreements, arrangements and understandings during the past three years, and any other material relationships, between or among such stockholder and beneficial owner, if any, and their respective affiliates and associates, or others acting in concert therewith, on the one hand, and the nominee, and his or her respective affiliates and associates or others acting in concert therewith, on the other hand.</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Proxy Access Provisions</w:t>
      </w:r>
    </w:p>
    <w:p>
      <w:pPr>
        <w:spacing w:after="0" w:line="129" w:lineRule="exact"/>
        <w:rPr>
          <w:sz w:val="20"/>
          <w:szCs w:val="20"/>
          <w:color w:val="auto"/>
        </w:rPr>
      </w:pPr>
    </w:p>
    <w:p>
      <w:pPr>
        <w:ind w:left="120" w:right="120"/>
        <w:spacing w:after="0" w:line="251" w:lineRule="auto"/>
        <w:rPr>
          <w:sz w:val="20"/>
          <w:szCs w:val="20"/>
          <w:color w:val="auto"/>
        </w:rPr>
      </w:pPr>
      <w:r>
        <w:rPr>
          <w:rFonts w:ascii="Arial" w:cs="Arial" w:eastAsia="Arial" w:hAnsi="Arial"/>
          <w:sz w:val="16"/>
          <w:szCs w:val="16"/>
          <w:color w:val="auto"/>
        </w:rPr>
        <w:t>Pursuant to our bylaws, a stockholder, or a group of up to 20 stockholders, that has owned at least 3% of our outstanding voting shares continuously for at least three years can nominate and include in our proxy materials up to the greater of two directors or 20% of the number of directors then in office, provided that the stockholder(s) and the stockholder nominee(s) satisfy the requirements specified in the bylaws. Such requirements include the timely delivery of a stockholder’s notice to our Secretary.</w:t>
      </w:r>
    </w:p>
    <w:p>
      <w:pPr>
        <w:spacing w:after="0" w:line="202"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To be timely, a stockholder’s notice pursuant to the proxy access provisions must be delivered to our Secretary at our principal executive offices not later than the close of business on the 120th day before the first anniversary of the date the definitive proxy statement was first sent to stockholders in connection with the preceding year’s annual meeting and not earlier than the close of business on the 150th day before such anniversary; provided, however, that in the event that the date of the annual meeting is more than 30 days before or more than 60 days after the anniversary of the preceding year’s annual meeting, or if no annual meeting was held in the preceding year, the notice must be delivered not earlier than the close of business on the 150th day prior to such annual meeting and not later than the close of business on the later of the 120th day prior to such annual meeting or the 10th day following the day on which public announcement of the date of such meeting is first made.</w:t>
      </w:r>
    </w:p>
    <w:p>
      <w:pPr>
        <w:spacing w:after="0" w:line="208" w:lineRule="exact"/>
        <w:rPr>
          <w:sz w:val="20"/>
          <w:szCs w:val="20"/>
          <w:color w:val="auto"/>
        </w:rPr>
      </w:pPr>
    </w:p>
    <w:p>
      <w:pPr>
        <w:ind w:left="120" w:right="560"/>
        <w:spacing w:after="0" w:line="260" w:lineRule="auto"/>
        <w:rPr>
          <w:sz w:val="20"/>
          <w:szCs w:val="20"/>
          <w:color w:val="auto"/>
        </w:rPr>
      </w:pPr>
      <w:r>
        <w:rPr>
          <w:rFonts w:ascii="Arial" w:cs="Arial" w:eastAsia="Arial" w:hAnsi="Arial"/>
          <w:sz w:val="16"/>
          <w:szCs w:val="16"/>
          <w:color w:val="auto"/>
        </w:rPr>
        <w:t>To be in proper form, a stockholder’s notice pursuant to the proxy access provisions must set forth, as to the stockholder giving the notice and the beneficial owner, if any, on whose behalf the nomination is made:</w:t>
      </w:r>
    </w:p>
    <w:p>
      <w:pPr>
        <w:spacing w:after="0" w:line="101" w:lineRule="exact"/>
        <w:rPr>
          <w:sz w:val="20"/>
          <w:szCs w:val="20"/>
          <w:color w:val="auto"/>
        </w:rPr>
      </w:pPr>
    </w:p>
    <w:p>
      <w:pPr>
        <w:ind w:left="540" w:hanging="424"/>
        <w:spacing w:after="0"/>
        <w:tabs>
          <w:tab w:leader="none" w:pos="540" w:val="left"/>
        </w:tabs>
        <w:numPr>
          <w:ilvl w:val="0"/>
          <w:numId w:val="17"/>
        </w:numPr>
        <w:rPr>
          <w:rFonts w:ascii="Arial" w:cs="Arial" w:eastAsia="Arial" w:hAnsi="Arial"/>
          <w:sz w:val="16"/>
          <w:szCs w:val="16"/>
          <w:color w:val="1269BC"/>
        </w:rPr>
      </w:pPr>
      <w:r>
        <w:rPr>
          <w:rFonts w:ascii="Arial" w:cs="Arial" w:eastAsia="Arial" w:hAnsi="Arial"/>
          <w:sz w:val="16"/>
          <w:szCs w:val="16"/>
          <w:color w:val="auto"/>
        </w:rPr>
        <w:t>the information required in a stockholder’s notice pursuant to the advance notice provisions of our bylaws;</w:t>
      </w:r>
    </w:p>
    <w:p>
      <w:pPr>
        <w:spacing w:after="0" w:line="140" w:lineRule="exact"/>
        <w:rPr>
          <w:rFonts w:ascii="Arial" w:cs="Arial" w:eastAsia="Arial" w:hAnsi="Arial"/>
          <w:sz w:val="16"/>
          <w:szCs w:val="16"/>
          <w:color w:val="1269BC"/>
        </w:rPr>
      </w:pPr>
    </w:p>
    <w:p>
      <w:pPr>
        <w:ind w:left="540" w:hanging="424"/>
        <w:spacing w:after="0"/>
        <w:tabs>
          <w:tab w:leader="none" w:pos="540" w:val="left"/>
        </w:tabs>
        <w:numPr>
          <w:ilvl w:val="0"/>
          <w:numId w:val="17"/>
        </w:numPr>
        <w:rPr>
          <w:rFonts w:ascii="Arial" w:cs="Arial" w:eastAsia="Arial" w:hAnsi="Arial"/>
          <w:sz w:val="16"/>
          <w:szCs w:val="16"/>
          <w:color w:val="1269BC"/>
        </w:rPr>
      </w:pPr>
      <w:r>
        <w:rPr>
          <w:rFonts w:ascii="Arial" w:cs="Arial" w:eastAsia="Arial" w:hAnsi="Arial"/>
          <w:sz w:val="16"/>
          <w:szCs w:val="16"/>
          <w:color w:val="auto"/>
        </w:rPr>
        <w:t>a copy of the Schedule 14N that has been or concurrently is filed with the SEC as required by Rule 14a-18 under the Exchange Act;</w:t>
      </w:r>
    </w:p>
    <w:p>
      <w:pPr>
        <w:spacing w:after="0" w:line="140" w:lineRule="exact"/>
        <w:rPr>
          <w:rFonts w:ascii="Arial" w:cs="Arial" w:eastAsia="Arial" w:hAnsi="Arial"/>
          <w:sz w:val="16"/>
          <w:szCs w:val="16"/>
          <w:color w:val="1269BC"/>
        </w:rPr>
      </w:pPr>
    </w:p>
    <w:p>
      <w:pPr>
        <w:ind w:left="540" w:right="60" w:hanging="424"/>
        <w:spacing w:after="0" w:line="260" w:lineRule="auto"/>
        <w:tabs>
          <w:tab w:leader="none" w:pos="540" w:val="left"/>
        </w:tabs>
        <w:numPr>
          <w:ilvl w:val="0"/>
          <w:numId w:val="17"/>
        </w:numPr>
        <w:rPr>
          <w:rFonts w:ascii="Arial" w:cs="Arial" w:eastAsia="Arial" w:hAnsi="Arial"/>
          <w:sz w:val="16"/>
          <w:szCs w:val="16"/>
          <w:color w:val="1269BC"/>
        </w:rPr>
      </w:pPr>
      <w:r>
        <w:rPr>
          <w:rFonts w:ascii="Arial" w:cs="Arial" w:eastAsia="Arial" w:hAnsi="Arial"/>
          <w:sz w:val="16"/>
          <w:szCs w:val="16"/>
          <w:color w:val="auto"/>
        </w:rPr>
        <w:t>the details of any relationship that existed within the past three years and that would have been described pursuant to Item 6(e) of Schedule 14N if the relationship existed on the date of submission of the Schedule 14N;</w:t>
      </w:r>
    </w:p>
    <w:p>
      <w:pPr>
        <w:spacing w:after="0" w:line="126" w:lineRule="exact"/>
        <w:rPr>
          <w:sz w:val="20"/>
          <w:szCs w:val="20"/>
          <w:color w:val="auto"/>
        </w:rPr>
      </w:pPr>
    </w:p>
    <w:p>
      <w:pPr>
        <w:ind w:left="120"/>
        <w:spacing w:after="0"/>
        <w:tabs>
          <w:tab w:leader="none" w:pos="541" w:val="left"/>
        </w:tabs>
        <w:rPr>
          <w:sz w:val="20"/>
          <w:szCs w:val="20"/>
          <w:color w:val="auto"/>
        </w:rPr>
      </w:pPr>
      <w:r>
        <w:rPr>
          <w:rFonts w:ascii="Arial" w:cs="Arial" w:eastAsia="Arial" w:hAnsi="Arial"/>
          <w:sz w:val="18"/>
          <w:szCs w:val="18"/>
          <w:color w:val="auto"/>
        </w:rPr>
        <w:t>14</w:t>
      </w:r>
      <w:r>
        <w:rPr>
          <w:sz w:val="20"/>
          <w:szCs w:val="20"/>
          <w:color w:val="auto"/>
        </w:rPr>
        <w:tab/>
      </w:r>
      <w:r>
        <w:rPr>
          <w:sz w:val="1"/>
          <w:szCs w:val="1"/>
          <w:color w:val="auto"/>
        </w:rPr>
        <w:drawing>
          <wp:inline distT="0" distB="0" distL="0" distR="0">
            <wp:extent cx="582930" cy="13716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i w:val="1"/>
          <w:iCs w:val="1"/>
          <w:color w:val="1269BC"/>
        </w:rPr>
        <w:t xml:space="preserve">   2020 Proxy Statement</w:t>
      </w:r>
    </w:p>
    <w:p>
      <w:pPr>
        <w:sectPr>
          <w:pgSz w:w="11900" w:h="16838" w:orient="portrait"/>
          <w:cols w:equalWidth="0" w:num="1">
            <w:col w:w="11080"/>
          </w:cols>
          <w:pgMar w:left="32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300"/>
        <w:spacing w:after="0"/>
        <w:rPr>
          <w:sz w:val="20"/>
          <w:szCs w:val="20"/>
          <w:color w:val="auto"/>
        </w:rPr>
      </w:pPr>
      <w:r>
        <w:rPr>
          <w:rFonts w:ascii="Arial" w:cs="Arial" w:eastAsia="Arial" w:hAnsi="Arial"/>
          <w:sz w:val="18"/>
          <w:szCs w:val="18"/>
          <w:color w:val="1269B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5" w:lineRule="exact"/>
        <w:rPr>
          <w:sz w:val="20"/>
          <w:szCs w:val="20"/>
          <w:color w:val="auto"/>
        </w:rPr>
      </w:pPr>
    </w:p>
    <w:p>
      <w:pPr>
        <w:ind w:left="540" w:right="400" w:hanging="424"/>
        <w:spacing w:after="0" w:line="253" w:lineRule="auto"/>
        <w:tabs>
          <w:tab w:leader="none" w:pos="540" w:val="left"/>
        </w:tabs>
        <w:numPr>
          <w:ilvl w:val="0"/>
          <w:numId w:val="18"/>
        </w:numPr>
        <w:rPr>
          <w:rFonts w:ascii="Arial" w:cs="Arial" w:eastAsia="Arial" w:hAnsi="Arial"/>
          <w:sz w:val="16"/>
          <w:szCs w:val="16"/>
          <w:color w:val="1269BC"/>
        </w:rPr>
      </w:pPr>
      <w:r>
        <w:rPr>
          <w:rFonts w:ascii="Arial" w:cs="Arial" w:eastAsia="Arial" w:hAnsi="Arial"/>
          <w:sz w:val="16"/>
          <w:szCs w:val="16"/>
          <w:color w:val="auto"/>
        </w:rPr>
        <w:t>a statement of the stockholder (a) setting forth and certifying to the number of shares of the Company the stockholder owns and has owned continuously for at least three years as of the date of the notice and (b) agreeing to continue to own such shares through the applicable annual meeting; and</w:t>
      </w:r>
    </w:p>
    <w:p>
      <w:pPr>
        <w:spacing w:after="0" w:line="106" w:lineRule="exact"/>
        <w:rPr>
          <w:rFonts w:ascii="Arial" w:cs="Arial" w:eastAsia="Arial" w:hAnsi="Arial"/>
          <w:sz w:val="16"/>
          <w:szCs w:val="16"/>
          <w:color w:val="1269BC"/>
        </w:rPr>
      </w:pPr>
    </w:p>
    <w:p>
      <w:pPr>
        <w:ind w:left="540" w:hanging="424"/>
        <w:spacing w:after="0"/>
        <w:tabs>
          <w:tab w:leader="none" w:pos="540" w:val="left"/>
        </w:tabs>
        <w:numPr>
          <w:ilvl w:val="0"/>
          <w:numId w:val="18"/>
        </w:numPr>
        <w:rPr>
          <w:rFonts w:ascii="Arial" w:cs="Arial" w:eastAsia="Arial" w:hAnsi="Arial"/>
          <w:sz w:val="16"/>
          <w:szCs w:val="16"/>
          <w:color w:val="1269BC"/>
        </w:rPr>
      </w:pPr>
      <w:r>
        <w:rPr>
          <w:rFonts w:ascii="Arial" w:cs="Arial" w:eastAsia="Arial" w:hAnsi="Arial"/>
          <w:sz w:val="16"/>
          <w:szCs w:val="16"/>
          <w:color w:val="auto"/>
        </w:rPr>
        <w:t>the written agreement of the stockholder setting forth certain additional agreements, representations and warranties specified in the bylaws.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Stockholder Communications with Directors</w:t>
      </w:r>
    </w:p>
    <w:p>
      <w:pPr>
        <w:spacing w:after="0" w:line="132"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Any stockholder desiring to contact the Board, or any specific director(s), may send written communications to: Board of Directors (Attention: (Name(s) of director(s), as applicable)), c/o Qorvo’s Secretary, Jason K. Givens, 7628 Thorndike Road, Greensboro, North Carolina 27409-9421. Any proper communication so received will be processed by the Secretary. If it is unclear from the communication received whether it was intended or appropriate for the Board, the Secretary will (subject to any applicable regulatory requirements) use his judgment to determine whether such communication should be conveyed to the Board or, as appropriate, to the member(s) of the Board named in the communication.</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Prohibition on Hedging and Pledging</w:t>
      </w:r>
    </w:p>
    <w:p>
      <w:pPr>
        <w:spacing w:after="0" w:line="132" w:lineRule="exact"/>
        <w:rPr>
          <w:sz w:val="20"/>
          <w:szCs w:val="20"/>
          <w:color w:val="auto"/>
        </w:rPr>
      </w:pPr>
    </w:p>
    <w:p>
      <w:pPr>
        <w:ind w:left="120" w:right="180"/>
        <w:spacing w:after="0" w:line="248" w:lineRule="auto"/>
        <w:rPr>
          <w:sz w:val="20"/>
          <w:szCs w:val="20"/>
          <w:color w:val="auto"/>
        </w:rPr>
      </w:pPr>
      <w:r>
        <w:rPr>
          <w:rFonts w:ascii="Arial" w:cs="Arial" w:eastAsia="Arial" w:hAnsi="Arial"/>
          <w:sz w:val="16"/>
          <w:szCs w:val="16"/>
          <w:color w:val="auto"/>
        </w:rPr>
        <w:t>Our securities trading policy and Corporate Governance Guidelines prohibit any hedging of our securities by our directors and employees. This includes engaging in any type of short sale or purchasing any financial instrument (including prepaid variable forward contracts, equity swaps, collars and exchange traded funds) or engaging in any transaction that, in either case, hedges or offsets, or is designed to hedge or offset, any decrease in the market value of our common stock. Additionally, directors and employees may not pledge Company securities as collateral for a loan; however, this prohibition does not apply to any broker-assisted “cashless” exercise or settlement of awards granted under a Company equity incentive plan. Directors and employees may engage in other derivative transactions only if it is determined, to the satisfaction of the Company’s Compliance Officer, that such transaction is consistent with applicable rules, laws and our securities trading policy.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Pre-Approval Policies and Procedures</w:t>
      </w:r>
    </w:p>
    <w:p>
      <w:pPr>
        <w:spacing w:after="0" w:line="132" w:lineRule="exact"/>
        <w:rPr>
          <w:sz w:val="20"/>
          <w:szCs w:val="20"/>
          <w:color w:val="auto"/>
        </w:rPr>
      </w:pPr>
    </w:p>
    <w:p>
      <w:pPr>
        <w:ind w:left="120" w:right="40"/>
        <w:spacing w:after="0" w:line="247" w:lineRule="auto"/>
        <w:rPr>
          <w:sz w:val="20"/>
          <w:szCs w:val="20"/>
          <w:color w:val="auto"/>
        </w:rPr>
      </w:pPr>
      <w:r>
        <w:rPr>
          <w:rFonts w:ascii="Arial" w:cs="Arial" w:eastAsia="Arial" w:hAnsi="Arial"/>
          <w:sz w:val="16"/>
          <w:szCs w:val="16"/>
          <w:color w:val="auto"/>
        </w:rPr>
        <w:t>The Audit Committee has established a pre-approval policy for certain audit and non-audit services, up to a specified amount, for each identified service that may be provided by the independent registered public accounting firm. The pre-approval fee levels for all services to be provided by the independent registered public accounting firm are reviewed annually by the Audit Committee. The Audit Committee has authorized management to engage accounting firms other than Ernst &amp; Young LLP to perform certain audit- related, tax and other non-audit services, as set forth in the policy, provided that the fees do not exceed $250,000 per year for each separate engagement, project or assignment. The Audit Committee has delegated to the Chair of the Audit Committee the authority to approve, in between meetings of the Audit Committee, certain audit, audit-related, tax and other permissible non-audit services to be provided by Ernst &amp; Young LLP in an amount not to exceed $50,000. Additionally, the Audit Committee has delegated to the Chair of the Audit Committee the authority to approve, in between meetings of the Audit Committee, certain audit- related, tax and other permissible non-audit services to be provided by any accounting firm other than Ernst &amp; Young LLP in an amount in excess of $250,000 for each separate engagement, project or assignment, but not to exceed $500,000 per year for each separate engagement, project or assignment. Any such approval by the Chair must be reported to the Audit Committee at its next meeting following the approval.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Whistleblower Policy</w:t>
      </w:r>
    </w:p>
    <w:p>
      <w:pPr>
        <w:spacing w:after="0" w:line="132" w:lineRule="exact"/>
        <w:rPr>
          <w:sz w:val="20"/>
          <w:szCs w:val="20"/>
          <w:color w:val="auto"/>
        </w:rPr>
      </w:pPr>
    </w:p>
    <w:p>
      <w:pPr>
        <w:ind w:left="120" w:right="20"/>
        <w:spacing w:after="0" w:line="247" w:lineRule="auto"/>
        <w:rPr>
          <w:sz w:val="20"/>
          <w:szCs w:val="20"/>
          <w:color w:val="auto"/>
        </w:rPr>
      </w:pPr>
      <w:r>
        <w:rPr>
          <w:rFonts w:ascii="Arial" w:cs="Arial" w:eastAsia="Arial" w:hAnsi="Arial"/>
          <w:sz w:val="16"/>
          <w:szCs w:val="16"/>
          <w:color w:val="auto"/>
        </w:rPr>
        <w:t>The Audit Committee has adopted procedures for receiving and handling complaints from employees and third parties regarding conduct, events or other factual matters with respect to Qorvo or our officers, directors or employees concerning suspected misconduct related to accounting, internal accounting controls or auditing matters, or suspected violations of law or other Company policies, including procedures for confidential, anonymous reports of concerns regarding the foregoing matters. Employees may report their concerns to their supervisor or, in cases where it might be inappropriate or uncomfortable for an employee to discuss a concern with his or her supervisor, or if the supervisor does not address the issue to the employee’s satisfaction, employees may report their concerns by contacting Jason K. Givens, our Compliance Officer, at 7628 Thorndike Road, Greensboro, North Carolina 27409-9421, or by e-mail or telephone. Alternatively, employees may discuss their concerns with our Chief Human Resources Officer or any other Company officer. Third parties may report concerns by contacting our Compliance Officer. If the Compliance Officer is the subject of the concern or the employee or third party otherwise believes that the Compliance Officer has not given or will not give proper attention to his or her concerns, the employee or third party may report his or her concerns directly to the Chair of the Audit Committee. An employee or third party also may forward concerns on a confidential and/or anonymous basis to the Compliance Officer by calling Qorvo’s toll-free Ethics and Compliance hotline, which is operated by a third-party agency to ensure confidentiality, or by delivering a written statement setting forth his or her concerns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90170</wp:posOffset>
            </wp:positionV>
            <wp:extent cx="58293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pacing w:after="0" w:line="15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i w:val="1"/>
          <w:iCs w:val="1"/>
          <w:color w:val="1269BC"/>
        </w:rPr>
        <w:t>2020 Proxy Statement</w:t>
      </w:r>
      <w:r>
        <w:rPr>
          <w:sz w:val="20"/>
          <w:szCs w:val="20"/>
          <w:color w:val="auto"/>
        </w:rPr>
        <w:tab/>
      </w:r>
      <w:r>
        <w:rPr>
          <w:rFonts w:ascii="Arial" w:cs="Arial" w:eastAsia="Arial" w:hAnsi="Arial"/>
          <w:sz w:val="17"/>
          <w:szCs w:val="17"/>
          <w:color w:val="auto"/>
        </w:rPr>
        <w:t>15</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5"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sealed envelope addressed to the Chair of the Audit Committee labeled “Confidential: To be opened by the Chair of the Audit Committee only.” Employees may also raise concerns via Qorvo’s Ethics and Compliance website, or if the concern is a U.S. government contracting compliance issue, an employee may raise his or her concern to the Department of Defense fraud hotline.</w:t>
      </w:r>
    </w:p>
    <w:p>
      <w:pPr>
        <w:spacing w:after="0" w:line="201"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Upon receipt of a complaint relating to the matters set forth above, supervisors will promptly notify the Compliance Officer and the Compliance Officer (or Chair of the Audit Committee, as the case may be) will promptly notify the Audit Committee. The Audit Committee will oversee the review of any such complaint relating to accounting matters, and the Compliance Officer will oversee the review of all other complaints. The Audit Committee, the Compliance Officer, and anyone investigating any complaint at the direction of the Audit Committee or the Compliance Officer will maintain the confidentiality of such complaint to the fullest extent possible, consistent with the need to conduct an adequate investigation. Prompt and appropriate corrective action will be taken when and as warranted in the judgment of the Audit Committee or the Compliance Officer, as appropriate. The Compliance Officer and the Chair of the Audit Committee will maintain a log or other record of all complaints received by them, tracking their receipt, investigation and resolution. The Audit Committee will determine the extent to which it is appropriate to advise the Board from time to time concerning the receipt, investigation or disposition of any complaint received by the Audit Committee. The Compliance Officer and the Chair of the Audit Committee will maintain copies of complaints and their log or other record for a reasonable time but in no event for less than five years.</w:t>
      </w:r>
    </w:p>
    <w:p>
      <w:pPr>
        <w:spacing w:after="0" w:line="205"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color w:val="auto"/>
        </w:rPr>
        <w:t>The Whistleblower Policy is available in the “Investors” section of our website under the heading “Corporate Governance” at http://www.qorvo.com or may be obtained by contacting our Investor Relations Department at 7628 Thorndike Road, Greensboro, North Carolina 27409-9421.</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COMPENSATION COMMITTEE INTERLOCKS AND INSIDER PARTICIPATION</w:t>
      </w:r>
    </w:p>
    <w:p>
      <w:pPr>
        <w:spacing w:after="0" w:line="132" w:lineRule="exact"/>
        <w:rPr>
          <w:sz w:val="20"/>
          <w:szCs w:val="20"/>
          <w:color w:val="auto"/>
        </w:rPr>
      </w:pPr>
    </w:p>
    <w:p>
      <w:pPr>
        <w:ind w:left="120" w:right="140"/>
        <w:spacing w:after="0" w:line="251" w:lineRule="auto"/>
        <w:rPr>
          <w:sz w:val="20"/>
          <w:szCs w:val="20"/>
          <w:color w:val="auto"/>
        </w:rPr>
      </w:pPr>
      <w:r>
        <w:rPr>
          <w:rFonts w:ascii="Arial" w:cs="Arial" w:eastAsia="Arial" w:hAnsi="Arial"/>
          <w:sz w:val="16"/>
          <w:szCs w:val="16"/>
          <w:color w:val="auto"/>
        </w:rPr>
        <w:t>The current members of the Compensation Committee are Mr. Ho, Dr. Rhines (Chair), Ms. Spradley and Mr. Wilkinson. None of the current members of the Compensation Committee has ever served as an officer or employee of Qorvo or had any relationship during the year ended March 28, 2020 that would be required to be disclosed pursuant to Item 404 of Regulation S-K. No interlocking relationships exist between our current Board of Directors or Compensation Committee and the board of directors or compensation committee of any other company.</w:t>
      </w:r>
    </w:p>
    <w:p>
      <w:pPr>
        <w:spacing w:after="0" w:line="133" w:lineRule="exact"/>
        <w:rPr>
          <w:sz w:val="20"/>
          <w:szCs w:val="20"/>
          <w:color w:val="auto"/>
        </w:rPr>
      </w:pPr>
    </w:p>
    <w:p>
      <w:pPr>
        <w:ind w:left="120"/>
        <w:spacing w:after="0"/>
        <w:tabs>
          <w:tab w:leader="none" w:pos="541" w:val="left"/>
        </w:tabs>
        <w:rPr>
          <w:sz w:val="20"/>
          <w:szCs w:val="20"/>
          <w:color w:val="auto"/>
        </w:rPr>
      </w:pPr>
      <w:r>
        <w:rPr>
          <w:rFonts w:ascii="Arial" w:cs="Arial" w:eastAsia="Arial" w:hAnsi="Arial"/>
          <w:sz w:val="18"/>
          <w:szCs w:val="18"/>
          <w:color w:val="auto"/>
        </w:rPr>
        <w:t>16</w:t>
      </w:r>
      <w:r>
        <w:rPr>
          <w:sz w:val="20"/>
          <w:szCs w:val="20"/>
          <w:color w:val="auto"/>
        </w:rPr>
        <w:tab/>
      </w:r>
      <w:r>
        <w:rPr>
          <w:sz w:val="1"/>
          <w:szCs w:val="1"/>
          <w:color w:val="auto"/>
        </w:rPr>
        <w:drawing>
          <wp:inline distT="0" distB="0" distL="0" distR="0">
            <wp:extent cx="582930" cy="13716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i w:val="1"/>
          <w:iCs w:val="1"/>
          <w:color w:val="1269BC"/>
        </w:rPr>
        <w:t xml:space="preserve">   2020 Proxy Statement</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800"/>
        <w:spacing w:after="0"/>
        <w:rPr>
          <w:sz w:val="20"/>
          <w:szCs w:val="20"/>
          <w:color w:val="auto"/>
        </w:rPr>
      </w:pPr>
      <w:r>
        <w:rPr>
          <w:rFonts w:ascii="Arial" w:cs="Arial" w:eastAsia="Arial" w:hAnsi="Arial"/>
          <w:sz w:val="17"/>
          <w:szCs w:val="17"/>
          <w:color w:val="1269BC"/>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47625</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SECURITY OWNERSHIP OF CERTAIN BENEFICIAL OWNERS AND MANAGEMENT</w:t>
      </w:r>
    </w:p>
    <w:p>
      <w:pPr>
        <w:spacing w:after="0" w:line="132"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The following table sets forth information with respect to the beneficial ownership of Qorvo’s common stock as of June 11, 2020 (unless otherwise indicated) by (a) each person known by Qorvo to own beneficially more than five percent of the outstanding shares of our common stock, (b) each director and nominee for director, (c) the Named Executive Officers, and (d) all current directors and executive officers as a group. Beneficial ownership is determined in accordance with SEC rules. In computing the number of shares beneficially owned by a person and the percentage ownership of that person, shares of common stock subject to options or warrants held by that person that are currently exercisable or that are or may become exercisable within 60 days of June 11, 2020, and shares of restricted stock or restricted stock units that have vested or that will vest within 60 days of June 11, 2020, are deemed outstanding. These shares, however, are not deemed outstanding for purposes of computing the percentage ownership of any other person. Except as indicated in the footnotes to this table and under applicable community property laws, each stockholder named in the table has sole voting and dispositive power with respect to the shares set forth opposite the stockholder’s name. Unless otherwise indicated, the address of all listed stockholders is c/o Qorvo, Inc., 7628 Thorndike Road, Greensboro, North Carolina 27409-9421. None of our directors or executive officers has pledged our common stock. The percent of our common stock beneficially owned is based on 114,423,931 shares outstanding as of June 11, 2020.</w:t>
      </w:r>
    </w:p>
    <w:p>
      <w:pPr>
        <w:spacing w:after="0" w:line="219" w:lineRule="exact"/>
        <w:rPr>
          <w:sz w:val="20"/>
          <w:szCs w:val="20"/>
          <w:color w:val="auto"/>
        </w:rPr>
      </w:pPr>
    </w:p>
    <w:tbl>
      <w:tblPr>
        <w:tblLayout w:type="fixed"/>
        <w:tblInd w:w="144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4280" w:type="dxa"/>
            <w:vAlign w:val="bottom"/>
            <w:gridSpan w:val="2"/>
          </w:tcPr>
          <w:p>
            <w:pPr>
              <w:jc w:val="right"/>
              <w:ind w:right="990"/>
              <w:spacing w:after="0"/>
              <w:rPr>
                <w:sz w:val="20"/>
                <w:szCs w:val="20"/>
                <w:color w:val="auto"/>
              </w:rPr>
            </w:pPr>
            <w:r>
              <w:rPr>
                <w:rFonts w:ascii="Arial" w:cs="Arial" w:eastAsia="Arial" w:hAnsi="Arial"/>
                <w:sz w:val="16"/>
                <w:szCs w:val="16"/>
                <w:b w:val="1"/>
                <w:bCs w:val="1"/>
                <w:color w:val="1269BC"/>
              </w:rPr>
              <w:t>Beneficial Ownership</w:t>
            </w:r>
          </w:p>
        </w:tc>
      </w:tr>
      <w:tr>
        <w:trPr>
          <w:trHeight w:val="207"/>
        </w:trPr>
        <w:tc>
          <w:tcPr>
            <w:tcW w:w="4080" w:type="dxa"/>
            <w:vAlign w:val="bottom"/>
            <w:tcBorders>
              <w:bottom w:val="single" w:sz="8" w:color="1269BC"/>
            </w:tcBorders>
          </w:tcPr>
          <w:p>
            <w:pPr>
              <w:ind w:left="80"/>
              <w:spacing w:after="0"/>
              <w:rPr>
                <w:sz w:val="20"/>
                <w:szCs w:val="20"/>
                <w:color w:val="auto"/>
              </w:rPr>
            </w:pPr>
            <w:r>
              <w:rPr>
                <w:rFonts w:ascii="Arial" w:cs="Arial" w:eastAsia="Arial" w:hAnsi="Arial"/>
                <w:sz w:val="16"/>
                <w:szCs w:val="16"/>
                <w:b w:val="1"/>
                <w:bCs w:val="1"/>
                <w:color w:val="1269BC"/>
              </w:rPr>
              <w:t>Name of Beneficial Owner</w:t>
            </w:r>
          </w:p>
        </w:tc>
        <w:tc>
          <w:tcPr>
            <w:tcW w:w="2440" w:type="dxa"/>
            <w:vAlign w:val="bottom"/>
            <w:tcBorders>
              <w:bottom w:val="single" w:sz="8" w:color="1269BC"/>
            </w:tcBorders>
          </w:tcPr>
          <w:p>
            <w:pPr>
              <w:jc w:val="right"/>
              <w:ind w:right="271"/>
              <w:spacing w:after="0"/>
              <w:rPr>
                <w:sz w:val="20"/>
                <w:szCs w:val="20"/>
                <w:color w:val="auto"/>
              </w:rPr>
            </w:pPr>
            <w:r>
              <w:rPr>
                <w:rFonts w:ascii="Arial" w:cs="Arial" w:eastAsia="Arial" w:hAnsi="Arial"/>
                <w:sz w:val="16"/>
                <w:szCs w:val="16"/>
                <w:b w:val="1"/>
                <w:bCs w:val="1"/>
                <w:color w:val="1269BC"/>
              </w:rPr>
              <w:t>Number of Shares</w:t>
            </w:r>
          </w:p>
        </w:tc>
        <w:tc>
          <w:tcPr>
            <w:tcW w:w="1840" w:type="dxa"/>
            <w:vAlign w:val="bottom"/>
            <w:tcBorders>
              <w:bottom w:val="single" w:sz="8" w:color="1269BC"/>
            </w:tcBorders>
          </w:tcPr>
          <w:p>
            <w:pPr>
              <w:jc w:val="right"/>
              <w:ind w:right="130"/>
              <w:spacing w:after="0"/>
              <w:rPr>
                <w:sz w:val="20"/>
                <w:szCs w:val="20"/>
                <w:color w:val="auto"/>
              </w:rPr>
            </w:pPr>
            <w:r>
              <w:rPr>
                <w:rFonts w:ascii="Arial" w:cs="Arial" w:eastAsia="Arial" w:hAnsi="Arial"/>
                <w:sz w:val="16"/>
                <w:szCs w:val="16"/>
                <w:b w:val="1"/>
                <w:bCs w:val="1"/>
                <w:color w:val="1269BC"/>
              </w:rPr>
              <w:t>Percent of Class</w:t>
            </w:r>
          </w:p>
        </w:tc>
      </w:tr>
      <w:tr>
        <w:trPr>
          <w:trHeight w:val="298"/>
        </w:trPr>
        <w:tc>
          <w:tcPr>
            <w:tcW w:w="408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8"/>
                <w:szCs w:val="18"/>
                <w:color w:val="auto"/>
              </w:rPr>
              <w:t>The Vanguard Group (1)</w:t>
            </w:r>
          </w:p>
        </w:tc>
        <w:tc>
          <w:tcPr>
            <w:tcW w:w="2440" w:type="dxa"/>
            <w:vAlign w:val="bottom"/>
            <w:tcBorders>
              <w:bottom w:val="single" w:sz="8" w:color="C3D9EE"/>
            </w:tcBorders>
            <w:shd w:val="clear" w:color="auto" w:fill="C3D9EE"/>
          </w:tcPr>
          <w:p>
            <w:pPr>
              <w:jc w:val="right"/>
              <w:ind w:right="271"/>
              <w:spacing w:after="0"/>
              <w:rPr>
                <w:sz w:val="20"/>
                <w:szCs w:val="20"/>
                <w:color w:val="auto"/>
              </w:rPr>
            </w:pPr>
            <w:r>
              <w:rPr>
                <w:rFonts w:ascii="Arial" w:cs="Arial" w:eastAsia="Arial" w:hAnsi="Arial"/>
                <w:sz w:val="18"/>
                <w:szCs w:val="18"/>
                <w:color w:val="auto"/>
              </w:rPr>
              <w:t>13,308,819</w:t>
            </w:r>
          </w:p>
        </w:tc>
        <w:tc>
          <w:tcPr>
            <w:tcW w:w="184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8"/>
                <w:szCs w:val="18"/>
                <w:color w:val="auto"/>
              </w:rPr>
              <w:t>11.63%</w:t>
            </w:r>
          </w:p>
        </w:tc>
      </w:tr>
      <w:tr>
        <w:trPr>
          <w:trHeight w:val="311"/>
        </w:trPr>
        <w:tc>
          <w:tcPr>
            <w:tcW w:w="4080" w:type="dxa"/>
            <w:vAlign w:val="bottom"/>
          </w:tcPr>
          <w:p>
            <w:pPr>
              <w:ind w:left="100"/>
              <w:spacing w:after="0"/>
              <w:rPr>
                <w:sz w:val="20"/>
                <w:szCs w:val="20"/>
                <w:color w:val="auto"/>
              </w:rPr>
            </w:pPr>
            <w:r>
              <w:rPr>
                <w:rFonts w:ascii="Arial" w:cs="Arial" w:eastAsia="Arial" w:hAnsi="Arial"/>
                <w:sz w:val="18"/>
                <w:szCs w:val="18"/>
                <w:color w:val="auto"/>
              </w:rPr>
              <w:t>BlackRock, Inc. (2)</w:t>
            </w:r>
          </w:p>
        </w:tc>
        <w:tc>
          <w:tcPr>
            <w:tcW w:w="2440" w:type="dxa"/>
            <w:vAlign w:val="bottom"/>
          </w:tcPr>
          <w:p>
            <w:pPr>
              <w:jc w:val="right"/>
              <w:ind w:right="271"/>
              <w:spacing w:after="0"/>
              <w:rPr>
                <w:sz w:val="20"/>
                <w:szCs w:val="20"/>
                <w:color w:val="auto"/>
              </w:rPr>
            </w:pPr>
            <w:r>
              <w:rPr>
                <w:rFonts w:ascii="Arial" w:cs="Arial" w:eastAsia="Arial" w:hAnsi="Arial"/>
                <w:sz w:val="18"/>
                <w:szCs w:val="18"/>
                <w:color w:val="auto"/>
              </w:rPr>
              <w:t>8,887,805</w:t>
            </w:r>
          </w:p>
        </w:tc>
        <w:tc>
          <w:tcPr>
            <w:tcW w:w="1840" w:type="dxa"/>
            <w:vAlign w:val="bottom"/>
          </w:tcPr>
          <w:p>
            <w:pPr>
              <w:jc w:val="right"/>
              <w:spacing w:after="0"/>
              <w:rPr>
                <w:sz w:val="20"/>
                <w:szCs w:val="20"/>
                <w:color w:val="auto"/>
              </w:rPr>
            </w:pPr>
            <w:r>
              <w:rPr>
                <w:rFonts w:ascii="Arial" w:cs="Arial" w:eastAsia="Arial" w:hAnsi="Arial"/>
                <w:sz w:val="18"/>
                <w:szCs w:val="18"/>
                <w:color w:val="auto"/>
              </w:rPr>
              <w:t>7.77%</w:t>
            </w:r>
          </w:p>
        </w:tc>
      </w:tr>
      <w:tr>
        <w:trPr>
          <w:trHeight w:val="27"/>
        </w:trPr>
        <w:tc>
          <w:tcPr>
            <w:tcW w:w="40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318"/>
        </w:trPr>
        <w:tc>
          <w:tcPr>
            <w:tcW w:w="408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8"/>
                <w:szCs w:val="18"/>
                <w:color w:val="auto"/>
              </w:rPr>
              <w:t>Vulcan Value Partners, LLC (3)</w:t>
            </w:r>
          </w:p>
        </w:tc>
        <w:tc>
          <w:tcPr>
            <w:tcW w:w="2440" w:type="dxa"/>
            <w:vAlign w:val="bottom"/>
            <w:tcBorders>
              <w:bottom w:val="single" w:sz="8" w:color="C3D9EE"/>
            </w:tcBorders>
            <w:shd w:val="clear" w:color="auto" w:fill="C3D9EE"/>
          </w:tcPr>
          <w:p>
            <w:pPr>
              <w:jc w:val="right"/>
              <w:ind w:right="271"/>
              <w:spacing w:after="0"/>
              <w:rPr>
                <w:sz w:val="20"/>
                <w:szCs w:val="20"/>
                <w:color w:val="auto"/>
              </w:rPr>
            </w:pPr>
            <w:r>
              <w:rPr>
                <w:rFonts w:ascii="Arial" w:cs="Arial" w:eastAsia="Arial" w:hAnsi="Arial"/>
                <w:sz w:val="18"/>
                <w:szCs w:val="18"/>
                <w:color w:val="auto"/>
              </w:rPr>
              <w:t>8,252,167</w:t>
            </w:r>
          </w:p>
        </w:tc>
        <w:tc>
          <w:tcPr>
            <w:tcW w:w="184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8"/>
                <w:szCs w:val="18"/>
                <w:color w:val="auto"/>
              </w:rPr>
              <w:t>7.21%</w:t>
            </w:r>
          </w:p>
        </w:tc>
      </w:tr>
      <w:tr>
        <w:trPr>
          <w:trHeight w:val="311"/>
        </w:trPr>
        <w:tc>
          <w:tcPr>
            <w:tcW w:w="4080" w:type="dxa"/>
            <w:vAlign w:val="bottom"/>
          </w:tcPr>
          <w:p>
            <w:pPr>
              <w:ind w:left="100"/>
              <w:spacing w:after="0"/>
              <w:rPr>
                <w:sz w:val="20"/>
                <w:szCs w:val="20"/>
                <w:color w:val="auto"/>
              </w:rPr>
            </w:pPr>
            <w:r>
              <w:rPr>
                <w:rFonts w:ascii="Arial" w:cs="Arial" w:eastAsia="Arial" w:hAnsi="Arial"/>
                <w:sz w:val="18"/>
                <w:szCs w:val="18"/>
                <w:color w:val="auto"/>
              </w:rPr>
              <w:t>Capital Research Global Investors (4)</w:t>
            </w:r>
          </w:p>
        </w:tc>
        <w:tc>
          <w:tcPr>
            <w:tcW w:w="2440" w:type="dxa"/>
            <w:vAlign w:val="bottom"/>
          </w:tcPr>
          <w:p>
            <w:pPr>
              <w:jc w:val="right"/>
              <w:ind w:right="271"/>
              <w:spacing w:after="0"/>
              <w:rPr>
                <w:sz w:val="20"/>
                <w:szCs w:val="20"/>
                <w:color w:val="auto"/>
              </w:rPr>
            </w:pPr>
            <w:r>
              <w:rPr>
                <w:rFonts w:ascii="Arial" w:cs="Arial" w:eastAsia="Arial" w:hAnsi="Arial"/>
                <w:sz w:val="18"/>
                <w:szCs w:val="18"/>
                <w:color w:val="auto"/>
              </w:rPr>
              <w:t>7,147,255</w:t>
            </w:r>
          </w:p>
        </w:tc>
        <w:tc>
          <w:tcPr>
            <w:tcW w:w="184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7"/>
        </w:trPr>
        <w:tc>
          <w:tcPr>
            <w:tcW w:w="40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318"/>
        </w:trPr>
        <w:tc>
          <w:tcPr>
            <w:tcW w:w="408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8"/>
                <w:szCs w:val="18"/>
                <w:color w:val="auto"/>
              </w:rPr>
              <w:t>Ralph G. Quinsey (5)</w:t>
            </w:r>
          </w:p>
        </w:tc>
        <w:tc>
          <w:tcPr>
            <w:tcW w:w="2440" w:type="dxa"/>
            <w:vAlign w:val="bottom"/>
            <w:tcBorders>
              <w:bottom w:val="single" w:sz="8" w:color="C3D9EE"/>
            </w:tcBorders>
            <w:shd w:val="clear" w:color="auto" w:fill="C3D9EE"/>
          </w:tcPr>
          <w:p>
            <w:pPr>
              <w:jc w:val="right"/>
              <w:ind w:right="271"/>
              <w:spacing w:after="0"/>
              <w:rPr>
                <w:sz w:val="20"/>
                <w:szCs w:val="20"/>
                <w:color w:val="auto"/>
              </w:rPr>
            </w:pPr>
            <w:r>
              <w:rPr>
                <w:rFonts w:ascii="Arial" w:cs="Arial" w:eastAsia="Arial" w:hAnsi="Arial"/>
                <w:sz w:val="18"/>
                <w:szCs w:val="18"/>
                <w:color w:val="auto"/>
              </w:rPr>
              <w:t>290,970</w:t>
            </w:r>
          </w:p>
        </w:tc>
        <w:tc>
          <w:tcPr>
            <w:tcW w:w="1840" w:type="dxa"/>
            <w:vAlign w:val="bottom"/>
            <w:tcBorders>
              <w:bottom w:val="single" w:sz="8" w:color="C3D9EE"/>
            </w:tcBorders>
            <w:shd w:val="clear" w:color="auto" w:fill="C3D9EE"/>
          </w:tcPr>
          <w:p>
            <w:pPr>
              <w:jc w:val="right"/>
              <w:ind w:right="110"/>
              <w:spacing w:after="0"/>
              <w:rPr>
                <w:sz w:val="20"/>
                <w:szCs w:val="20"/>
                <w:color w:val="auto"/>
              </w:rPr>
            </w:pPr>
            <w:r>
              <w:rPr>
                <w:rFonts w:ascii="Arial" w:cs="Arial" w:eastAsia="Arial" w:hAnsi="Arial"/>
                <w:sz w:val="18"/>
                <w:szCs w:val="18"/>
                <w:color w:val="auto"/>
              </w:rPr>
              <w:t>*</w:t>
            </w:r>
          </w:p>
        </w:tc>
      </w:tr>
      <w:tr>
        <w:trPr>
          <w:trHeight w:val="311"/>
        </w:trPr>
        <w:tc>
          <w:tcPr>
            <w:tcW w:w="4080" w:type="dxa"/>
            <w:vAlign w:val="bottom"/>
          </w:tcPr>
          <w:p>
            <w:pPr>
              <w:ind w:left="100"/>
              <w:spacing w:after="0"/>
              <w:rPr>
                <w:sz w:val="20"/>
                <w:szCs w:val="20"/>
                <w:color w:val="auto"/>
              </w:rPr>
            </w:pPr>
            <w:r>
              <w:rPr>
                <w:rFonts w:ascii="Arial" w:cs="Arial" w:eastAsia="Arial" w:hAnsi="Arial"/>
                <w:sz w:val="18"/>
                <w:szCs w:val="18"/>
                <w:color w:val="auto"/>
              </w:rPr>
              <w:t>Walden C. Rhines (6)</w:t>
            </w:r>
          </w:p>
        </w:tc>
        <w:tc>
          <w:tcPr>
            <w:tcW w:w="2440" w:type="dxa"/>
            <w:vAlign w:val="bottom"/>
          </w:tcPr>
          <w:p>
            <w:pPr>
              <w:jc w:val="right"/>
              <w:ind w:right="271"/>
              <w:spacing w:after="0"/>
              <w:rPr>
                <w:sz w:val="20"/>
                <w:szCs w:val="20"/>
                <w:color w:val="auto"/>
              </w:rPr>
            </w:pPr>
            <w:r>
              <w:rPr>
                <w:rFonts w:ascii="Arial" w:cs="Arial" w:eastAsia="Arial" w:hAnsi="Arial"/>
                <w:sz w:val="18"/>
                <w:szCs w:val="18"/>
                <w:color w:val="auto"/>
              </w:rPr>
              <w:t>95,664</w:t>
            </w:r>
          </w:p>
        </w:tc>
        <w:tc>
          <w:tcPr>
            <w:tcW w:w="18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0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318"/>
        </w:trPr>
        <w:tc>
          <w:tcPr>
            <w:tcW w:w="408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8"/>
                <w:szCs w:val="18"/>
                <w:color w:val="auto"/>
              </w:rPr>
              <w:t>Robert A. Bruggeworth</w:t>
            </w:r>
          </w:p>
        </w:tc>
        <w:tc>
          <w:tcPr>
            <w:tcW w:w="2440" w:type="dxa"/>
            <w:vAlign w:val="bottom"/>
            <w:tcBorders>
              <w:bottom w:val="single" w:sz="8" w:color="C3D9EE"/>
            </w:tcBorders>
            <w:shd w:val="clear" w:color="auto" w:fill="C3D9EE"/>
          </w:tcPr>
          <w:p>
            <w:pPr>
              <w:jc w:val="right"/>
              <w:ind w:right="271"/>
              <w:spacing w:after="0"/>
              <w:rPr>
                <w:sz w:val="20"/>
                <w:szCs w:val="20"/>
                <w:color w:val="auto"/>
              </w:rPr>
            </w:pPr>
            <w:r>
              <w:rPr>
                <w:rFonts w:ascii="Arial" w:cs="Arial" w:eastAsia="Arial" w:hAnsi="Arial"/>
                <w:sz w:val="18"/>
                <w:szCs w:val="18"/>
                <w:color w:val="auto"/>
              </w:rPr>
              <w:t>86,617</w:t>
            </w:r>
          </w:p>
        </w:tc>
        <w:tc>
          <w:tcPr>
            <w:tcW w:w="1840" w:type="dxa"/>
            <w:vAlign w:val="bottom"/>
            <w:tcBorders>
              <w:bottom w:val="single" w:sz="8" w:color="C3D9EE"/>
            </w:tcBorders>
            <w:shd w:val="clear" w:color="auto" w:fill="C3D9EE"/>
          </w:tcPr>
          <w:p>
            <w:pPr>
              <w:jc w:val="right"/>
              <w:ind w:right="110"/>
              <w:spacing w:after="0"/>
              <w:rPr>
                <w:sz w:val="20"/>
                <w:szCs w:val="20"/>
                <w:color w:val="auto"/>
              </w:rPr>
            </w:pPr>
            <w:r>
              <w:rPr>
                <w:rFonts w:ascii="Arial" w:cs="Arial" w:eastAsia="Arial" w:hAnsi="Arial"/>
                <w:sz w:val="18"/>
                <w:szCs w:val="18"/>
                <w:color w:val="auto"/>
              </w:rPr>
              <w:t>*</w:t>
            </w:r>
          </w:p>
        </w:tc>
      </w:tr>
      <w:tr>
        <w:trPr>
          <w:trHeight w:val="310"/>
        </w:trPr>
        <w:tc>
          <w:tcPr>
            <w:tcW w:w="4080" w:type="dxa"/>
            <w:vAlign w:val="bottom"/>
          </w:tcPr>
          <w:p>
            <w:pPr>
              <w:ind w:left="100"/>
              <w:spacing w:after="0"/>
              <w:rPr>
                <w:sz w:val="20"/>
                <w:szCs w:val="20"/>
                <w:color w:val="auto"/>
              </w:rPr>
            </w:pPr>
            <w:r>
              <w:rPr>
                <w:rFonts w:ascii="Arial" w:cs="Arial" w:eastAsia="Arial" w:hAnsi="Arial"/>
                <w:sz w:val="18"/>
                <w:szCs w:val="18"/>
                <w:color w:val="auto"/>
              </w:rPr>
              <w:t>Mark J. Murphy</w:t>
            </w:r>
          </w:p>
        </w:tc>
        <w:tc>
          <w:tcPr>
            <w:tcW w:w="2440" w:type="dxa"/>
            <w:vAlign w:val="bottom"/>
          </w:tcPr>
          <w:p>
            <w:pPr>
              <w:jc w:val="right"/>
              <w:ind w:right="271"/>
              <w:spacing w:after="0"/>
              <w:rPr>
                <w:sz w:val="20"/>
                <w:szCs w:val="20"/>
                <w:color w:val="auto"/>
              </w:rPr>
            </w:pPr>
            <w:r>
              <w:rPr>
                <w:rFonts w:ascii="Arial" w:cs="Arial" w:eastAsia="Arial" w:hAnsi="Arial"/>
                <w:sz w:val="18"/>
                <w:szCs w:val="18"/>
                <w:color w:val="auto"/>
              </w:rPr>
              <w:t>74,202</w:t>
            </w:r>
          </w:p>
        </w:tc>
        <w:tc>
          <w:tcPr>
            <w:tcW w:w="18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0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317"/>
        </w:trPr>
        <w:tc>
          <w:tcPr>
            <w:tcW w:w="408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8"/>
                <w:szCs w:val="18"/>
                <w:color w:val="auto"/>
              </w:rPr>
              <w:t>Steven E. Creviston</w:t>
            </w:r>
          </w:p>
        </w:tc>
        <w:tc>
          <w:tcPr>
            <w:tcW w:w="2440" w:type="dxa"/>
            <w:vAlign w:val="bottom"/>
            <w:tcBorders>
              <w:bottom w:val="single" w:sz="8" w:color="C3D9EE"/>
            </w:tcBorders>
            <w:shd w:val="clear" w:color="auto" w:fill="C3D9EE"/>
          </w:tcPr>
          <w:p>
            <w:pPr>
              <w:jc w:val="right"/>
              <w:ind w:right="271"/>
              <w:spacing w:after="0"/>
              <w:rPr>
                <w:sz w:val="20"/>
                <w:szCs w:val="20"/>
                <w:color w:val="auto"/>
              </w:rPr>
            </w:pPr>
            <w:r>
              <w:rPr>
                <w:rFonts w:ascii="Arial" w:cs="Arial" w:eastAsia="Arial" w:hAnsi="Arial"/>
                <w:sz w:val="18"/>
                <w:szCs w:val="18"/>
                <w:color w:val="auto"/>
              </w:rPr>
              <w:t>36,324</w:t>
            </w:r>
          </w:p>
        </w:tc>
        <w:tc>
          <w:tcPr>
            <w:tcW w:w="1840" w:type="dxa"/>
            <w:vAlign w:val="bottom"/>
            <w:tcBorders>
              <w:bottom w:val="single" w:sz="8" w:color="C3D9EE"/>
            </w:tcBorders>
            <w:shd w:val="clear" w:color="auto" w:fill="C3D9EE"/>
          </w:tcPr>
          <w:p>
            <w:pPr>
              <w:jc w:val="right"/>
              <w:ind w:right="110"/>
              <w:spacing w:after="0"/>
              <w:rPr>
                <w:sz w:val="20"/>
                <w:szCs w:val="20"/>
                <w:color w:val="auto"/>
              </w:rPr>
            </w:pPr>
            <w:r>
              <w:rPr>
                <w:rFonts w:ascii="Arial" w:cs="Arial" w:eastAsia="Arial" w:hAnsi="Arial"/>
                <w:sz w:val="18"/>
                <w:szCs w:val="18"/>
                <w:color w:val="auto"/>
              </w:rPr>
              <w:t>*</w:t>
            </w:r>
          </w:p>
        </w:tc>
      </w:tr>
      <w:tr>
        <w:trPr>
          <w:trHeight w:val="311"/>
        </w:trPr>
        <w:tc>
          <w:tcPr>
            <w:tcW w:w="4080" w:type="dxa"/>
            <w:vAlign w:val="bottom"/>
          </w:tcPr>
          <w:p>
            <w:pPr>
              <w:ind w:left="100"/>
              <w:spacing w:after="0"/>
              <w:rPr>
                <w:sz w:val="20"/>
                <w:szCs w:val="20"/>
                <w:color w:val="auto"/>
              </w:rPr>
            </w:pPr>
            <w:r>
              <w:rPr>
                <w:rFonts w:ascii="Arial" w:cs="Arial" w:eastAsia="Arial" w:hAnsi="Arial"/>
                <w:sz w:val="18"/>
                <w:szCs w:val="18"/>
                <w:color w:val="auto"/>
              </w:rPr>
              <w:t>Jeffery R. Gardner</w:t>
            </w:r>
          </w:p>
        </w:tc>
        <w:tc>
          <w:tcPr>
            <w:tcW w:w="2440" w:type="dxa"/>
            <w:vAlign w:val="bottom"/>
          </w:tcPr>
          <w:p>
            <w:pPr>
              <w:jc w:val="right"/>
              <w:ind w:right="271"/>
              <w:spacing w:after="0"/>
              <w:rPr>
                <w:sz w:val="20"/>
                <w:szCs w:val="20"/>
                <w:color w:val="auto"/>
              </w:rPr>
            </w:pPr>
            <w:r>
              <w:rPr>
                <w:rFonts w:ascii="Arial" w:cs="Arial" w:eastAsia="Arial" w:hAnsi="Arial"/>
                <w:sz w:val="18"/>
                <w:szCs w:val="18"/>
                <w:color w:val="auto"/>
              </w:rPr>
              <w:t>35,133</w:t>
            </w:r>
          </w:p>
        </w:tc>
        <w:tc>
          <w:tcPr>
            <w:tcW w:w="18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0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318"/>
        </w:trPr>
        <w:tc>
          <w:tcPr>
            <w:tcW w:w="408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8"/>
                <w:szCs w:val="18"/>
                <w:color w:val="auto"/>
              </w:rPr>
              <w:t>James L. Klein (7)</w:t>
            </w:r>
          </w:p>
        </w:tc>
        <w:tc>
          <w:tcPr>
            <w:tcW w:w="2440" w:type="dxa"/>
            <w:vAlign w:val="bottom"/>
            <w:tcBorders>
              <w:bottom w:val="single" w:sz="8" w:color="C3D9EE"/>
            </w:tcBorders>
            <w:shd w:val="clear" w:color="auto" w:fill="C3D9EE"/>
          </w:tcPr>
          <w:p>
            <w:pPr>
              <w:jc w:val="right"/>
              <w:ind w:right="271"/>
              <w:spacing w:after="0"/>
              <w:rPr>
                <w:sz w:val="20"/>
                <w:szCs w:val="20"/>
                <w:color w:val="auto"/>
              </w:rPr>
            </w:pPr>
            <w:r>
              <w:rPr>
                <w:rFonts w:ascii="Arial" w:cs="Arial" w:eastAsia="Arial" w:hAnsi="Arial"/>
                <w:sz w:val="18"/>
                <w:szCs w:val="18"/>
                <w:color w:val="auto"/>
              </w:rPr>
              <w:t>28,750</w:t>
            </w:r>
          </w:p>
        </w:tc>
        <w:tc>
          <w:tcPr>
            <w:tcW w:w="1840" w:type="dxa"/>
            <w:vAlign w:val="bottom"/>
            <w:tcBorders>
              <w:bottom w:val="single" w:sz="8" w:color="C3D9EE"/>
            </w:tcBorders>
            <w:shd w:val="clear" w:color="auto" w:fill="C3D9EE"/>
          </w:tcPr>
          <w:p>
            <w:pPr>
              <w:jc w:val="right"/>
              <w:ind w:right="110"/>
              <w:spacing w:after="0"/>
              <w:rPr>
                <w:sz w:val="20"/>
                <w:szCs w:val="20"/>
                <w:color w:val="auto"/>
              </w:rPr>
            </w:pPr>
            <w:r>
              <w:rPr>
                <w:rFonts w:ascii="Arial" w:cs="Arial" w:eastAsia="Arial" w:hAnsi="Arial"/>
                <w:sz w:val="18"/>
                <w:szCs w:val="18"/>
                <w:color w:val="auto"/>
              </w:rPr>
              <w:t>*</w:t>
            </w:r>
          </w:p>
        </w:tc>
      </w:tr>
      <w:tr>
        <w:trPr>
          <w:trHeight w:val="311"/>
        </w:trPr>
        <w:tc>
          <w:tcPr>
            <w:tcW w:w="4080" w:type="dxa"/>
            <w:vAlign w:val="bottom"/>
          </w:tcPr>
          <w:p>
            <w:pPr>
              <w:ind w:left="100"/>
              <w:spacing w:after="0"/>
              <w:rPr>
                <w:sz w:val="20"/>
                <w:szCs w:val="20"/>
                <w:color w:val="auto"/>
              </w:rPr>
            </w:pPr>
            <w:r>
              <w:rPr>
                <w:rFonts w:ascii="Arial" w:cs="Arial" w:eastAsia="Arial" w:hAnsi="Arial"/>
                <w:sz w:val="18"/>
                <w:szCs w:val="18"/>
                <w:color w:val="auto"/>
              </w:rPr>
              <w:t>Walter H. Wilkinson, Jr.</w:t>
            </w:r>
          </w:p>
        </w:tc>
        <w:tc>
          <w:tcPr>
            <w:tcW w:w="2440" w:type="dxa"/>
            <w:vAlign w:val="bottom"/>
          </w:tcPr>
          <w:p>
            <w:pPr>
              <w:jc w:val="right"/>
              <w:ind w:right="271"/>
              <w:spacing w:after="0"/>
              <w:rPr>
                <w:sz w:val="20"/>
                <w:szCs w:val="20"/>
                <w:color w:val="auto"/>
              </w:rPr>
            </w:pPr>
            <w:r>
              <w:rPr>
                <w:rFonts w:ascii="Arial" w:cs="Arial" w:eastAsia="Arial" w:hAnsi="Arial"/>
                <w:sz w:val="18"/>
                <w:szCs w:val="18"/>
                <w:color w:val="auto"/>
              </w:rPr>
              <w:t>26,565</w:t>
            </w:r>
          </w:p>
        </w:tc>
        <w:tc>
          <w:tcPr>
            <w:tcW w:w="18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0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318"/>
        </w:trPr>
        <w:tc>
          <w:tcPr>
            <w:tcW w:w="408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8"/>
                <w:szCs w:val="18"/>
                <w:color w:val="auto"/>
              </w:rPr>
              <w:t>Paul Fego</w:t>
            </w:r>
          </w:p>
        </w:tc>
        <w:tc>
          <w:tcPr>
            <w:tcW w:w="2440" w:type="dxa"/>
            <w:vAlign w:val="bottom"/>
            <w:tcBorders>
              <w:bottom w:val="single" w:sz="8" w:color="C3D9EE"/>
            </w:tcBorders>
            <w:shd w:val="clear" w:color="auto" w:fill="C3D9EE"/>
          </w:tcPr>
          <w:p>
            <w:pPr>
              <w:jc w:val="right"/>
              <w:ind w:right="271"/>
              <w:spacing w:after="0"/>
              <w:rPr>
                <w:sz w:val="20"/>
                <w:szCs w:val="20"/>
                <w:color w:val="auto"/>
              </w:rPr>
            </w:pPr>
            <w:r>
              <w:rPr>
                <w:rFonts w:ascii="Arial" w:cs="Arial" w:eastAsia="Arial" w:hAnsi="Arial"/>
                <w:sz w:val="18"/>
                <w:szCs w:val="18"/>
                <w:color w:val="auto"/>
              </w:rPr>
              <w:t>19,340</w:t>
            </w:r>
          </w:p>
        </w:tc>
        <w:tc>
          <w:tcPr>
            <w:tcW w:w="1840" w:type="dxa"/>
            <w:vAlign w:val="bottom"/>
            <w:tcBorders>
              <w:bottom w:val="single" w:sz="8" w:color="C3D9EE"/>
            </w:tcBorders>
            <w:shd w:val="clear" w:color="auto" w:fill="C3D9EE"/>
          </w:tcPr>
          <w:p>
            <w:pPr>
              <w:jc w:val="right"/>
              <w:ind w:right="110"/>
              <w:spacing w:after="0"/>
              <w:rPr>
                <w:sz w:val="20"/>
                <w:szCs w:val="20"/>
                <w:color w:val="auto"/>
              </w:rPr>
            </w:pPr>
            <w:r>
              <w:rPr>
                <w:rFonts w:ascii="Arial" w:cs="Arial" w:eastAsia="Arial" w:hAnsi="Arial"/>
                <w:sz w:val="18"/>
                <w:szCs w:val="18"/>
                <w:color w:val="auto"/>
              </w:rPr>
              <w:t>*</w:t>
            </w:r>
          </w:p>
        </w:tc>
      </w:tr>
      <w:tr>
        <w:trPr>
          <w:trHeight w:val="311"/>
        </w:trPr>
        <w:tc>
          <w:tcPr>
            <w:tcW w:w="4080" w:type="dxa"/>
            <w:vAlign w:val="bottom"/>
          </w:tcPr>
          <w:p>
            <w:pPr>
              <w:ind w:left="100"/>
              <w:spacing w:after="0"/>
              <w:rPr>
                <w:sz w:val="20"/>
                <w:szCs w:val="20"/>
                <w:color w:val="auto"/>
              </w:rPr>
            </w:pPr>
            <w:r>
              <w:rPr>
                <w:rFonts w:ascii="Arial" w:cs="Arial" w:eastAsia="Arial" w:hAnsi="Arial"/>
                <w:sz w:val="18"/>
                <w:szCs w:val="18"/>
                <w:color w:val="auto"/>
              </w:rPr>
              <w:t>Roderick D. Nelson (8)</w:t>
            </w:r>
          </w:p>
        </w:tc>
        <w:tc>
          <w:tcPr>
            <w:tcW w:w="2440" w:type="dxa"/>
            <w:vAlign w:val="bottom"/>
          </w:tcPr>
          <w:p>
            <w:pPr>
              <w:jc w:val="right"/>
              <w:ind w:right="271"/>
              <w:spacing w:after="0"/>
              <w:rPr>
                <w:sz w:val="20"/>
                <w:szCs w:val="20"/>
                <w:color w:val="auto"/>
              </w:rPr>
            </w:pPr>
            <w:r>
              <w:rPr>
                <w:rFonts w:ascii="Arial" w:cs="Arial" w:eastAsia="Arial" w:hAnsi="Arial"/>
                <w:sz w:val="18"/>
                <w:szCs w:val="18"/>
                <w:color w:val="auto"/>
              </w:rPr>
              <w:t>15,631</w:t>
            </w:r>
          </w:p>
        </w:tc>
        <w:tc>
          <w:tcPr>
            <w:tcW w:w="18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0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318"/>
        </w:trPr>
        <w:tc>
          <w:tcPr>
            <w:tcW w:w="408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8"/>
                <w:szCs w:val="18"/>
                <w:color w:val="auto"/>
              </w:rPr>
              <w:t>Jack R. Harding (9)</w:t>
            </w:r>
          </w:p>
        </w:tc>
        <w:tc>
          <w:tcPr>
            <w:tcW w:w="2440" w:type="dxa"/>
            <w:vAlign w:val="bottom"/>
            <w:tcBorders>
              <w:bottom w:val="single" w:sz="8" w:color="C3D9EE"/>
            </w:tcBorders>
            <w:shd w:val="clear" w:color="auto" w:fill="C3D9EE"/>
          </w:tcPr>
          <w:p>
            <w:pPr>
              <w:jc w:val="right"/>
              <w:ind w:right="271"/>
              <w:spacing w:after="0"/>
              <w:rPr>
                <w:sz w:val="20"/>
                <w:szCs w:val="20"/>
                <w:color w:val="auto"/>
              </w:rPr>
            </w:pPr>
            <w:r>
              <w:rPr>
                <w:rFonts w:ascii="Arial" w:cs="Arial" w:eastAsia="Arial" w:hAnsi="Arial"/>
                <w:sz w:val="18"/>
                <w:szCs w:val="18"/>
                <w:color w:val="auto"/>
              </w:rPr>
              <w:t>14,107</w:t>
            </w:r>
          </w:p>
        </w:tc>
        <w:tc>
          <w:tcPr>
            <w:tcW w:w="1840" w:type="dxa"/>
            <w:vAlign w:val="bottom"/>
            <w:tcBorders>
              <w:bottom w:val="single" w:sz="8" w:color="C3D9EE"/>
            </w:tcBorders>
            <w:shd w:val="clear" w:color="auto" w:fill="C3D9EE"/>
          </w:tcPr>
          <w:p>
            <w:pPr>
              <w:jc w:val="right"/>
              <w:ind w:right="110"/>
              <w:spacing w:after="0"/>
              <w:rPr>
                <w:sz w:val="20"/>
                <w:szCs w:val="20"/>
                <w:color w:val="auto"/>
              </w:rPr>
            </w:pPr>
            <w:r>
              <w:rPr>
                <w:rFonts w:ascii="Arial" w:cs="Arial" w:eastAsia="Arial" w:hAnsi="Arial"/>
                <w:sz w:val="18"/>
                <w:szCs w:val="18"/>
                <w:color w:val="auto"/>
              </w:rPr>
              <w:t>*</w:t>
            </w:r>
          </w:p>
        </w:tc>
      </w:tr>
      <w:tr>
        <w:trPr>
          <w:trHeight w:val="311"/>
        </w:trPr>
        <w:tc>
          <w:tcPr>
            <w:tcW w:w="4080" w:type="dxa"/>
            <w:vAlign w:val="bottom"/>
          </w:tcPr>
          <w:p>
            <w:pPr>
              <w:ind w:left="100"/>
              <w:spacing w:after="0"/>
              <w:rPr>
                <w:sz w:val="20"/>
                <w:szCs w:val="20"/>
                <w:color w:val="auto"/>
              </w:rPr>
            </w:pPr>
            <w:r>
              <w:rPr>
                <w:rFonts w:ascii="Arial" w:cs="Arial" w:eastAsia="Arial" w:hAnsi="Arial"/>
                <w:sz w:val="18"/>
                <w:szCs w:val="18"/>
                <w:color w:val="auto"/>
              </w:rPr>
              <w:t>David H. Y. Ho</w:t>
            </w:r>
          </w:p>
        </w:tc>
        <w:tc>
          <w:tcPr>
            <w:tcW w:w="2440" w:type="dxa"/>
            <w:vAlign w:val="bottom"/>
          </w:tcPr>
          <w:p>
            <w:pPr>
              <w:jc w:val="right"/>
              <w:ind w:right="271"/>
              <w:spacing w:after="0"/>
              <w:rPr>
                <w:sz w:val="20"/>
                <w:szCs w:val="20"/>
                <w:color w:val="auto"/>
              </w:rPr>
            </w:pPr>
            <w:r>
              <w:rPr>
                <w:rFonts w:ascii="Arial" w:cs="Arial" w:eastAsia="Arial" w:hAnsi="Arial"/>
                <w:sz w:val="18"/>
                <w:szCs w:val="18"/>
                <w:color w:val="auto"/>
              </w:rPr>
              <w:t>11,284</w:t>
            </w:r>
          </w:p>
        </w:tc>
        <w:tc>
          <w:tcPr>
            <w:tcW w:w="18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0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318"/>
        </w:trPr>
        <w:tc>
          <w:tcPr>
            <w:tcW w:w="408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8"/>
                <w:szCs w:val="18"/>
                <w:color w:val="auto"/>
              </w:rPr>
              <w:t>Susan L. Spradley</w:t>
            </w:r>
          </w:p>
        </w:tc>
        <w:tc>
          <w:tcPr>
            <w:tcW w:w="2440" w:type="dxa"/>
            <w:vAlign w:val="bottom"/>
            <w:tcBorders>
              <w:bottom w:val="single" w:sz="8" w:color="C3D9EE"/>
            </w:tcBorders>
            <w:shd w:val="clear" w:color="auto" w:fill="C3D9EE"/>
          </w:tcPr>
          <w:p>
            <w:pPr>
              <w:jc w:val="right"/>
              <w:ind w:right="271"/>
              <w:spacing w:after="0"/>
              <w:rPr>
                <w:sz w:val="20"/>
                <w:szCs w:val="20"/>
                <w:color w:val="auto"/>
              </w:rPr>
            </w:pPr>
            <w:r>
              <w:rPr>
                <w:rFonts w:ascii="Arial" w:cs="Arial" w:eastAsia="Arial" w:hAnsi="Arial"/>
                <w:sz w:val="18"/>
                <w:szCs w:val="18"/>
                <w:color w:val="auto"/>
              </w:rPr>
              <w:t>9,644</w:t>
            </w:r>
          </w:p>
        </w:tc>
        <w:tc>
          <w:tcPr>
            <w:tcW w:w="1840" w:type="dxa"/>
            <w:vAlign w:val="bottom"/>
            <w:tcBorders>
              <w:bottom w:val="single" w:sz="8" w:color="C3D9EE"/>
            </w:tcBorders>
            <w:shd w:val="clear" w:color="auto" w:fill="C3D9EE"/>
          </w:tcPr>
          <w:p>
            <w:pPr>
              <w:jc w:val="right"/>
              <w:ind w:right="110"/>
              <w:spacing w:after="0"/>
              <w:rPr>
                <w:sz w:val="20"/>
                <w:szCs w:val="20"/>
                <w:color w:val="auto"/>
              </w:rPr>
            </w:pPr>
            <w:r>
              <w:rPr>
                <w:rFonts w:ascii="Arial" w:cs="Arial" w:eastAsia="Arial" w:hAnsi="Arial"/>
                <w:sz w:val="18"/>
                <w:szCs w:val="18"/>
                <w:color w:val="auto"/>
              </w:rPr>
              <w:t>*</w:t>
            </w:r>
          </w:p>
        </w:tc>
      </w:tr>
      <w:tr>
        <w:trPr>
          <w:trHeight w:val="310"/>
        </w:trPr>
        <w:tc>
          <w:tcPr>
            <w:tcW w:w="4080" w:type="dxa"/>
            <w:vAlign w:val="bottom"/>
          </w:tcPr>
          <w:p>
            <w:pPr>
              <w:ind w:left="100"/>
              <w:spacing w:after="0"/>
              <w:rPr>
                <w:sz w:val="20"/>
                <w:szCs w:val="20"/>
                <w:color w:val="auto"/>
              </w:rPr>
            </w:pPr>
            <w:r>
              <w:rPr>
                <w:rFonts w:ascii="Arial" w:cs="Arial" w:eastAsia="Arial" w:hAnsi="Arial"/>
                <w:sz w:val="18"/>
                <w:szCs w:val="18"/>
                <w:color w:val="auto"/>
              </w:rPr>
              <w:t>Directors and executive officers as a group</w:t>
            </w:r>
          </w:p>
        </w:tc>
        <w:tc>
          <w:tcPr>
            <w:tcW w:w="2440" w:type="dxa"/>
            <w:vAlign w:val="bottom"/>
          </w:tcPr>
          <w:p>
            <w:pPr>
              <w:jc w:val="right"/>
              <w:ind w:right="271"/>
              <w:spacing w:after="0"/>
              <w:rPr>
                <w:sz w:val="20"/>
                <w:szCs w:val="20"/>
                <w:color w:val="auto"/>
              </w:rPr>
            </w:pPr>
            <w:r>
              <w:rPr>
                <w:rFonts w:ascii="Arial" w:cs="Arial" w:eastAsia="Arial" w:hAnsi="Arial"/>
                <w:sz w:val="18"/>
                <w:szCs w:val="18"/>
                <w:color w:val="auto"/>
              </w:rPr>
              <w:t>755,584</w:t>
            </w:r>
          </w:p>
        </w:tc>
        <w:tc>
          <w:tcPr>
            <w:tcW w:w="18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84"/>
        </w:trPr>
        <w:tc>
          <w:tcPr>
            <w:tcW w:w="4080" w:type="dxa"/>
            <w:vAlign w:val="bottom"/>
          </w:tcPr>
          <w:p>
            <w:pPr>
              <w:ind w:left="180"/>
              <w:spacing w:after="0"/>
              <w:rPr>
                <w:sz w:val="20"/>
                <w:szCs w:val="20"/>
                <w:color w:val="auto"/>
              </w:rPr>
            </w:pPr>
            <w:r>
              <w:rPr>
                <w:rFonts w:ascii="Arial" w:cs="Arial" w:eastAsia="Arial" w:hAnsi="Arial"/>
                <w:sz w:val="18"/>
                <w:szCs w:val="18"/>
                <w:color w:val="auto"/>
              </w:rPr>
              <w:t>(14 persons) (10)</w:t>
            </w:r>
          </w:p>
        </w:tc>
        <w:tc>
          <w:tcPr>
            <w:tcW w:w="24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7"/>
        </w:trPr>
        <w:tc>
          <w:tcPr>
            <w:tcW w:w="4080" w:type="dxa"/>
            <w:vAlign w:val="bottom"/>
            <w:tcBorders>
              <w:bottom w:val="single" w:sz="8" w:color="1269BC"/>
            </w:tcBorders>
          </w:tcPr>
          <w:p>
            <w:pPr>
              <w:spacing w:after="0"/>
              <w:rPr>
                <w:sz w:val="2"/>
                <w:szCs w:val="2"/>
                <w:color w:val="auto"/>
              </w:rPr>
            </w:pPr>
          </w:p>
        </w:tc>
        <w:tc>
          <w:tcPr>
            <w:tcW w:w="2440" w:type="dxa"/>
            <w:vAlign w:val="bottom"/>
            <w:tcBorders>
              <w:bottom w:val="single" w:sz="8" w:color="1269BC"/>
            </w:tcBorders>
          </w:tcPr>
          <w:p>
            <w:pPr>
              <w:spacing w:after="0"/>
              <w:rPr>
                <w:sz w:val="2"/>
                <w:szCs w:val="2"/>
                <w:color w:val="auto"/>
              </w:rPr>
            </w:pPr>
          </w:p>
        </w:tc>
        <w:tc>
          <w:tcPr>
            <w:tcW w:w="1840" w:type="dxa"/>
            <w:vAlign w:val="bottom"/>
            <w:tcBorders>
              <w:bottom w:val="single" w:sz="8" w:color="1269BC"/>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93980</wp:posOffset>
            </wp:positionV>
            <wp:extent cx="58293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pacing w:after="0" w:line="16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i w:val="1"/>
          <w:iCs w:val="1"/>
          <w:color w:val="1269BC"/>
        </w:rPr>
        <w:t>2020 Proxy Statement</w:t>
      </w:r>
      <w:r>
        <w:rPr>
          <w:sz w:val="20"/>
          <w:szCs w:val="20"/>
          <w:color w:val="auto"/>
        </w:rPr>
        <w:tab/>
      </w:r>
      <w:r>
        <w:rPr>
          <w:rFonts w:ascii="Arial" w:cs="Arial" w:eastAsia="Arial" w:hAnsi="Arial"/>
          <w:sz w:val="17"/>
          <w:szCs w:val="17"/>
          <w:color w:val="auto"/>
        </w:rPr>
        <w:t>17</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5"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Indicates less than one percent</w:t>
      </w:r>
    </w:p>
    <w:p>
      <w:pPr>
        <w:spacing w:after="0" w:line="248" w:lineRule="exact"/>
        <w:rPr>
          <w:sz w:val="20"/>
          <w:szCs w:val="20"/>
          <w:color w:val="auto"/>
        </w:rPr>
      </w:pPr>
    </w:p>
    <w:p>
      <w:pPr>
        <w:ind w:left="980" w:right="280" w:hanging="324"/>
        <w:spacing w:after="0" w:line="251"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upon information set forth in a Schedule 13G/A filed with the SEC on February 12, 2020 by The Vanguard Group, Inc. (“Vanguard”) reporting the sole power to vote or direct the vote of 172,010 shares, sole power to dispose or direct the disposition of 13,111,053 shares, shared power to vote or direct the vote of 35,625 shares and shared power to dispose or direct the disposition of 197,766 shares. The address of Vanguard is 100 Vanguard Blvd., Malvern, PA 19355.</w:t>
      </w:r>
    </w:p>
    <w:p>
      <w:pPr>
        <w:spacing w:after="0" w:line="229" w:lineRule="exact"/>
        <w:rPr>
          <w:rFonts w:ascii="Arial" w:cs="Arial" w:eastAsia="Arial" w:hAnsi="Arial"/>
          <w:sz w:val="16"/>
          <w:szCs w:val="16"/>
          <w:color w:val="auto"/>
        </w:rPr>
      </w:pPr>
    </w:p>
    <w:p>
      <w:pPr>
        <w:ind w:left="980" w:hanging="324"/>
        <w:spacing w:after="0" w:line="255"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upon information set forth in a Schedule 13G/A filed with the SEC on February 6, 2020 by BlackRock, Inc. (“BlackRock”) reporting the sole power to vote or direct the vote of 7,659,771 shares and the sole power to dispose and to direct the disposition of 8,887,805 shares. As reported in the Schedule 13G/A, various persons have the right to receive or the power to direct the receipt of dividends from, or the proceeds from the sale of, Qorvo common stock, and no one person’s interest in such Qorvo common stock is more than 5% of the total outstanding common shares. The address of BlackRock is 55 East 52</w:t>
      </w:r>
      <w:r>
        <w:rPr>
          <w:rFonts w:ascii="Arial" w:cs="Arial" w:eastAsia="Arial" w:hAnsi="Arial"/>
          <w:sz w:val="27"/>
          <w:szCs w:val="27"/>
          <w:color w:val="auto"/>
          <w:vertAlign w:val="superscript"/>
        </w:rPr>
        <w:t>nd</w:t>
      </w:r>
      <w:r>
        <w:rPr>
          <w:rFonts w:ascii="Arial" w:cs="Arial" w:eastAsia="Arial" w:hAnsi="Arial"/>
          <w:sz w:val="16"/>
          <w:szCs w:val="16"/>
          <w:color w:val="auto"/>
        </w:rPr>
        <w:t xml:space="preserve"> Street, New York, NY 10055.</w:t>
      </w:r>
    </w:p>
    <w:p>
      <w:pPr>
        <w:spacing w:after="0" w:line="76" w:lineRule="exact"/>
        <w:rPr>
          <w:rFonts w:ascii="Arial" w:cs="Arial" w:eastAsia="Arial" w:hAnsi="Arial"/>
          <w:sz w:val="16"/>
          <w:szCs w:val="16"/>
          <w:color w:val="auto"/>
        </w:rPr>
      </w:pPr>
    </w:p>
    <w:p>
      <w:pPr>
        <w:ind w:left="980" w:hanging="324"/>
        <w:spacing w:after="0" w:line="249"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upon information set forth in a Schedule 13G/A filed with the SEC on February 14, 2020 by Vulcan Value Partners, LLC (“Vulcan”) reporting the sole power to vote or to direct the vote of 8,125,730 shares and sole power to dispose or to direct the disposition of 8,252,167 shares. Vulcan disclaimed beneficial ownership of these shares pursuant to Exchange Act Rule 13d-4. As reported in the Schedule 13G/A, various persons have the right to receive or the power to direct the receipt of dividends from, or the proceeds from the sale of, Qorvo common stock, and no one person’s interest in such Qorvo common stock is more than 5% of the total outstanding common shares. The address of Vulcan is Three Protective Center, 2801 Highway 280 South, Suite 300, Birmingham, AL 35223.</w:t>
      </w:r>
    </w:p>
    <w:p>
      <w:pPr>
        <w:spacing w:after="0" w:line="231" w:lineRule="exact"/>
        <w:rPr>
          <w:rFonts w:ascii="Arial" w:cs="Arial" w:eastAsia="Arial" w:hAnsi="Arial"/>
          <w:sz w:val="16"/>
          <w:szCs w:val="16"/>
          <w:color w:val="auto"/>
        </w:rPr>
      </w:pPr>
    </w:p>
    <w:p>
      <w:pPr>
        <w:ind w:left="980" w:right="20" w:hanging="324"/>
        <w:spacing w:after="0" w:line="251"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upon information set forth in a Schedule 13G/A filed with the SEC on February 14, 2020 by Capital Research Global Investors (“Capital Investors”) reporting the sole power to vote or to direct the vote of 7,147,068 shares and sole power to dispose or to direct the disposition of 7,147,255 shares. Capital Investors disclaimed beneficial ownership of these shares pursuant to Exchange Act Rule 13d-4. The address of Capital Investors is 333 South Hope Street, Los Angeles, CA 90071.</w:t>
      </w:r>
    </w:p>
    <w:p>
      <w:pPr>
        <w:spacing w:after="0" w:line="229" w:lineRule="exact"/>
        <w:rPr>
          <w:rFonts w:ascii="Arial" w:cs="Arial" w:eastAsia="Arial" w:hAnsi="Arial"/>
          <w:sz w:val="16"/>
          <w:szCs w:val="16"/>
          <w:color w:val="auto"/>
        </w:rPr>
      </w:pPr>
    </w:p>
    <w:p>
      <w:pPr>
        <w:ind w:left="980" w:right="200" w:hanging="324"/>
        <w:spacing w:after="0" w:line="260"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164,929 shares of common stock issuable upon exercise of stock options. Includes 58,865 shares of common stock held in a trust for which Mr. Quinsey has sole dispositive power. Mr. Quinsey disclaims beneficial ownership of these 58,865 shares.</w:t>
      </w:r>
    </w:p>
    <w:p>
      <w:pPr>
        <w:spacing w:after="0" w:line="222" w:lineRule="exact"/>
        <w:rPr>
          <w:rFonts w:ascii="Arial" w:cs="Arial" w:eastAsia="Arial" w:hAnsi="Arial"/>
          <w:sz w:val="16"/>
          <w:szCs w:val="16"/>
          <w:color w:val="auto"/>
        </w:rPr>
      </w:pPr>
    </w:p>
    <w:p>
      <w:pPr>
        <w:ind w:left="980" w:right="40" w:hanging="324"/>
        <w:spacing w:after="0" w:line="260"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38,521 shares of common stock issuable upon exercise of stock options. Includes 19,888 shares of common stock held in a trust for which Dr. Rhines has sole dispositive power. Dr. Rhines disclaims beneficial ownership of these 19,888 shares.</w:t>
      </w:r>
    </w:p>
    <w:p>
      <w:pPr>
        <w:spacing w:after="0" w:line="222" w:lineRule="exact"/>
        <w:rPr>
          <w:rFonts w:ascii="Arial" w:cs="Arial" w:eastAsia="Arial" w:hAnsi="Arial"/>
          <w:sz w:val="16"/>
          <w:szCs w:val="16"/>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1 share of common stock issuable upon exercise of a stock option.</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12,696 shares of common stock issuable upon exercise of stock options.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7,850 shares of common stock issuable upon exercise of stock options.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223,997 shares of common stock issuable upon exercise of stock options.</w:t>
      </w:r>
    </w:p>
    <w:p>
      <w:pPr>
        <w:spacing w:after="0" w:line="152" w:lineRule="exact"/>
        <w:rPr>
          <w:sz w:val="20"/>
          <w:szCs w:val="20"/>
          <w:color w:val="auto"/>
        </w:rPr>
      </w:pPr>
    </w:p>
    <w:p>
      <w:pPr>
        <w:ind w:left="120"/>
        <w:spacing w:after="0"/>
        <w:tabs>
          <w:tab w:leader="none" w:pos="541" w:val="left"/>
        </w:tabs>
        <w:rPr>
          <w:sz w:val="20"/>
          <w:szCs w:val="20"/>
          <w:color w:val="auto"/>
        </w:rPr>
      </w:pPr>
      <w:r>
        <w:rPr>
          <w:rFonts w:ascii="Arial" w:cs="Arial" w:eastAsia="Arial" w:hAnsi="Arial"/>
          <w:sz w:val="18"/>
          <w:szCs w:val="18"/>
          <w:color w:val="auto"/>
        </w:rPr>
        <w:t>18</w:t>
      </w:r>
      <w:r>
        <w:rPr>
          <w:sz w:val="20"/>
          <w:szCs w:val="20"/>
          <w:color w:val="auto"/>
        </w:rPr>
        <w:tab/>
      </w:r>
      <w:r>
        <w:rPr>
          <w:sz w:val="1"/>
          <w:szCs w:val="1"/>
          <w:color w:val="auto"/>
        </w:rPr>
        <w:drawing>
          <wp:inline distT="0" distB="0" distL="0" distR="0">
            <wp:extent cx="582930" cy="1371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i w:val="1"/>
          <w:iCs w:val="1"/>
          <w:color w:val="1269BC"/>
        </w:rPr>
        <w:t xml:space="preserve">   2020 Proxy Statement</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80"/>
        <w:spacing w:after="0"/>
        <w:rPr>
          <w:sz w:val="20"/>
          <w:szCs w:val="20"/>
          <w:color w:val="auto"/>
        </w:rPr>
      </w:pPr>
      <w:r>
        <w:rPr>
          <w:rFonts w:ascii="Arial" w:cs="Arial" w:eastAsia="Arial" w:hAnsi="Arial"/>
          <w:sz w:val="18"/>
          <w:szCs w:val="18"/>
          <w:color w:val="1269BC"/>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EXECUTIVE OFFICERS</w:t>
      </w:r>
    </w:p>
    <w:p>
      <w:pPr>
        <w:spacing w:after="0" w:line="281"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3140" w:type="dxa"/>
            <w:vAlign w:val="bottom"/>
          </w:tcPr>
          <w:p>
            <w:pPr>
              <w:spacing w:after="0"/>
              <w:rPr>
                <w:sz w:val="20"/>
                <w:szCs w:val="20"/>
                <w:color w:val="auto"/>
              </w:rPr>
            </w:pPr>
            <w:r>
              <w:rPr>
                <w:rFonts w:ascii="Arial" w:cs="Arial" w:eastAsia="Arial" w:hAnsi="Arial"/>
                <w:sz w:val="16"/>
                <w:szCs w:val="16"/>
                <w:color w:val="auto"/>
              </w:rPr>
              <w:t>Qorvo’s executive officers are as follows:</w:t>
            </w:r>
          </w:p>
        </w:tc>
        <w:tc>
          <w:tcPr>
            <w:tcW w:w="500" w:type="dxa"/>
            <w:vAlign w:val="bottom"/>
          </w:tcPr>
          <w:p>
            <w:pPr>
              <w:spacing w:after="0"/>
              <w:rPr>
                <w:sz w:val="16"/>
                <w:szCs w:val="16"/>
                <w:color w:val="auto"/>
              </w:rPr>
            </w:pPr>
          </w:p>
        </w:tc>
        <w:tc>
          <w:tcPr>
            <w:tcW w:w="7380" w:type="dxa"/>
            <w:vAlign w:val="bottom"/>
          </w:tcPr>
          <w:p>
            <w:pPr>
              <w:spacing w:after="0"/>
              <w:rPr>
                <w:sz w:val="16"/>
                <w:szCs w:val="16"/>
                <w:color w:val="auto"/>
              </w:rPr>
            </w:pPr>
          </w:p>
        </w:tc>
      </w:tr>
      <w:tr>
        <w:trPr>
          <w:trHeight w:val="424"/>
        </w:trPr>
        <w:tc>
          <w:tcPr>
            <w:tcW w:w="3140" w:type="dxa"/>
            <w:vAlign w:val="bottom"/>
            <w:tcBorders>
              <w:bottom w:val="single" w:sz="8" w:color="1269BC"/>
            </w:tcBorders>
          </w:tcPr>
          <w:p>
            <w:pPr>
              <w:ind w:left="80"/>
              <w:spacing w:after="0"/>
              <w:rPr>
                <w:sz w:val="20"/>
                <w:szCs w:val="20"/>
                <w:color w:val="auto"/>
              </w:rPr>
            </w:pPr>
            <w:r>
              <w:rPr>
                <w:rFonts w:ascii="Arial" w:cs="Arial" w:eastAsia="Arial" w:hAnsi="Arial"/>
                <w:sz w:val="16"/>
                <w:szCs w:val="16"/>
                <w:b w:val="1"/>
                <w:bCs w:val="1"/>
                <w:color w:val="1269BC"/>
              </w:rPr>
              <w:t>Name</w:t>
            </w:r>
          </w:p>
        </w:tc>
        <w:tc>
          <w:tcPr>
            <w:tcW w:w="500" w:type="dxa"/>
            <w:vAlign w:val="bottom"/>
            <w:tcBorders>
              <w:bottom w:val="single" w:sz="8" w:color="1269BC"/>
            </w:tcBorders>
          </w:tcPr>
          <w:p>
            <w:pPr>
              <w:jc w:val="right"/>
              <w:spacing w:after="0"/>
              <w:rPr>
                <w:sz w:val="20"/>
                <w:szCs w:val="20"/>
                <w:color w:val="auto"/>
              </w:rPr>
            </w:pPr>
            <w:r>
              <w:rPr>
                <w:rFonts w:ascii="Arial" w:cs="Arial" w:eastAsia="Arial" w:hAnsi="Arial"/>
                <w:sz w:val="16"/>
                <w:szCs w:val="16"/>
                <w:b w:val="1"/>
                <w:bCs w:val="1"/>
                <w:color w:val="1269BC"/>
              </w:rPr>
              <w:t>Age</w:t>
            </w:r>
          </w:p>
        </w:tc>
        <w:tc>
          <w:tcPr>
            <w:tcW w:w="7380" w:type="dxa"/>
            <w:vAlign w:val="bottom"/>
            <w:tcBorders>
              <w:bottom w:val="single" w:sz="8" w:color="1269BC"/>
            </w:tcBorders>
          </w:tcPr>
          <w:p>
            <w:pPr>
              <w:ind w:left="80"/>
              <w:spacing w:after="0"/>
              <w:rPr>
                <w:sz w:val="20"/>
                <w:szCs w:val="20"/>
                <w:color w:val="auto"/>
              </w:rPr>
            </w:pPr>
            <w:r>
              <w:rPr>
                <w:rFonts w:ascii="Arial" w:cs="Arial" w:eastAsia="Arial" w:hAnsi="Arial"/>
                <w:sz w:val="16"/>
                <w:szCs w:val="16"/>
                <w:b w:val="1"/>
                <w:bCs w:val="1"/>
                <w:color w:val="1269BC"/>
              </w:rPr>
              <w:t>Title</w:t>
            </w:r>
          </w:p>
        </w:tc>
      </w:tr>
      <w:tr>
        <w:trPr>
          <w:trHeight w:val="318"/>
        </w:trPr>
        <w:tc>
          <w:tcPr>
            <w:tcW w:w="3140" w:type="dxa"/>
            <w:vAlign w:val="bottom"/>
            <w:shd w:val="clear" w:color="auto" w:fill="C3D9EE"/>
          </w:tcPr>
          <w:p>
            <w:pPr>
              <w:ind w:left="100"/>
              <w:spacing w:after="0"/>
              <w:rPr>
                <w:sz w:val="20"/>
                <w:szCs w:val="20"/>
                <w:color w:val="auto"/>
              </w:rPr>
            </w:pPr>
            <w:r>
              <w:rPr>
                <w:rFonts w:ascii="Arial" w:cs="Arial" w:eastAsia="Arial" w:hAnsi="Arial"/>
                <w:sz w:val="18"/>
                <w:szCs w:val="18"/>
                <w:color w:val="auto"/>
              </w:rPr>
              <w:t>Robert A. Bruggeworth</w:t>
            </w:r>
          </w:p>
        </w:tc>
        <w:tc>
          <w:tcPr>
            <w:tcW w:w="500" w:type="dxa"/>
            <w:vAlign w:val="bottom"/>
            <w:shd w:val="clear" w:color="auto" w:fill="C3D9EE"/>
          </w:tcPr>
          <w:p>
            <w:pPr>
              <w:jc w:val="right"/>
              <w:spacing w:after="0"/>
              <w:rPr>
                <w:sz w:val="20"/>
                <w:szCs w:val="20"/>
                <w:color w:val="auto"/>
              </w:rPr>
            </w:pPr>
            <w:r>
              <w:rPr>
                <w:rFonts w:ascii="Arial" w:cs="Arial" w:eastAsia="Arial" w:hAnsi="Arial"/>
                <w:sz w:val="18"/>
                <w:szCs w:val="18"/>
                <w:color w:val="auto"/>
              </w:rPr>
              <w:t>59</w:t>
            </w:r>
          </w:p>
        </w:tc>
        <w:tc>
          <w:tcPr>
            <w:tcW w:w="7380" w:type="dxa"/>
            <w:vAlign w:val="bottom"/>
            <w:shd w:val="clear" w:color="auto" w:fill="C3D9EE"/>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68"/>
        </w:trPr>
        <w:tc>
          <w:tcPr>
            <w:tcW w:w="3140" w:type="dxa"/>
            <w:vAlign w:val="bottom"/>
            <w:shd w:val="clear" w:color="auto" w:fill="C3D9EE"/>
          </w:tcPr>
          <w:p>
            <w:pPr>
              <w:spacing w:after="0"/>
              <w:rPr>
                <w:sz w:val="5"/>
                <w:szCs w:val="5"/>
                <w:color w:val="auto"/>
              </w:rPr>
            </w:pPr>
          </w:p>
        </w:tc>
        <w:tc>
          <w:tcPr>
            <w:tcW w:w="500" w:type="dxa"/>
            <w:vAlign w:val="bottom"/>
            <w:shd w:val="clear" w:color="auto" w:fill="C3D9EE"/>
          </w:tcPr>
          <w:p>
            <w:pPr>
              <w:spacing w:after="0"/>
              <w:rPr>
                <w:sz w:val="5"/>
                <w:szCs w:val="5"/>
                <w:color w:val="auto"/>
              </w:rPr>
            </w:pPr>
          </w:p>
        </w:tc>
        <w:tc>
          <w:tcPr>
            <w:tcW w:w="7380" w:type="dxa"/>
            <w:vAlign w:val="bottom"/>
            <w:shd w:val="clear" w:color="auto" w:fill="C3D9EE"/>
          </w:tcPr>
          <w:p>
            <w:pPr>
              <w:spacing w:after="0"/>
              <w:rPr>
                <w:sz w:val="5"/>
                <w:szCs w:val="5"/>
                <w:color w:val="auto"/>
              </w:rPr>
            </w:pPr>
          </w:p>
        </w:tc>
      </w:tr>
      <w:tr>
        <w:trPr>
          <w:trHeight w:val="338"/>
        </w:trPr>
        <w:tc>
          <w:tcPr>
            <w:tcW w:w="3140" w:type="dxa"/>
            <w:vAlign w:val="bottom"/>
          </w:tcPr>
          <w:p>
            <w:pPr>
              <w:ind w:left="100"/>
              <w:spacing w:after="0"/>
              <w:rPr>
                <w:sz w:val="20"/>
                <w:szCs w:val="20"/>
                <w:color w:val="auto"/>
              </w:rPr>
            </w:pPr>
            <w:r>
              <w:rPr>
                <w:rFonts w:ascii="Arial" w:cs="Arial" w:eastAsia="Arial" w:hAnsi="Arial"/>
                <w:sz w:val="18"/>
                <w:szCs w:val="18"/>
                <w:color w:val="auto"/>
              </w:rPr>
              <w:t>Mark J. Murphy</w:t>
            </w: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738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r>
        <w:trPr>
          <w:trHeight w:val="68"/>
        </w:trPr>
        <w:tc>
          <w:tcPr>
            <w:tcW w:w="3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380" w:type="dxa"/>
            <w:vAlign w:val="bottom"/>
          </w:tcPr>
          <w:p>
            <w:pPr>
              <w:spacing w:after="0"/>
              <w:rPr>
                <w:sz w:val="5"/>
                <w:szCs w:val="5"/>
                <w:color w:val="auto"/>
              </w:rPr>
            </w:pPr>
          </w:p>
        </w:tc>
      </w:tr>
      <w:tr>
        <w:trPr>
          <w:trHeight w:val="338"/>
        </w:trPr>
        <w:tc>
          <w:tcPr>
            <w:tcW w:w="3140" w:type="dxa"/>
            <w:vAlign w:val="bottom"/>
            <w:shd w:val="clear" w:color="auto" w:fill="C3D9EE"/>
          </w:tcPr>
          <w:p>
            <w:pPr>
              <w:ind w:left="100"/>
              <w:spacing w:after="0"/>
              <w:rPr>
                <w:sz w:val="20"/>
                <w:szCs w:val="20"/>
                <w:color w:val="auto"/>
              </w:rPr>
            </w:pPr>
            <w:r>
              <w:rPr>
                <w:rFonts w:ascii="Arial" w:cs="Arial" w:eastAsia="Arial" w:hAnsi="Arial"/>
                <w:sz w:val="18"/>
                <w:szCs w:val="18"/>
                <w:color w:val="auto"/>
              </w:rPr>
              <w:t>Steven E. Creviston</w:t>
            </w:r>
          </w:p>
        </w:tc>
        <w:tc>
          <w:tcPr>
            <w:tcW w:w="500" w:type="dxa"/>
            <w:vAlign w:val="bottom"/>
            <w:shd w:val="clear" w:color="auto" w:fill="C3D9EE"/>
          </w:tcPr>
          <w:p>
            <w:pPr>
              <w:jc w:val="right"/>
              <w:spacing w:after="0"/>
              <w:rPr>
                <w:sz w:val="20"/>
                <w:szCs w:val="20"/>
                <w:color w:val="auto"/>
              </w:rPr>
            </w:pPr>
            <w:r>
              <w:rPr>
                <w:rFonts w:ascii="Arial" w:cs="Arial" w:eastAsia="Arial" w:hAnsi="Arial"/>
                <w:sz w:val="18"/>
                <w:szCs w:val="18"/>
                <w:color w:val="auto"/>
              </w:rPr>
              <w:t>56</w:t>
            </w:r>
          </w:p>
        </w:tc>
        <w:tc>
          <w:tcPr>
            <w:tcW w:w="7380" w:type="dxa"/>
            <w:vAlign w:val="bottom"/>
            <w:shd w:val="clear" w:color="auto" w:fill="C3D9EE"/>
          </w:tcPr>
          <w:p>
            <w:pPr>
              <w:ind w:left="80"/>
              <w:spacing w:after="0"/>
              <w:rPr>
                <w:sz w:val="20"/>
                <w:szCs w:val="20"/>
                <w:color w:val="auto"/>
              </w:rPr>
            </w:pPr>
            <w:r>
              <w:rPr>
                <w:rFonts w:ascii="Arial" w:cs="Arial" w:eastAsia="Arial" w:hAnsi="Arial"/>
                <w:sz w:val="18"/>
                <w:szCs w:val="18"/>
                <w:color w:val="auto"/>
              </w:rPr>
              <w:t>Corporate Vice President and President of Mobile Products</w:t>
            </w:r>
          </w:p>
        </w:tc>
      </w:tr>
      <w:tr>
        <w:trPr>
          <w:trHeight w:val="68"/>
        </w:trPr>
        <w:tc>
          <w:tcPr>
            <w:tcW w:w="3140" w:type="dxa"/>
            <w:vAlign w:val="bottom"/>
            <w:shd w:val="clear" w:color="auto" w:fill="C3D9EE"/>
          </w:tcPr>
          <w:p>
            <w:pPr>
              <w:spacing w:after="0"/>
              <w:rPr>
                <w:sz w:val="5"/>
                <w:szCs w:val="5"/>
                <w:color w:val="auto"/>
              </w:rPr>
            </w:pPr>
          </w:p>
        </w:tc>
        <w:tc>
          <w:tcPr>
            <w:tcW w:w="500" w:type="dxa"/>
            <w:vAlign w:val="bottom"/>
            <w:shd w:val="clear" w:color="auto" w:fill="C3D9EE"/>
          </w:tcPr>
          <w:p>
            <w:pPr>
              <w:spacing w:after="0"/>
              <w:rPr>
                <w:sz w:val="5"/>
                <w:szCs w:val="5"/>
                <w:color w:val="auto"/>
              </w:rPr>
            </w:pPr>
          </w:p>
        </w:tc>
        <w:tc>
          <w:tcPr>
            <w:tcW w:w="7380" w:type="dxa"/>
            <w:vAlign w:val="bottom"/>
            <w:shd w:val="clear" w:color="auto" w:fill="C3D9EE"/>
          </w:tcPr>
          <w:p>
            <w:pPr>
              <w:spacing w:after="0"/>
              <w:rPr>
                <w:sz w:val="5"/>
                <w:szCs w:val="5"/>
                <w:color w:val="auto"/>
              </w:rPr>
            </w:pPr>
          </w:p>
        </w:tc>
      </w:tr>
      <w:tr>
        <w:trPr>
          <w:trHeight w:val="338"/>
        </w:trPr>
        <w:tc>
          <w:tcPr>
            <w:tcW w:w="3140" w:type="dxa"/>
            <w:vAlign w:val="bottom"/>
          </w:tcPr>
          <w:p>
            <w:pPr>
              <w:ind w:left="100"/>
              <w:spacing w:after="0"/>
              <w:rPr>
                <w:sz w:val="20"/>
                <w:szCs w:val="20"/>
                <w:color w:val="auto"/>
              </w:rPr>
            </w:pPr>
            <w:r>
              <w:rPr>
                <w:rFonts w:ascii="Arial" w:cs="Arial" w:eastAsia="Arial" w:hAnsi="Arial"/>
                <w:sz w:val="18"/>
                <w:szCs w:val="18"/>
                <w:color w:val="auto"/>
              </w:rPr>
              <w:t>James L. Klein</w:t>
            </w: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c>
          <w:tcPr>
            <w:tcW w:w="7380" w:type="dxa"/>
            <w:vAlign w:val="bottom"/>
          </w:tcPr>
          <w:p>
            <w:pPr>
              <w:ind w:left="80"/>
              <w:spacing w:after="0"/>
              <w:rPr>
                <w:sz w:val="20"/>
                <w:szCs w:val="20"/>
                <w:color w:val="auto"/>
              </w:rPr>
            </w:pPr>
            <w:r>
              <w:rPr>
                <w:rFonts w:ascii="Arial" w:cs="Arial" w:eastAsia="Arial" w:hAnsi="Arial"/>
                <w:sz w:val="18"/>
                <w:szCs w:val="18"/>
                <w:color w:val="auto"/>
              </w:rPr>
              <w:t>Corporate Vice President and President of Infrastructure and Defense</w:t>
            </w:r>
          </w:p>
        </w:tc>
      </w:tr>
      <w:tr>
        <w:trPr>
          <w:trHeight w:val="351"/>
        </w:trPr>
        <w:tc>
          <w:tcPr>
            <w:tcW w:w="3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380" w:type="dxa"/>
            <w:vAlign w:val="bottom"/>
          </w:tcPr>
          <w:p>
            <w:pPr>
              <w:ind w:left="80"/>
              <w:spacing w:after="0"/>
              <w:rPr>
                <w:sz w:val="20"/>
                <w:szCs w:val="20"/>
                <w:color w:val="auto"/>
              </w:rPr>
            </w:pPr>
            <w:r>
              <w:rPr>
                <w:rFonts w:ascii="Arial" w:cs="Arial" w:eastAsia="Arial" w:hAnsi="Arial"/>
                <w:sz w:val="18"/>
                <w:szCs w:val="18"/>
                <w:color w:val="auto"/>
              </w:rPr>
              <w:t>Products</w:t>
            </w:r>
          </w:p>
        </w:tc>
      </w:tr>
      <w:tr>
        <w:trPr>
          <w:trHeight w:val="81"/>
        </w:trPr>
        <w:tc>
          <w:tcPr>
            <w:tcW w:w="3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380" w:type="dxa"/>
            <w:vAlign w:val="bottom"/>
          </w:tcPr>
          <w:p>
            <w:pPr>
              <w:spacing w:after="0"/>
              <w:rPr>
                <w:sz w:val="7"/>
                <w:szCs w:val="7"/>
                <w:color w:val="auto"/>
              </w:rPr>
            </w:pPr>
          </w:p>
        </w:tc>
      </w:tr>
      <w:tr>
        <w:trPr>
          <w:trHeight w:val="338"/>
        </w:trPr>
        <w:tc>
          <w:tcPr>
            <w:tcW w:w="3140" w:type="dxa"/>
            <w:vAlign w:val="bottom"/>
            <w:shd w:val="clear" w:color="auto" w:fill="C3D9EE"/>
          </w:tcPr>
          <w:p>
            <w:pPr>
              <w:ind w:left="100"/>
              <w:spacing w:after="0"/>
              <w:rPr>
                <w:sz w:val="20"/>
                <w:szCs w:val="20"/>
                <w:color w:val="auto"/>
              </w:rPr>
            </w:pPr>
            <w:r>
              <w:rPr>
                <w:rFonts w:ascii="Arial" w:cs="Arial" w:eastAsia="Arial" w:hAnsi="Arial"/>
                <w:sz w:val="18"/>
                <w:szCs w:val="18"/>
                <w:color w:val="auto"/>
              </w:rPr>
              <w:t>Paul J. Fego</w:t>
            </w:r>
          </w:p>
        </w:tc>
        <w:tc>
          <w:tcPr>
            <w:tcW w:w="500" w:type="dxa"/>
            <w:vAlign w:val="bottom"/>
            <w:shd w:val="clear" w:color="auto" w:fill="C3D9EE"/>
          </w:tcPr>
          <w:p>
            <w:pPr>
              <w:jc w:val="right"/>
              <w:spacing w:after="0"/>
              <w:rPr>
                <w:sz w:val="20"/>
                <w:szCs w:val="20"/>
                <w:color w:val="auto"/>
              </w:rPr>
            </w:pPr>
            <w:r>
              <w:rPr>
                <w:rFonts w:ascii="Arial" w:cs="Arial" w:eastAsia="Arial" w:hAnsi="Arial"/>
                <w:sz w:val="18"/>
                <w:szCs w:val="18"/>
                <w:color w:val="auto"/>
              </w:rPr>
              <w:t>63</w:t>
            </w:r>
          </w:p>
        </w:tc>
        <w:tc>
          <w:tcPr>
            <w:tcW w:w="7380" w:type="dxa"/>
            <w:vAlign w:val="bottom"/>
            <w:shd w:val="clear" w:color="auto" w:fill="C3D9EE"/>
          </w:tcPr>
          <w:p>
            <w:pPr>
              <w:ind w:left="80"/>
              <w:spacing w:after="0"/>
              <w:rPr>
                <w:sz w:val="20"/>
                <w:szCs w:val="20"/>
                <w:color w:val="auto"/>
              </w:rPr>
            </w:pPr>
            <w:r>
              <w:rPr>
                <w:rFonts w:ascii="Arial" w:cs="Arial" w:eastAsia="Arial" w:hAnsi="Arial"/>
                <w:sz w:val="18"/>
                <w:szCs w:val="18"/>
                <w:color w:val="auto"/>
              </w:rPr>
              <w:t>Corporate Vice President of Global Operations</w:t>
            </w:r>
          </w:p>
        </w:tc>
      </w:tr>
      <w:tr>
        <w:trPr>
          <w:trHeight w:val="68"/>
        </w:trPr>
        <w:tc>
          <w:tcPr>
            <w:tcW w:w="3140" w:type="dxa"/>
            <w:vAlign w:val="bottom"/>
            <w:shd w:val="clear" w:color="auto" w:fill="C3D9EE"/>
          </w:tcPr>
          <w:p>
            <w:pPr>
              <w:spacing w:after="0"/>
              <w:rPr>
                <w:sz w:val="5"/>
                <w:szCs w:val="5"/>
                <w:color w:val="auto"/>
              </w:rPr>
            </w:pPr>
          </w:p>
        </w:tc>
        <w:tc>
          <w:tcPr>
            <w:tcW w:w="500" w:type="dxa"/>
            <w:vAlign w:val="bottom"/>
            <w:shd w:val="clear" w:color="auto" w:fill="C3D9EE"/>
          </w:tcPr>
          <w:p>
            <w:pPr>
              <w:spacing w:after="0"/>
              <w:rPr>
                <w:sz w:val="5"/>
                <w:szCs w:val="5"/>
                <w:color w:val="auto"/>
              </w:rPr>
            </w:pPr>
          </w:p>
        </w:tc>
        <w:tc>
          <w:tcPr>
            <w:tcW w:w="7380" w:type="dxa"/>
            <w:vAlign w:val="bottom"/>
            <w:shd w:val="clear" w:color="auto" w:fill="C3D9EE"/>
          </w:tcPr>
          <w:p>
            <w:pPr>
              <w:spacing w:after="0"/>
              <w:rPr>
                <w:sz w:val="5"/>
                <w:szCs w:val="5"/>
                <w:color w:val="auto"/>
              </w:rPr>
            </w:pPr>
          </w:p>
        </w:tc>
      </w:tr>
      <w:tr>
        <w:trPr>
          <w:trHeight w:val="338"/>
        </w:trPr>
        <w:tc>
          <w:tcPr>
            <w:tcW w:w="3140" w:type="dxa"/>
            <w:vAlign w:val="bottom"/>
          </w:tcPr>
          <w:p>
            <w:pPr>
              <w:ind w:left="100"/>
              <w:spacing w:after="0"/>
              <w:rPr>
                <w:sz w:val="20"/>
                <w:szCs w:val="20"/>
                <w:color w:val="auto"/>
              </w:rPr>
            </w:pPr>
            <w:r>
              <w:rPr>
                <w:rFonts w:ascii="Arial" w:cs="Arial" w:eastAsia="Arial" w:hAnsi="Arial"/>
                <w:sz w:val="18"/>
                <w:szCs w:val="18"/>
                <w:color w:val="auto"/>
              </w:rPr>
              <w:t>Gina B. Harrison</w:t>
            </w: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7380" w:type="dxa"/>
            <w:vAlign w:val="bottom"/>
          </w:tcPr>
          <w:p>
            <w:pPr>
              <w:ind w:left="80"/>
              <w:spacing w:after="0"/>
              <w:rPr>
                <w:sz w:val="20"/>
                <w:szCs w:val="20"/>
                <w:color w:val="auto"/>
              </w:rPr>
            </w:pPr>
            <w:r>
              <w:rPr>
                <w:rFonts w:ascii="Arial" w:cs="Arial" w:eastAsia="Arial" w:hAnsi="Arial"/>
                <w:sz w:val="18"/>
                <w:szCs w:val="18"/>
                <w:color w:val="auto"/>
              </w:rPr>
              <w:t>Vice President and Corporate Controller</w:t>
            </w:r>
          </w:p>
        </w:tc>
      </w:tr>
      <w:tr>
        <w:trPr>
          <w:trHeight w:val="68"/>
        </w:trPr>
        <w:tc>
          <w:tcPr>
            <w:tcW w:w="3140" w:type="dxa"/>
            <w:vAlign w:val="bottom"/>
            <w:tcBorders>
              <w:bottom w:val="single" w:sz="8" w:color="1269BC"/>
            </w:tcBorders>
          </w:tcPr>
          <w:p>
            <w:pPr>
              <w:spacing w:after="0"/>
              <w:rPr>
                <w:sz w:val="5"/>
                <w:szCs w:val="5"/>
                <w:color w:val="auto"/>
              </w:rPr>
            </w:pPr>
          </w:p>
        </w:tc>
        <w:tc>
          <w:tcPr>
            <w:tcW w:w="500" w:type="dxa"/>
            <w:vAlign w:val="bottom"/>
            <w:tcBorders>
              <w:bottom w:val="single" w:sz="8" w:color="1269BC"/>
            </w:tcBorders>
          </w:tcPr>
          <w:p>
            <w:pPr>
              <w:spacing w:after="0"/>
              <w:rPr>
                <w:sz w:val="5"/>
                <w:szCs w:val="5"/>
                <w:color w:val="auto"/>
              </w:rPr>
            </w:pPr>
          </w:p>
        </w:tc>
        <w:tc>
          <w:tcPr>
            <w:tcW w:w="7380" w:type="dxa"/>
            <w:vAlign w:val="bottom"/>
            <w:tcBorders>
              <w:bottom w:val="single" w:sz="8" w:color="1269BC"/>
            </w:tcBorders>
          </w:tcPr>
          <w:p>
            <w:pPr>
              <w:spacing w:after="0"/>
              <w:rPr>
                <w:sz w:val="5"/>
                <w:szCs w:val="5"/>
                <w:color w:val="auto"/>
              </w:rPr>
            </w:pPr>
          </w:p>
        </w:tc>
      </w:tr>
    </w:tbl>
    <w:p>
      <w:pPr>
        <w:spacing w:after="0" w:line="218" w:lineRule="exact"/>
        <w:rPr>
          <w:sz w:val="20"/>
          <w:szCs w:val="20"/>
          <w:color w:val="auto"/>
        </w:rPr>
      </w:pPr>
    </w:p>
    <w:p>
      <w:pPr>
        <w:ind w:left="120" w:right="380"/>
        <w:spacing w:after="0" w:line="260" w:lineRule="auto"/>
        <w:rPr>
          <w:sz w:val="20"/>
          <w:szCs w:val="20"/>
          <w:color w:val="auto"/>
        </w:rPr>
      </w:pPr>
      <w:r>
        <w:rPr>
          <w:rFonts w:ascii="Arial" w:cs="Arial" w:eastAsia="Arial" w:hAnsi="Arial"/>
          <w:sz w:val="16"/>
          <w:szCs w:val="16"/>
          <w:color w:val="auto"/>
        </w:rPr>
        <w:t>Certain information with respect to our executive officers is provided below. Officers are appointed to serve at the discretion of the Board. Information regarding Mr. Bruggeworth is included in the director profiles set forth above.</w:t>
      </w:r>
    </w:p>
    <w:p>
      <w:pPr>
        <w:spacing w:after="0" w:line="175"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b w:val="1"/>
          <w:bCs w:val="1"/>
          <w:color w:val="auto"/>
        </w:rPr>
        <w:t xml:space="preserve">Mark J. Murphy </w:t>
      </w:r>
      <w:r>
        <w:rPr>
          <w:rFonts w:ascii="Arial" w:cs="Arial" w:eastAsia="Arial" w:hAnsi="Arial"/>
          <w:sz w:val="16"/>
          <w:szCs w:val="16"/>
          <w:color w:val="auto"/>
        </w:rPr>
        <w:t>has served as Chief Financial Officer since June 2016. From October 2014 through February 2016, Mr. Murphy served as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and Chief Financial Officer of Delphi Automotive PLC, a supplier of advanced technologies to the automotive sector. Mr. Murphy joined Delphi from Praxair, Inc., a global industrial gas supplier, where he was president of the U.S. Industrial Gases business, and before that, president of Praxair’s Surface Technologies and Electronic Materials division. He previously served as senior vice president and Chief Financial Officer of MEMC Electronic Materials, Inc., corporate controller of Praxair, president of Praxair’s Electronics division, and vice president of finance for Praxair Asia based in Shanghai. Mr. Murphy has served as a director of Albany International Corp., a publicly traded developer and manufacturer of engineered components, since May 2019.</w:t>
      </w:r>
    </w:p>
    <w:p>
      <w:pPr>
        <w:spacing w:after="0" w:line="181"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b w:val="1"/>
          <w:bCs w:val="1"/>
          <w:color w:val="auto"/>
        </w:rPr>
        <w:t xml:space="preserve">Steven E. Creviston </w:t>
      </w:r>
      <w:r>
        <w:rPr>
          <w:rFonts w:ascii="Arial" w:cs="Arial" w:eastAsia="Arial" w:hAnsi="Arial"/>
          <w:sz w:val="16"/>
          <w:szCs w:val="16"/>
          <w:color w:val="auto"/>
        </w:rPr>
        <w:t>has served as Corporate Vice President and President of Mobile Products since January 2015. Prior to the Business Combination,</w:t>
      </w:r>
      <w:r>
        <w:rPr>
          <w:rFonts w:ascii="Arial" w:cs="Arial" w:eastAsia="Arial" w:hAnsi="Arial"/>
          <w:sz w:val="16"/>
          <w:szCs w:val="16"/>
          <w:b w:val="1"/>
          <w:bCs w:val="1"/>
          <w:color w:val="auto"/>
        </w:rPr>
        <w:t xml:space="preserve"> </w:t>
      </w:r>
      <w:r>
        <w:rPr>
          <w:rFonts w:ascii="Arial" w:cs="Arial" w:eastAsia="Arial" w:hAnsi="Arial"/>
          <w:sz w:val="16"/>
          <w:szCs w:val="16"/>
          <w:color w:val="auto"/>
        </w:rPr>
        <w:t>he was Corporate Vice President and President of Cellular Products Group, or CPG, for RFMD from August 2007 to January 2015. From May 2002 to August 2007, he served as Corporate Vice President of CPG, which was known as Wireless Products until 2004, for RFMD. Prior to 2002, he held various positions of increasing responsibilities at RFMD.</w:t>
      </w:r>
    </w:p>
    <w:p>
      <w:pPr>
        <w:spacing w:after="0" w:line="178"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b w:val="1"/>
          <w:bCs w:val="1"/>
          <w:color w:val="auto"/>
        </w:rPr>
        <w:t xml:space="preserve">James L. Klein </w:t>
      </w:r>
      <w:r>
        <w:rPr>
          <w:rFonts w:ascii="Arial" w:cs="Arial" w:eastAsia="Arial" w:hAnsi="Arial"/>
          <w:sz w:val="16"/>
          <w:szCs w:val="16"/>
          <w:color w:val="auto"/>
        </w:rPr>
        <w:t>has served as Corporate Vice President and President of Infrastructure and Defense Products since January 2015. Mr. Klein joined</w:t>
      </w:r>
      <w:r>
        <w:rPr>
          <w:rFonts w:ascii="Arial" w:cs="Arial" w:eastAsia="Arial" w:hAnsi="Arial"/>
          <w:sz w:val="16"/>
          <w:szCs w:val="16"/>
          <w:b w:val="1"/>
          <w:bCs w:val="1"/>
          <w:color w:val="auto"/>
        </w:rPr>
        <w:t xml:space="preserve"> </w:t>
      </w:r>
      <w:r>
        <w:rPr>
          <w:rFonts w:ascii="Arial" w:cs="Arial" w:eastAsia="Arial" w:hAnsi="Arial"/>
          <w:sz w:val="16"/>
          <w:szCs w:val="16"/>
          <w:color w:val="auto"/>
        </w:rPr>
        <w:t>Qorvo with more than 20 years of experience in the RF industry. Prior to the Business Combination, Mr. Klein was Vice President and General Manager of Infrastructure and Defense Products for TriQuint from September 2012 until January 2015 and he was Vice President Defense Products and Foundry Services from July 2011 until September 2012. Prior to joining TriQuint, Mr. Klein spent 13 years with Raytheon Space and Airborne Systems, most recently as the General Manager of the Advanced Products Center at Raytheon Space and Airborne Systems division where he was responsible for the design and manufacturing of advanced RF and microwave subsystems and components. Prior to Raytheon, Mr. Klein held positions with Texas Instruments where he focused on MMIC and Transmit/Receive module engineering.</w:t>
      </w:r>
    </w:p>
    <w:p>
      <w:pPr>
        <w:spacing w:after="0" w:line="181"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b w:val="1"/>
          <w:bCs w:val="1"/>
          <w:color w:val="auto"/>
        </w:rPr>
        <w:t xml:space="preserve">Paul J. Fego </w:t>
      </w:r>
      <w:r>
        <w:rPr>
          <w:rFonts w:ascii="Arial" w:cs="Arial" w:eastAsia="Arial" w:hAnsi="Arial"/>
          <w:sz w:val="16"/>
          <w:szCs w:val="16"/>
          <w:color w:val="auto"/>
        </w:rPr>
        <w:t>has served as Corporate Vice President, Global Operations since July 2018. From January 2005 through August 2017, he served as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Manager, Worldwide Manufacturing Technology &amp; Manufacturing Group of Texas Instruments, a leading global semiconductor and technology company, where he managed all of its wafer fabrication, assembly and test operations in nine countries. Previously, Mr. Fego served in several positions of increasing responsibility at Photronics, Inc., a global leader in photomask solutions for companies that manufacture semiconductors, flat panel displays and other electronic components, most recently as President and Chief Operating Officer from March 2002 to January 2005. Prior to joining Photronics to become its Chief Operating Officer in 1996, Mr. Fego served as Operations Director at ST Microelectronics Inc. from September 1989 to November 1996. Prior to joining ST Microelectronics, Mr. Fego served in various positions with Texas Instruments from 1980 to 1989.</w:t>
      </w:r>
    </w:p>
    <w:p>
      <w:pPr>
        <w:spacing w:after="0" w:line="181" w:lineRule="exact"/>
        <w:rPr>
          <w:sz w:val="20"/>
          <w:szCs w:val="20"/>
          <w:color w:val="auto"/>
        </w:rPr>
      </w:pPr>
    </w:p>
    <w:p>
      <w:pPr>
        <w:ind w:left="120" w:right="220"/>
        <w:spacing w:after="0" w:line="256" w:lineRule="auto"/>
        <w:rPr>
          <w:sz w:val="20"/>
          <w:szCs w:val="20"/>
          <w:color w:val="auto"/>
        </w:rPr>
      </w:pPr>
      <w:r>
        <w:rPr>
          <w:rFonts w:ascii="Arial" w:cs="Arial" w:eastAsia="Arial" w:hAnsi="Arial"/>
          <w:sz w:val="16"/>
          <w:szCs w:val="16"/>
          <w:b w:val="1"/>
          <w:bCs w:val="1"/>
          <w:color w:val="auto"/>
        </w:rPr>
        <w:t xml:space="preserve">Gina B. Harrison </w:t>
      </w:r>
      <w:r>
        <w:rPr>
          <w:rFonts w:ascii="Arial" w:cs="Arial" w:eastAsia="Arial" w:hAnsi="Arial"/>
          <w:sz w:val="16"/>
          <w:szCs w:val="16"/>
          <w:color w:val="auto"/>
        </w:rPr>
        <w:t>has served has Vice President and Corporate Controller since November 2015. She is a certified public accountant with 30 years of</w:t>
      </w:r>
      <w:r>
        <w:rPr>
          <w:rFonts w:ascii="Arial" w:cs="Arial" w:eastAsia="Arial" w:hAnsi="Arial"/>
          <w:sz w:val="16"/>
          <w:szCs w:val="16"/>
          <w:b w:val="1"/>
          <w:bCs w:val="1"/>
          <w:color w:val="auto"/>
        </w:rPr>
        <w:t xml:space="preserve"> </w:t>
      </w:r>
      <w:r>
        <w:rPr>
          <w:rFonts w:ascii="Arial" w:cs="Arial" w:eastAsia="Arial" w:hAnsi="Arial"/>
          <w:sz w:val="16"/>
          <w:szCs w:val="16"/>
          <w:color w:val="auto"/>
        </w:rPr>
        <w:t>progressive leadership experience in corporate and public accounting. She joined RFMD in 2000 and held roles of increasing responsibility in financing reporting through March 2005. She served as RFMD’s Director of Financial Reporting and Sarbanes-Oxley Compliance from April 2005 to December 2014 and served in that same role at Qorvo from January 2015 to October 2015. Prior to joining RFMD, Ms. Harrison held financial and accounting positions at Sara Lee Hosiery from 1992 to 2000 and at Price Waterhouse from 1990 to 1992.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82550</wp:posOffset>
            </wp:positionV>
            <wp:extent cx="58293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pacing w:after="0" w:line="14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i w:val="1"/>
          <w:iCs w:val="1"/>
          <w:color w:val="1269BC"/>
        </w:rPr>
        <w:t>2020 Proxy Statement</w:t>
      </w:r>
      <w:r>
        <w:rPr>
          <w:sz w:val="20"/>
          <w:szCs w:val="20"/>
          <w:color w:val="auto"/>
        </w:rPr>
        <w:tab/>
      </w:r>
      <w:r>
        <w:rPr>
          <w:rFonts w:ascii="Arial" w:cs="Arial" w:eastAsia="Arial" w:hAnsi="Arial"/>
          <w:sz w:val="17"/>
          <w:szCs w:val="17"/>
          <w:color w:val="auto"/>
        </w:rPr>
        <w:t>19</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EXECUTIVE COMPENSATION</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Compensation Discussion and Analysis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Executive Summary</w:t>
      </w:r>
    </w:p>
    <w:p>
      <w:pPr>
        <w:spacing w:after="0" w:line="128"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auto"/>
        </w:rPr>
        <w:t>This Compensation Discussion and Analysis provides information with respect to the following persons who, pursuant to SEC rules, constitute our Named Executive Officers for fiscal 2020:</w:t>
      </w:r>
    </w:p>
    <w:p>
      <w:pPr>
        <w:spacing w:after="0" w:line="101" w:lineRule="exact"/>
        <w:rPr>
          <w:sz w:val="20"/>
          <w:szCs w:val="20"/>
          <w:color w:val="auto"/>
        </w:rPr>
      </w:pPr>
    </w:p>
    <w:p>
      <w:pPr>
        <w:ind w:left="540" w:hanging="424"/>
        <w:spacing w:after="0"/>
        <w:tabs>
          <w:tab w:leader="none" w:pos="540" w:val="left"/>
        </w:tabs>
        <w:numPr>
          <w:ilvl w:val="0"/>
          <w:numId w:val="21"/>
        </w:numPr>
        <w:rPr>
          <w:rFonts w:ascii="Arial" w:cs="Arial" w:eastAsia="Arial" w:hAnsi="Arial"/>
          <w:sz w:val="16"/>
          <w:szCs w:val="16"/>
          <w:color w:val="1269BC"/>
        </w:rPr>
      </w:pPr>
      <w:r>
        <w:rPr>
          <w:rFonts w:ascii="Arial" w:cs="Arial" w:eastAsia="Arial" w:hAnsi="Arial"/>
          <w:sz w:val="16"/>
          <w:szCs w:val="16"/>
          <w:color w:val="auto"/>
        </w:rPr>
        <w:t>Robert A. Bruggeworth, President and Chief Executive Officer</w:t>
      </w:r>
    </w:p>
    <w:p>
      <w:pPr>
        <w:spacing w:after="0" w:line="140" w:lineRule="exact"/>
        <w:rPr>
          <w:rFonts w:ascii="Arial" w:cs="Arial" w:eastAsia="Arial" w:hAnsi="Arial"/>
          <w:sz w:val="16"/>
          <w:szCs w:val="16"/>
          <w:color w:val="1269BC"/>
        </w:rPr>
      </w:pPr>
    </w:p>
    <w:p>
      <w:pPr>
        <w:ind w:left="540" w:hanging="424"/>
        <w:spacing w:after="0"/>
        <w:tabs>
          <w:tab w:leader="none" w:pos="540" w:val="left"/>
        </w:tabs>
        <w:numPr>
          <w:ilvl w:val="0"/>
          <w:numId w:val="21"/>
        </w:numPr>
        <w:rPr>
          <w:rFonts w:ascii="Arial" w:cs="Arial" w:eastAsia="Arial" w:hAnsi="Arial"/>
          <w:sz w:val="16"/>
          <w:szCs w:val="16"/>
          <w:color w:val="1269BC"/>
        </w:rPr>
      </w:pPr>
      <w:r>
        <w:rPr>
          <w:rFonts w:ascii="Arial" w:cs="Arial" w:eastAsia="Arial" w:hAnsi="Arial"/>
          <w:sz w:val="16"/>
          <w:szCs w:val="16"/>
          <w:color w:val="auto"/>
        </w:rPr>
        <w:t>Mark J. Murphy, Chief Financial Officer</w:t>
      </w:r>
    </w:p>
    <w:p>
      <w:pPr>
        <w:spacing w:after="0" w:line="140" w:lineRule="exact"/>
        <w:rPr>
          <w:rFonts w:ascii="Arial" w:cs="Arial" w:eastAsia="Arial" w:hAnsi="Arial"/>
          <w:sz w:val="16"/>
          <w:szCs w:val="16"/>
          <w:color w:val="1269BC"/>
        </w:rPr>
      </w:pPr>
    </w:p>
    <w:p>
      <w:pPr>
        <w:ind w:left="540" w:hanging="424"/>
        <w:spacing w:after="0"/>
        <w:tabs>
          <w:tab w:leader="none" w:pos="540" w:val="left"/>
        </w:tabs>
        <w:numPr>
          <w:ilvl w:val="0"/>
          <w:numId w:val="21"/>
        </w:numPr>
        <w:rPr>
          <w:rFonts w:ascii="Arial" w:cs="Arial" w:eastAsia="Arial" w:hAnsi="Arial"/>
          <w:sz w:val="16"/>
          <w:szCs w:val="16"/>
          <w:color w:val="1269BC"/>
        </w:rPr>
      </w:pPr>
      <w:r>
        <w:rPr>
          <w:rFonts w:ascii="Arial" w:cs="Arial" w:eastAsia="Arial" w:hAnsi="Arial"/>
          <w:sz w:val="16"/>
          <w:szCs w:val="16"/>
          <w:color w:val="auto"/>
        </w:rPr>
        <w:t>Steven E. Creviston, Corporate Vice President and President of Mobile Products</w:t>
      </w:r>
    </w:p>
    <w:p>
      <w:pPr>
        <w:spacing w:after="0" w:line="140" w:lineRule="exact"/>
        <w:rPr>
          <w:rFonts w:ascii="Arial" w:cs="Arial" w:eastAsia="Arial" w:hAnsi="Arial"/>
          <w:sz w:val="16"/>
          <w:szCs w:val="16"/>
          <w:color w:val="1269BC"/>
        </w:rPr>
      </w:pPr>
    </w:p>
    <w:p>
      <w:pPr>
        <w:ind w:left="540" w:hanging="424"/>
        <w:spacing w:after="0"/>
        <w:tabs>
          <w:tab w:leader="none" w:pos="540" w:val="left"/>
        </w:tabs>
        <w:numPr>
          <w:ilvl w:val="0"/>
          <w:numId w:val="21"/>
        </w:numPr>
        <w:rPr>
          <w:rFonts w:ascii="Arial" w:cs="Arial" w:eastAsia="Arial" w:hAnsi="Arial"/>
          <w:sz w:val="16"/>
          <w:szCs w:val="16"/>
          <w:color w:val="1269BC"/>
        </w:rPr>
      </w:pPr>
      <w:r>
        <w:rPr>
          <w:rFonts w:ascii="Arial" w:cs="Arial" w:eastAsia="Arial" w:hAnsi="Arial"/>
          <w:sz w:val="16"/>
          <w:szCs w:val="16"/>
          <w:color w:val="auto"/>
        </w:rPr>
        <w:t>James L. Klein, Corporate Vice President and President of Infrastructure and Defense Products</w:t>
      </w:r>
    </w:p>
    <w:p>
      <w:pPr>
        <w:spacing w:after="0" w:line="140" w:lineRule="exact"/>
        <w:rPr>
          <w:rFonts w:ascii="Arial" w:cs="Arial" w:eastAsia="Arial" w:hAnsi="Arial"/>
          <w:sz w:val="16"/>
          <w:szCs w:val="16"/>
          <w:color w:val="1269BC"/>
        </w:rPr>
      </w:pPr>
    </w:p>
    <w:p>
      <w:pPr>
        <w:ind w:left="540" w:hanging="424"/>
        <w:spacing w:after="0"/>
        <w:tabs>
          <w:tab w:leader="none" w:pos="540" w:val="left"/>
        </w:tabs>
        <w:numPr>
          <w:ilvl w:val="0"/>
          <w:numId w:val="21"/>
        </w:numPr>
        <w:rPr>
          <w:rFonts w:ascii="Arial" w:cs="Arial" w:eastAsia="Arial" w:hAnsi="Arial"/>
          <w:sz w:val="16"/>
          <w:szCs w:val="16"/>
          <w:color w:val="1269BC"/>
        </w:rPr>
      </w:pPr>
      <w:r>
        <w:rPr>
          <w:rFonts w:ascii="Arial" w:cs="Arial" w:eastAsia="Arial" w:hAnsi="Arial"/>
          <w:sz w:val="16"/>
          <w:szCs w:val="16"/>
          <w:color w:val="auto"/>
        </w:rPr>
        <w:t>Paul J. Fego, Corporate Vice President of Global Operations</w:t>
      </w:r>
    </w:p>
    <w:p>
      <w:pPr>
        <w:spacing w:after="0" w:line="235"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auto"/>
        </w:rPr>
        <w:t>This Compensation Discussion and Analysis highlights the key components and structure of our executive compensation program, provides an overview of our financial performance in fiscal 2020, discusses the objectives and philosophy underlying our compensation program, and addresses other matters we believe explain and demonstrate our performance-based compensation philosophy, which emphasizes team effort. Since it primarily describes the results of our executive compensation program for fiscal 2020, it does not address the impact of the COVID-19 pandemic on the global economy, our business and financial results for fiscal 2021, or our executive compensation results for fiscal 2021.</w:t>
      </w:r>
    </w:p>
    <w:p>
      <w:pPr>
        <w:spacing w:after="0" w:line="203" w:lineRule="exact"/>
        <w:rPr>
          <w:sz w:val="20"/>
          <w:szCs w:val="20"/>
          <w:color w:val="auto"/>
        </w:rPr>
      </w:pPr>
    </w:p>
    <w:p>
      <w:pPr>
        <w:ind w:left="120" w:right="260"/>
        <w:spacing w:after="0" w:line="251" w:lineRule="auto"/>
        <w:rPr>
          <w:sz w:val="20"/>
          <w:szCs w:val="20"/>
          <w:color w:val="auto"/>
        </w:rPr>
      </w:pPr>
      <w:r>
        <w:rPr>
          <w:rFonts w:ascii="Arial" w:cs="Arial" w:eastAsia="Arial" w:hAnsi="Arial"/>
          <w:sz w:val="16"/>
          <w:szCs w:val="16"/>
          <w:color w:val="auto"/>
        </w:rPr>
        <w:t>Shortly before the end of fiscal 2020, the Compensation Committee, or the Committee, set the base salary and target short-term incentive award opportunities for fiscal 2021 for our Named Executive Officers; however, the Committee decided to postpone any base salary increases for our Named Executive Officers due to the market uncertainties resulting from the COVID-19 pandemic. Further, no changes were made to the target short-term incentive award opportunities for fiscal 2021 for our Named Executive Officers.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Compensation Program Highlights</w:t>
      </w:r>
    </w:p>
    <w:p>
      <w:pPr>
        <w:spacing w:after="0" w:line="129" w:lineRule="exact"/>
        <w:rPr>
          <w:sz w:val="20"/>
          <w:szCs w:val="20"/>
          <w:color w:val="auto"/>
        </w:rPr>
      </w:pPr>
    </w:p>
    <w:p>
      <w:pPr>
        <w:ind w:left="120" w:right="160"/>
        <w:spacing w:after="0" w:line="260" w:lineRule="auto"/>
        <w:rPr>
          <w:sz w:val="20"/>
          <w:szCs w:val="20"/>
          <w:color w:val="auto"/>
        </w:rPr>
      </w:pPr>
      <w:r>
        <w:rPr>
          <w:rFonts w:ascii="Arial" w:cs="Arial" w:eastAsia="Arial" w:hAnsi="Arial"/>
          <w:sz w:val="16"/>
          <w:szCs w:val="16"/>
          <w:color w:val="auto"/>
        </w:rPr>
        <w:t>It is Qorvo’s policy to ensure that the target total direct compensation of each of our Named Executive Officers rewards strong operating performance in the near term and completion of key initiatives that drive profitability and stockholder value in the longer term.</w:t>
      </w:r>
    </w:p>
    <w:p>
      <w:pPr>
        <w:spacing w:after="0" w:line="195" w:lineRule="exact"/>
        <w:rPr>
          <w:sz w:val="20"/>
          <w:szCs w:val="20"/>
          <w:color w:val="auto"/>
        </w:rPr>
      </w:pPr>
    </w:p>
    <w:p>
      <w:pPr>
        <w:ind w:left="120" w:right="640"/>
        <w:spacing w:after="0" w:line="260" w:lineRule="auto"/>
        <w:rPr>
          <w:sz w:val="20"/>
          <w:szCs w:val="20"/>
          <w:color w:val="auto"/>
        </w:rPr>
      </w:pPr>
      <w:r>
        <w:rPr>
          <w:rFonts w:ascii="Arial" w:cs="Arial" w:eastAsia="Arial" w:hAnsi="Arial"/>
          <w:sz w:val="16"/>
          <w:szCs w:val="16"/>
          <w:color w:val="auto"/>
        </w:rPr>
        <w:t>As part of our compensation policy, we provide base salary, short-term incentive award opportunities and long-term equity-based incentive award opportunities to our Named Executive Officers as follows:</w:t>
      </w:r>
    </w:p>
    <w:p>
      <w:pPr>
        <w:spacing w:after="0" w:line="85" w:lineRule="exact"/>
        <w:rPr>
          <w:sz w:val="20"/>
          <w:szCs w:val="20"/>
          <w:color w:val="auto"/>
        </w:rPr>
      </w:pPr>
    </w:p>
    <w:p>
      <w:pPr>
        <w:ind w:left="540" w:right="400" w:hanging="424"/>
        <w:spacing w:after="0" w:line="281" w:lineRule="auto"/>
        <w:tabs>
          <w:tab w:leader="none" w:pos="540" w:val="left"/>
        </w:tabs>
        <w:numPr>
          <w:ilvl w:val="0"/>
          <w:numId w:val="22"/>
        </w:numPr>
        <w:rPr>
          <w:rFonts w:ascii="Arial" w:cs="Arial" w:eastAsia="Arial" w:hAnsi="Arial"/>
          <w:sz w:val="16"/>
          <w:szCs w:val="16"/>
          <w:color w:val="1269BC"/>
        </w:rPr>
      </w:pPr>
      <w:r>
        <w:rPr>
          <w:rFonts w:ascii="Arial" w:cs="Arial" w:eastAsia="Arial" w:hAnsi="Arial"/>
          <w:sz w:val="16"/>
          <w:szCs w:val="16"/>
          <w:i w:val="1"/>
          <w:iCs w:val="1"/>
          <w:color w:val="auto"/>
        </w:rPr>
        <w:t>Base salary</w:t>
      </w:r>
      <w:r>
        <w:rPr>
          <w:rFonts w:ascii="Arial" w:cs="Arial" w:eastAsia="Arial" w:hAnsi="Arial"/>
          <w:sz w:val="16"/>
          <w:szCs w:val="16"/>
          <w:color w:val="auto"/>
        </w:rPr>
        <w:t>. Base salary accounts for approximately 10% of our CEO’s target total direct compensation and approximately 19% of each of our</w:t>
      </w:r>
      <w:r>
        <w:rPr>
          <w:rFonts w:ascii="Arial" w:cs="Arial" w:eastAsia="Arial" w:hAnsi="Arial"/>
          <w:sz w:val="16"/>
          <w:szCs w:val="16"/>
          <w:i w:val="1"/>
          <w:iCs w:val="1"/>
          <w:color w:val="auto"/>
        </w:rPr>
        <w:t xml:space="preserve"> </w:t>
      </w:r>
      <w:r>
        <w:rPr>
          <w:rFonts w:ascii="Arial" w:cs="Arial" w:eastAsia="Arial" w:hAnsi="Arial"/>
          <w:sz w:val="16"/>
          <w:szCs w:val="16"/>
          <w:color w:val="auto"/>
        </w:rPr>
        <w:t>other Named Executive Officer’s target total direct compensation.</w:t>
      </w:r>
    </w:p>
    <w:p>
      <w:pPr>
        <w:spacing w:after="0" w:line="68" w:lineRule="exact"/>
        <w:rPr>
          <w:rFonts w:ascii="Arial" w:cs="Arial" w:eastAsia="Arial" w:hAnsi="Arial"/>
          <w:sz w:val="16"/>
          <w:szCs w:val="16"/>
          <w:color w:val="1269BC"/>
        </w:rPr>
      </w:pPr>
    </w:p>
    <w:p>
      <w:pPr>
        <w:ind w:left="540" w:right="20" w:hanging="424"/>
        <w:spacing w:after="0" w:line="258" w:lineRule="auto"/>
        <w:tabs>
          <w:tab w:leader="none" w:pos="540" w:val="left"/>
        </w:tabs>
        <w:numPr>
          <w:ilvl w:val="0"/>
          <w:numId w:val="22"/>
        </w:numPr>
        <w:rPr>
          <w:rFonts w:ascii="Arial" w:cs="Arial" w:eastAsia="Arial" w:hAnsi="Arial"/>
          <w:sz w:val="16"/>
          <w:szCs w:val="16"/>
          <w:color w:val="1269BC"/>
        </w:rPr>
      </w:pPr>
      <w:r>
        <w:rPr>
          <w:rFonts w:ascii="Arial" w:cs="Arial" w:eastAsia="Arial" w:hAnsi="Arial"/>
          <w:sz w:val="16"/>
          <w:szCs w:val="16"/>
          <w:i w:val="1"/>
          <w:iCs w:val="1"/>
          <w:color w:val="auto"/>
        </w:rPr>
        <w:t>Short-term incentive awards</w:t>
      </w:r>
      <w:r>
        <w:rPr>
          <w:rFonts w:ascii="Arial" w:cs="Arial" w:eastAsia="Arial" w:hAnsi="Arial"/>
          <w:sz w:val="16"/>
          <w:szCs w:val="16"/>
          <w:color w:val="auto"/>
        </w:rPr>
        <w:t>. Short-term incentive award opportunities account for approximately 16% of our CEO’s target total direct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approximately 17% of each of our other Named Executive Officer’s target total direct compensation. Short-term incentive award opportunities are based on corporate performance relative to financial goals established by the Committee on a semi-annual basis and may be paid, at the Committee’s discretion, in cash or in equity.</w:t>
      </w:r>
    </w:p>
    <w:p>
      <w:pPr>
        <w:spacing w:after="0" w:line="86" w:lineRule="exact"/>
        <w:rPr>
          <w:rFonts w:ascii="Arial" w:cs="Arial" w:eastAsia="Arial" w:hAnsi="Arial"/>
          <w:sz w:val="16"/>
          <w:szCs w:val="16"/>
          <w:color w:val="1269BC"/>
        </w:rPr>
      </w:pPr>
    </w:p>
    <w:p>
      <w:pPr>
        <w:jc w:val="both"/>
        <w:ind w:left="540" w:right="80" w:hanging="424"/>
        <w:spacing w:after="0" w:line="263" w:lineRule="auto"/>
        <w:tabs>
          <w:tab w:leader="none" w:pos="540" w:val="left"/>
        </w:tabs>
        <w:numPr>
          <w:ilvl w:val="0"/>
          <w:numId w:val="22"/>
        </w:numPr>
        <w:rPr>
          <w:rFonts w:ascii="Arial" w:cs="Arial" w:eastAsia="Arial" w:hAnsi="Arial"/>
          <w:sz w:val="16"/>
          <w:szCs w:val="16"/>
          <w:color w:val="1269BC"/>
        </w:rPr>
      </w:pPr>
      <w:r>
        <w:rPr>
          <w:rFonts w:ascii="Arial" w:cs="Arial" w:eastAsia="Arial" w:hAnsi="Arial"/>
          <w:sz w:val="16"/>
          <w:szCs w:val="16"/>
          <w:i w:val="1"/>
          <w:iCs w:val="1"/>
          <w:color w:val="auto"/>
        </w:rPr>
        <w:t>Long-term equity-based incentive awards</w:t>
      </w:r>
      <w:r>
        <w:rPr>
          <w:rFonts w:ascii="Arial" w:cs="Arial" w:eastAsia="Arial" w:hAnsi="Arial"/>
          <w:sz w:val="16"/>
          <w:szCs w:val="16"/>
          <w:color w:val="auto"/>
        </w:rPr>
        <w:t>. Long-term equity-based incentive award opportunities consist of performance-based and service-based</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unit awards, or RSUs, and account for approximately 74% of our CEO’s target total direct compensation and approximately 64% of each of our other Named Executive Officer’s target total direct compensation.</w:t>
      </w:r>
    </w:p>
    <w:p>
      <w:pPr>
        <w:spacing w:after="0" w:line="83" w:lineRule="exact"/>
        <w:rPr>
          <w:rFonts w:ascii="Arial" w:cs="Arial" w:eastAsia="Arial" w:hAnsi="Arial"/>
          <w:sz w:val="16"/>
          <w:szCs w:val="16"/>
          <w:color w:val="1269BC"/>
        </w:rPr>
      </w:pPr>
    </w:p>
    <w:p>
      <w:pPr>
        <w:ind w:left="980" w:hanging="324"/>
        <w:spacing w:after="0" w:line="251" w:lineRule="auto"/>
        <w:tabs>
          <w:tab w:leader="none" w:pos="980" w:val="left"/>
        </w:tabs>
        <w:numPr>
          <w:ilvl w:val="1"/>
          <w:numId w:val="22"/>
        </w:numPr>
        <w:rPr>
          <w:rFonts w:ascii="Arial" w:cs="Arial" w:eastAsia="Arial" w:hAnsi="Arial"/>
          <w:sz w:val="16"/>
          <w:szCs w:val="16"/>
          <w:color w:val="1269BC"/>
        </w:rPr>
      </w:pPr>
      <w:r>
        <w:rPr>
          <w:rFonts w:ascii="Arial" w:cs="Arial" w:eastAsia="Arial" w:hAnsi="Arial"/>
          <w:sz w:val="16"/>
          <w:szCs w:val="16"/>
          <w:i w:val="1"/>
          <w:iCs w:val="1"/>
          <w:color w:val="auto"/>
        </w:rPr>
        <w:t>Performance-based awards</w:t>
      </w:r>
      <w:r>
        <w:rPr>
          <w:rFonts w:ascii="Arial" w:cs="Arial" w:eastAsia="Arial" w:hAnsi="Arial"/>
          <w:sz w:val="16"/>
          <w:szCs w:val="16"/>
          <w:color w:val="auto"/>
        </w:rPr>
        <w:t>. Performance-based RSU awards (“Objectives-based RSUs”) are granted in May of each fiscal year and</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account for 60% of the target total equity compensation of our Named Executive Officers (excluding Mr. Fego). As discussed on page 23 below, in August 2019, the Committee approved an increase to Mr. Fego’s target total equity compensation. Due to the timing of this decision, the increase was implemented in connection with our August RSU grant, which resulted in Mr. Fego’s Objectives-based RSUs accounting for 40% of his target total equity compensation for fiscal 2020. Objectives-based RSUs linked to Company performance objectives approved by the Committee are earned based on the achievement of annual business goals that drive long-term stockholder value. To support retention and reinforce long-term performance objectives, half of the award vests upon certification of achievement by the Committee, and the remaining 50% vests in equal annual installments over each of the following two years.</w:t>
      </w:r>
    </w:p>
    <w:p>
      <w:pPr>
        <w:spacing w:after="0" w:line="94" w:lineRule="exact"/>
        <w:rPr>
          <w:rFonts w:ascii="Arial" w:cs="Arial" w:eastAsia="Arial" w:hAnsi="Arial"/>
          <w:sz w:val="16"/>
          <w:szCs w:val="16"/>
          <w:color w:val="1269BC"/>
        </w:rPr>
      </w:pPr>
    </w:p>
    <w:p>
      <w:pPr>
        <w:ind w:left="980" w:right="20" w:hanging="324"/>
        <w:spacing w:after="0" w:line="263" w:lineRule="auto"/>
        <w:tabs>
          <w:tab w:leader="none" w:pos="980" w:val="left"/>
        </w:tabs>
        <w:numPr>
          <w:ilvl w:val="1"/>
          <w:numId w:val="22"/>
        </w:numPr>
        <w:rPr>
          <w:rFonts w:ascii="Arial" w:cs="Arial" w:eastAsia="Arial" w:hAnsi="Arial"/>
          <w:sz w:val="16"/>
          <w:szCs w:val="16"/>
          <w:color w:val="1269BC"/>
        </w:rPr>
      </w:pPr>
      <w:r>
        <w:rPr>
          <w:rFonts w:ascii="Arial" w:cs="Arial" w:eastAsia="Arial" w:hAnsi="Arial"/>
          <w:sz w:val="16"/>
          <w:szCs w:val="16"/>
          <w:i w:val="1"/>
          <w:iCs w:val="1"/>
          <w:color w:val="auto"/>
        </w:rPr>
        <w:t>Service-based awards</w:t>
      </w:r>
      <w:r>
        <w:rPr>
          <w:rFonts w:ascii="Arial" w:cs="Arial" w:eastAsia="Arial" w:hAnsi="Arial"/>
          <w:sz w:val="16"/>
          <w:szCs w:val="16"/>
          <w:color w:val="auto"/>
        </w:rPr>
        <w:t>. Service-based RSU awards (“Service-based RSUs”) are granted in August of each fiscal year and generally account</w:t>
      </w:r>
      <w:r>
        <w:rPr>
          <w:rFonts w:ascii="Arial" w:cs="Arial" w:eastAsia="Arial" w:hAnsi="Arial"/>
          <w:sz w:val="16"/>
          <w:szCs w:val="16"/>
          <w:i w:val="1"/>
          <w:iCs w:val="1"/>
          <w:color w:val="auto"/>
        </w:rPr>
        <w:t xml:space="preserve"> </w:t>
      </w:r>
      <w:r>
        <w:rPr>
          <w:rFonts w:ascii="Arial" w:cs="Arial" w:eastAsia="Arial" w:hAnsi="Arial"/>
          <w:sz w:val="16"/>
          <w:szCs w:val="16"/>
          <w:color w:val="auto"/>
        </w:rPr>
        <w:t>for 40% of the target total equity compensation of our Named Executive Officers. These awards provide important retention and medium-term and long-term incentives for our Named Executive Officers as they vest over a four-year period.</w:t>
      </w:r>
    </w:p>
    <w:p>
      <w:pPr>
        <w:spacing w:after="0" w:line="125" w:lineRule="exact"/>
        <w:rPr>
          <w:sz w:val="20"/>
          <w:szCs w:val="20"/>
          <w:color w:val="auto"/>
        </w:rPr>
      </w:pPr>
    </w:p>
    <w:p>
      <w:pPr>
        <w:ind w:left="120"/>
        <w:spacing w:after="0"/>
        <w:tabs>
          <w:tab w:leader="none" w:pos="541" w:val="left"/>
        </w:tabs>
        <w:rPr>
          <w:sz w:val="20"/>
          <w:szCs w:val="20"/>
          <w:color w:val="auto"/>
        </w:rPr>
      </w:pPr>
      <w:r>
        <w:rPr>
          <w:rFonts w:ascii="Arial" w:cs="Arial" w:eastAsia="Arial" w:hAnsi="Arial"/>
          <w:sz w:val="18"/>
          <w:szCs w:val="18"/>
          <w:color w:val="auto"/>
        </w:rPr>
        <w:t>20</w:t>
      </w:r>
      <w:r>
        <w:rPr>
          <w:sz w:val="20"/>
          <w:szCs w:val="20"/>
          <w:color w:val="auto"/>
        </w:rPr>
        <w:tab/>
      </w:r>
      <w:r>
        <w:rPr>
          <w:sz w:val="1"/>
          <w:szCs w:val="1"/>
          <w:color w:val="auto"/>
        </w:rPr>
        <w:drawing>
          <wp:inline distT="0" distB="0" distL="0" distR="0">
            <wp:extent cx="582930" cy="13716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i w:val="1"/>
          <w:iCs w:val="1"/>
          <w:color w:val="1269BC"/>
        </w:rPr>
        <w:t xml:space="preserve">   2020 Proxy Statement</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5" w:lineRule="exact"/>
        <w:rPr>
          <w:sz w:val="20"/>
          <w:szCs w:val="20"/>
          <w:color w:val="auto"/>
        </w:rPr>
      </w:pPr>
    </w:p>
    <w:p>
      <w:pPr>
        <w:ind w:left="120" w:right="180"/>
        <w:spacing w:after="0" w:line="260" w:lineRule="auto"/>
        <w:rPr>
          <w:sz w:val="20"/>
          <w:szCs w:val="20"/>
          <w:color w:val="auto"/>
        </w:rPr>
      </w:pPr>
      <w:r>
        <w:rPr>
          <w:rFonts w:ascii="Arial" w:cs="Arial" w:eastAsia="Arial" w:hAnsi="Arial"/>
          <w:sz w:val="16"/>
          <w:szCs w:val="16"/>
          <w:color w:val="auto"/>
        </w:rPr>
        <w:t>The following charts show the components of our Named Executive Officers’ average target total direct compensation mix and average target long-term equity-based incentive awards (excluding Mr. Fego) for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139700</wp:posOffset>
            </wp:positionV>
            <wp:extent cx="5692140" cy="21513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9214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The compensation packages of our CEO and our other Named Executive Officers are closely aligned with performance. A substantial majority of the target total direct compensation mix is at-risk and performance-based, with 60% of our CEO’s and 52% of our other Named Executive Officers’ target total direct compensation being tied to performance. The following charts set out the compensation mix for our CEO and our 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143510</wp:posOffset>
            </wp:positionV>
            <wp:extent cx="6360795" cy="25888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60795"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We believe our executive compensation program provides a balanced and stable foundation for achieving our intended objectives. Our compensation philosophy emphasizes team effort, which we believe fosters quick adjustment and adaptation to the rapidly changing market conditions we routinely face in our industry. The focus on company rather than individual performance measurement in our incentive compensation programs not only helps us achieve our short-term and long-term goals, but also aligns the interests of our executive officers with those of the Company as a whole and our stockholders.</w:t>
      </w:r>
    </w:p>
    <w:p>
      <w:pPr>
        <w:spacing w:after="0" w:line="394" w:lineRule="exact"/>
        <w:rPr>
          <w:sz w:val="20"/>
          <w:szCs w:val="20"/>
          <w:color w:val="auto"/>
        </w:rPr>
      </w:pPr>
    </w:p>
    <w:p>
      <w:pPr>
        <w:jc w:val="both"/>
        <w:ind w:left="120" w:right="140"/>
        <w:spacing w:after="0" w:line="253" w:lineRule="auto"/>
        <w:rPr>
          <w:sz w:val="20"/>
          <w:szCs w:val="20"/>
          <w:color w:val="auto"/>
        </w:rPr>
      </w:pPr>
      <w:r>
        <w:rPr>
          <w:rFonts w:ascii="Arial" w:cs="Arial" w:eastAsia="Arial" w:hAnsi="Arial"/>
          <w:sz w:val="16"/>
          <w:szCs w:val="16"/>
          <w:color w:val="auto"/>
        </w:rPr>
        <w:t>We refer to comparative industry data and consider other factors to establish each Named Executive Officer’s range of base salary, short-term incentive award opportunities and long-term equity-based incentive award opportunities. The principal features of our compensation policies and practices include the following:</w:t>
      </w:r>
    </w:p>
    <w:p>
      <w:pPr>
        <w:spacing w:after="0" w:line="107"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6"/>
          <w:szCs w:val="16"/>
          <w:color w:val="1269BC"/>
        </w:rPr>
      </w:pPr>
      <w:r>
        <w:rPr>
          <w:rFonts w:ascii="Arial" w:cs="Arial" w:eastAsia="Arial" w:hAnsi="Arial"/>
          <w:sz w:val="16"/>
          <w:szCs w:val="16"/>
          <w:color w:val="auto"/>
        </w:rPr>
        <w:t>We prohibit the backdating or spring-loading of equity awards.</w:t>
      </w:r>
    </w:p>
    <w:p>
      <w:pPr>
        <w:spacing w:after="0" w:line="140" w:lineRule="exact"/>
        <w:rPr>
          <w:rFonts w:ascii="Arial" w:cs="Arial" w:eastAsia="Arial" w:hAnsi="Arial"/>
          <w:sz w:val="16"/>
          <w:szCs w:val="16"/>
          <w:color w:val="1269BC"/>
        </w:rPr>
      </w:pPr>
    </w:p>
    <w:p>
      <w:pPr>
        <w:ind w:left="540" w:hanging="424"/>
        <w:spacing w:after="0"/>
        <w:tabs>
          <w:tab w:leader="none" w:pos="540" w:val="left"/>
        </w:tabs>
        <w:numPr>
          <w:ilvl w:val="0"/>
          <w:numId w:val="23"/>
        </w:numPr>
        <w:rPr>
          <w:rFonts w:ascii="Arial" w:cs="Arial" w:eastAsia="Arial" w:hAnsi="Arial"/>
          <w:sz w:val="16"/>
          <w:szCs w:val="16"/>
          <w:color w:val="1269BC"/>
        </w:rPr>
      </w:pPr>
      <w:r>
        <w:rPr>
          <w:rFonts w:ascii="Arial" w:cs="Arial" w:eastAsia="Arial" w:hAnsi="Arial"/>
          <w:sz w:val="16"/>
          <w:szCs w:val="16"/>
          <w:color w:val="auto"/>
        </w:rPr>
        <w:t>We prohibit the repricing of stock options or stock appreciation rights without stockholder approval.</w:t>
      </w:r>
    </w:p>
    <w:p>
      <w:pPr>
        <w:spacing w:after="0" w:line="140" w:lineRule="exact"/>
        <w:rPr>
          <w:rFonts w:ascii="Arial" w:cs="Arial" w:eastAsia="Arial" w:hAnsi="Arial"/>
          <w:sz w:val="16"/>
          <w:szCs w:val="16"/>
          <w:color w:val="1269BC"/>
        </w:rPr>
      </w:pPr>
    </w:p>
    <w:p>
      <w:pPr>
        <w:ind w:left="540" w:hanging="424"/>
        <w:spacing w:after="0"/>
        <w:tabs>
          <w:tab w:leader="none" w:pos="540" w:val="left"/>
        </w:tabs>
        <w:numPr>
          <w:ilvl w:val="0"/>
          <w:numId w:val="23"/>
        </w:numPr>
        <w:rPr>
          <w:rFonts w:ascii="Arial" w:cs="Arial" w:eastAsia="Arial" w:hAnsi="Arial"/>
          <w:sz w:val="16"/>
          <w:szCs w:val="16"/>
          <w:color w:val="1269BC"/>
        </w:rPr>
      </w:pPr>
      <w:r>
        <w:rPr>
          <w:rFonts w:ascii="Arial" w:cs="Arial" w:eastAsia="Arial" w:hAnsi="Arial"/>
          <w:sz w:val="16"/>
          <w:szCs w:val="16"/>
          <w:color w:val="auto"/>
        </w:rPr>
        <w:t>We do not provide “perquisites” to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104775</wp:posOffset>
            </wp:positionV>
            <wp:extent cx="58293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ind w:left="8960"/>
        <w:spacing w:after="0"/>
        <w:tabs>
          <w:tab w:leader="none" w:pos="10920" w:val="left"/>
        </w:tabs>
        <w:rPr>
          <w:sz w:val="20"/>
          <w:szCs w:val="20"/>
          <w:color w:val="auto"/>
        </w:rPr>
      </w:pPr>
      <w:r>
        <w:rPr>
          <w:rFonts w:ascii="Arial" w:cs="Arial" w:eastAsia="Arial" w:hAnsi="Arial"/>
          <w:sz w:val="18"/>
          <w:szCs w:val="18"/>
          <w:i w:val="1"/>
          <w:iCs w:val="1"/>
          <w:color w:val="1269BC"/>
        </w:rPr>
        <w:t>2020 Proxy Statement</w:t>
      </w:r>
      <w:r>
        <w:rPr>
          <w:sz w:val="20"/>
          <w:szCs w:val="20"/>
          <w:color w:val="auto"/>
        </w:rPr>
        <w:tab/>
      </w:r>
      <w:r>
        <w:rPr>
          <w:rFonts w:ascii="Arial" w:cs="Arial" w:eastAsia="Arial" w:hAnsi="Arial"/>
          <w:sz w:val="17"/>
          <w:szCs w:val="17"/>
          <w:color w:val="auto"/>
        </w:rPr>
        <w:t>21</w:t>
      </w:r>
    </w:p>
    <w:p>
      <w:pPr>
        <w:sectPr>
          <w:pgSz w:w="11900" w:h="16838" w:orient="portrait"/>
          <w:cols w:equalWidth="0" w:num="1">
            <w:col w:w="11140"/>
          </w:cols>
          <w:pgMar w:left="320" w:top="459" w:right="4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5" w:lineRule="exact"/>
        <w:rPr>
          <w:sz w:val="20"/>
          <w:szCs w:val="20"/>
          <w:color w:val="auto"/>
        </w:rPr>
      </w:pPr>
    </w:p>
    <w:p>
      <w:pPr>
        <w:ind w:left="540" w:hanging="424"/>
        <w:spacing w:after="0"/>
        <w:tabs>
          <w:tab w:leader="none" w:pos="540" w:val="left"/>
        </w:tabs>
        <w:numPr>
          <w:ilvl w:val="0"/>
          <w:numId w:val="24"/>
        </w:numPr>
        <w:rPr>
          <w:rFonts w:ascii="Arial" w:cs="Arial" w:eastAsia="Arial" w:hAnsi="Arial"/>
          <w:sz w:val="16"/>
          <w:szCs w:val="16"/>
          <w:color w:val="1269BC"/>
        </w:rPr>
      </w:pPr>
      <w:r>
        <w:rPr>
          <w:rFonts w:ascii="Arial" w:cs="Arial" w:eastAsia="Arial" w:hAnsi="Arial"/>
          <w:sz w:val="16"/>
          <w:szCs w:val="16"/>
          <w:color w:val="auto"/>
        </w:rPr>
        <w:t>We prohibit any hedging of our securities by our directors and employees, including our executive officers.</w:t>
      </w:r>
    </w:p>
    <w:p>
      <w:pPr>
        <w:spacing w:after="0" w:line="140" w:lineRule="exact"/>
        <w:rPr>
          <w:rFonts w:ascii="Arial" w:cs="Arial" w:eastAsia="Arial" w:hAnsi="Arial"/>
          <w:sz w:val="16"/>
          <w:szCs w:val="16"/>
          <w:color w:val="1269BC"/>
        </w:rPr>
      </w:pPr>
    </w:p>
    <w:p>
      <w:pPr>
        <w:ind w:left="540" w:hanging="424"/>
        <w:spacing w:after="0"/>
        <w:tabs>
          <w:tab w:leader="none" w:pos="540" w:val="left"/>
        </w:tabs>
        <w:numPr>
          <w:ilvl w:val="0"/>
          <w:numId w:val="24"/>
        </w:numPr>
        <w:rPr>
          <w:rFonts w:ascii="Arial" w:cs="Arial" w:eastAsia="Arial" w:hAnsi="Arial"/>
          <w:sz w:val="16"/>
          <w:szCs w:val="16"/>
          <w:color w:val="1269BC"/>
        </w:rPr>
      </w:pPr>
      <w:r>
        <w:rPr>
          <w:rFonts w:ascii="Arial" w:cs="Arial" w:eastAsia="Arial" w:hAnsi="Arial"/>
          <w:sz w:val="16"/>
          <w:szCs w:val="16"/>
          <w:color w:val="auto"/>
        </w:rPr>
        <w:t>We prohibit any pledging of our securities by our directors and employees, including our executive officers.</w:t>
      </w:r>
    </w:p>
    <w:p>
      <w:pPr>
        <w:spacing w:after="0" w:line="140" w:lineRule="exact"/>
        <w:rPr>
          <w:rFonts w:ascii="Arial" w:cs="Arial" w:eastAsia="Arial" w:hAnsi="Arial"/>
          <w:sz w:val="16"/>
          <w:szCs w:val="16"/>
          <w:color w:val="1269BC"/>
        </w:rPr>
      </w:pPr>
    </w:p>
    <w:p>
      <w:pPr>
        <w:ind w:left="540" w:hanging="424"/>
        <w:spacing w:after="0"/>
        <w:tabs>
          <w:tab w:leader="none" w:pos="540" w:val="left"/>
        </w:tabs>
        <w:numPr>
          <w:ilvl w:val="0"/>
          <w:numId w:val="24"/>
        </w:numPr>
        <w:rPr>
          <w:rFonts w:ascii="Arial" w:cs="Arial" w:eastAsia="Arial" w:hAnsi="Arial"/>
          <w:sz w:val="16"/>
          <w:szCs w:val="16"/>
          <w:color w:val="1269BC"/>
        </w:rPr>
      </w:pPr>
      <w:r>
        <w:rPr>
          <w:rFonts w:ascii="Arial" w:cs="Arial" w:eastAsia="Arial" w:hAnsi="Arial"/>
          <w:sz w:val="16"/>
          <w:szCs w:val="16"/>
          <w:color w:val="auto"/>
        </w:rPr>
        <w:t>We have established stock ownership guidelines for our directors and our executive officers.</w:t>
      </w:r>
    </w:p>
    <w:p>
      <w:pPr>
        <w:spacing w:after="0" w:line="140" w:lineRule="exact"/>
        <w:rPr>
          <w:rFonts w:ascii="Arial" w:cs="Arial" w:eastAsia="Arial" w:hAnsi="Arial"/>
          <w:sz w:val="16"/>
          <w:szCs w:val="16"/>
          <w:color w:val="1269BC"/>
        </w:rPr>
      </w:pPr>
    </w:p>
    <w:p>
      <w:pPr>
        <w:ind w:left="540" w:right="480" w:hanging="424"/>
        <w:spacing w:after="0" w:line="260" w:lineRule="auto"/>
        <w:tabs>
          <w:tab w:leader="none" w:pos="540" w:val="left"/>
        </w:tabs>
        <w:numPr>
          <w:ilvl w:val="0"/>
          <w:numId w:val="24"/>
        </w:numPr>
        <w:rPr>
          <w:rFonts w:ascii="Arial" w:cs="Arial" w:eastAsia="Arial" w:hAnsi="Arial"/>
          <w:sz w:val="16"/>
          <w:szCs w:val="16"/>
          <w:color w:val="1269BC"/>
        </w:rPr>
      </w:pPr>
      <w:r>
        <w:rPr>
          <w:rFonts w:ascii="Arial" w:cs="Arial" w:eastAsia="Arial" w:hAnsi="Arial"/>
          <w:sz w:val="16"/>
          <w:szCs w:val="16"/>
          <w:color w:val="auto"/>
        </w:rPr>
        <w:t>We provide change-in-control agreements with a double trigger for acceleration of equity awards requiring a qualifying termination following a change in control.</w:t>
      </w:r>
    </w:p>
    <w:p>
      <w:pPr>
        <w:spacing w:after="0" w:line="100" w:lineRule="exact"/>
        <w:rPr>
          <w:rFonts w:ascii="Arial" w:cs="Arial" w:eastAsia="Arial" w:hAnsi="Arial"/>
          <w:sz w:val="16"/>
          <w:szCs w:val="16"/>
          <w:color w:val="1269BC"/>
        </w:rPr>
      </w:pPr>
    </w:p>
    <w:p>
      <w:pPr>
        <w:ind w:left="540" w:right="160" w:hanging="424"/>
        <w:spacing w:after="0" w:line="253" w:lineRule="auto"/>
        <w:tabs>
          <w:tab w:leader="none" w:pos="540" w:val="left"/>
        </w:tabs>
        <w:numPr>
          <w:ilvl w:val="0"/>
          <w:numId w:val="24"/>
        </w:numPr>
        <w:rPr>
          <w:rFonts w:ascii="Arial" w:cs="Arial" w:eastAsia="Arial" w:hAnsi="Arial"/>
          <w:sz w:val="16"/>
          <w:szCs w:val="16"/>
          <w:color w:val="1269BC"/>
        </w:rPr>
      </w:pPr>
      <w:r>
        <w:rPr>
          <w:rFonts w:ascii="Arial" w:cs="Arial" w:eastAsia="Arial" w:hAnsi="Arial"/>
          <w:sz w:val="16"/>
          <w:szCs w:val="16"/>
          <w:color w:val="auto"/>
        </w:rPr>
        <w:t>We impose “clawback” restrictions in our senior officer equity awards in the event of certain prohibited conduct, including violation of restrictive covenants following termination of employment and misconduct to the extent required under the Sarbanes-Oxley Act of 2002 and the Dodd-Frank Wall Street Reform and Consumer Protection Act of 2010.</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Fiscal 2020 Financial Performance Highlights</w:t>
      </w:r>
    </w:p>
    <w:p>
      <w:pPr>
        <w:spacing w:after="0" w:line="143" w:lineRule="exact"/>
        <w:rPr>
          <w:sz w:val="20"/>
          <w:szCs w:val="20"/>
          <w:color w:val="auto"/>
        </w:rPr>
      </w:pPr>
    </w:p>
    <w:p>
      <w:pPr>
        <w:ind w:left="540" w:right="280" w:hanging="424"/>
        <w:spacing w:after="0" w:line="253" w:lineRule="auto"/>
        <w:tabs>
          <w:tab w:leader="none" w:pos="540" w:val="left"/>
        </w:tabs>
        <w:numPr>
          <w:ilvl w:val="0"/>
          <w:numId w:val="25"/>
        </w:numPr>
        <w:rPr>
          <w:rFonts w:ascii="Arial" w:cs="Arial" w:eastAsia="Arial" w:hAnsi="Arial"/>
          <w:sz w:val="16"/>
          <w:szCs w:val="16"/>
          <w:color w:val="1269BC"/>
        </w:rPr>
      </w:pPr>
      <w:r>
        <w:rPr>
          <w:rFonts w:ascii="Arial" w:cs="Arial" w:eastAsia="Arial" w:hAnsi="Arial"/>
          <w:sz w:val="16"/>
          <w:szCs w:val="16"/>
          <w:color w:val="auto"/>
        </w:rPr>
        <w:t>In fiscal 2020, our overall revenue increased $148.8 million to $3,239.1 million as compared to $3,090.3 million in fiscal 2019, primarily due to higher demand for our mobile products in support of customers based in China, a Korea-based customer and our largest end customer, partially offset by lower demand for our base station products as a result of trade restrictions.</w:t>
      </w:r>
    </w:p>
    <w:p>
      <w:pPr>
        <w:spacing w:after="0" w:line="106" w:lineRule="exact"/>
        <w:rPr>
          <w:rFonts w:ascii="Arial" w:cs="Arial" w:eastAsia="Arial" w:hAnsi="Arial"/>
          <w:sz w:val="16"/>
          <w:szCs w:val="16"/>
          <w:color w:val="1269BC"/>
        </w:rPr>
      </w:pPr>
    </w:p>
    <w:p>
      <w:pPr>
        <w:ind w:left="540" w:right="160" w:hanging="424"/>
        <w:spacing w:after="0" w:line="260" w:lineRule="auto"/>
        <w:tabs>
          <w:tab w:leader="none" w:pos="540" w:val="left"/>
        </w:tabs>
        <w:numPr>
          <w:ilvl w:val="0"/>
          <w:numId w:val="25"/>
        </w:numPr>
        <w:rPr>
          <w:rFonts w:ascii="Arial" w:cs="Arial" w:eastAsia="Arial" w:hAnsi="Arial"/>
          <w:sz w:val="16"/>
          <w:szCs w:val="16"/>
          <w:color w:val="1269BC"/>
        </w:rPr>
      </w:pPr>
      <w:r>
        <w:rPr>
          <w:rFonts w:ascii="Arial" w:cs="Arial" w:eastAsia="Arial" w:hAnsi="Arial"/>
          <w:sz w:val="16"/>
          <w:szCs w:val="16"/>
          <w:color w:val="auto"/>
        </w:rPr>
        <w:t>In fiscal 2020, our gross margin increased to 40.8% as compared to 38.7% in fiscal 2019, primarily due to favorable changes in our product mix, lower intangible amortization expense and lower manufacturing costs, partially offset by average selling price erosion and lower factory utilization.</w:t>
      </w:r>
    </w:p>
    <w:p>
      <w:pPr>
        <w:spacing w:after="0" w:line="100" w:lineRule="exact"/>
        <w:rPr>
          <w:rFonts w:ascii="Arial" w:cs="Arial" w:eastAsia="Arial" w:hAnsi="Arial"/>
          <w:sz w:val="16"/>
          <w:szCs w:val="16"/>
          <w:color w:val="1269BC"/>
        </w:rPr>
      </w:pPr>
    </w:p>
    <w:p>
      <w:pPr>
        <w:ind w:left="540" w:right="100" w:hanging="424"/>
        <w:spacing w:after="0" w:line="260" w:lineRule="auto"/>
        <w:tabs>
          <w:tab w:leader="none" w:pos="540" w:val="left"/>
        </w:tabs>
        <w:numPr>
          <w:ilvl w:val="0"/>
          <w:numId w:val="25"/>
        </w:numPr>
        <w:rPr>
          <w:rFonts w:ascii="Arial" w:cs="Arial" w:eastAsia="Arial" w:hAnsi="Arial"/>
          <w:sz w:val="16"/>
          <w:szCs w:val="16"/>
          <w:color w:val="1269BC"/>
        </w:rPr>
      </w:pPr>
      <w:r>
        <w:rPr>
          <w:rFonts w:ascii="Arial" w:cs="Arial" w:eastAsia="Arial" w:hAnsi="Arial"/>
          <w:sz w:val="16"/>
          <w:szCs w:val="16"/>
          <w:color w:val="auto"/>
        </w:rPr>
        <w:t>Our operating income in fiscal 2020 was $423.2 million as compared to $216.5 million in fiscal 2019, primarily due to lower intangible amortization, higher gross margin and higher revenue, partially offset by higher acquisition and integration costs.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Fiscal 2020 Compensation Highlights</w:t>
      </w:r>
    </w:p>
    <w:p>
      <w:pPr>
        <w:spacing w:after="0" w:line="129"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At our fiscal 2019 annual meeting, our stockholders approved an advisory vote on the compensation of our Named Executive Officers for fiscal 2019, with more than 94% of the votes cast in favor of the advisory proposal. The Committee considered the results of this vote and the strong approval level expressed by our stockholders and did not make any material changes to the elements or objectives of our executive compensation program for fiscal 2020.</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Base Salary</w:t>
      </w:r>
    </w:p>
    <w:p>
      <w:pPr>
        <w:spacing w:after="0" w:line="129"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Effective as of the start of fiscal 2020, we increased the base salary for each of the Named Executive Officers by between 3% and 4%. These adjustments were finalized by the Committee with consideration given to competitive market data as well as the individual performance and the roles and responsibilities of each Named Executive Officer.</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Short-Term Incentive Awards</w:t>
      </w:r>
    </w:p>
    <w:p>
      <w:pPr>
        <w:spacing w:after="0" w:line="129"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Each of our Named Executive Officers was eligible to earn a short-term incentive award based on our financial performance during fiscal 2020. The actual incentive award earned was tied to our achievement of revenue and non-GAAP operating income goals, as described below, during two six-month performance periods during the year. As a result of our financial performance in the first half and second half of fiscal 2020, the Named Executive Officers received short-term incentive awards in amounts equal to 83.7% and 144.8%, respectively, of their target short-term incentive award opportunities (determined as a percentage of their base salary paid during the applicable six-month performance period).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Long-Term Equity-Based Incentive Awards</w:t>
      </w:r>
    </w:p>
    <w:p>
      <w:pPr>
        <w:spacing w:after="0" w:line="129" w:lineRule="exact"/>
        <w:rPr>
          <w:sz w:val="20"/>
          <w:szCs w:val="20"/>
          <w:color w:val="auto"/>
        </w:rPr>
      </w:pPr>
    </w:p>
    <w:p>
      <w:pPr>
        <w:ind w:left="120" w:right="100"/>
        <w:spacing w:after="0" w:line="248" w:lineRule="auto"/>
        <w:rPr>
          <w:sz w:val="20"/>
          <w:szCs w:val="20"/>
          <w:color w:val="auto"/>
        </w:rPr>
      </w:pPr>
      <w:r>
        <w:rPr>
          <w:rFonts w:ascii="Arial" w:cs="Arial" w:eastAsia="Arial" w:hAnsi="Arial"/>
          <w:sz w:val="16"/>
          <w:szCs w:val="16"/>
          <w:color w:val="auto"/>
        </w:rPr>
        <w:t>Our Named Executive Officers were also awarded long-term equity-based incentive awards in the form of Objectives-based RSUs, granted in May 2019, and Service-based RSUs, granted in August 2019. Vesting of Objectives-based RSUs, which represented about 60% of the total long-term incentive award value granted to our Named Executive Officers other than Mr. Fego, was tied to achievement of Committee-approved Company performance objectives. Specifically, the performance objectives related to securing specific design wins, making specific research and development, or R&amp;D, related improvements, implementing or realizing specific manufacturing-related improvements, developing or qualifying specific product and process technologies, and developing, implementing or demonstrating key informational technology, or IT, related capabilities, business processes, tools and systems.</w:t>
      </w:r>
    </w:p>
    <w:p>
      <w:pPr>
        <w:spacing w:after="0" w:line="208"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For the Objectives-based RSUs granted in fiscal 2020, we fully achieved eight of the ten pre-established Company performance objectives, partially achieved one of the objectives and did not achieve the one remaining objective (as discussed in more detail below). As a result, the Named Executive Officers earned their Objectives-based RSUs in amounts equal to 125% of their target number of units. The number of Objectives-based RSUs earned by the Named Executive Officers vest over a three-year period following the grant date, with 50% vesting upon certification of the level of achievement of the awards and the remaining 50% vesting in equal annual installments over each of the following two years.</w:t>
      </w:r>
    </w:p>
    <w:p>
      <w:pPr>
        <w:spacing w:after="0" w:line="133" w:lineRule="exact"/>
        <w:rPr>
          <w:sz w:val="20"/>
          <w:szCs w:val="20"/>
          <w:color w:val="auto"/>
        </w:rPr>
      </w:pPr>
    </w:p>
    <w:p>
      <w:pPr>
        <w:ind w:left="120"/>
        <w:spacing w:after="0"/>
        <w:tabs>
          <w:tab w:leader="none" w:pos="541" w:val="left"/>
        </w:tabs>
        <w:rPr>
          <w:sz w:val="20"/>
          <w:szCs w:val="20"/>
          <w:color w:val="auto"/>
        </w:rPr>
      </w:pPr>
      <w:r>
        <w:rPr>
          <w:rFonts w:ascii="Arial" w:cs="Arial" w:eastAsia="Arial" w:hAnsi="Arial"/>
          <w:sz w:val="18"/>
          <w:szCs w:val="18"/>
          <w:color w:val="auto"/>
        </w:rPr>
        <w:t>22</w:t>
      </w:r>
      <w:r>
        <w:rPr>
          <w:sz w:val="20"/>
          <w:szCs w:val="20"/>
          <w:color w:val="auto"/>
        </w:rPr>
        <w:tab/>
      </w:r>
      <w:r>
        <w:rPr>
          <w:sz w:val="1"/>
          <w:szCs w:val="1"/>
          <w:color w:val="auto"/>
        </w:rPr>
        <w:drawing>
          <wp:inline distT="0" distB="0" distL="0" distR="0">
            <wp:extent cx="582930" cy="13716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i w:val="1"/>
          <w:iCs w:val="1"/>
          <w:color w:val="1269BC"/>
        </w:rPr>
        <w:t xml:space="preserve">   2020 Proxy Statement</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14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Executive Compensation Program</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Executive Compensation Program Objectives and Philosophy</w:t>
      </w:r>
    </w:p>
    <w:p>
      <w:pPr>
        <w:spacing w:after="0" w:line="129" w:lineRule="exact"/>
        <w:rPr>
          <w:sz w:val="20"/>
          <w:szCs w:val="20"/>
          <w:color w:val="auto"/>
        </w:rPr>
      </w:pPr>
    </w:p>
    <w:p>
      <w:pPr>
        <w:ind w:left="120" w:right="120"/>
        <w:spacing w:after="0" w:line="250" w:lineRule="auto"/>
        <w:rPr>
          <w:sz w:val="20"/>
          <w:szCs w:val="20"/>
          <w:color w:val="auto"/>
        </w:rPr>
      </w:pPr>
      <w:r>
        <w:rPr>
          <w:rFonts w:ascii="Arial" w:cs="Arial" w:eastAsia="Arial" w:hAnsi="Arial"/>
          <w:sz w:val="16"/>
          <w:szCs w:val="16"/>
          <w:color w:val="auto"/>
        </w:rPr>
        <w:t>The objectives of Qorvo’s executive compensation program are to enhance our ability to recruit and retain qualified management, motivate our executive officers and other employees to achieve established performance goals and ensure a strong element of congruity between the financial interests of our executive officers and our stockholders. We believe the competition in our industry for qualified executives, including our Named Executive Officers, is extremely strong. To attract and retain highly qualified employees, we must maintain an overall compensation package that is competitive with the compensation offered by the companies in our peer group and other competitors within our industry.</w:t>
      </w:r>
    </w:p>
    <w:p>
      <w:pPr>
        <w:spacing w:after="0" w:line="203"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auto"/>
        </w:rPr>
        <w:t>We do not establish goals tied to individual performance for our Named Executive Officers or other executive officers, although the Committee does evaluate individual performance when making compensation decisions. Rather, we believe strongly that focusing on the management team as a group and Company performance as a whole results in greater long-term success. Accordingly, we currently base all short-term incentive awards and long-term performance-based equity awards on the achievement of corporate financial and operational goals established by the Committee.</w:t>
      </w:r>
    </w:p>
    <w:p>
      <w:pPr>
        <w:spacing w:after="0" w:line="202" w:lineRule="exact"/>
        <w:rPr>
          <w:sz w:val="20"/>
          <w:szCs w:val="20"/>
          <w:color w:val="auto"/>
        </w:rPr>
      </w:pPr>
    </w:p>
    <w:p>
      <w:pPr>
        <w:ind w:left="120" w:right="220"/>
        <w:spacing w:after="0" w:line="250" w:lineRule="auto"/>
        <w:rPr>
          <w:sz w:val="20"/>
          <w:szCs w:val="20"/>
          <w:color w:val="auto"/>
        </w:rPr>
      </w:pPr>
      <w:r>
        <w:rPr>
          <w:rFonts w:ascii="Arial" w:cs="Arial" w:eastAsia="Arial" w:hAnsi="Arial"/>
          <w:sz w:val="16"/>
          <w:szCs w:val="16"/>
          <w:color w:val="auto"/>
        </w:rPr>
        <w:t>We also believe that substantial equity ownership provides important medium-term and long-term incentives and encourages the Named Executive Officers to take actions favorable to the long-term interests of Qorvo and our stockholders. Accordingly, long-term equity-based incentive compensation makes up a significant portion of the overall target total direct compensation of our Named Executive Officers. Additionally, our executive officers, including our Named Executive Officers, are required to own shares of our common stock in accordance with our stock ownership guidelines, as described in more detail under “Compensation Decision-Making Processes – Other Compensation Policies and Practices” below.</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Fiscal 2020 Executive Compensation Program Design</w:t>
      </w:r>
    </w:p>
    <w:p>
      <w:pPr>
        <w:spacing w:after="0" w:line="129" w:lineRule="exact"/>
        <w:rPr>
          <w:sz w:val="20"/>
          <w:szCs w:val="20"/>
          <w:color w:val="auto"/>
        </w:rPr>
      </w:pPr>
    </w:p>
    <w:p>
      <w:pPr>
        <w:ind w:left="120" w:right="120"/>
        <w:spacing w:after="0" w:line="248" w:lineRule="auto"/>
        <w:rPr>
          <w:sz w:val="20"/>
          <w:szCs w:val="20"/>
          <w:color w:val="auto"/>
        </w:rPr>
      </w:pPr>
      <w:r>
        <w:rPr>
          <w:rFonts w:ascii="Arial" w:cs="Arial" w:eastAsia="Arial" w:hAnsi="Arial"/>
          <w:sz w:val="16"/>
          <w:szCs w:val="16"/>
          <w:color w:val="auto"/>
        </w:rPr>
        <w:t>Our fiscal 2020 executive compensation program is designed to meet the objectives described above and consists of base salary, short-term incentive awards and long-term equity-based incentive awards. For our Named Executive Officers, base salary generally accounts, on average, for approximately 15% of their target total direct compensation. In addition, short-term incentive award opportunities, which may be paid in cash or equity at the Committee’s discretion, generally account for approximately 16% of their target total direct compensation, while long-term equity-based incentive award opportunities are comprised of performance- and service-based RSUs and generally account for approximately 69% of their target total direct compensation. Our executive compensation philosophy emphasizes team effort, which we believe fosters rapid adjustment and adaptation to fast-changing market conditions. We believe that our combination of short-term incentive awards and long-term performance- and service-based RSUs helps us achieve our long-term goals and will continue to align the interests of our executive officers, including the Named Executive Officers, with those of Qorvo and our stockholders.</w:t>
      </w:r>
    </w:p>
    <w:p>
      <w:pPr>
        <w:spacing w:after="0" w:line="206" w:lineRule="exact"/>
        <w:rPr>
          <w:sz w:val="20"/>
          <w:szCs w:val="20"/>
          <w:color w:val="auto"/>
        </w:rPr>
      </w:pPr>
    </w:p>
    <w:p>
      <w:pPr>
        <w:ind w:left="120" w:right="120"/>
        <w:spacing w:after="0" w:line="248" w:lineRule="auto"/>
        <w:rPr>
          <w:sz w:val="20"/>
          <w:szCs w:val="20"/>
          <w:color w:val="auto"/>
        </w:rPr>
      </w:pPr>
      <w:r>
        <w:rPr>
          <w:rFonts w:ascii="Arial" w:cs="Arial" w:eastAsia="Arial" w:hAnsi="Arial"/>
          <w:sz w:val="16"/>
          <w:szCs w:val="16"/>
          <w:color w:val="auto"/>
        </w:rPr>
        <w:t>For our Named Executive Officers other than Mr. Fego, approximately 60% of the target total long-term equity-based incentive awards are performance-based, while the balance is service-based. In August 2019, the Committee approved an increase in Mr. Fego’s target short-term incentive award to 90% of his base salary, retroactive to the beginning of fiscal 2020. The Committee also approved an increase in Mr. Fego’s target total equity compensation. This increase was implemented through the grant of additional Service-based RSUs in August 2019, which resulted in a temporary decrease in the weighting of Objectives-based RSUs in Mr. Fego’s target total equity compensation from 60% to 40% for fiscal 2020. The Committee took such action after consideration of Mr. Fego’s leadership role in consolidating the Company’s global operations organizations, and to bring his target total direct compensation in line with our other Named Executive Officers, excluding our CEO. The Objectives-based RSU awards are linked to the achievement of annual Company performance objectives, which awards, if earned, vest one-half when earned over a one-year performance period and one-half over an additional two-year period. These performance-based awards are “at-risk” and do not contain any minimum guaranteed award.</w:t>
      </w:r>
    </w:p>
    <w:p>
      <w:pPr>
        <w:spacing w:after="0" w:line="206" w:lineRule="exact"/>
        <w:rPr>
          <w:sz w:val="20"/>
          <w:szCs w:val="20"/>
          <w:color w:val="auto"/>
        </w:rPr>
      </w:pPr>
    </w:p>
    <w:p>
      <w:pPr>
        <w:ind w:left="120" w:right="140"/>
        <w:spacing w:after="0" w:line="248" w:lineRule="auto"/>
        <w:rPr>
          <w:sz w:val="20"/>
          <w:szCs w:val="20"/>
          <w:color w:val="auto"/>
        </w:rPr>
      </w:pPr>
      <w:r>
        <w:rPr>
          <w:rFonts w:ascii="Arial" w:cs="Arial" w:eastAsia="Arial" w:hAnsi="Arial"/>
          <w:sz w:val="16"/>
          <w:szCs w:val="16"/>
          <w:color w:val="auto"/>
        </w:rPr>
        <w:t>Our qualified defined contribution 401(k) plan and nonqualified deferred compensation plan are the only retirement plans available to our employees in the United States. To complement these plans, we have made competitive annual performance-based and service-based equity awards to our Named Executive Officers that have extended vesting periods or award terms. The purpose of these awards, which are discussed in more detail below, is to motivate and reward strong corporate performance and to retain valued executives. We also use long-term equity incentive awards to attract and recruit qualified executives. We believe that equity awards serve to align the interests of our Named Executive Officers with those of our stockholders by rewarding them for stock price growth. Because a significant percentage of our Named Executive Officers’ target total direct compensation is in the form of equity awards with long-term vesting requirements and no guarantee of being earned, we believe our Named Executive Officers are motivated to take actions that will benefit the Company and our stockholders in the long term.</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Fiscal 2021 Executive Compensation Program Design</w:t>
      </w:r>
    </w:p>
    <w:p>
      <w:pPr>
        <w:spacing w:after="0" w:line="129" w:lineRule="exact"/>
        <w:rPr>
          <w:sz w:val="20"/>
          <w:szCs w:val="20"/>
          <w:color w:val="auto"/>
        </w:rPr>
      </w:pPr>
    </w:p>
    <w:p>
      <w:pPr>
        <w:ind w:left="120" w:right="360"/>
        <w:spacing w:after="0" w:line="260" w:lineRule="auto"/>
        <w:rPr>
          <w:sz w:val="20"/>
          <w:szCs w:val="20"/>
          <w:color w:val="auto"/>
        </w:rPr>
      </w:pPr>
      <w:r>
        <w:rPr>
          <w:rFonts w:ascii="Arial" w:cs="Arial" w:eastAsia="Arial" w:hAnsi="Arial"/>
          <w:sz w:val="16"/>
          <w:szCs w:val="16"/>
          <w:color w:val="auto"/>
        </w:rPr>
        <w:t>Shortly before the end of fiscal 2020, the Committee set the base salary and target short-term incentive award opportunities for our Named Executive Officers for fiscal 2021; however, the Committee decided to postpone any base salary increases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80010</wp:posOffset>
            </wp:positionV>
            <wp:extent cx="58293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i w:val="1"/>
          <w:iCs w:val="1"/>
          <w:color w:val="1269BC"/>
        </w:rPr>
        <w:t>2020 Proxy Statement</w:t>
      </w:r>
      <w:r>
        <w:rPr>
          <w:sz w:val="20"/>
          <w:szCs w:val="20"/>
          <w:color w:val="auto"/>
        </w:rPr>
        <w:tab/>
      </w:r>
      <w:r>
        <w:rPr>
          <w:rFonts w:ascii="Arial" w:cs="Arial" w:eastAsia="Arial" w:hAnsi="Arial"/>
          <w:sz w:val="17"/>
          <w:szCs w:val="17"/>
          <w:color w:val="auto"/>
        </w:rPr>
        <w:t>23</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5"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Named Executive Officers due to the market uncertainties resulting from the COVID-19 pandemic. Further, no changes were made to the target short-term incentive award opportunities for fiscal 2021 for the Named Executive Officers. These compensation levels were set based both on the performance, experience and criticality to us of our Named Executive Officers as well as market context provided by the Committee’s independent compensation consultant and reflecting practices and pay levels among companies in our compensation peer group. Long-term performance-based equity awards were granted to our Named Executive Officers and other management team members for fiscal 2021 in May 2020 based on similar criteria. The Committee will continue to monitor the impact of the COVID-19 pandemic and may determine to make additional changes to our executive compensation program that take into account the effects of the pandemic.</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Compensation Decision-Making Processes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Role of the Compensation Committee</w:t>
      </w:r>
    </w:p>
    <w:p>
      <w:pPr>
        <w:spacing w:after="0" w:line="129" w:lineRule="exact"/>
        <w:rPr>
          <w:sz w:val="20"/>
          <w:szCs w:val="20"/>
          <w:color w:val="auto"/>
        </w:rPr>
      </w:pPr>
    </w:p>
    <w:p>
      <w:pPr>
        <w:ind w:left="120" w:right="120"/>
        <w:spacing w:after="0" w:line="248" w:lineRule="auto"/>
        <w:rPr>
          <w:sz w:val="20"/>
          <w:szCs w:val="20"/>
          <w:color w:val="auto"/>
        </w:rPr>
      </w:pPr>
      <w:r>
        <w:rPr>
          <w:rFonts w:ascii="Arial" w:cs="Arial" w:eastAsia="Arial" w:hAnsi="Arial"/>
          <w:sz w:val="16"/>
          <w:szCs w:val="16"/>
          <w:color w:val="auto"/>
        </w:rPr>
        <w:t>The Compensation Committee is appointed by the Board to exercise the Board’s authority to set compensation of our officers (including the Named Executive Officers), to make recommendations to the Board regarding compensation of our non-employee directors and to administer our incentive compensation plans. See “Corporate Governance – Committees and Meetings – Compensation Committee,” above. The current members of the Committee are Mr. Ho, Dr. Rhines (Chair), Ms. Spradley and Mr. Wilkinson. The Committee typically meets in separate session in connection with regularly-scheduled meetings of the Board. In addition, the Committee often schedules special meetings, either by telephone or in person, as necessary to fulfill its duties. Meeting agendas are established by the Chair after consultation with the Chief Human Resources Officer, other members of the Committee and our CEO.</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Role of the Compensation Consultant</w:t>
      </w:r>
    </w:p>
    <w:p>
      <w:pPr>
        <w:spacing w:after="0" w:line="129" w:lineRule="exact"/>
        <w:rPr>
          <w:sz w:val="20"/>
          <w:szCs w:val="20"/>
          <w:color w:val="auto"/>
        </w:rPr>
      </w:pPr>
    </w:p>
    <w:p>
      <w:pPr>
        <w:ind w:left="120" w:right="120"/>
        <w:spacing w:after="0" w:line="248" w:lineRule="auto"/>
        <w:rPr>
          <w:sz w:val="20"/>
          <w:szCs w:val="20"/>
          <w:color w:val="auto"/>
        </w:rPr>
      </w:pPr>
      <w:r>
        <w:rPr>
          <w:rFonts w:ascii="Arial" w:cs="Arial" w:eastAsia="Arial" w:hAnsi="Arial"/>
          <w:sz w:val="16"/>
          <w:szCs w:val="16"/>
          <w:color w:val="auto"/>
        </w:rPr>
        <w:t>The Committee has retained the compensation consulting firm Compensia, Inc., which we refer to as Compensia, to assist it with executive, equity and non-employee director compensation matters. The Committee selected Compensia based primarily on its principals’ depth of experience in the technology industry and its prior performance as a consultant to the Committee. During fiscal 2019, Compensia supported the Committee in reviewing and finalizing the fiscal 2020 compensation of our Named Executive Officers. In addition, during fiscal 2020, Compensia worked with the Committee to help ensure that our compensation practices were appropriate for our industry and also provided an analysis of non-employee director compensation, in each case for the Committee’s use in setting fiscal 2021 compensation. Compensia’s recommendations to the Committee generally included suggested ranges for compensation or descriptions of policies that Compensia currently considers “best practices” in our industry.</w:t>
      </w:r>
    </w:p>
    <w:p>
      <w:pPr>
        <w:spacing w:after="0" w:line="208"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During fiscal 2020, Compensia only worked for the Committee and performed no additional services for Qorvo or any of the Named Executive Officers. The Committee approved the engagement of Compensia, including the major projects to be performed and the proposed budget for such work. During fiscal 2020, neither the Committee nor our management used the services of any other compensation consultant other than Compensia. All the work performed by Compensia is performed at the direction of the Committee. In connection with its engagement of Compensia, the Committee considered the factors set forth in the listing standards of the Nasdaq and the relevant SEC rules on advisor independence and determined that Compensia was independent and that its engagement did not present any conflicts of interest.</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Role of Executives in Establishing Compensation</w:t>
      </w:r>
    </w:p>
    <w:p>
      <w:pPr>
        <w:spacing w:after="0" w:line="129" w:lineRule="exact"/>
        <w:rPr>
          <w:sz w:val="20"/>
          <w:szCs w:val="20"/>
          <w:color w:val="auto"/>
        </w:rPr>
      </w:pPr>
    </w:p>
    <w:p>
      <w:pPr>
        <w:ind w:left="120" w:right="180"/>
        <w:spacing w:after="0" w:line="253" w:lineRule="auto"/>
        <w:rPr>
          <w:sz w:val="20"/>
          <w:szCs w:val="20"/>
          <w:color w:val="auto"/>
        </w:rPr>
      </w:pPr>
      <w:r>
        <w:rPr>
          <w:rFonts w:ascii="Arial" w:cs="Arial" w:eastAsia="Arial" w:hAnsi="Arial"/>
          <w:sz w:val="16"/>
          <w:szCs w:val="16"/>
          <w:color w:val="auto"/>
        </w:rPr>
        <w:t>During fiscal 2020, there was a continuing dialogue among our CEO, other members of management (particularly the Chief Human Resources Officer), Compensia and Committee members regarding compensation considerations. Each of these parties was and continues to be encouraged to propose ideas or issues for the Committee to consider and evaluate with respect to our compensation structure and philosophy.</w:t>
      </w:r>
    </w:p>
    <w:p>
      <w:pPr>
        <w:spacing w:after="0" w:line="201" w:lineRule="exact"/>
        <w:rPr>
          <w:sz w:val="20"/>
          <w:szCs w:val="20"/>
          <w:color w:val="auto"/>
        </w:rPr>
      </w:pPr>
    </w:p>
    <w:p>
      <w:pPr>
        <w:ind w:left="120" w:right="360"/>
        <w:spacing w:after="0" w:line="251" w:lineRule="auto"/>
        <w:rPr>
          <w:sz w:val="20"/>
          <w:szCs w:val="20"/>
          <w:color w:val="auto"/>
        </w:rPr>
      </w:pPr>
      <w:r>
        <w:rPr>
          <w:rFonts w:ascii="Arial" w:cs="Arial" w:eastAsia="Arial" w:hAnsi="Arial"/>
          <w:sz w:val="16"/>
          <w:szCs w:val="16"/>
          <w:color w:val="auto"/>
        </w:rPr>
        <w:t>The Committee, following consultation with Compensia, establishes the annual base salary, short-term incentive award opportunities and long-term equity-based incentive award opportunities for our CEO, Mr. Bruggeworth. Mr. Bruggeworth typically recommends to the Committee the annual base salary, short-term incentive award opportunities and long-term equity-based incentive award opportunities for the other members of the executive management team, including the other Named Executive Officers, for the Committee’s review, modification and approval.</w:t>
      </w:r>
    </w:p>
    <w:p>
      <w:pPr>
        <w:spacing w:after="0" w:line="202"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To assist the Committee in overseeing compensation practices, the Committee periodically requests that the Human Resources, Finance and Legal Departments’ personnel present information on compensation-related topics. Therefore, certain members of the executive management team or other employees attended portions of some Committee meetings during fiscal 2020 to fulfill these requests. Our Chief Human Resources Officer attended substantially all of the Committee’s meetings and typically served as secretary of the meetings, but did not participate in executive sessions or any portion of any meeting where his own compensation was being determined. Our CEO also attended all of the Committee’s meetings during fiscal 2020, but did not attend any portion of any meeting where his own compensation was being determined. In addition, when deemed appropriate, the Committee held a portion of certain meetings during fiscal 2020 in executive session with only Committee members and, in some cases, Committee advisors present.</w:t>
      </w:r>
    </w:p>
    <w:p>
      <w:pPr>
        <w:spacing w:after="0" w:line="139" w:lineRule="exact"/>
        <w:rPr>
          <w:sz w:val="20"/>
          <w:szCs w:val="20"/>
          <w:color w:val="auto"/>
        </w:rPr>
      </w:pPr>
    </w:p>
    <w:p>
      <w:pPr>
        <w:ind w:left="120"/>
        <w:spacing w:after="0"/>
        <w:tabs>
          <w:tab w:leader="none" w:pos="541" w:val="left"/>
        </w:tabs>
        <w:rPr>
          <w:sz w:val="20"/>
          <w:szCs w:val="20"/>
          <w:color w:val="auto"/>
        </w:rPr>
      </w:pPr>
      <w:r>
        <w:rPr>
          <w:rFonts w:ascii="Arial" w:cs="Arial" w:eastAsia="Arial" w:hAnsi="Arial"/>
          <w:sz w:val="18"/>
          <w:szCs w:val="18"/>
          <w:color w:val="auto"/>
        </w:rPr>
        <w:t>24</w:t>
      </w:r>
      <w:r>
        <w:rPr>
          <w:sz w:val="20"/>
          <w:szCs w:val="20"/>
          <w:color w:val="auto"/>
        </w:rPr>
        <w:tab/>
      </w:r>
      <w:r>
        <w:rPr>
          <w:sz w:val="1"/>
          <w:szCs w:val="1"/>
          <w:color w:val="auto"/>
        </w:rPr>
        <w:drawing>
          <wp:inline distT="0" distB="0" distL="0" distR="0">
            <wp:extent cx="582930" cy="1371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i w:val="1"/>
          <w:iCs w:val="1"/>
          <w:color w:val="1269BC"/>
        </w:rPr>
        <w:t xml:space="preserve">   2020 Proxy Statement</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14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Use of Industry Comparative Data</w:t>
      </w:r>
    </w:p>
    <w:p>
      <w:pPr>
        <w:spacing w:after="0" w:line="129" w:lineRule="exact"/>
        <w:rPr>
          <w:sz w:val="20"/>
          <w:szCs w:val="20"/>
          <w:color w:val="auto"/>
        </w:rPr>
      </w:pPr>
    </w:p>
    <w:p>
      <w:pPr>
        <w:ind w:left="120" w:right="20"/>
        <w:spacing w:after="0" w:line="227" w:lineRule="auto"/>
        <w:rPr>
          <w:sz w:val="20"/>
          <w:szCs w:val="20"/>
          <w:color w:val="auto"/>
        </w:rPr>
      </w:pPr>
      <w:r>
        <w:rPr>
          <w:rFonts w:ascii="Arial" w:cs="Arial" w:eastAsia="Arial" w:hAnsi="Arial"/>
          <w:sz w:val="16"/>
          <w:szCs w:val="16"/>
          <w:color w:val="auto"/>
        </w:rPr>
        <w:t>We operate in a highly competitive industry in which retention of qualified personnel is a critical factor in operating a successful business. As such, we try to understand as much as possible about the total compensation levels and practices at other companies in our industry. With the help of Compensia, our CEO and our Chief Human Resources Officer, the Committee has developed a peer group of companies to better understand the competitive market for executive talent that it reviews at least annually and, if appropriate, adjusts periodically. The companies included in this peer group generally have revenue ranging from one-half to two and one-half times our annual revenue, market capitalizations ranging from one-quarter to three and one-half times our market capitalization and are in the semiconductor, semiconductor equipment and communications equipment business sectors. The peer group is constructed such that the median revenue size of the peer group is at or close to our projected annual revenue. At the time of the development of the peer group, Qorvo was at the 49</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revenue and the 30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market capitalization of these companies. The peer group used in fiscal</w:t>
      </w:r>
    </w:p>
    <w:p>
      <w:pPr>
        <w:ind w:left="120"/>
        <w:spacing w:after="0"/>
        <w:rPr>
          <w:sz w:val="20"/>
          <w:szCs w:val="20"/>
          <w:color w:val="auto"/>
        </w:rPr>
      </w:pPr>
      <w:r>
        <w:rPr>
          <w:rFonts w:ascii="Arial" w:cs="Arial" w:eastAsia="Arial" w:hAnsi="Arial"/>
          <w:sz w:val="16"/>
          <w:szCs w:val="16"/>
          <w:color w:val="auto"/>
        </w:rPr>
        <w:t>2020 consisted of the following 12 companies: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140" w:type="dxa"/>
            <w:vAlign w:val="bottom"/>
          </w:tcPr>
          <w:p>
            <w:pPr>
              <w:spacing w:after="0"/>
              <w:rPr>
                <w:sz w:val="20"/>
                <w:szCs w:val="20"/>
                <w:color w:val="auto"/>
              </w:rPr>
            </w:pPr>
            <w:r>
              <w:rPr>
                <w:rFonts w:ascii="Arial" w:cs="Arial" w:eastAsia="Arial" w:hAnsi="Arial"/>
                <w:sz w:val="16"/>
                <w:szCs w:val="16"/>
                <w:color w:val="auto"/>
              </w:rPr>
              <w:t>Advanced Micro Devices, Inc.</w:t>
            </w:r>
          </w:p>
        </w:tc>
        <w:tc>
          <w:tcPr>
            <w:tcW w:w="4200" w:type="dxa"/>
            <w:vAlign w:val="bottom"/>
          </w:tcPr>
          <w:p>
            <w:pPr>
              <w:ind w:left="1020"/>
              <w:spacing w:after="0"/>
              <w:rPr>
                <w:sz w:val="20"/>
                <w:szCs w:val="20"/>
                <w:color w:val="auto"/>
              </w:rPr>
            </w:pPr>
            <w:r>
              <w:rPr>
                <w:rFonts w:ascii="Arial" w:cs="Arial" w:eastAsia="Arial" w:hAnsi="Arial"/>
                <w:sz w:val="16"/>
                <w:szCs w:val="16"/>
                <w:color w:val="auto"/>
              </w:rPr>
              <w:t>Cypress Semiconductor Corporation</w:t>
            </w:r>
          </w:p>
        </w:tc>
        <w:tc>
          <w:tcPr>
            <w:tcW w:w="3080" w:type="dxa"/>
            <w:vAlign w:val="bottom"/>
          </w:tcPr>
          <w:p>
            <w:pPr>
              <w:ind w:left="560"/>
              <w:spacing w:after="0"/>
              <w:rPr>
                <w:sz w:val="20"/>
                <w:szCs w:val="20"/>
                <w:color w:val="auto"/>
              </w:rPr>
            </w:pPr>
            <w:r>
              <w:rPr>
                <w:rFonts w:ascii="Arial" w:cs="Arial" w:eastAsia="Arial" w:hAnsi="Arial"/>
                <w:sz w:val="16"/>
                <w:szCs w:val="16"/>
                <w:color w:val="auto"/>
              </w:rPr>
              <w:t>Microchip Technology Incorporated</w:t>
            </w:r>
          </w:p>
        </w:tc>
      </w:tr>
      <w:tr>
        <w:trPr>
          <w:trHeight w:val="189"/>
        </w:trPr>
        <w:tc>
          <w:tcPr>
            <w:tcW w:w="3140" w:type="dxa"/>
            <w:vAlign w:val="bottom"/>
          </w:tcPr>
          <w:p>
            <w:pPr>
              <w:spacing w:after="0"/>
              <w:rPr>
                <w:sz w:val="20"/>
                <w:szCs w:val="20"/>
                <w:color w:val="auto"/>
              </w:rPr>
            </w:pPr>
            <w:r>
              <w:rPr>
                <w:rFonts w:ascii="Arial" w:cs="Arial" w:eastAsia="Arial" w:hAnsi="Arial"/>
                <w:sz w:val="16"/>
                <w:szCs w:val="16"/>
                <w:color w:val="auto"/>
              </w:rPr>
              <w:t>Analog Devices, Inc.</w:t>
            </w:r>
          </w:p>
        </w:tc>
        <w:tc>
          <w:tcPr>
            <w:tcW w:w="4200" w:type="dxa"/>
            <w:vAlign w:val="bottom"/>
          </w:tcPr>
          <w:p>
            <w:pPr>
              <w:ind w:left="1020"/>
              <w:spacing w:after="0"/>
              <w:rPr>
                <w:sz w:val="20"/>
                <w:szCs w:val="20"/>
                <w:color w:val="auto"/>
              </w:rPr>
            </w:pPr>
            <w:r>
              <w:rPr>
                <w:rFonts w:ascii="Arial" w:cs="Arial" w:eastAsia="Arial" w:hAnsi="Arial"/>
                <w:sz w:val="16"/>
                <w:szCs w:val="16"/>
                <w:color w:val="auto"/>
              </w:rPr>
              <w:t>KLA-Tencor Corporation</w:t>
            </w:r>
          </w:p>
        </w:tc>
        <w:tc>
          <w:tcPr>
            <w:tcW w:w="3080" w:type="dxa"/>
            <w:vAlign w:val="bottom"/>
          </w:tcPr>
          <w:p>
            <w:pPr>
              <w:ind w:left="560"/>
              <w:spacing w:after="0"/>
              <w:rPr>
                <w:sz w:val="20"/>
                <w:szCs w:val="20"/>
                <w:color w:val="auto"/>
              </w:rPr>
            </w:pPr>
            <w:r>
              <w:rPr>
                <w:rFonts w:ascii="Arial" w:cs="Arial" w:eastAsia="Arial" w:hAnsi="Arial"/>
                <w:sz w:val="16"/>
                <w:szCs w:val="16"/>
                <w:color w:val="auto"/>
              </w:rPr>
              <w:t>ON Semiconductor Corp.</w:t>
            </w:r>
          </w:p>
        </w:tc>
      </w:tr>
      <w:tr>
        <w:trPr>
          <w:trHeight w:val="189"/>
        </w:trPr>
        <w:tc>
          <w:tcPr>
            <w:tcW w:w="3140" w:type="dxa"/>
            <w:vAlign w:val="bottom"/>
          </w:tcPr>
          <w:p>
            <w:pPr>
              <w:spacing w:after="0"/>
              <w:rPr>
                <w:sz w:val="20"/>
                <w:szCs w:val="20"/>
                <w:color w:val="auto"/>
              </w:rPr>
            </w:pPr>
            <w:r>
              <w:rPr>
                <w:rFonts w:ascii="Arial" w:cs="Arial" w:eastAsia="Arial" w:hAnsi="Arial"/>
                <w:sz w:val="16"/>
                <w:szCs w:val="16"/>
                <w:color w:val="auto"/>
              </w:rPr>
              <w:t>Cirrus Logic, Inc.</w:t>
            </w:r>
          </w:p>
        </w:tc>
        <w:tc>
          <w:tcPr>
            <w:tcW w:w="4200" w:type="dxa"/>
            <w:vAlign w:val="bottom"/>
          </w:tcPr>
          <w:p>
            <w:pPr>
              <w:ind w:left="1020"/>
              <w:spacing w:after="0"/>
              <w:rPr>
                <w:sz w:val="20"/>
                <w:szCs w:val="20"/>
                <w:color w:val="auto"/>
              </w:rPr>
            </w:pPr>
            <w:r>
              <w:rPr>
                <w:rFonts w:ascii="Arial" w:cs="Arial" w:eastAsia="Arial" w:hAnsi="Arial"/>
                <w:sz w:val="16"/>
                <w:szCs w:val="16"/>
                <w:color w:val="auto"/>
              </w:rPr>
              <w:t>Marvell Technology Group Ltd.</w:t>
            </w:r>
          </w:p>
        </w:tc>
        <w:tc>
          <w:tcPr>
            <w:tcW w:w="3080" w:type="dxa"/>
            <w:vAlign w:val="bottom"/>
          </w:tcPr>
          <w:p>
            <w:pPr>
              <w:ind w:left="560"/>
              <w:spacing w:after="0"/>
              <w:rPr>
                <w:sz w:val="20"/>
                <w:szCs w:val="20"/>
                <w:color w:val="auto"/>
              </w:rPr>
            </w:pPr>
            <w:r>
              <w:rPr>
                <w:rFonts w:ascii="Arial" w:cs="Arial" w:eastAsia="Arial" w:hAnsi="Arial"/>
                <w:sz w:val="16"/>
                <w:szCs w:val="16"/>
                <w:color w:val="auto"/>
              </w:rPr>
              <w:t>Skyworks Solutions, Inc.</w:t>
            </w:r>
          </w:p>
        </w:tc>
      </w:tr>
      <w:tr>
        <w:trPr>
          <w:trHeight w:val="195"/>
        </w:trPr>
        <w:tc>
          <w:tcPr>
            <w:tcW w:w="3140" w:type="dxa"/>
            <w:vAlign w:val="bottom"/>
          </w:tcPr>
          <w:p>
            <w:pPr>
              <w:spacing w:after="0"/>
              <w:rPr>
                <w:sz w:val="20"/>
                <w:szCs w:val="20"/>
                <w:color w:val="auto"/>
              </w:rPr>
            </w:pPr>
            <w:r>
              <w:rPr>
                <w:rFonts w:ascii="Arial" w:cs="Arial" w:eastAsia="Arial" w:hAnsi="Arial"/>
                <w:sz w:val="16"/>
                <w:szCs w:val="16"/>
                <w:color w:val="auto"/>
              </w:rPr>
              <w:t>Cree, Inc.</w:t>
            </w:r>
          </w:p>
        </w:tc>
        <w:tc>
          <w:tcPr>
            <w:tcW w:w="4200" w:type="dxa"/>
            <w:vAlign w:val="bottom"/>
          </w:tcPr>
          <w:p>
            <w:pPr>
              <w:ind w:left="1020"/>
              <w:spacing w:after="0"/>
              <w:rPr>
                <w:sz w:val="20"/>
                <w:szCs w:val="20"/>
                <w:color w:val="auto"/>
              </w:rPr>
            </w:pPr>
            <w:r>
              <w:rPr>
                <w:rFonts w:ascii="Arial" w:cs="Arial" w:eastAsia="Arial" w:hAnsi="Arial"/>
                <w:sz w:val="16"/>
                <w:szCs w:val="16"/>
                <w:color w:val="auto"/>
              </w:rPr>
              <w:t>Maxim Integrated Products, Inc.</w:t>
            </w:r>
          </w:p>
        </w:tc>
        <w:tc>
          <w:tcPr>
            <w:tcW w:w="3080" w:type="dxa"/>
            <w:vAlign w:val="bottom"/>
          </w:tcPr>
          <w:p>
            <w:pPr>
              <w:ind w:left="560"/>
              <w:spacing w:after="0"/>
              <w:rPr>
                <w:sz w:val="20"/>
                <w:szCs w:val="20"/>
                <w:color w:val="auto"/>
              </w:rPr>
            </w:pPr>
            <w:r>
              <w:rPr>
                <w:rFonts w:ascii="Arial" w:cs="Arial" w:eastAsia="Arial" w:hAnsi="Arial"/>
                <w:sz w:val="16"/>
                <w:szCs w:val="16"/>
                <w:color w:val="auto"/>
              </w:rPr>
              <w:t>Xilinx, Inc.</w:t>
            </w:r>
          </w:p>
        </w:tc>
      </w:tr>
    </w:tbl>
    <w:p>
      <w:pPr>
        <w:spacing w:after="0" w:line="224"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In consultation with Compensia, the Committee made changes to the peer group for fiscal 2020 to better align the group with Qorvo’s revenue and market capitalization, and to account for mergers and acquisitions within our industry. Specifically, the Committee removed Microsemi Corporation (which had been acquired by Microchip Technology Incorporated) and Lam Research Corporation (which was not a direct competitor and had revenue that exceeded the target range at the time of our peer group review) from the peer group.</w:t>
      </w:r>
    </w:p>
    <w:p>
      <w:pPr>
        <w:spacing w:after="0" w:line="202" w:lineRule="exact"/>
        <w:rPr>
          <w:sz w:val="20"/>
          <w:szCs w:val="20"/>
          <w:color w:val="auto"/>
        </w:rPr>
      </w:pPr>
    </w:p>
    <w:p>
      <w:pPr>
        <w:ind w:left="120" w:right="240"/>
        <w:spacing w:after="0" w:line="251" w:lineRule="auto"/>
        <w:rPr>
          <w:sz w:val="20"/>
          <w:szCs w:val="20"/>
          <w:color w:val="auto"/>
        </w:rPr>
      </w:pPr>
      <w:r>
        <w:rPr>
          <w:rFonts w:ascii="Arial" w:cs="Arial" w:eastAsia="Arial" w:hAnsi="Arial"/>
          <w:sz w:val="16"/>
          <w:szCs w:val="16"/>
          <w:color w:val="auto"/>
        </w:rPr>
        <w:t>We generally have referred to peer group data to help establish base salaries and target short-term incentive award opportunities for each Named Executive Officer. When considering the peer group data to establish base salaries and short-term incentive award opportunities, the Committee also considers each Named Executive Officer’s performance, level of responsibility in comparison to the other Named Executive Officers and internal equity and other considerations and then makes adjustments it deems appropriate.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Other Compensation Policies and Practices</w:t>
      </w:r>
    </w:p>
    <w:p>
      <w:pPr>
        <w:spacing w:after="0" w:line="129" w:lineRule="exact"/>
        <w:rPr>
          <w:sz w:val="20"/>
          <w:szCs w:val="20"/>
          <w:color w:val="auto"/>
        </w:rPr>
      </w:pPr>
    </w:p>
    <w:p>
      <w:pPr>
        <w:ind w:left="120" w:right="100"/>
        <w:spacing w:after="0" w:line="260" w:lineRule="auto"/>
        <w:rPr>
          <w:sz w:val="20"/>
          <w:szCs w:val="20"/>
          <w:color w:val="auto"/>
        </w:rPr>
      </w:pPr>
      <w:r>
        <w:rPr>
          <w:rFonts w:ascii="Arial" w:cs="Arial" w:eastAsia="Arial" w:hAnsi="Arial"/>
          <w:sz w:val="16"/>
          <w:szCs w:val="16"/>
          <w:color w:val="auto"/>
        </w:rPr>
        <w:t>With the assistance of the Committee, Compensia and the executive management team, we have developed certain policies and practices that we relied upon during fiscal 2020 and that we expect to continue to rely upon during fiscal 2021:</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6"/>
          <w:szCs w:val="16"/>
          <w:color w:val="1269BC"/>
        </w:rPr>
        <w:t>Incentive-Based Compensation Policies</w:t>
      </w:r>
    </w:p>
    <w:p>
      <w:pPr>
        <w:spacing w:after="0" w:line="127" w:lineRule="exact"/>
        <w:rPr>
          <w:sz w:val="20"/>
          <w:szCs w:val="20"/>
          <w:color w:val="auto"/>
        </w:rPr>
      </w:pPr>
    </w:p>
    <w:p>
      <w:pPr>
        <w:ind w:left="980" w:right="160" w:hanging="324"/>
        <w:spacing w:after="0" w:line="248" w:lineRule="auto"/>
        <w:tabs>
          <w:tab w:leader="none" w:pos="980" w:val="left"/>
        </w:tabs>
        <w:numPr>
          <w:ilvl w:val="0"/>
          <w:numId w:val="26"/>
        </w:numPr>
        <w:rPr>
          <w:rFonts w:ascii="Arial" w:cs="Arial" w:eastAsia="Arial" w:hAnsi="Arial"/>
          <w:sz w:val="16"/>
          <w:szCs w:val="16"/>
          <w:color w:val="1269BC"/>
        </w:rPr>
      </w:pPr>
      <w:r>
        <w:rPr>
          <w:rFonts w:ascii="Arial" w:cs="Arial" w:eastAsia="Arial" w:hAnsi="Arial"/>
          <w:sz w:val="16"/>
          <w:szCs w:val="16"/>
          <w:color w:val="auto"/>
        </w:rPr>
        <w:t>Short-term incentive award opportunities are linked to pre-established objective metrics for our financial performance during two six-month periods each fiscal year. As discussed in more detail below under “Elements of Compensation – Short-Term Incentive Opportunities,” each target short-term incentive award opportunity is expressed as a percentage of the Named Executive Officer’s base salary that is paid during the applicable performance period. The short-term incentive program is structured so that as the level of a Named Executive Officer’s responsibility at Qorvo increases, his target short-term incentive award opportunity as a percentage of his total base salary and target short-term incentive award opportunity will also increase, resulting in a greater percentage of his short-term incentive compensation being at-risk and linked to our operating performance.</w:t>
      </w:r>
    </w:p>
    <w:p>
      <w:pPr>
        <w:spacing w:after="0" w:line="113" w:lineRule="exact"/>
        <w:rPr>
          <w:rFonts w:ascii="Arial" w:cs="Arial" w:eastAsia="Arial" w:hAnsi="Arial"/>
          <w:sz w:val="16"/>
          <w:szCs w:val="16"/>
          <w:color w:val="1269BC"/>
        </w:rPr>
      </w:pPr>
    </w:p>
    <w:p>
      <w:pPr>
        <w:ind w:left="980" w:right="40" w:hanging="324"/>
        <w:spacing w:after="0" w:line="249" w:lineRule="auto"/>
        <w:tabs>
          <w:tab w:leader="none" w:pos="980" w:val="left"/>
        </w:tabs>
        <w:numPr>
          <w:ilvl w:val="0"/>
          <w:numId w:val="26"/>
        </w:numPr>
        <w:rPr>
          <w:rFonts w:ascii="Arial" w:cs="Arial" w:eastAsia="Arial" w:hAnsi="Arial"/>
          <w:sz w:val="16"/>
          <w:szCs w:val="16"/>
          <w:color w:val="1269BC"/>
        </w:rPr>
      </w:pPr>
      <w:r>
        <w:rPr>
          <w:rFonts w:ascii="Arial" w:cs="Arial" w:eastAsia="Arial" w:hAnsi="Arial"/>
          <w:sz w:val="16"/>
          <w:szCs w:val="16"/>
          <w:color w:val="auto"/>
        </w:rPr>
        <w:t>A substantial amount of each Named Executive Officer’s total long-term equity-based incentive compensation is performance-based. For fiscal 2020, our long-term performance-based equity awards were linked to our performance as measured against pre-established Company objectives. While each individual compensation component was set with reference to comparable data drawn from the peer group, taking into account the observations of Compensia as to best practices in our industry, the Committee established a policy that approximately 60% of the value of each Named Executive Officer’s potential long-term equity awards should be performance-based (excluding Mr. Fego). See “Elements of Compensation – Performance-Based Restricted Stock Unit Awards” below for more information.</w:t>
      </w:r>
    </w:p>
    <w:p>
      <w:pPr>
        <w:spacing w:after="0" w:line="110" w:lineRule="exact"/>
        <w:rPr>
          <w:rFonts w:ascii="Arial" w:cs="Arial" w:eastAsia="Arial" w:hAnsi="Arial"/>
          <w:sz w:val="16"/>
          <w:szCs w:val="16"/>
          <w:color w:val="1269BC"/>
        </w:rPr>
      </w:pPr>
    </w:p>
    <w:p>
      <w:pPr>
        <w:ind w:left="980" w:right="160" w:hanging="324"/>
        <w:spacing w:after="0" w:line="250" w:lineRule="auto"/>
        <w:tabs>
          <w:tab w:leader="none" w:pos="980" w:val="left"/>
        </w:tabs>
        <w:numPr>
          <w:ilvl w:val="0"/>
          <w:numId w:val="26"/>
        </w:numPr>
        <w:rPr>
          <w:rFonts w:ascii="Arial" w:cs="Arial" w:eastAsia="Arial" w:hAnsi="Arial"/>
          <w:sz w:val="16"/>
          <w:szCs w:val="16"/>
          <w:color w:val="1269BC"/>
        </w:rPr>
      </w:pPr>
      <w:r>
        <w:rPr>
          <w:rFonts w:ascii="Arial" w:cs="Arial" w:eastAsia="Arial" w:hAnsi="Arial"/>
          <w:sz w:val="16"/>
          <w:szCs w:val="16"/>
          <w:color w:val="auto"/>
        </w:rPr>
        <w:t>Targeted levels of equity awards (including both performance-based and service-based awards) for each Named Executive Officer, as is the case with base salary and short-term incentive award opportunities, are established after consideration of (a) comparable data drawn from the peer group; (b) each executive officer’s base salary and short-term incentive award opportunity; (c) past accomplishments and performance; (d) overall responsibilities and anticipated performance required for the upcoming fiscal year; and (e) internal equity and other considerations.</w:t>
      </w:r>
    </w:p>
    <w:p>
      <w:pPr>
        <w:spacing w:after="0" w:line="108" w:lineRule="exact"/>
        <w:rPr>
          <w:rFonts w:ascii="Arial" w:cs="Arial" w:eastAsia="Arial" w:hAnsi="Arial"/>
          <w:sz w:val="16"/>
          <w:szCs w:val="16"/>
          <w:color w:val="1269BC"/>
        </w:rPr>
      </w:pPr>
    </w:p>
    <w:p>
      <w:pPr>
        <w:ind w:left="980" w:right="700" w:hanging="324"/>
        <w:spacing w:after="0" w:line="260" w:lineRule="auto"/>
        <w:tabs>
          <w:tab w:leader="none" w:pos="980" w:val="left"/>
        </w:tabs>
        <w:numPr>
          <w:ilvl w:val="0"/>
          <w:numId w:val="26"/>
        </w:numPr>
        <w:rPr>
          <w:rFonts w:ascii="Arial" w:cs="Arial" w:eastAsia="Arial" w:hAnsi="Arial"/>
          <w:sz w:val="16"/>
          <w:szCs w:val="16"/>
          <w:color w:val="1269BC"/>
        </w:rPr>
      </w:pPr>
      <w:r>
        <w:rPr>
          <w:rFonts w:ascii="Arial" w:cs="Arial" w:eastAsia="Arial" w:hAnsi="Arial"/>
          <w:sz w:val="16"/>
          <w:szCs w:val="16"/>
          <w:color w:val="auto"/>
        </w:rPr>
        <w:t>Our fiscal 2020 long-term performance-based equity awards were linked to achievement during the year of key Company projects or initiatives that the Committee believed had a strong potential to impact long-term stockholder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80010</wp:posOffset>
            </wp:positionV>
            <wp:extent cx="58293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i w:val="1"/>
          <w:iCs w:val="1"/>
          <w:color w:val="1269BC"/>
        </w:rPr>
        <w:t>2020 Proxy Statement</w:t>
      </w:r>
      <w:r>
        <w:rPr>
          <w:sz w:val="20"/>
          <w:szCs w:val="20"/>
          <w:color w:val="auto"/>
        </w:rPr>
        <w:tab/>
      </w:r>
      <w:r>
        <w:rPr>
          <w:rFonts w:ascii="Arial" w:cs="Arial" w:eastAsia="Arial" w:hAnsi="Arial"/>
          <w:sz w:val="17"/>
          <w:szCs w:val="17"/>
          <w:color w:val="auto"/>
        </w:rPr>
        <w:t>25</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5" w:lineRule="exact"/>
        <w:rPr>
          <w:sz w:val="20"/>
          <w:szCs w:val="20"/>
          <w:color w:val="auto"/>
        </w:rPr>
      </w:pPr>
    </w:p>
    <w:p>
      <w:pPr>
        <w:ind w:left="120" w:right="6060" w:firstLine="536"/>
        <w:spacing w:after="0" w:line="397" w:lineRule="auto"/>
        <w:tabs>
          <w:tab w:leader="none" w:pos="984" w:val="left"/>
        </w:tabs>
        <w:numPr>
          <w:ilvl w:val="0"/>
          <w:numId w:val="27"/>
        </w:numPr>
        <w:rPr>
          <w:rFonts w:ascii="Arial" w:cs="Arial" w:eastAsia="Arial" w:hAnsi="Arial"/>
          <w:sz w:val="16"/>
          <w:szCs w:val="16"/>
          <w:color w:val="1269BC"/>
        </w:rPr>
      </w:pPr>
      <w:r>
        <w:rPr>
          <w:rFonts w:ascii="Arial" w:cs="Arial" w:eastAsia="Arial" w:hAnsi="Arial"/>
          <w:sz w:val="16"/>
          <w:szCs w:val="16"/>
          <w:color w:val="auto"/>
        </w:rPr>
        <w:t xml:space="preserve">We do not provide “perquisites” to our executive officers. </w:t>
      </w:r>
      <w:r>
        <w:rPr>
          <w:rFonts w:ascii="Arial" w:cs="Arial" w:eastAsia="Arial" w:hAnsi="Arial"/>
          <w:sz w:val="16"/>
          <w:szCs w:val="16"/>
          <w:color w:val="1269BC"/>
        </w:rPr>
        <w:t>Other Equity Award Grant Practices</w:t>
      </w:r>
    </w:p>
    <w:p>
      <w:pPr>
        <w:spacing w:after="0" w:line="12" w:lineRule="exact"/>
        <w:rPr>
          <w:rFonts w:ascii="Arial" w:cs="Arial" w:eastAsia="Arial" w:hAnsi="Arial"/>
          <w:sz w:val="16"/>
          <w:szCs w:val="16"/>
          <w:color w:val="1269BC"/>
        </w:rPr>
      </w:pPr>
    </w:p>
    <w:p>
      <w:pPr>
        <w:ind w:left="980" w:right="180" w:hanging="324"/>
        <w:spacing w:after="0" w:line="251" w:lineRule="auto"/>
        <w:tabs>
          <w:tab w:leader="none" w:pos="980" w:val="left"/>
        </w:tabs>
        <w:numPr>
          <w:ilvl w:val="0"/>
          <w:numId w:val="27"/>
        </w:numPr>
        <w:rPr>
          <w:rFonts w:ascii="Arial" w:cs="Arial" w:eastAsia="Arial" w:hAnsi="Arial"/>
          <w:sz w:val="16"/>
          <w:szCs w:val="16"/>
          <w:color w:val="1269BC"/>
        </w:rPr>
      </w:pPr>
      <w:r>
        <w:rPr>
          <w:rFonts w:ascii="Arial" w:cs="Arial" w:eastAsia="Arial" w:hAnsi="Arial"/>
          <w:sz w:val="16"/>
          <w:szCs w:val="16"/>
          <w:color w:val="auto"/>
        </w:rPr>
        <w:t>As part of the Committee’s regular process for determining whether performance-based compensation goals have been met, our Internal Audit Department reviews our performance against the applicable metrics for short-term incentive award opportunities and long-term performance-based equity compensation, confirms the level of achievement of the applicable metrics and issues a report to the Committee certifying the applicable calculations.</w:t>
      </w:r>
    </w:p>
    <w:p>
      <w:pPr>
        <w:spacing w:after="0" w:line="107" w:lineRule="exact"/>
        <w:rPr>
          <w:rFonts w:ascii="Arial" w:cs="Arial" w:eastAsia="Arial" w:hAnsi="Arial"/>
          <w:sz w:val="16"/>
          <w:szCs w:val="16"/>
          <w:color w:val="1269BC"/>
        </w:rPr>
      </w:pPr>
    </w:p>
    <w:p>
      <w:pPr>
        <w:ind w:left="980" w:right="60" w:hanging="324"/>
        <w:spacing w:after="0" w:line="250" w:lineRule="auto"/>
        <w:tabs>
          <w:tab w:leader="none" w:pos="980" w:val="left"/>
        </w:tabs>
        <w:numPr>
          <w:ilvl w:val="0"/>
          <w:numId w:val="27"/>
        </w:numPr>
        <w:rPr>
          <w:rFonts w:ascii="Arial" w:cs="Arial" w:eastAsia="Arial" w:hAnsi="Arial"/>
          <w:sz w:val="16"/>
          <w:szCs w:val="16"/>
          <w:color w:val="1269BC"/>
        </w:rPr>
      </w:pPr>
      <w:r>
        <w:rPr>
          <w:rFonts w:ascii="Arial" w:cs="Arial" w:eastAsia="Arial" w:hAnsi="Arial"/>
          <w:sz w:val="16"/>
          <w:szCs w:val="16"/>
          <w:color w:val="auto"/>
        </w:rPr>
        <w:t>In order to support the surviving family of an executive officer in the event of his or her death, for long-term equity-based incentive awards granted during or after fiscal 2016, both performance-based and service-based long-term equity awards will be treated as earned (at target levels if applicable) and fully vested in the event of the death of the executive officer prior to the end of the applicable performance or vesting period. Long-term performance-based equity awards will be eligible to be fully earned and vested to the extent performance goals are met in the event of death during or after the end of a performance period.</w:t>
      </w:r>
    </w:p>
    <w:p>
      <w:pPr>
        <w:spacing w:after="0" w:line="108" w:lineRule="exact"/>
        <w:rPr>
          <w:rFonts w:ascii="Arial" w:cs="Arial" w:eastAsia="Arial" w:hAnsi="Arial"/>
          <w:sz w:val="16"/>
          <w:szCs w:val="16"/>
          <w:color w:val="1269BC"/>
        </w:rPr>
      </w:pPr>
    </w:p>
    <w:p>
      <w:pPr>
        <w:ind w:left="980" w:hanging="324"/>
        <w:spacing w:after="0" w:line="248" w:lineRule="auto"/>
        <w:tabs>
          <w:tab w:leader="none" w:pos="980" w:val="left"/>
        </w:tabs>
        <w:numPr>
          <w:ilvl w:val="0"/>
          <w:numId w:val="27"/>
        </w:numPr>
        <w:rPr>
          <w:rFonts w:ascii="Arial" w:cs="Arial" w:eastAsia="Arial" w:hAnsi="Arial"/>
          <w:sz w:val="16"/>
          <w:szCs w:val="16"/>
          <w:color w:val="1269BC"/>
        </w:rPr>
      </w:pPr>
      <w:r>
        <w:rPr>
          <w:rFonts w:ascii="Arial" w:cs="Arial" w:eastAsia="Arial" w:hAnsi="Arial"/>
          <w:sz w:val="16"/>
          <w:szCs w:val="16"/>
          <w:color w:val="auto"/>
        </w:rPr>
        <w:t>To encourage our executive officers to keep a longer-term perspective of the Company as they approach retirement and to augment retirement savings, both Objectives-based RSUs and Service-based RSUs will remain outstanding and capable of being earned and/or of vesting in accordance with their terms following an executive officer’s termination of employment unless such employment is terminated for cause, in which case any unearned or unvested portion of the award will be forfeited. Continuation of the award is conditioned on the departing executive officer’s agreement to refrain from working for another company during the remaining vesting period and compliance with specified non-disclosure, confidentiality and other covenants. If the individual fails to satisfy these obligations, the remaining unearned or unvested portion of the award will be forfeited and any underlying shares of common stock that were earned and vested following termination and any gain from the sale of such shares will be subject to recoupment, or “clawback,” by Qorvo.</w:t>
      </w:r>
    </w:p>
    <w:p>
      <w:pPr>
        <w:spacing w:after="0" w:line="112" w:lineRule="exact"/>
        <w:rPr>
          <w:rFonts w:ascii="Arial" w:cs="Arial" w:eastAsia="Arial" w:hAnsi="Arial"/>
          <w:sz w:val="16"/>
          <w:szCs w:val="16"/>
          <w:color w:val="1269BC"/>
        </w:rPr>
      </w:pPr>
    </w:p>
    <w:p>
      <w:pPr>
        <w:ind w:left="980" w:right="40" w:hanging="324"/>
        <w:spacing w:after="0" w:line="253" w:lineRule="auto"/>
        <w:tabs>
          <w:tab w:leader="none" w:pos="980" w:val="left"/>
        </w:tabs>
        <w:numPr>
          <w:ilvl w:val="0"/>
          <w:numId w:val="27"/>
        </w:numPr>
        <w:rPr>
          <w:rFonts w:ascii="Arial" w:cs="Arial" w:eastAsia="Arial" w:hAnsi="Arial"/>
          <w:sz w:val="16"/>
          <w:szCs w:val="16"/>
          <w:color w:val="1269BC"/>
        </w:rPr>
      </w:pPr>
      <w:r>
        <w:rPr>
          <w:rFonts w:ascii="Arial" w:cs="Arial" w:eastAsia="Arial" w:hAnsi="Arial"/>
          <w:sz w:val="16"/>
          <w:szCs w:val="16"/>
          <w:color w:val="auto"/>
        </w:rPr>
        <w:t>We prohibit the backdating or spring-loading of equity awards. To further that goal, we generally plan to grant Service-based RSUs once a year to existing employees on or around the date of our annual meeting of stockholders, and Objectives-based RSU opportunities once each year shortly after the beginning of the fiscal year.</w:t>
      </w:r>
    </w:p>
    <w:p>
      <w:pPr>
        <w:spacing w:after="0" w:line="106" w:lineRule="exact"/>
        <w:rPr>
          <w:rFonts w:ascii="Arial" w:cs="Arial" w:eastAsia="Arial" w:hAnsi="Arial"/>
          <w:sz w:val="16"/>
          <w:szCs w:val="16"/>
          <w:color w:val="1269BC"/>
        </w:rPr>
      </w:pPr>
    </w:p>
    <w:p>
      <w:pPr>
        <w:ind w:left="980" w:hanging="324"/>
        <w:spacing w:after="0"/>
        <w:tabs>
          <w:tab w:leader="none" w:pos="980" w:val="left"/>
        </w:tabs>
        <w:numPr>
          <w:ilvl w:val="0"/>
          <w:numId w:val="27"/>
        </w:numPr>
        <w:rPr>
          <w:rFonts w:ascii="Arial" w:cs="Arial" w:eastAsia="Arial" w:hAnsi="Arial"/>
          <w:sz w:val="16"/>
          <w:szCs w:val="16"/>
          <w:color w:val="1269BC"/>
        </w:rPr>
      </w:pPr>
      <w:r>
        <w:rPr>
          <w:rFonts w:ascii="Arial" w:cs="Arial" w:eastAsia="Arial" w:hAnsi="Arial"/>
          <w:sz w:val="16"/>
          <w:szCs w:val="16"/>
          <w:color w:val="auto"/>
        </w:rPr>
        <w:t>We prohibit the repricing of stock options or stock appreciation rights without stockholder approval.</w:t>
      </w:r>
    </w:p>
    <w:p>
      <w:pPr>
        <w:spacing w:after="0" w:line="235" w:lineRule="exact"/>
        <w:rPr>
          <w:sz w:val="20"/>
          <w:szCs w:val="20"/>
          <w:color w:val="auto"/>
        </w:rPr>
      </w:pPr>
    </w:p>
    <w:p>
      <w:pPr>
        <w:ind w:left="120" w:right="700"/>
        <w:spacing w:after="0" w:line="260" w:lineRule="auto"/>
        <w:rPr>
          <w:sz w:val="20"/>
          <w:szCs w:val="20"/>
          <w:color w:val="auto"/>
        </w:rPr>
      </w:pPr>
      <w:r>
        <w:rPr>
          <w:rFonts w:ascii="Arial" w:cs="Arial" w:eastAsia="Arial" w:hAnsi="Arial"/>
          <w:sz w:val="16"/>
          <w:szCs w:val="16"/>
          <w:color w:val="auto"/>
        </w:rPr>
        <w:t>The Committee also has additional responsibilities with respect to our compensation policies and practices, which are set forth in its charter and described in more detail under “Corporate Governance – Committees and Meetings – Compensation Committee,” above.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Prohibition Against Hedging and Pledging</w:t>
      </w:r>
    </w:p>
    <w:p>
      <w:pPr>
        <w:spacing w:after="0" w:line="129"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auto"/>
        </w:rPr>
        <w:t>Our securities trading policy and Corporate Governance Guidelines prohibit any hedging of our securities by directors or employees, including our executive officers. This includes engaging in any type of short sale or purchasing any financial instrument (including prepaid variable forward contracts, equity swaps, collars and exchange traded funds) or engaging in any transaction that, in either case, hedges or offsets, or is designed to hedge or offset any risk of decrease in the market value of our common stock. Accordingly, none of our directors or executive officers has engaged in any hedging transaction with respect to our common stock.</w:t>
      </w:r>
    </w:p>
    <w:p>
      <w:pPr>
        <w:spacing w:after="0" w:line="95" w:lineRule="exact"/>
        <w:rPr>
          <w:sz w:val="20"/>
          <w:szCs w:val="20"/>
          <w:color w:val="auto"/>
        </w:rPr>
      </w:pPr>
    </w:p>
    <w:p>
      <w:pPr>
        <w:ind w:left="120" w:right="520"/>
        <w:spacing w:after="0" w:line="260" w:lineRule="auto"/>
        <w:rPr>
          <w:sz w:val="20"/>
          <w:szCs w:val="20"/>
          <w:color w:val="auto"/>
        </w:rPr>
      </w:pPr>
      <w:r>
        <w:rPr>
          <w:rFonts w:ascii="Arial" w:cs="Arial" w:eastAsia="Arial" w:hAnsi="Arial"/>
          <w:sz w:val="16"/>
          <w:szCs w:val="16"/>
          <w:color w:val="auto"/>
        </w:rPr>
        <w:t>Our securities trading policy and Corporate Governance Guidelines prohibit any pledging of our securities by directors or employees, including our executive officers. Accordingly, none of our directors or executive officers has pledged our common stock.</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Stock Ownership Guidelines</w:t>
      </w:r>
    </w:p>
    <w:p>
      <w:pPr>
        <w:spacing w:after="0" w:line="129"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Under our Corporate Governance Guidelines, we have established stock ownership guidelines for our non-employee directors, CEO and other executive officers, which provide that within five years of first becoming a director or executive officer, as applicable, they must own shares of our common stock with a specified value in the following amounts: for directors, three times their annual retainers; for the CEO, three times his base salary; and for other executive officers, one times their base salaries.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Elements of Compensation</w:t>
      </w:r>
    </w:p>
    <w:p>
      <w:pPr>
        <w:spacing w:after="0" w:line="128" w:lineRule="exact"/>
        <w:rPr>
          <w:sz w:val="20"/>
          <w:szCs w:val="20"/>
          <w:color w:val="auto"/>
        </w:rPr>
      </w:pPr>
    </w:p>
    <w:p>
      <w:pPr>
        <w:ind w:left="120" w:right="100"/>
        <w:spacing w:after="0" w:line="249" w:lineRule="auto"/>
        <w:rPr>
          <w:sz w:val="20"/>
          <w:szCs w:val="20"/>
          <w:color w:val="auto"/>
        </w:rPr>
      </w:pPr>
      <w:r>
        <w:rPr>
          <w:rFonts w:ascii="Arial" w:cs="Arial" w:eastAsia="Arial" w:hAnsi="Arial"/>
          <w:sz w:val="16"/>
          <w:szCs w:val="16"/>
          <w:color w:val="auto"/>
        </w:rPr>
        <w:t>Compensation arrangements for our Named Executive Officers under our fiscal 2020 executive compensation program generally consisted of four components: (a) a base salary; (b) a performance-based short-term incentive program; (c) the grant of equity incentive awards in the form of performance-based and service-based RSUs; and (d) other compensation and employee benefits generally available to all of our employees, such as health insurance, group life and disability insurance and participation in our 401(k) plan, our nonqualified deferred compensation plan and our Employee Stock Purchase Plan, or ESPP. We believe our overall and individual incentive award grant practices are comparable to industry norms and contain sufficient performance-based elements.</w:t>
      </w:r>
    </w:p>
    <w:p>
      <w:pPr>
        <w:spacing w:after="0" w:line="135" w:lineRule="exact"/>
        <w:rPr>
          <w:sz w:val="20"/>
          <w:szCs w:val="20"/>
          <w:color w:val="auto"/>
        </w:rPr>
      </w:pPr>
    </w:p>
    <w:p>
      <w:pPr>
        <w:ind w:left="120"/>
        <w:spacing w:after="0"/>
        <w:tabs>
          <w:tab w:leader="none" w:pos="541" w:val="left"/>
        </w:tabs>
        <w:rPr>
          <w:sz w:val="20"/>
          <w:szCs w:val="20"/>
          <w:color w:val="auto"/>
        </w:rPr>
      </w:pPr>
      <w:r>
        <w:rPr>
          <w:rFonts w:ascii="Arial" w:cs="Arial" w:eastAsia="Arial" w:hAnsi="Arial"/>
          <w:sz w:val="18"/>
          <w:szCs w:val="18"/>
          <w:color w:val="auto"/>
        </w:rPr>
        <w:t>26</w:t>
      </w:r>
      <w:r>
        <w:rPr>
          <w:sz w:val="20"/>
          <w:szCs w:val="20"/>
          <w:color w:val="auto"/>
        </w:rPr>
        <w:tab/>
      </w:r>
      <w:r>
        <w:rPr>
          <w:sz w:val="1"/>
          <w:szCs w:val="1"/>
          <w:color w:val="auto"/>
        </w:rPr>
        <w:drawing>
          <wp:inline distT="0" distB="0" distL="0" distR="0">
            <wp:extent cx="582930" cy="13716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i w:val="1"/>
          <w:iCs w:val="1"/>
          <w:color w:val="1269BC"/>
        </w:rPr>
        <w:t xml:space="preserve">   2020 Proxy Statement</w:t>
      </w:r>
    </w:p>
    <w:p>
      <w:pPr>
        <w:sectPr>
          <w:pgSz w:w="11900" w:h="16838" w:orient="portrait"/>
          <w:cols w:equalWidth="0" w:num="1">
            <w:col w:w="11080"/>
          </w:cols>
          <w:pgMar w:left="32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14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Base Salaries</w:t>
      </w:r>
    </w:p>
    <w:p>
      <w:pPr>
        <w:spacing w:after="0" w:line="129"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The Committee reviews and establishes individual base salaries for our executive officers, including the Named Executive Officers, annually. In determining individual base salaries, the Committee considers peer group data, overall responsibilities and anticipated performance, past accomplishments and performance, labor market conditions and our overall annual budget guidelines for merit and performance increases. Effective as of the beginning of fiscal 2020, the Committee approved increases in the base salaries of each of the Named Executive Officers ranging from 3% to 4%, as shown in the table below:</w:t>
      </w:r>
    </w:p>
    <w:p>
      <w:pPr>
        <w:spacing w:after="0" w:line="210" w:lineRule="exact"/>
        <w:rPr>
          <w:sz w:val="20"/>
          <w:szCs w:val="20"/>
          <w:color w:val="auto"/>
        </w:rPr>
      </w:pPr>
    </w:p>
    <w:tbl>
      <w:tblPr>
        <w:tblLayout w:type="fixed"/>
        <w:tblInd w:w="1000" w:type="dxa"/>
        <w:tblCellMar>
          <w:top w:w="0" w:type="dxa"/>
          <w:left w:w="0" w:type="dxa"/>
          <w:bottom w:w="0" w:type="dxa"/>
          <w:right w:w="0" w:type="dxa"/>
        </w:tblCellMar>
      </w:tblPr>
      <w:tr>
        <w:trPr>
          <w:trHeight w:val="189"/>
        </w:trPr>
        <w:tc>
          <w:tcPr>
            <w:tcW w:w="4940" w:type="dxa"/>
            <w:vAlign w:val="bottom"/>
          </w:tcPr>
          <w:p>
            <w:pPr>
              <w:spacing w:after="0"/>
              <w:rPr>
                <w:sz w:val="16"/>
                <w:szCs w:val="16"/>
                <w:color w:val="auto"/>
              </w:rPr>
            </w:pPr>
          </w:p>
        </w:tc>
        <w:tc>
          <w:tcPr>
            <w:tcW w:w="1660" w:type="dxa"/>
            <w:vAlign w:val="bottom"/>
          </w:tcPr>
          <w:p>
            <w:pPr>
              <w:ind w:left="480"/>
              <w:spacing w:after="0"/>
              <w:rPr>
                <w:sz w:val="20"/>
                <w:szCs w:val="20"/>
                <w:color w:val="auto"/>
              </w:rPr>
            </w:pPr>
            <w:r>
              <w:rPr>
                <w:rFonts w:ascii="Arial" w:cs="Arial" w:eastAsia="Arial" w:hAnsi="Arial"/>
                <w:sz w:val="16"/>
                <w:szCs w:val="16"/>
                <w:b w:val="1"/>
                <w:bCs w:val="1"/>
                <w:color w:val="1269BC"/>
              </w:rPr>
              <w:t>Fiscal 2019</w:t>
            </w:r>
          </w:p>
        </w:tc>
        <w:tc>
          <w:tcPr>
            <w:tcW w:w="1460" w:type="dxa"/>
            <w:vAlign w:val="bottom"/>
          </w:tcPr>
          <w:p>
            <w:pPr>
              <w:ind w:left="300"/>
              <w:spacing w:after="0"/>
              <w:rPr>
                <w:sz w:val="20"/>
                <w:szCs w:val="20"/>
                <w:color w:val="auto"/>
              </w:rPr>
            </w:pPr>
            <w:r>
              <w:rPr>
                <w:rFonts w:ascii="Arial" w:cs="Arial" w:eastAsia="Arial" w:hAnsi="Arial"/>
                <w:sz w:val="16"/>
                <w:szCs w:val="16"/>
                <w:b w:val="1"/>
                <w:bCs w:val="1"/>
                <w:color w:val="1269BC"/>
              </w:rPr>
              <w:t>Fiscal 2020</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1269BC"/>
              </w:rPr>
              <w:t>Percentage</w:t>
            </w:r>
          </w:p>
        </w:tc>
      </w:tr>
      <w:tr>
        <w:trPr>
          <w:trHeight w:val="221"/>
        </w:trPr>
        <w:tc>
          <w:tcPr>
            <w:tcW w:w="4940" w:type="dxa"/>
            <w:vAlign w:val="bottom"/>
            <w:tcBorders>
              <w:bottom w:val="single" w:sz="8" w:color="1269BC"/>
            </w:tcBorders>
          </w:tcPr>
          <w:p>
            <w:pPr>
              <w:ind w:left="100"/>
              <w:spacing w:after="0"/>
              <w:rPr>
                <w:sz w:val="20"/>
                <w:szCs w:val="20"/>
                <w:color w:val="auto"/>
              </w:rPr>
            </w:pPr>
            <w:r>
              <w:rPr>
                <w:rFonts w:ascii="Arial" w:cs="Arial" w:eastAsia="Arial" w:hAnsi="Arial"/>
                <w:sz w:val="16"/>
                <w:szCs w:val="16"/>
                <w:b w:val="1"/>
                <w:bCs w:val="1"/>
                <w:color w:val="1269BC"/>
              </w:rPr>
              <w:t>Name</w:t>
            </w:r>
          </w:p>
        </w:tc>
        <w:tc>
          <w:tcPr>
            <w:tcW w:w="1660" w:type="dxa"/>
            <w:vAlign w:val="bottom"/>
            <w:tcBorders>
              <w:bottom w:val="single" w:sz="8" w:color="1269BC"/>
            </w:tcBorders>
          </w:tcPr>
          <w:p>
            <w:pPr>
              <w:ind w:left="460"/>
              <w:spacing w:after="0"/>
              <w:rPr>
                <w:sz w:val="20"/>
                <w:szCs w:val="20"/>
                <w:color w:val="auto"/>
              </w:rPr>
            </w:pPr>
            <w:r>
              <w:rPr>
                <w:rFonts w:ascii="Arial" w:cs="Arial" w:eastAsia="Arial" w:hAnsi="Arial"/>
                <w:sz w:val="16"/>
                <w:szCs w:val="16"/>
                <w:b w:val="1"/>
                <w:bCs w:val="1"/>
                <w:color w:val="1269BC"/>
              </w:rPr>
              <w:t>Base Salary</w:t>
            </w:r>
          </w:p>
        </w:tc>
        <w:tc>
          <w:tcPr>
            <w:tcW w:w="1460" w:type="dxa"/>
            <w:vAlign w:val="bottom"/>
            <w:tcBorders>
              <w:bottom w:val="single" w:sz="8" w:color="1269BC"/>
            </w:tcBorders>
          </w:tcPr>
          <w:p>
            <w:pPr>
              <w:ind w:left="280"/>
              <w:spacing w:after="0"/>
              <w:rPr>
                <w:sz w:val="20"/>
                <w:szCs w:val="20"/>
                <w:color w:val="auto"/>
              </w:rPr>
            </w:pPr>
            <w:r>
              <w:rPr>
                <w:rFonts w:ascii="Arial" w:cs="Arial" w:eastAsia="Arial" w:hAnsi="Arial"/>
                <w:sz w:val="16"/>
                <w:szCs w:val="16"/>
                <w:b w:val="1"/>
                <w:bCs w:val="1"/>
                <w:color w:val="1269BC"/>
              </w:rPr>
              <w:t>Base Salary</w:t>
            </w:r>
          </w:p>
        </w:tc>
        <w:tc>
          <w:tcPr>
            <w:tcW w:w="1200" w:type="dxa"/>
            <w:vAlign w:val="bottom"/>
            <w:tcBorders>
              <w:bottom w:val="single" w:sz="8" w:color="1269BC"/>
            </w:tcBorders>
          </w:tcPr>
          <w:p>
            <w:pPr>
              <w:jc w:val="right"/>
              <w:ind w:right="93"/>
              <w:spacing w:after="0"/>
              <w:rPr>
                <w:sz w:val="20"/>
                <w:szCs w:val="20"/>
                <w:color w:val="auto"/>
              </w:rPr>
            </w:pPr>
            <w:r>
              <w:rPr>
                <w:rFonts w:ascii="Arial" w:cs="Arial" w:eastAsia="Arial" w:hAnsi="Arial"/>
                <w:sz w:val="16"/>
                <w:szCs w:val="16"/>
                <w:b w:val="1"/>
                <w:bCs w:val="1"/>
                <w:color w:val="1269BC"/>
              </w:rPr>
              <w:t>Increase</w:t>
            </w:r>
          </w:p>
        </w:tc>
      </w:tr>
      <w:tr>
        <w:trPr>
          <w:trHeight w:val="284"/>
        </w:trPr>
        <w:tc>
          <w:tcPr>
            <w:tcW w:w="494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8"/>
                <w:szCs w:val="18"/>
                <w:color w:val="auto"/>
              </w:rPr>
              <w:t>Robert A. Bruggeworth</w:t>
            </w:r>
          </w:p>
        </w:tc>
        <w:tc>
          <w:tcPr>
            <w:tcW w:w="1660" w:type="dxa"/>
            <w:vAlign w:val="bottom"/>
            <w:tcBorders>
              <w:bottom w:val="single" w:sz="8" w:color="C3D9EE"/>
            </w:tcBorders>
            <w:shd w:val="clear" w:color="auto" w:fill="C3D9EE"/>
          </w:tcPr>
          <w:p>
            <w:pPr>
              <w:ind w:left="460"/>
              <w:spacing w:after="0"/>
              <w:rPr>
                <w:sz w:val="20"/>
                <w:szCs w:val="20"/>
                <w:color w:val="auto"/>
              </w:rPr>
            </w:pPr>
            <w:r>
              <w:rPr>
                <w:rFonts w:ascii="Arial" w:cs="Arial" w:eastAsia="Arial" w:hAnsi="Arial"/>
                <w:sz w:val="18"/>
                <w:szCs w:val="18"/>
                <w:color w:val="auto"/>
              </w:rPr>
              <w:t>$827,341</w:t>
            </w:r>
          </w:p>
        </w:tc>
        <w:tc>
          <w:tcPr>
            <w:tcW w:w="1460" w:type="dxa"/>
            <w:vAlign w:val="bottom"/>
            <w:tcBorders>
              <w:bottom w:val="single" w:sz="8" w:color="C3D9EE"/>
            </w:tcBorders>
            <w:shd w:val="clear" w:color="auto" w:fill="C3D9EE"/>
          </w:tcPr>
          <w:p>
            <w:pPr>
              <w:ind w:left="300"/>
              <w:spacing w:after="0"/>
              <w:rPr>
                <w:sz w:val="20"/>
                <w:szCs w:val="20"/>
                <w:color w:val="auto"/>
              </w:rPr>
            </w:pPr>
            <w:r>
              <w:rPr>
                <w:rFonts w:ascii="Arial" w:cs="Arial" w:eastAsia="Arial" w:hAnsi="Arial"/>
                <w:sz w:val="18"/>
                <w:szCs w:val="18"/>
                <w:color w:val="auto"/>
              </w:rPr>
              <w:t>$852,155</w:t>
            </w:r>
          </w:p>
        </w:tc>
        <w:tc>
          <w:tcPr>
            <w:tcW w:w="1200" w:type="dxa"/>
            <w:vAlign w:val="bottom"/>
            <w:tcBorders>
              <w:bottom w:val="single" w:sz="8" w:color="C3D9EE"/>
            </w:tcBorders>
            <w:shd w:val="clear" w:color="auto" w:fill="C3D9EE"/>
          </w:tcPr>
          <w:p>
            <w:pPr>
              <w:jc w:val="right"/>
              <w:ind w:right="173"/>
              <w:spacing w:after="0"/>
              <w:rPr>
                <w:sz w:val="20"/>
                <w:szCs w:val="20"/>
                <w:color w:val="auto"/>
              </w:rPr>
            </w:pPr>
            <w:r>
              <w:rPr>
                <w:rFonts w:ascii="Arial" w:cs="Arial" w:eastAsia="Arial" w:hAnsi="Arial"/>
                <w:sz w:val="18"/>
                <w:szCs w:val="18"/>
                <w:color w:val="auto"/>
              </w:rPr>
              <w:t>3.0%</w:t>
            </w:r>
          </w:p>
        </w:tc>
      </w:tr>
      <w:tr>
        <w:trPr>
          <w:trHeight w:val="297"/>
        </w:trPr>
        <w:tc>
          <w:tcPr>
            <w:tcW w:w="4940" w:type="dxa"/>
            <w:vAlign w:val="bottom"/>
          </w:tcPr>
          <w:p>
            <w:pPr>
              <w:ind w:left="100"/>
              <w:spacing w:after="0"/>
              <w:rPr>
                <w:sz w:val="20"/>
                <w:szCs w:val="20"/>
                <w:color w:val="auto"/>
              </w:rPr>
            </w:pPr>
            <w:r>
              <w:rPr>
                <w:rFonts w:ascii="Arial" w:cs="Arial" w:eastAsia="Arial" w:hAnsi="Arial"/>
                <w:sz w:val="18"/>
                <w:szCs w:val="18"/>
                <w:color w:val="auto"/>
              </w:rPr>
              <w:t>Mark J. Murphy</w:t>
            </w:r>
          </w:p>
        </w:tc>
        <w:tc>
          <w:tcPr>
            <w:tcW w:w="1660" w:type="dxa"/>
            <w:vAlign w:val="bottom"/>
          </w:tcPr>
          <w:p>
            <w:pPr>
              <w:ind w:left="460"/>
              <w:spacing w:after="0"/>
              <w:rPr>
                <w:sz w:val="20"/>
                <w:szCs w:val="20"/>
                <w:color w:val="auto"/>
              </w:rPr>
            </w:pPr>
            <w:r>
              <w:rPr>
                <w:rFonts w:ascii="Arial" w:cs="Arial" w:eastAsia="Arial" w:hAnsi="Arial"/>
                <w:sz w:val="18"/>
                <w:szCs w:val="18"/>
                <w:color w:val="auto"/>
              </w:rPr>
              <w:t>$503,922</w:t>
            </w:r>
          </w:p>
        </w:tc>
        <w:tc>
          <w:tcPr>
            <w:tcW w:w="1460" w:type="dxa"/>
            <w:vAlign w:val="bottom"/>
          </w:tcPr>
          <w:p>
            <w:pPr>
              <w:ind w:left="300"/>
              <w:spacing w:after="0"/>
              <w:rPr>
                <w:sz w:val="20"/>
                <w:szCs w:val="20"/>
                <w:color w:val="auto"/>
              </w:rPr>
            </w:pPr>
            <w:r>
              <w:rPr>
                <w:rFonts w:ascii="Arial" w:cs="Arial" w:eastAsia="Arial" w:hAnsi="Arial"/>
                <w:sz w:val="18"/>
                <w:szCs w:val="18"/>
                <w:color w:val="auto"/>
              </w:rPr>
              <w:t>$519,043</w:t>
            </w:r>
          </w:p>
        </w:tc>
        <w:tc>
          <w:tcPr>
            <w:tcW w:w="1200" w:type="dxa"/>
            <w:vAlign w:val="bottom"/>
          </w:tcPr>
          <w:p>
            <w:pPr>
              <w:jc w:val="right"/>
              <w:ind w:right="173"/>
              <w:spacing w:after="0"/>
              <w:rPr>
                <w:sz w:val="20"/>
                <w:szCs w:val="20"/>
                <w:color w:val="auto"/>
              </w:rPr>
            </w:pPr>
            <w:r>
              <w:rPr>
                <w:rFonts w:ascii="Arial" w:cs="Arial" w:eastAsia="Arial" w:hAnsi="Arial"/>
                <w:sz w:val="18"/>
                <w:szCs w:val="18"/>
                <w:color w:val="auto"/>
              </w:rPr>
              <w:t>3.0%</w:t>
            </w:r>
          </w:p>
        </w:tc>
      </w:tr>
      <w:tr>
        <w:trPr>
          <w:trHeight w:val="27"/>
        </w:trPr>
        <w:tc>
          <w:tcPr>
            <w:tcW w:w="49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04"/>
        </w:trPr>
        <w:tc>
          <w:tcPr>
            <w:tcW w:w="494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8"/>
                <w:szCs w:val="18"/>
                <w:color w:val="auto"/>
              </w:rPr>
              <w:t>Steven E. Creviston</w:t>
            </w:r>
          </w:p>
        </w:tc>
        <w:tc>
          <w:tcPr>
            <w:tcW w:w="1660" w:type="dxa"/>
            <w:vAlign w:val="bottom"/>
            <w:tcBorders>
              <w:bottom w:val="single" w:sz="8" w:color="C3D9EE"/>
            </w:tcBorders>
            <w:shd w:val="clear" w:color="auto" w:fill="C3D9EE"/>
          </w:tcPr>
          <w:p>
            <w:pPr>
              <w:ind w:left="460"/>
              <w:spacing w:after="0"/>
              <w:rPr>
                <w:sz w:val="20"/>
                <w:szCs w:val="20"/>
                <w:color w:val="auto"/>
              </w:rPr>
            </w:pPr>
            <w:r>
              <w:rPr>
                <w:rFonts w:ascii="Arial" w:cs="Arial" w:eastAsia="Arial" w:hAnsi="Arial"/>
                <w:sz w:val="18"/>
                <w:szCs w:val="18"/>
                <w:color w:val="auto"/>
              </w:rPr>
              <w:t>$493,917</w:t>
            </w:r>
          </w:p>
        </w:tc>
        <w:tc>
          <w:tcPr>
            <w:tcW w:w="1460" w:type="dxa"/>
            <w:vAlign w:val="bottom"/>
            <w:tcBorders>
              <w:bottom w:val="single" w:sz="8" w:color="C3D9EE"/>
            </w:tcBorders>
            <w:shd w:val="clear" w:color="auto" w:fill="C3D9EE"/>
          </w:tcPr>
          <w:p>
            <w:pPr>
              <w:ind w:left="300"/>
              <w:spacing w:after="0"/>
              <w:rPr>
                <w:sz w:val="20"/>
                <w:szCs w:val="20"/>
                <w:color w:val="auto"/>
              </w:rPr>
            </w:pPr>
            <w:r>
              <w:rPr>
                <w:rFonts w:ascii="Arial" w:cs="Arial" w:eastAsia="Arial" w:hAnsi="Arial"/>
                <w:sz w:val="18"/>
                <w:szCs w:val="18"/>
                <w:color w:val="auto"/>
              </w:rPr>
              <w:t>$508,726</w:t>
            </w:r>
          </w:p>
        </w:tc>
        <w:tc>
          <w:tcPr>
            <w:tcW w:w="1200" w:type="dxa"/>
            <w:vAlign w:val="bottom"/>
            <w:tcBorders>
              <w:bottom w:val="single" w:sz="8" w:color="C3D9EE"/>
            </w:tcBorders>
            <w:shd w:val="clear" w:color="auto" w:fill="C3D9EE"/>
          </w:tcPr>
          <w:p>
            <w:pPr>
              <w:jc w:val="right"/>
              <w:ind w:right="173"/>
              <w:spacing w:after="0"/>
              <w:rPr>
                <w:sz w:val="20"/>
                <w:szCs w:val="20"/>
                <w:color w:val="auto"/>
              </w:rPr>
            </w:pPr>
            <w:r>
              <w:rPr>
                <w:rFonts w:ascii="Arial" w:cs="Arial" w:eastAsia="Arial" w:hAnsi="Arial"/>
                <w:sz w:val="18"/>
                <w:szCs w:val="18"/>
                <w:color w:val="auto"/>
              </w:rPr>
              <w:t>3.0%</w:t>
            </w:r>
          </w:p>
        </w:tc>
      </w:tr>
      <w:tr>
        <w:trPr>
          <w:trHeight w:val="297"/>
        </w:trPr>
        <w:tc>
          <w:tcPr>
            <w:tcW w:w="4940" w:type="dxa"/>
            <w:vAlign w:val="bottom"/>
          </w:tcPr>
          <w:p>
            <w:pPr>
              <w:ind w:left="100"/>
              <w:spacing w:after="0"/>
              <w:rPr>
                <w:sz w:val="20"/>
                <w:szCs w:val="20"/>
                <w:color w:val="auto"/>
              </w:rPr>
            </w:pPr>
            <w:r>
              <w:rPr>
                <w:rFonts w:ascii="Arial" w:cs="Arial" w:eastAsia="Arial" w:hAnsi="Arial"/>
                <w:sz w:val="18"/>
                <w:szCs w:val="18"/>
                <w:color w:val="auto"/>
              </w:rPr>
              <w:t>James L. Klein</w:t>
            </w:r>
          </w:p>
        </w:tc>
        <w:tc>
          <w:tcPr>
            <w:tcW w:w="1660" w:type="dxa"/>
            <w:vAlign w:val="bottom"/>
          </w:tcPr>
          <w:p>
            <w:pPr>
              <w:ind w:left="460"/>
              <w:spacing w:after="0"/>
              <w:rPr>
                <w:sz w:val="20"/>
                <w:szCs w:val="20"/>
                <w:color w:val="auto"/>
              </w:rPr>
            </w:pPr>
            <w:r>
              <w:rPr>
                <w:rFonts w:ascii="Arial" w:cs="Arial" w:eastAsia="Arial" w:hAnsi="Arial"/>
                <w:sz w:val="18"/>
                <w:szCs w:val="18"/>
                <w:color w:val="auto"/>
              </w:rPr>
              <w:t>$448,136</w:t>
            </w:r>
          </w:p>
        </w:tc>
        <w:tc>
          <w:tcPr>
            <w:tcW w:w="1460" w:type="dxa"/>
            <w:vAlign w:val="bottom"/>
          </w:tcPr>
          <w:p>
            <w:pPr>
              <w:ind w:left="300"/>
              <w:spacing w:after="0"/>
              <w:rPr>
                <w:sz w:val="20"/>
                <w:szCs w:val="20"/>
                <w:color w:val="auto"/>
              </w:rPr>
            </w:pPr>
            <w:r>
              <w:rPr>
                <w:rFonts w:ascii="Arial" w:cs="Arial" w:eastAsia="Arial" w:hAnsi="Arial"/>
                <w:sz w:val="18"/>
                <w:szCs w:val="18"/>
                <w:color w:val="auto"/>
              </w:rPr>
              <w:t>$466,045</w:t>
            </w:r>
          </w:p>
        </w:tc>
        <w:tc>
          <w:tcPr>
            <w:tcW w:w="1200" w:type="dxa"/>
            <w:vAlign w:val="bottom"/>
          </w:tcPr>
          <w:p>
            <w:pPr>
              <w:jc w:val="right"/>
              <w:ind w:right="173"/>
              <w:spacing w:after="0"/>
              <w:rPr>
                <w:sz w:val="20"/>
                <w:szCs w:val="20"/>
                <w:color w:val="auto"/>
              </w:rPr>
            </w:pPr>
            <w:r>
              <w:rPr>
                <w:rFonts w:ascii="Arial" w:cs="Arial" w:eastAsia="Arial" w:hAnsi="Arial"/>
                <w:sz w:val="18"/>
                <w:szCs w:val="18"/>
                <w:color w:val="auto"/>
              </w:rPr>
              <w:t>4.0%</w:t>
            </w:r>
          </w:p>
        </w:tc>
      </w:tr>
      <w:tr>
        <w:trPr>
          <w:trHeight w:val="27"/>
        </w:trPr>
        <w:tc>
          <w:tcPr>
            <w:tcW w:w="49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04"/>
        </w:trPr>
        <w:tc>
          <w:tcPr>
            <w:tcW w:w="494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8"/>
                <w:szCs w:val="18"/>
                <w:color w:val="auto"/>
              </w:rPr>
              <w:t>Paul J. Fego</w:t>
            </w:r>
          </w:p>
        </w:tc>
        <w:tc>
          <w:tcPr>
            <w:tcW w:w="1660" w:type="dxa"/>
            <w:vAlign w:val="bottom"/>
            <w:tcBorders>
              <w:bottom w:val="single" w:sz="8" w:color="C3D9EE"/>
            </w:tcBorders>
            <w:shd w:val="clear" w:color="auto" w:fill="C3D9EE"/>
          </w:tcPr>
          <w:p>
            <w:pPr>
              <w:ind w:left="460"/>
              <w:spacing w:after="0"/>
              <w:rPr>
                <w:sz w:val="20"/>
                <w:szCs w:val="20"/>
                <w:color w:val="auto"/>
              </w:rPr>
            </w:pPr>
            <w:r>
              <w:rPr>
                <w:rFonts w:ascii="Arial" w:cs="Arial" w:eastAsia="Arial" w:hAnsi="Arial"/>
                <w:sz w:val="18"/>
                <w:szCs w:val="18"/>
                <w:color w:val="auto"/>
              </w:rPr>
              <w:t>$444,995</w:t>
            </w:r>
          </w:p>
        </w:tc>
        <w:tc>
          <w:tcPr>
            <w:tcW w:w="1460" w:type="dxa"/>
            <w:vAlign w:val="bottom"/>
            <w:tcBorders>
              <w:bottom w:val="single" w:sz="8" w:color="C3D9EE"/>
            </w:tcBorders>
            <w:shd w:val="clear" w:color="auto" w:fill="C3D9EE"/>
          </w:tcPr>
          <w:p>
            <w:pPr>
              <w:ind w:left="300"/>
              <w:spacing w:after="0"/>
              <w:rPr>
                <w:sz w:val="20"/>
                <w:szCs w:val="20"/>
                <w:color w:val="auto"/>
              </w:rPr>
            </w:pPr>
            <w:r>
              <w:rPr>
                <w:rFonts w:ascii="Arial" w:cs="Arial" w:eastAsia="Arial" w:hAnsi="Arial"/>
                <w:sz w:val="18"/>
                <w:szCs w:val="18"/>
                <w:color w:val="auto"/>
              </w:rPr>
              <w:t>$458,349</w:t>
            </w:r>
          </w:p>
        </w:tc>
        <w:tc>
          <w:tcPr>
            <w:tcW w:w="1200" w:type="dxa"/>
            <w:vAlign w:val="bottom"/>
            <w:tcBorders>
              <w:bottom w:val="single" w:sz="8" w:color="C3D9EE"/>
            </w:tcBorders>
            <w:shd w:val="clear" w:color="auto" w:fill="C3D9EE"/>
          </w:tcPr>
          <w:p>
            <w:pPr>
              <w:jc w:val="right"/>
              <w:ind w:right="173"/>
              <w:spacing w:after="0"/>
              <w:rPr>
                <w:sz w:val="20"/>
                <w:szCs w:val="20"/>
                <w:color w:val="auto"/>
              </w:rPr>
            </w:pPr>
            <w:r>
              <w:rPr>
                <w:rFonts w:ascii="Arial" w:cs="Arial" w:eastAsia="Arial" w:hAnsi="Arial"/>
                <w:sz w:val="18"/>
                <w:szCs w:val="18"/>
                <w:color w:val="auto"/>
              </w:rPr>
              <w:t>3.0%</w:t>
            </w:r>
          </w:p>
        </w:tc>
      </w:tr>
      <w:tr>
        <w:trPr>
          <w:trHeight w:val="20"/>
        </w:trPr>
        <w:tc>
          <w:tcPr>
            <w:tcW w:w="4940" w:type="dxa"/>
            <w:vAlign w:val="bottom"/>
            <w:shd w:val="clear" w:color="auto" w:fill="1269BC"/>
          </w:tcPr>
          <w:p>
            <w:pPr>
              <w:spacing w:after="0" w:line="20" w:lineRule="exact"/>
              <w:rPr>
                <w:sz w:val="1"/>
                <w:szCs w:val="1"/>
                <w:color w:val="auto"/>
              </w:rPr>
            </w:pPr>
          </w:p>
        </w:tc>
        <w:tc>
          <w:tcPr>
            <w:tcW w:w="1660" w:type="dxa"/>
            <w:vAlign w:val="bottom"/>
            <w:shd w:val="clear" w:color="auto" w:fill="1269BC"/>
          </w:tcPr>
          <w:p>
            <w:pPr>
              <w:spacing w:after="0" w:line="20" w:lineRule="exact"/>
              <w:rPr>
                <w:sz w:val="1"/>
                <w:szCs w:val="1"/>
                <w:color w:val="auto"/>
              </w:rPr>
            </w:pPr>
          </w:p>
        </w:tc>
        <w:tc>
          <w:tcPr>
            <w:tcW w:w="1460" w:type="dxa"/>
            <w:vAlign w:val="bottom"/>
            <w:shd w:val="clear" w:color="auto" w:fill="1269BC"/>
          </w:tcPr>
          <w:p>
            <w:pPr>
              <w:spacing w:after="0" w:line="20" w:lineRule="exact"/>
              <w:rPr>
                <w:sz w:val="1"/>
                <w:szCs w:val="1"/>
                <w:color w:val="auto"/>
              </w:rPr>
            </w:pPr>
          </w:p>
        </w:tc>
        <w:tc>
          <w:tcPr>
            <w:tcW w:w="1200" w:type="dxa"/>
            <w:vAlign w:val="bottom"/>
            <w:shd w:val="clear" w:color="auto" w:fill="1269BC"/>
          </w:tcPr>
          <w:p>
            <w:pPr>
              <w:spacing w:after="0" w:line="20" w:lineRule="exact"/>
              <w:rPr>
                <w:sz w:val="1"/>
                <w:szCs w:val="1"/>
                <w:color w:val="auto"/>
              </w:rPr>
            </w:pPr>
          </w:p>
        </w:tc>
      </w:tr>
    </w:tbl>
    <w:p>
      <w:pPr>
        <w:spacing w:after="0" w:line="218" w:lineRule="exact"/>
        <w:rPr>
          <w:sz w:val="20"/>
          <w:szCs w:val="20"/>
          <w:color w:val="auto"/>
        </w:rPr>
      </w:pPr>
    </w:p>
    <w:p>
      <w:pPr>
        <w:ind w:left="120" w:right="180"/>
        <w:spacing w:after="0" w:line="260" w:lineRule="auto"/>
        <w:rPr>
          <w:sz w:val="20"/>
          <w:szCs w:val="20"/>
          <w:color w:val="auto"/>
        </w:rPr>
      </w:pPr>
      <w:r>
        <w:rPr>
          <w:rFonts w:ascii="Arial" w:cs="Arial" w:eastAsia="Arial" w:hAnsi="Arial"/>
          <w:sz w:val="16"/>
          <w:szCs w:val="16"/>
          <w:color w:val="auto"/>
        </w:rPr>
        <w:t>Shortly before the end of fiscal 2020, the Committee set the fiscal 2021 base salary for our Named Executive Officers; however, the Committee decided to postpone any base salary increases for the Named Executive Officers due to the market uncertainties resulting from the COVID-19 pandemic.</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Short-Term Incentive Opportunities</w:t>
      </w:r>
    </w:p>
    <w:p>
      <w:pPr>
        <w:spacing w:after="0" w:line="129" w:lineRule="exact"/>
        <w:rPr>
          <w:sz w:val="20"/>
          <w:szCs w:val="20"/>
          <w:color w:val="auto"/>
        </w:rPr>
      </w:pPr>
    </w:p>
    <w:p>
      <w:pPr>
        <w:ind w:left="120" w:right="160"/>
        <w:spacing w:after="0" w:line="253" w:lineRule="auto"/>
        <w:rPr>
          <w:sz w:val="20"/>
          <w:szCs w:val="20"/>
          <w:color w:val="auto"/>
        </w:rPr>
      </w:pPr>
      <w:r>
        <w:rPr>
          <w:rFonts w:ascii="Arial" w:cs="Arial" w:eastAsia="Arial" w:hAnsi="Arial"/>
          <w:sz w:val="16"/>
          <w:szCs w:val="16"/>
          <w:color w:val="auto"/>
        </w:rPr>
        <w:t>A significant portion of each Named Executive Officer’s annual target total direct compensation is intended to be at-risk and linked to our operating performance. Short-term incentives for our Named Executive Officers, as well as for all our other employees, when earned, are awarded pursuant to our Short-Term Incentive Plan. No minimum bonus is guaranteed.</w:t>
      </w:r>
    </w:p>
    <w:p>
      <w:pPr>
        <w:spacing w:after="0" w:line="201" w:lineRule="exact"/>
        <w:rPr>
          <w:sz w:val="20"/>
          <w:szCs w:val="20"/>
          <w:color w:val="auto"/>
        </w:rPr>
      </w:pPr>
    </w:p>
    <w:p>
      <w:pPr>
        <w:ind w:left="120" w:right="140"/>
        <w:spacing w:after="0" w:line="246" w:lineRule="auto"/>
        <w:rPr>
          <w:sz w:val="20"/>
          <w:szCs w:val="20"/>
          <w:color w:val="auto"/>
        </w:rPr>
      </w:pPr>
      <w:r>
        <w:rPr>
          <w:rFonts w:ascii="Arial" w:cs="Arial" w:eastAsia="Arial" w:hAnsi="Arial"/>
          <w:sz w:val="16"/>
          <w:szCs w:val="16"/>
          <w:color w:val="auto"/>
        </w:rPr>
        <w:t>The target short-term incentive award opportunity for each Named Executive Officer is expressed as a percentage of his base salary that is paid during the applicable performance period. The short-term incentive program is structured so that as a Named Executive Officer’s responsibility at Qorvo increases, his target short-term incentive award opportunity as a percentage of his base salary will also increase. In March 2019, the Committee set the fiscal 2020 target short-term incentive award opportunity for Mr. Bruggeworth at 150% of his base salary, for each of the other Named Executive Officers other than Mr. Fego, at 90% of their respective base salary, and for Mr. Fego, at 75% of his base salary. This reflects the Committee’s view that</w:t>
      </w:r>
    </w:p>
    <w:p>
      <w:pPr>
        <w:spacing w:after="0" w:line="2" w:lineRule="exact"/>
        <w:rPr>
          <w:sz w:val="20"/>
          <w:szCs w:val="20"/>
          <w:color w:val="auto"/>
        </w:rPr>
      </w:pPr>
    </w:p>
    <w:p>
      <w:pPr>
        <w:ind w:left="120" w:right="180"/>
        <w:spacing w:after="0" w:line="250" w:lineRule="auto"/>
        <w:rPr>
          <w:sz w:val="20"/>
          <w:szCs w:val="20"/>
          <w:color w:val="auto"/>
        </w:rPr>
      </w:pPr>
      <w:r>
        <w:rPr>
          <w:rFonts w:ascii="Arial" w:cs="Arial" w:eastAsia="Arial" w:hAnsi="Arial"/>
          <w:sz w:val="16"/>
          <w:szCs w:val="16"/>
          <w:color w:val="auto"/>
        </w:rPr>
        <w:t>Mr. Bruggeworth, as our CEO, bears overall management responsibility for Qorvo, while our other Named Executive Officers have more narrow responsibilities tied to a particular business unit or function. In August 2019, the Committee approved an increase in Mr. Fego’s fiscal 2020 target short-term incentive award opportunity to 90% of his base salary, retroactive to the beginning of fiscal 2020, due to Mr. Fego’s leadership role in consolidating the Company’s global operations organizations, and to bring his target total direct compensation in line with our other Named Executive Officers, excluding our CEO.</w:t>
      </w:r>
    </w:p>
    <w:p>
      <w:pPr>
        <w:spacing w:after="0" w:line="203" w:lineRule="exact"/>
        <w:rPr>
          <w:sz w:val="20"/>
          <w:szCs w:val="20"/>
          <w:color w:val="auto"/>
        </w:rPr>
      </w:pPr>
    </w:p>
    <w:p>
      <w:pPr>
        <w:ind w:left="120" w:right="140"/>
        <w:spacing w:after="0" w:line="247" w:lineRule="auto"/>
        <w:rPr>
          <w:sz w:val="20"/>
          <w:szCs w:val="20"/>
          <w:color w:val="auto"/>
        </w:rPr>
      </w:pPr>
      <w:r>
        <w:rPr>
          <w:rFonts w:ascii="Arial" w:cs="Arial" w:eastAsia="Arial" w:hAnsi="Arial"/>
          <w:sz w:val="16"/>
          <w:szCs w:val="16"/>
          <w:color w:val="auto"/>
        </w:rPr>
        <w:t>For fiscal 2020, the short-term incentive award opportunities were based on two separate six-month performance periods. The metrics used to measure performance were revenue and non-GAAP operating income. For purposes of the short-term incentive awards, “non-GAAP operating income” was calculated excluding stock-based compensation expense, amortization of intangible assets, restructuring costs, acquisition and integration related costs, start-up costs, asset impairment and accelerated depreciation, and certain non-cash expenses. The revenue and non-GAAP operating income metrics each had a pre-established threshold, target and maximum level, and each constituted 50% of the total short-term incentive award opportunity during each six-month performance period. For the first six months of fiscal 2020, the target levels for revenue and non-GAAP operating income were approximately 100% of the corresponding amounts in our annual operating plan as approved by the Board. Each Named Executive Officer had the opportunity to earn a short-term incentive award in an amount between 15% and 200% of the executive officer’s target short-term incentive award opportunity depending on our actual level of revenue and non-GAAP operating income during the performance period. No minimum bonus was guaranteed. In addition, the fiscal 2020 short-term incentive awards are subject also to the fiscal year award limitation of $5,000,000 per participant applicable under the Short-Term Incentive Plan.</w:t>
      </w:r>
    </w:p>
    <w:p>
      <w:pPr>
        <w:spacing w:after="0" w:line="212" w:lineRule="exact"/>
        <w:rPr>
          <w:sz w:val="20"/>
          <w:szCs w:val="20"/>
          <w:color w:val="auto"/>
        </w:rPr>
      </w:pPr>
    </w:p>
    <w:p>
      <w:pPr>
        <w:ind w:left="120" w:right="100"/>
        <w:spacing w:after="0" w:line="251" w:lineRule="auto"/>
        <w:rPr>
          <w:sz w:val="20"/>
          <w:szCs w:val="20"/>
          <w:color w:val="auto"/>
        </w:rPr>
      </w:pPr>
      <w:r>
        <w:rPr>
          <w:rFonts w:ascii="Arial" w:cs="Arial" w:eastAsia="Arial" w:hAnsi="Arial"/>
          <w:sz w:val="16"/>
          <w:szCs w:val="16"/>
          <w:color w:val="auto"/>
        </w:rPr>
        <w:t>The short-term incentive award earned for each metric was determined on a linear basis for performance between the threshold and maximum levels for such metric. As a result of our performance in the first six months of fiscal 2020, our Named Executive Officers earned short-term incentive awards equal to 83.7% of their target short-term incentive award opportunity for this semi-annual performance period. The following table sets forth the short-term incentive metrics and the actual results achieved for the first six-month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84455</wp:posOffset>
            </wp:positionV>
            <wp:extent cx="58293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pacing w:after="0" w:line="14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i w:val="1"/>
          <w:iCs w:val="1"/>
          <w:color w:val="1269BC"/>
        </w:rPr>
        <w:t>2020 Proxy Statement</w:t>
      </w:r>
      <w:r>
        <w:rPr>
          <w:sz w:val="20"/>
          <w:szCs w:val="20"/>
          <w:color w:val="auto"/>
        </w:rPr>
        <w:tab/>
      </w:r>
      <w:r>
        <w:rPr>
          <w:rFonts w:ascii="Arial" w:cs="Arial" w:eastAsia="Arial" w:hAnsi="Arial"/>
          <w:sz w:val="17"/>
          <w:szCs w:val="17"/>
          <w:color w:val="auto"/>
        </w:rPr>
        <w:t>27</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1269BC"/>
        </w:rPr>
        <w:t>First Half of Fiscal 2020 Short-Term Incentive Components, Performance Range and Results Achieved</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1269BC"/>
                <w:w w:val="99"/>
              </w:rPr>
              <w:t>Short-Term</w:t>
            </w: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1269BC"/>
              </w:rPr>
              <w:t>Incentive</w:t>
            </w: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8"/>
        </w:trPr>
        <w:tc>
          <w:tcPr>
            <w:tcW w:w="3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gridSpan w:val="2"/>
          </w:tcPr>
          <w:p>
            <w:pPr>
              <w:jc w:val="right"/>
              <w:ind w:right="90"/>
              <w:spacing w:after="0"/>
              <w:rPr>
                <w:sz w:val="20"/>
                <w:szCs w:val="20"/>
                <w:color w:val="auto"/>
              </w:rPr>
            </w:pPr>
            <w:r>
              <w:rPr>
                <w:rFonts w:ascii="Arial" w:cs="Arial" w:eastAsia="Arial" w:hAnsi="Arial"/>
                <w:sz w:val="16"/>
                <w:szCs w:val="16"/>
                <w:b w:val="1"/>
                <w:bCs w:val="1"/>
                <w:color w:val="1269BC"/>
              </w:rPr>
              <w:t>Achieved</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1269BC"/>
              </w:rPr>
              <w:t>Percentage</w:t>
            </w:r>
          </w:p>
        </w:tc>
        <w:tc>
          <w:tcPr>
            <w:tcW w:w="980" w:type="dxa"/>
            <w:vAlign w:val="bottom"/>
          </w:tcPr>
          <w:p>
            <w:pPr>
              <w:spacing w:after="0"/>
              <w:rPr>
                <w:sz w:val="16"/>
                <w:szCs w:val="16"/>
                <w:color w:val="auto"/>
              </w:rPr>
            </w:pPr>
          </w:p>
        </w:tc>
        <w:tc>
          <w:tcPr>
            <w:tcW w:w="1040" w:type="dxa"/>
            <w:vAlign w:val="bottom"/>
          </w:tcPr>
          <w:p>
            <w:pPr>
              <w:jc w:val="right"/>
              <w:ind w:right="155"/>
              <w:spacing w:after="0"/>
              <w:rPr>
                <w:sz w:val="20"/>
                <w:szCs w:val="20"/>
                <w:color w:val="auto"/>
              </w:rPr>
            </w:pPr>
            <w:r>
              <w:rPr>
                <w:rFonts w:ascii="Arial" w:cs="Arial" w:eastAsia="Arial" w:hAnsi="Arial"/>
                <w:sz w:val="16"/>
                <w:szCs w:val="16"/>
                <w:b w:val="1"/>
                <w:bCs w:val="1"/>
                <w:color w:val="1269BC"/>
              </w:rPr>
              <w:t>Payout %</w:t>
            </w:r>
          </w:p>
        </w:tc>
      </w:tr>
      <w:tr>
        <w:trPr>
          <w:trHeight w:val="222"/>
        </w:trPr>
        <w:tc>
          <w:tcPr>
            <w:tcW w:w="3460" w:type="dxa"/>
            <w:vAlign w:val="bottom"/>
            <w:tcBorders>
              <w:bottom w:val="single" w:sz="8" w:color="1269BC"/>
            </w:tcBorders>
          </w:tcPr>
          <w:p>
            <w:pPr>
              <w:ind w:left="80"/>
              <w:spacing w:after="0"/>
              <w:rPr>
                <w:sz w:val="20"/>
                <w:szCs w:val="20"/>
                <w:color w:val="auto"/>
              </w:rPr>
            </w:pPr>
            <w:r>
              <w:rPr>
                <w:rFonts w:ascii="Arial" w:cs="Arial" w:eastAsia="Arial" w:hAnsi="Arial"/>
                <w:sz w:val="16"/>
                <w:szCs w:val="16"/>
                <w:b w:val="1"/>
                <w:bCs w:val="1"/>
                <w:color w:val="1269BC"/>
              </w:rPr>
              <w:t>Performance Metric</w:t>
            </w:r>
          </w:p>
        </w:tc>
        <w:tc>
          <w:tcPr>
            <w:tcW w:w="1160" w:type="dxa"/>
            <w:vAlign w:val="bottom"/>
            <w:tcBorders>
              <w:bottom w:val="single" w:sz="8" w:color="1269BC"/>
            </w:tcBorders>
            <w:gridSpan w:val="2"/>
          </w:tcPr>
          <w:p>
            <w:pPr>
              <w:jc w:val="right"/>
              <w:ind w:right="70"/>
              <w:spacing w:after="0"/>
              <w:rPr>
                <w:sz w:val="20"/>
                <w:szCs w:val="20"/>
                <w:color w:val="auto"/>
              </w:rPr>
            </w:pPr>
            <w:r>
              <w:rPr>
                <w:rFonts w:ascii="Arial" w:cs="Arial" w:eastAsia="Arial" w:hAnsi="Arial"/>
                <w:sz w:val="16"/>
                <w:szCs w:val="16"/>
                <w:b w:val="1"/>
                <w:bCs w:val="1"/>
                <w:color w:val="1269BC"/>
              </w:rPr>
              <w:t>Threshold</w:t>
            </w:r>
          </w:p>
        </w:tc>
        <w:tc>
          <w:tcPr>
            <w:tcW w:w="220" w:type="dxa"/>
            <w:vAlign w:val="bottom"/>
            <w:tcBorders>
              <w:bottom w:val="single" w:sz="8" w:color="1269BC"/>
            </w:tcBorders>
          </w:tcPr>
          <w:p>
            <w:pPr>
              <w:spacing w:after="0"/>
              <w:rPr>
                <w:sz w:val="19"/>
                <w:szCs w:val="19"/>
                <w:color w:val="auto"/>
              </w:rPr>
            </w:pPr>
          </w:p>
        </w:tc>
        <w:tc>
          <w:tcPr>
            <w:tcW w:w="880" w:type="dxa"/>
            <w:vAlign w:val="bottom"/>
            <w:tcBorders>
              <w:bottom w:val="single" w:sz="8" w:color="1269BC"/>
            </w:tcBorders>
          </w:tcPr>
          <w:p>
            <w:pPr>
              <w:jc w:val="right"/>
              <w:ind w:right="233"/>
              <w:spacing w:after="0"/>
              <w:rPr>
                <w:sz w:val="20"/>
                <w:szCs w:val="20"/>
                <w:color w:val="auto"/>
              </w:rPr>
            </w:pPr>
            <w:r>
              <w:rPr>
                <w:rFonts w:ascii="Arial" w:cs="Arial" w:eastAsia="Arial" w:hAnsi="Arial"/>
                <w:sz w:val="16"/>
                <w:szCs w:val="16"/>
                <w:b w:val="1"/>
                <w:bCs w:val="1"/>
                <w:color w:val="1269BC"/>
              </w:rPr>
              <w:t>Target</w:t>
            </w:r>
          </w:p>
        </w:tc>
        <w:tc>
          <w:tcPr>
            <w:tcW w:w="1080" w:type="dxa"/>
            <w:vAlign w:val="bottom"/>
            <w:tcBorders>
              <w:bottom w:val="single" w:sz="8" w:color="1269BC"/>
            </w:tcBorders>
            <w:gridSpan w:val="2"/>
          </w:tcPr>
          <w:p>
            <w:pPr>
              <w:jc w:val="right"/>
              <w:ind w:right="70"/>
              <w:spacing w:after="0"/>
              <w:rPr>
                <w:sz w:val="20"/>
                <w:szCs w:val="20"/>
                <w:color w:val="auto"/>
              </w:rPr>
            </w:pPr>
            <w:r>
              <w:rPr>
                <w:rFonts w:ascii="Arial" w:cs="Arial" w:eastAsia="Arial" w:hAnsi="Arial"/>
                <w:sz w:val="16"/>
                <w:szCs w:val="16"/>
                <w:b w:val="1"/>
                <w:bCs w:val="1"/>
                <w:color w:val="1269BC"/>
              </w:rPr>
              <w:t>Maximum</w:t>
            </w:r>
          </w:p>
        </w:tc>
        <w:tc>
          <w:tcPr>
            <w:tcW w:w="1100" w:type="dxa"/>
            <w:vAlign w:val="bottom"/>
            <w:tcBorders>
              <w:bottom w:val="single" w:sz="8" w:color="1269BC"/>
            </w:tcBorders>
            <w:gridSpan w:val="2"/>
          </w:tcPr>
          <w:p>
            <w:pPr>
              <w:jc w:val="right"/>
              <w:ind w:right="70"/>
              <w:spacing w:after="0" w:line="222" w:lineRule="exact"/>
              <w:rPr>
                <w:sz w:val="20"/>
                <w:szCs w:val="20"/>
                <w:color w:val="auto"/>
              </w:rPr>
            </w:pPr>
            <w:r>
              <w:rPr>
                <w:rFonts w:ascii="Arial" w:cs="Arial" w:eastAsia="Arial" w:hAnsi="Arial"/>
                <w:sz w:val="15"/>
                <w:szCs w:val="15"/>
                <w:b w:val="1"/>
                <w:bCs w:val="1"/>
                <w:color w:val="1269BC"/>
              </w:rPr>
              <w:t>Results</w:t>
            </w:r>
            <w:r>
              <w:rPr>
                <w:rFonts w:ascii="Arial" w:cs="Arial" w:eastAsia="Arial" w:hAnsi="Arial"/>
                <w:sz w:val="25"/>
                <w:szCs w:val="25"/>
                <w:b w:val="1"/>
                <w:bCs w:val="1"/>
                <w:color w:val="1269BC"/>
                <w:vertAlign w:val="superscript"/>
              </w:rPr>
              <w:t>(1)</w:t>
            </w:r>
          </w:p>
        </w:tc>
        <w:tc>
          <w:tcPr>
            <w:tcW w:w="110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Achieved</w:t>
            </w:r>
          </w:p>
        </w:tc>
        <w:tc>
          <w:tcPr>
            <w:tcW w:w="980" w:type="dxa"/>
            <w:vAlign w:val="bottom"/>
            <w:tcBorders>
              <w:bottom w:val="single" w:sz="8" w:color="1269BC"/>
            </w:tcBorders>
          </w:tcPr>
          <w:p>
            <w:pPr>
              <w:jc w:val="right"/>
              <w:spacing w:after="0"/>
              <w:rPr>
                <w:sz w:val="20"/>
                <w:szCs w:val="20"/>
                <w:color w:val="auto"/>
              </w:rPr>
            </w:pPr>
            <w:r>
              <w:rPr>
                <w:rFonts w:ascii="Arial" w:cs="Arial" w:eastAsia="Arial" w:hAnsi="Arial"/>
                <w:sz w:val="16"/>
                <w:szCs w:val="16"/>
                <w:b w:val="1"/>
                <w:bCs w:val="1"/>
                <w:color w:val="1269BC"/>
              </w:rPr>
              <w:t>Weighting</w:t>
            </w:r>
          </w:p>
        </w:tc>
        <w:tc>
          <w:tcPr>
            <w:tcW w:w="1040" w:type="dxa"/>
            <w:vAlign w:val="bottom"/>
            <w:tcBorders>
              <w:bottom w:val="single" w:sz="8" w:color="1269BC"/>
            </w:tcBorders>
          </w:tcPr>
          <w:p>
            <w:pPr>
              <w:jc w:val="right"/>
              <w:ind w:right="175"/>
              <w:spacing w:after="0" w:line="222" w:lineRule="exact"/>
              <w:rPr>
                <w:sz w:val="20"/>
                <w:szCs w:val="20"/>
                <w:color w:val="auto"/>
              </w:rPr>
            </w:pPr>
            <w:r>
              <w:rPr>
                <w:rFonts w:ascii="Arial" w:cs="Arial" w:eastAsia="Arial" w:hAnsi="Arial"/>
                <w:sz w:val="15"/>
                <w:szCs w:val="15"/>
                <w:b w:val="1"/>
                <w:bCs w:val="1"/>
                <w:color w:val="1269BC"/>
              </w:rPr>
              <w:t>Factor</w:t>
            </w:r>
            <w:r>
              <w:rPr>
                <w:rFonts w:ascii="Arial" w:cs="Arial" w:eastAsia="Arial" w:hAnsi="Arial"/>
                <w:sz w:val="25"/>
                <w:szCs w:val="25"/>
                <w:b w:val="1"/>
                <w:bCs w:val="1"/>
                <w:color w:val="1269BC"/>
                <w:vertAlign w:val="superscript"/>
              </w:rPr>
              <w:t>(2)</w:t>
            </w:r>
          </w:p>
        </w:tc>
      </w:tr>
      <w:tr>
        <w:trPr>
          <w:trHeight w:val="284"/>
        </w:trPr>
        <w:tc>
          <w:tcPr>
            <w:tcW w:w="346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3D9EE"/>
            </w:tcBorders>
            <w:shd w:val="clear" w:color="auto" w:fill="C3D9EE"/>
          </w:tcPr>
          <w:p>
            <w:pPr>
              <w:jc w:val="right"/>
              <w:ind w:right="30"/>
              <w:spacing w:after="0"/>
              <w:rPr>
                <w:sz w:val="20"/>
                <w:szCs w:val="20"/>
                <w:color w:val="auto"/>
              </w:rPr>
            </w:pPr>
            <w:r>
              <w:rPr>
                <w:rFonts w:ascii="Arial" w:cs="Arial" w:eastAsia="Arial" w:hAnsi="Arial"/>
                <w:sz w:val="18"/>
                <w:szCs w:val="18"/>
                <w:color w:val="auto"/>
                <w:w w:val="98"/>
              </w:rPr>
              <w:t>1,356.3M</w:t>
            </w:r>
          </w:p>
        </w:tc>
        <w:tc>
          <w:tcPr>
            <w:tcW w:w="22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3D9EE"/>
            </w:tcBorders>
            <w:shd w:val="clear" w:color="auto" w:fill="C3D9EE"/>
          </w:tcPr>
          <w:p>
            <w:pPr>
              <w:jc w:val="right"/>
              <w:ind w:right="33"/>
              <w:spacing w:after="0"/>
              <w:rPr>
                <w:sz w:val="20"/>
                <w:szCs w:val="20"/>
                <w:color w:val="auto"/>
              </w:rPr>
            </w:pPr>
            <w:r>
              <w:rPr>
                <w:rFonts w:ascii="Arial" w:cs="Arial" w:eastAsia="Arial" w:hAnsi="Arial"/>
                <w:sz w:val="18"/>
                <w:szCs w:val="18"/>
                <w:color w:val="auto"/>
                <w:w w:val="98"/>
              </w:rPr>
              <w:t>1,595.6M</w:t>
            </w:r>
          </w:p>
        </w:tc>
        <w:tc>
          <w:tcPr>
            <w:tcW w:w="22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3D9EE"/>
            </w:tcBorders>
            <w:shd w:val="clear" w:color="auto" w:fill="C3D9EE"/>
          </w:tcPr>
          <w:p>
            <w:pPr>
              <w:jc w:val="right"/>
              <w:ind w:right="10"/>
              <w:spacing w:after="0"/>
              <w:rPr>
                <w:sz w:val="20"/>
                <w:szCs w:val="20"/>
                <w:color w:val="auto"/>
              </w:rPr>
            </w:pPr>
            <w:r>
              <w:rPr>
                <w:rFonts w:ascii="Arial" w:cs="Arial" w:eastAsia="Arial" w:hAnsi="Arial"/>
                <w:sz w:val="18"/>
                <w:szCs w:val="18"/>
                <w:color w:val="auto"/>
                <w:w w:val="98"/>
              </w:rPr>
              <w:t>1,834.9M</w:t>
            </w:r>
          </w:p>
        </w:tc>
        <w:tc>
          <w:tcPr>
            <w:tcW w:w="22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3D9EE"/>
            </w:tcBorders>
            <w:shd w:val="clear" w:color="auto" w:fill="C3D9EE"/>
          </w:tcPr>
          <w:p>
            <w:pPr>
              <w:jc w:val="right"/>
              <w:ind w:right="30"/>
              <w:spacing w:after="0"/>
              <w:rPr>
                <w:sz w:val="20"/>
                <w:szCs w:val="20"/>
                <w:color w:val="auto"/>
              </w:rPr>
            </w:pPr>
            <w:r>
              <w:rPr>
                <w:rFonts w:ascii="Arial" w:cs="Arial" w:eastAsia="Arial" w:hAnsi="Arial"/>
                <w:sz w:val="18"/>
                <w:szCs w:val="18"/>
                <w:color w:val="auto"/>
                <w:w w:val="98"/>
              </w:rPr>
              <w:t>1,557.0M</w:t>
            </w:r>
          </w:p>
        </w:tc>
        <w:tc>
          <w:tcPr>
            <w:tcW w:w="1100" w:type="dxa"/>
            <w:vAlign w:val="bottom"/>
            <w:tcBorders>
              <w:bottom w:val="single" w:sz="8" w:color="C3D9EE"/>
            </w:tcBorders>
            <w:shd w:val="clear" w:color="auto" w:fill="C3D9EE"/>
          </w:tcPr>
          <w:p>
            <w:pPr>
              <w:jc w:val="right"/>
              <w:ind w:right="176"/>
              <w:spacing w:after="0"/>
              <w:rPr>
                <w:sz w:val="20"/>
                <w:szCs w:val="20"/>
                <w:color w:val="auto"/>
              </w:rPr>
            </w:pPr>
            <w:r>
              <w:rPr>
                <w:rFonts w:ascii="Arial" w:cs="Arial" w:eastAsia="Arial" w:hAnsi="Arial"/>
                <w:sz w:val="18"/>
                <w:szCs w:val="18"/>
                <w:color w:val="auto"/>
              </w:rPr>
              <w:t>88.7%</w:t>
            </w:r>
          </w:p>
        </w:tc>
        <w:tc>
          <w:tcPr>
            <w:tcW w:w="980" w:type="dxa"/>
            <w:vAlign w:val="bottom"/>
            <w:tcBorders>
              <w:bottom w:val="single" w:sz="8" w:color="C3D9EE"/>
            </w:tcBorders>
            <w:shd w:val="clear" w:color="auto" w:fill="C3D9EE"/>
          </w:tcPr>
          <w:p>
            <w:pPr>
              <w:jc w:val="right"/>
              <w:ind w:right="153"/>
              <w:spacing w:after="0"/>
              <w:rPr>
                <w:sz w:val="20"/>
                <w:szCs w:val="20"/>
                <w:color w:val="auto"/>
              </w:rPr>
            </w:pPr>
            <w:r>
              <w:rPr>
                <w:rFonts w:ascii="Arial" w:cs="Arial" w:eastAsia="Arial" w:hAnsi="Arial"/>
                <w:sz w:val="18"/>
                <w:szCs w:val="18"/>
                <w:color w:val="auto"/>
              </w:rPr>
              <w:t>50%</w:t>
            </w:r>
          </w:p>
        </w:tc>
        <w:tc>
          <w:tcPr>
            <w:tcW w:w="104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8"/>
                <w:szCs w:val="18"/>
                <w:color w:val="auto"/>
              </w:rPr>
              <w:t>44.4%</w:t>
            </w:r>
          </w:p>
        </w:tc>
      </w:tr>
      <w:tr>
        <w:trPr>
          <w:trHeight w:val="297"/>
        </w:trPr>
        <w:tc>
          <w:tcPr>
            <w:tcW w:w="3460" w:type="dxa"/>
            <w:vAlign w:val="bottom"/>
          </w:tcPr>
          <w:p>
            <w:pPr>
              <w:ind w:left="100"/>
              <w:spacing w:after="0"/>
              <w:rPr>
                <w:sz w:val="20"/>
                <w:szCs w:val="20"/>
                <w:color w:val="auto"/>
              </w:rPr>
            </w:pPr>
            <w:r>
              <w:rPr>
                <w:rFonts w:ascii="Arial" w:cs="Arial" w:eastAsia="Arial" w:hAnsi="Arial"/>
                <w:sz w:val="18"/>
                <w:szCs w:val="18"/>
                <w:color w:val="auto"/>
              </w:rPr>
              <w:t>Non-GAAP Operating Income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302.8M</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432.6M</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562.4M</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393.2M</w:t>
            </w:r>
          </w:p>
        </w:tc>
        <w:tc>
          <w:tcPr>
            <w:tcW w:w="1100" w:type="dxa"/>
            <w:vAlign w:val="bottom"/>
          </w:tcPr>
          <w:p>
            <w:pPr>
              <w:jc w:val="right"/>
              <w:ind w:right="176"/>
              <w:spacing w:after="0"/>
              <w:rPr>
                <w:sz w:val="20"/>
                <w:szCs w:val="20"/>
                <w:color w:val="auto"/>
              </w:rPr>
            </w:pPr>
            <w:r>
              <w:rPr>
                <w:rFonts w:ascii="Arial" w:cs="Arial" w:eastAsia="Arial" w:hAnsi="Arial"/>
                <w:sz w:val="18"/>
                <w:szCs w:val="18"/>
                <w:color w:val="auto"/>
              </w:rPr>
              <w:t>78.8%</w:t>
            </w: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50%</w:t>
            </w:r>
          </w:p>
        </w:tc>
        <w:tc>
          <w:tcPr>
            <w:tcW w:w="104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7"/>
        </w:trPr>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04"/>
        </w:trPr>
        <w:tc>
          <w:tcPr>
            <w:tcW w:w="3460" w:type="dxa"/>
            <w:vAlign w:val="bottom"/>
            <w:tcBorders>
              <w:bottom w:val="single" w:sz="8" w:color="C3D9EE"/>
            </w:tcBorders>
            <w:shd w:val="clear" w:color="auto" w:fill="C3D9EE"/>
          </w:tcPr>
          <w:p>
            <w:pPr>
              <w:spacing w:after="0"/>
              <w:rPr>
                <w:sz w:val="24"/>
                <w:szCs w:val="24"/>
                <w:color w:val="auto"/>
              </w:rPr>
            </w:pPr>
          </w:p>
        </w:tc>
        <w:tc>
          <w:tcPr>
            <w:tcW w:w="280" w:type="dxa"/>
            <w:vAlign w:val="bottom"/>
            <w:tcBorders>
              <w:bottom w:val="single" w:sz="8" w:color="C3D9EE"/>
            </w:tcBorders>
            <w:shd w:val="clear" w:color="auto" w:fill="C3D9EE"/>
          </w:tcPr>
          <w:p>
            <w:pPr>
              <w:spacing w:after="0"/>
              <w:rPr>
                <w:sz w:val="24"/>
                <w:szCs w:val="24"/>
                <w:color w:val="auto"/>
              </w:rPr>
            </w:pPr>
          </w:p>
        </w:tc>
        <w:tc>
          <w:tcPr>
            <w:tcW w:w="880" w:type="dxa"/>
            <w:vAlign w:val="bottom"/>
            <w:tcBorders>
              <w:bottom w:val="single" w:sz="8" w:color="C3D9EE"/>
            </w:tcBorders>
            <w:shd w:val="clear" w:color="auto" w:fill="C3D9EE"/>
          </w:tcPr>
          <w:p>
            <w:pPr>
              <w:spacing w:after="0"/>
              <w:rPr>
                <w:sz w:val="24"/>
                <w:szCs w:val="24"/>
                <w:color w:val="auto"/>
              </w:rPr>
            </w:pPr>
          </w:p>
        </w:tc>
        <w:tc>
          <w:tcPr>
            <w:tcW w:w="220" w:type="dxa"/>
            <w:vAlign w:val="bottom"/>
            <w:tcBorders>
              <w:bottom w:val="single" w:sz="8" w:color="C3D9EE"/>
            </w:tcBorders>
            <w:shd w:val="clear" w:color="auto" w:fill="C3D9EE"/>
          </w:tcPr>
          <w:p>
            <w:pPr>
              <w:spacing w:after="0"/>
              <w:rPr>
                <w:sz w:val="24"/>
                <w:szCs w:val="24"/>
                <w:color w:val="auto"/>
              </w:rPr>
            </w:pPr>
          </w:p>
        </w:tc>
        <w:tc>
          <w:tcPr>
            <w:tcW w:w="880" w:type="dxa"/>
            <w:vAlign w:val="bottom"/>
            <w:tcBorders>
              <w:bottom w:val="single" w:sz="8" w:color="C3D9EE"/>
            </w:tcBorders>
            <w:shd w:val="clear" w:color="auto" w:fill="C3D9EE"/>
          </w:tcPr>
          <w:p>
            <w:pPr>
              <w:spacing w:after="0"/>
              <w:rPr>
                <w:sz w:val="24"/>
                <w:szCs w:val="24"/>
                <w:color w:val="auto"/>
              </w:rPr>
            </w:pPr>
          </w:p>
        </w:tc>
        <w:tc>
          <w:tcPr>
            <w:tcW w:w="220" w:type="dxa"/>
            <w:vAlign w:val="bottom"/>
            <w:tcBorders>
              <w:bottom w:val="single" w:sz="8" w:color="C3D9EE"/>
            </w:tcBorders>
            <w:shd w:val="clear" w:color="auto" w:fill="C3D9EE"/>
          </w:tcPr>
          <w:p>
            <w:pPr>
              <w:spacing w:after="0"/>
              <w:rPr>
                <w:sz w:val="24"/>
                <w:szCs w:val="24"/>
                <w:color w:val="auto"/>
              </w:rPr>
            </w:pPr>
          </w:p>
        </w:tc>
        <w:tc>
          <w:tcPr>
            <w:tcW w:w="860" w:type="dxa"/>
            <w:vAlign w:val="bottom"/>
            <w:tcBorders>
              <w:bottom w:val="single" w:sz="8" w:color="C3D9EE"/>
            </w:tcBorders>
            <w:shd w:val="clear" w:color="auto" w:fill="C3D9EE"/>
          </w:tcPr>
          <w:p>
            <w:pPr>
              <w:spacing w:after="0"/>
              <w:rPr>
                <w:sz w:val="24"/>
                <w:szCs w:val="24"/>
                <w:color w:val="auto"/>
              </w:rPr>
            </w:pPr>
          </w:p>
        </w:tc>
        <w:tc>
          <w:tcPr>
            <w:tcW w:w="220" w:type="dxa"/>
            <w:vAlign w:val="bottom"/>
            <w:tcBorders>
              <w:bottom w:val="single" w:sz="8" w:color="C3D9EE"/>
            </w:tcBorders>
            <w:shd w:val="clear" w:color="auto" w:fill="C3D9EE"/>
          </w:tcPr>
          <w:p>
            <w:pPr>
              <w:spacing w:after="0"/>
              <w:rPr>
                <w:sz w:val="24"/>
                <w:szCs w:val="24"/>
                <w:color w:val="auto"/>
              </w:rPr>
            </w:pPr>
          </w:p>
        </w:tc>
        <w:tc>
          <w:tcPr>
            <w:tcW w:w="880" w:type="dxa"/>
            <w:vAlign w:val="bottom"/>
            <w:tcBorders>
              <w:bottom w:val="single" w:sz="8" w:color="C3D9EE"/>
            </w:tcBorders>
            <w:shd w:val="clear" w:color="auto" w:fill="C3D9EE"/>
          </w:tcPr>
          <w:p>
            <w:pPr>
              <w:spacing w:after="0"/>
              <w:rPr>
                <w:sz w:val="24"/>
                <w:szCs w:val="24"/>
                <w:color w:val="auto"/>
              </w:rPr>
            </w:pPr>
          </w:p>
        </w:tc>
        <w:tc>
          <w:tcPr>
            <w:tcW w:w="1100" w:type="dxa"/>
            <w:vAlign w:val="bottom"/>
            <w:tcBorders>
              <w:bottom w:val="single" w:sz="8" w:color="C3D9EE"/>
            </w:tcBorders>
            <w:shd w:val="clear" w:color="auto" w:fill="C3D9EE"/>
          </w:tcPr>
          <w:p>
            <w:pPr>
              <w:spacing w:after="0"/>
              <w:rPr>
                <w:sz w:val="24"/>
                <w:szCs w:val="24"/>
                <w:color w:val="auto"/>
              </w:rPr>
            </w:pPr>
          </w:p>
        </w:tc>
        <w:tc>
          <w:tcPr>
            <w:tcW w:w="980" w:type="dxa"/>
            <w:vAlign w:val="bottom"/>
            <w:tcBorders>
              <w:bottom w:val="single" w:sz="8" w:color="C3D9EE"/>
            </w:tcBorders>
            <w:shd w:val="clear" w:color="auto" w:fill="C3D9EE"/>
          </w:tcPr>
          <w:p>
            <w:pPr>
              <w:spacing w:after="0"/>
              <w:rPr>
                <w:sz w:val="24"/>
                <w:szCs w:val="24"/>
                <w:color w:val="auto"/>
              </w:rPr>
            </w:pPr>
          </w:p>
        </w:tc>
        <w:tc>
          <w:tcPr>
            <w:tcW w:w="104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8"/>
                <w:szCs w:val="18"/>
                <w:b w:val="1"/>
                <w:bCs w:val="1"/>
                <w:color w:val="auto"/>
              </w:rPr>
              <w:t>83.7%</w:t>
            </w:r>
          </w:p>
        </w:tc>
      </w:tr>
      <w:tr>
        <w:trPr>
          <w:trHeight w:val="20"/>
        </w:trPr>
        <w:tc>
          <w:tcPr>
            <w:tcW w:w="3460" w:type="dxa"/>
            <w:vAlign w:val="bottom"/>
            <w:shd w:val="clear" w:color="auto" w:fill="1269BC"/>
          </w:tcPr>
          <w:p>
            <w:pPr>
              <w:spacing w:after="0" w:line="20" w:lineRule="exact"/>
              <w:rPr>
                <w:sz w:val="1"/>
                <w:szCs w:val="1"/>
                <w:color w:val="auto"/>
              </w:rPr>
            </w:pPr>
          </w:p>
        </w:tc>
        <w:tc>
          <w:tcPr>
            <w:tcW w:w="280" w:type="dxa"/>
            <w:vAlign w:val="bottom"/>
            <w:shd w:val="clear" w:color="auto" w:fill="1269BC"/>
          </w:tcPr>
          <w:p>
            <w:pPr>
              <w:spacing w:after="0" w:line="20" w:lineRule="exact"/>
              <w:rPr>
                <w:sz w:val="1"/>
                <w:szCs w:val="1"/>
                <w:color w:val="auto"/>
              </w:rPr>
            </w:pPr>
          </w:p>
        </w:tc>
        <w:tc>
          <w:tcPr>
            <w:tcW w:w="880" w:type="dxa"/>
            <w:vAlign w:val="bottom"/>
            <w:shd w:val="clear" w:color="auto" w:fill="1269BC"/>
          </w:tcPr>
          <w:p>
            <w:pPr>
              <w:spacing w:after="0" w:line="20" w:lineRule="exact"/>
              <w:rPr>
                <w:sz w:val="1"/>
                <w:szCs w:val="1"/>
                <w:color w:val="auto"/>
              </w:rPr>
            </w:pPr>
          </w:p>
        </w:tc>
        <w:tc>
          <w:tcPr>
            <w:tcW w:w="220" w:type="dxa"/>
            <w:vAlign w:val="bottom"/>
            <w:shd w:val="clear" w:color="auto" w:fill="1269BC"/>
          </w:tcPr>
          <w:p>
            <w:pPr>
              <w:spacing w:after="0" w:line="20" w:lineRule="exact"/>
              <w:rPr>
                <w:sz w:val="1"/>
                <w:szCs w:val="1"/>
                <w:color w:val="auto"/>
              </w:rPr>
            </w:pPr>
          </w:p>
        </w:tc>
        <w:tc>
          <w:tcPr>
            <w:tcW w:w="880" w:type="dxa"/>
            <w:vAlign w:val="bottom"/>
            <w:shd w:val="clear" w:color="auto" w:fill="1269BC"/>
          </w:tcPr>
          <w:p>
            <w:pPr>
              <w:spacing w:after="0" w:line="20" w:lineRule="exact"/>
              <w:rPr>
                <w:sz w:val="1"/>
                <w:szCs w:val="1"/>
                <w:color w:val="auto"/>
              </w:rPr>
            </w:pPr>
          </w:p>
        </w:tc>
        <w:tc>
          <w:tcPr>
            <w:tcW w:w="220" w:type="dxa"/>
            <w:vAlign w:val="bottom"/>
            <w:shd w:val="clear" w:color="auto" w:fill="1269BC"/>
          </w:tcPr>
          <w:p>
            <w:pPr>
              <w:spacing w:after="0" w:line="20" w:lineRule="exact"/>
              <w:rPr>
                <w:sz w:val="1"/>
                <w:szCs w:val="1"/>
                <w:color w:val="auto"/>
              </w:rPr>
            </w:pPr>
          </w:p>
        </w:tc>
        <w:tc>
          <w:tcPr>
            <w:tcW w:w="860" w:type="dxa"/>
            <w:vAlign w:val="bottom"/>
            <w:shd w:val="clear" w:color="auto" w:fill="1269BC"/>
          </w:tcPr>
          <w:p>
            <w:pPr>
              <w:spacing w:after="0" w:line="20" w:lineRule="exact"/>
              <w:rPr>
                <w:sz w:val="1"/>
                <w:szCs w:val="1"/>
                <w:color w:val="auto"/>
              </w:rPr>
            </w:pPr>
          </w:p>
        </w:tc>
        <w:tc>
          <w:tcPr>
            <w:tcW w:w="220" w:type="dxa"/>
            <w:vAlign w:val="bottom"/>
            <w:shd w:val="clear" w:color="auto" w:fill="1269BC"/>
          </w:tcPr>
          <w:p>
            <w:pPr>
              <w:spacing w:after="0" w:line="20" w:lineRule="exact"/>
              <w:rPr>
                <w:sz w:val="1"/>
                <w:szCs w:val="1"/>
                <w:color w:val="auto"/>
              </w:rPr>
            </w:pPr>
          </w:p>
        </w:tc>
        <w:tc>
          <w:tcPr>
            <w:tcW w:w="880" w:type="dxa"/>
            <w:vAlign w:val="bottom"/>
            <w:shd w:val="clear" w:color="auto" w:fill="1269BC"/>
          </w:tcPr>
          <w:p>
            <w:pPr>
              <w:spacing w:after="0" w:line="20" w:lineRule="exact"/>
              <w:rPr>
                <w:sz w:val="1"/>
                <w:szCs w:val="1"/>
                <w:color w:val="auto"/>
              </w:rPr>
            </w:pPr>
          </w:p>
        </w:tc>
        <w:tc>
          <w:tcPr>
            <w:tcW w:w="1100" w:type="dxa"/>
            <w:vAlign w:val="bottom"/>
            <w:shd w:val="clear" w:color="auto" w:fill="1269BC"/>
          </w:tcPr>
          <w:p>
            <w:pPr>
              <w:spacing w:after="0" w:line="20" w:lineRule="exact"/>
              <w:rPr>
                <w:sz w:val="1"/>
                <w:szCs w:val="1"/>
                <w:color w:val="auto"/>
              </w:rPr>
            </w:pPr>
          </w:p>
        </w:tc>
        <w:tc>
          <w:tcPr>
            <w:tcW w:w="980" w:type="dxa"/>
            <w:vAlign w:val="bottom"/>
            <w:shd w:val="clear" w:color="auto" w:fill="1269BC"/>
          </w:tcPr>
          <w:p>
            <w:pPr>
              <w:spacing w:after="0" w:line="20" w:lineRule="exact"/>
              <w:rPr>
                <w:sz w:val="1"/>
                <w:szCs w:val="1"/>
                <w:color w:val="auto"/>
              </w:rPr>
            </w:pPr>
          </w:p>
        </w:tc>
        <w:tc>
          <w:tcPr>
            <w:tcW w:w="1040" w:type="dxa"/>
            <w:vAlign w:val="bottom"/>
            <w:shd w:val="clear" w:color="auto" w:fill="1269BC"/>
          </w:tcPr>
          <w:p>
            <w:pPr>
              <w:spacing w:after="0" w:line="20" w:lineRule="exact"/>
              <w:rPr>
                <w:sz w:val="1"/>
                <w:szCs w:val="1"/>
                <w:color w:val="auto"/>
              </w:rPr>
            </w:pPr>
          </w:p>
        </w:tc>
      </w:tr>
    </w:tbl>
    <w:p>
      <w:pPr>
        <w:spacing w:after="0" w:line="245"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Excludes acquisition-related revenues and expenses that were not included in the approved annual operating plan.</w:t>
      </w:r>
    </w:p>
    <w:p>
      <w:pPr>
        <w:spacing w:after="0" w:line="126" w:lineRule="exact"/>
        <w:rPr>
          <w:rFonts w:ascii="Arial" w:cs="Arial" w:eastAsia="Arial" w:hAnsi="Arial"/>
          <w:sz w:val="16"/>
          <w:szCs w:val="16"/>
          <w:color w:val="auto"/>
        </w:rPr>
      </w:pPr>
    </w:p>
    <w:p>
      <w:pPr>
        <w:ind w:left="980" w:hanging="324"/>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Numbers do not add due to rounding.</w:t>
      </w:r>
    </w:p>
    <w:p>
      <w:pPr>
        <w:spacing w:after="0" w:line="221" w:lineRule="exact"/>
        <w:rPr>
          <w:sz w:val="20"/>
          <w:szCs w:val="20"/>
          <w:color w:val="auto"/>
        </w:rPr>
      </w:pPr>
    </w:p>
    <w:p>
      <w:pPr>
        <w:ind w:left="120" w:right="140"/>
        <w:spacing w:after="0" w:line="249" w:lineRule="auto"/>
        <w:rPr>
          <w:sz w:val="20"/>
          <w:szCs w:val="20"/>
          <w:color w:val="auto"/>
        </w:rPr>
      </w:pPr>
      <w:r>
        <w:rPr>
          <w:rFonts w:ascii="Arial" w:cs="Arial" w:eastAsia="Arial" w:hAnsi="Arial"/>
          <w:sz w:val="16"/>
          <w:szCs w:val="16"/>
          <w:color w:val="auto"/>
        </w:rPr>
        <w:t>We used a similar methodology to set our short-term incentive award targets for the second half of fiscal 2020 based on our updated annual operating plan, as approved by the Board. For the second six months of fiscal 2020, the target level for revenue and non-GAAP operating income was approximately 100% of the corresponding amount in our updated annual operating plan. Based on our performance in the second six months of fiscal 2020, our Named Executive Officers earned short-term incentive awards equal to 144.8% of their target short-term incentive award opportunity for this semi-annual performance period. The following table sets forth the short-term incentive metrics and the actual results achieved for the second six-month performance period:</w:t>
      </w: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1269BC"/>
        </w:rPr>
        <w:t>Second Half of Fiscal 2020 Short-Term Incentive Components, Performance Range and Results Achieved</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1269BC"/>
              </w:rPr>
              <w:t>Short-Term</w:t>
            </w: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1269BC"/>
              </w:rPr>
              <w:t>Incentive</w:t>
            </w: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8"/>
        </w:trPr>
        <w:tc>
          <w:tcPr>
            <w:tcW w:w="3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6"/>
                <w:szCs w:val="16"/>
                <w:b w:val="1"/>
                <w:bCs w:val="1"/>
                <w:color w:val="1269BC"/>
              </w:rPr>
              <w:t>Achieved</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1269BC"/>
              </w:rPr>
              <w:t>Percentage</w:t>
            </w:r>
          </w:p>
        </w:tc>
        <w:tc>
          <w:tcPr>
            <w:tcW w:w="1000" w:type="dxa"/>
            <w:vAlign w:val="bottom"/>
          </w:tcPr>
          <w:p>
            <w:pPr>
              <w:spacing w:after="0"/>
              <w:rPr>
                <w:sz w:val="16"/>
                <w:szCs w:val="16"/>
                <w:color w:val="auto"/>
              </w:rPr>
            </w:pPr>
          </w:p>
        </w:tc>
        <w:tc>
          <w:tcPr>
            <w:tcW w:w="1040" w:type="dxa"/>
            <w:vAlign w:val="bottom"/>
          </w:tcPr>
          <w:p>
            <w:pPr>
              <w:jc w:val="right"/>
              <w:ind w:right="154"/>
              <w:spacing w:after="0"/>
              <w:rPr>
                <w:sz w:val="20"/>
                <w:szCs w:val="20"/>
                <w:color w:val="auto"/>
              </w:rPr>
            </w:pPr>
            <w:r>
              <w:rPr>
                <w:rFonts w:ascii="Arial" w:cs="Arial" w:eastAsia="Arial" w:hAnsi="Arial"/>
                <w:sz w:val="16"/>
                <w:szCs w:val="16"/>
                <w:b w:val="1"/>
                <w:bCs w:val="1"/>
                <w:color w:val="1269BC"/>
              </w:rPr>
              <w:t>Payout %</w:t>
            </w:r>
          </w:p>
        </w:tc>
      </w:tr>
      <w:tr>
        <w:trPr>
          <w:trHeight w:val="222"/>
        </w:trPr>
        <w:tc>
          <w:tcPr>
            <w:tcW w:w="3200" w:type="dxa"/>
            <w:vAlign w:val="bottom"/>
            <w:tcBorders>
              <w:bottom w:val="single" w:sz="8" w:color="1269BC"/>
            </w:tcBorders>
          </w:tcPr>
          <w:p>
            <w:pPr>
              <w:ind w:left="80"/>
              <w:spacing w:after="0"/>
              <w:rPr>
                <w:sz w:val="20"/>
                <w:szCs w:val="20"/>
                <w:color w:val="auto"/>
              </w:rPr>
            </w:pPr>
            <w:r>
              <w:rPr>
                <w:rFonts w:ascii="Arial" w:cs="Arial" w:eastAsia="Arial" w:hAnsi="Arial"/>
                <w:sz w:val="16"/>
                <w:szCs w:val="16"/>
                <w:b w:val="1"/>
                <w:bCs w:val="1"/>
                <w:color w:val="1269BC"/>
              </w:rPr>
              <w:t>Performance Metric</w:t>
            </w:r>
          </w:p>
        </w:tc>
        <w:tc>
          <w:tcPr>
            <w:tcW w:w="1220" w:type="dxa"/>
            <w:vAlign w:val="bottom"/>
            <w:tcBorders>
              <w:bottom w:val="single" w:sz="8" w:color="1269BC"/>
            </w:tcBorders>
            <w:gridSpan w:val="2"/>
          </w:tcPr>
          <w:p>
            <w:pPr>
              <w:jc w:val="right"/>
              <w:ind w:right="90"/>
              <w:spacing w:after="0"/>
              <w:rPr>
                <w:sz w:val="20"/>
                <w:szCs w:val="20"/>
                <w:color w:val="auto"/>
              </w:rPr>
            </w:pPr>
            <w:r>
              <w:rPr>
                <w:rFonts w:ascii="Arial" w:cs="Arial" w:eastAsia="Arial" w:hAnsi="Arial"/>
                <w:sz w:val="16"/>
                <w:szCs w:val="16"/>
                <w:b w:val="1"/>
                <w:bCs w:val="1"/>
                <w:color w:val="1269BC"/>
              </w:rPr>
              <w:t>Threshold</w:t>
            </w:r>
          </w:p>
        </w:tc>
        <w:tc>
          <w:tcPr>
            <w:tcW w:w="240" w:type="dxa"/>
            <w:vAlign w:val="bottom"/>
            <w:tcBorders>
              <w:bottom w:val="single" w:sz="8" w:color="1269BC"/>
            </w:tcBorders>
          </w:tcPr>
          <w:p>
            <w:pPr>
              <w:spacing w:after="0"/>
              <w:rPr>
                <w:sz w:val="19"/>
                <w:szCs w:val="19"/>
                <w:color w:val="auto"/>
              </w:rPr>
            </w:pPr>
          </w:p>
        </w:tc>
        <w:tc>
          <w:tcPr>
            <w:tcW w:w="900" w:type="dxa"/>
            <w:vAlign w:val="bottom"/>
            <w:tcBorders>
              <w:bottom w:val="single" w:sz="8" w:color="1269BC"/>
            </w:tcBorders>
          </w:tcPr>
          <w:p>
            <w:pPr>
              <w:jc w:val="right"/>
              <w:ind w:right="233"/>
              <w:spacing w:after="0"/>
              <w:rPr>
                <w:sz w:val="20"/>
                <w:szCs w:val="20"/>
                <w:color w:val="auto"/>
              </w:rPr>
            </w:pPr>
            <w:r>
              <w:rPr>
                <w:rFonts w:ascii="Arial" w:cs="Arial" w:eastAsia="Arial" w:hAnsi="Arial"/>
                <w:sz w:val="16"/>
                <w:szCs w:val="16"/>
                <w:b w:val="1"/>
                <w:bCs w:val="1"/>
                <w:color w:val="1269BC"/>
              </w:rPr>
              <w:t>Target</w:t>
            </w:r>
          </w:p>
        </w:tc>
        <w:tc>
          <w:tcPr>
            <w:tcW w:w="1140" w:type="dxa"/>
            <w:vAlign w:val="bottom"/>
            <w:tcBorders>
              <w:bottom w:val="single" w:sz="8" w:color="1269BC"/>
            </w:tcBorders>
            <w:gridSpan w:val="2"/>
          </w:tcPr>
          <w:p>
            <w:pPr>
              <w:jc w:val="right"/>
              <w:ind w:right="110"/>
              <w:spacing w:after="0"/>
              <w:rPr>
                <w:sz w:val="20"/>
                <w:szCs w:val="20"/>
                <w:color w:val="auto"/>
              </w:rPr>
            </w:pPr>
            <w:r>
              <w:rPr>
                <w:rFonts w:ascii="Arial" w:cs="Arial" w:eastAsia="Arial" w:hAnsi="Arial"/>
                <w:sz w:val="16"/>
                <w:szCs w:val="16"/>
                <w:b w:val="1"/>
                <w:bCs w:val="1"/>
                <w:color w:val="1269BC"/>
              </w:rPr>
              <w:t>Maximum</w:t>
            </w:r>
          </w:p>
        </w:tc>
        <w:tc>
          <w:tcPr>
            <w:tcW w:w="1120" w:type="dxa"/>
            <w:vAlign w:val="bottom"/>
            <w:tcBorders>
              <w:bottom w:val="single" w:sz="8" w:color="1269BC"/>
            </w:tcBorders>
            <w:gridSpan w:val="2"/>
          </w:tcPr>
          <w:p>
            <w:pPr>
              <w:jc w:val="right"/>
              <w:ind w:right="90"/>
              <w:spacing w:after="0" w:line="222" w:lineRule="exact"/>
              <w:rPr>
                <w:sz w:val="20"/>
                <w:szCs w:val="20"/>
                <w:color w:val="auto"/>
              </w:rPr>
            </w:pPr>
            <w:r>
              <w:rPr>
                <w:rFonts w:ascii="Arial" w:cs="Arial" w:eastAsia="Arial" w:hAnsi="Arial"/>
                <w:sz w:val="15"/>
                <w:szCs w:val="15"/>
                <w:b w:val="1"/>
                <w:bCs w:val="1"/>
                <w:color w:val="1269BC"/>
              </w:rPr>
              <w:t>Results</w:t>
            </w:r>
            <w:r>
              <w:rPr>
                <w:rFonts w:ascii="Arial" w:cs="Arial" w:eastAsia="Arial" w:hAnsi="Arial"/>
                <w:sz w:val="25"/>
                <w:szCs w:val="25"/>
                <w:b w:val="1"/>
                <w:bCs w:val="1"/>
                <w:color w:val="1269BC"/>
                <w:vertAlign w:val="superscript"/>
              </w:rPr>
              <w:t>(1)</w:t>
            </w:r>
          </w:p>
        </w:tc>
        <w:tc>
          <w:tcPr>
            <w:tcW w:w="116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Achieved</w:t>
            </w:r>
          </w:p>
        </w:tc>
        <w:tc>
          <w:tcPr>
            <w:tcW w:w="1000" w:type="dxa"/>
            <w:vAlign w:val="bottom"/>
            <w:tcBorders>
              <w:bottom w:val="single" w:sz="8" w:color="1269BC"/>
            </w:tcBorders>
          </w:tcPr>
          <w:p>
            <w:pPr>
              <w:jc w:val="right"/>
              <w:spacing w:after="0"/>
              <w:rPr>
                <w:sz w:val="20"/>
                <w:szCs w:val="20"/>
                <w:color w:val="auto"/>
              </w:rPr>
            </w:pPr>
            <w:r>
              <w:rPr>
                <w:rFonts w:ascii="Arial" w:cs="Arial" w:eastAsia="Arial" w:hAnsi="Arial"/>
                <w:sz w:val="16"/>
                <w:szCs w:val="16"/>
                <w:b w:val="1"/>
                <w:bCs w:val="1"/>
                <w:color w:val="1269BC"/>
              </w:rPr>
              <w:t>Weighting</w:t>
            </w:r>
          </w:p>
        </w:tc>
        <w:tc>
          <w:tcPr>
            <w:tcW w:w="1040" w:type="dxa"/>
            <w:vAlign w:val="bottom"/>
            <w:tcBorders>
              <w:bottom w:val="single" w:sz="8" w:color="1269BC"/>
            </w:tcBorders>
          </w:tcPr>
          <w:p>
            <w:pPr>
              <w:jc w:val="right"/>
              <w:ind w:right="254"/>
              <w:spacing w:after="0"/>
              <w:rPr>
                <w:sz w:val="20"/>
                <w:szCs w:val="20"/>
                <w:color w:val="auto"/>
              </w:rPr>
            </w:pPr>
            <w:r>
              <w:rPr>
                <w:rFonts w:ascii="Arial" w:cs="Arial" w:eastAsia="Arial" w:hAnsi="Arial"/>
                <w:sz w:val="16"/>
                <w:szCs w:val="16"/>
                <w:b w:val="1"/>
                <w:bCs w:val="1"/>
                <w:color w:val="1269BC"/>
              </w:rPr>
              <w:t>Factor</w:t>
            </w:r>
          </w:p>
        </w:tc>
      </w:tr>
      <w:tr>
        <w:trPr>
          <w:trHeight w:val="284"/>
        </w:trPr>
        <w:tc>
          <w:tcPr>
            <w:tcW w:w="320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3D9EE"/>
            </w:tcBorders>
            <w:shd w:val="clear" w:color="auto" w:fill="C3D9EE"/>
          </w:tcPr>
          <w:p>
            <w:pPr>
              <w:jc w:val="right"/>
              <w:ind w:right="50"/>
              <w:spacing w:after="0"/>
              <w:rPr>
                <w:sz w:val="20"/>
                <w:szCs w:val="20"/>
                <w:color w:val="auto"/>
              </w:rPr>
            </w:pPr>
            <w:r>
              <w:rPr>
                <w:rFonts w:ascii="Arial" w:cs="Arial" w:eastAsia="Arial" w:hAnsi="Arial"/>
                <w:sz w:val="18"/>
                <w:szCs w:val="18"/>
                <w:color w:val="auto"/>
                <w:w w:val="95"/>
              </w:rPr>
              <w:t>1,325.2M</w:t>
            </w:r>
          </w:p>
        </w:tc>
        <w:tc>
          <w:tcPr>
            <w:tcW w:w="24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3D9EE"/>
            </w:tcBorders>
            <w:shd w:val="clear" w:color="auto" w:fill="C3D9EE"/>
          </w:tcPr>
          <w:p>
            <w:pPr>
              <w:jc w:val="right"/>
              <w:ind w:right="53"/>
              <w:spacing w:after="0"/>
              <w:rPr>
                <w:sz w:val="20"/>
                <w:szCs w:val="20"/>
                <w:color w:val="auto"/>
              </w:rPr>
            </w:pPr>
            <w:r>
              <w:rPr>
                <w:rFonts w:ascii="Arial" w:cs="Arial" w:eastAsia="Arial" w:hAnsi="Arial"/>
                <w:sz w:val="18"/>
                <w:szCs w:val="18"/>
                <w:color w:val="auto"/>
                <w:w w:val="98"/>
              </w:rPr>
              <w:t>1,559.1M</w:t>
            </w:r>
          </w:p>
        </w:tc>
        <w:tc>
          <w:tcPr>
            <w:tcW w:w="24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3D9EE"/>
            </w:tcBorders>
            <w:shd w:val="clear" w:color="auto" w:fill="C3D9EE"/>
          </w:tcPr>
          <w:p>
            <w:pPr>
              <w:jc w:val="right"/>
              <w:ind w:right="50"/>
              <w:spacing w:after="0"/>
              <w:rPr>
                <w:sz w:val="20"/>
                <w:szCs w:val="20"/>
                <w:color w:val="auto"/>
              </w:rPr>
            </w:pPr>
            <w:r>
              <w:rPr>
                <w:rFonts w:ascii="Arial" w:cs="Arial" w:eastAsia="Arial" w:hAnsi="Arial"/>
                <w:sz w:val="18"/>
                <w:szCs w:val="18"/>
                <w:color w:val="auto"/>
                <w:w w:val="98"/>
              </w:rPr>
              <w:t>1,793.0M</w:t>
            </w:r>
          </w:p>
        </w:tc>
        <w:tc>
          <w:tcPr>
            <w:tcW w:w="24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3D9EE"/>
            </w:tcBorders>
            <w:shd w:val="clear" w:color="auto" w:fill="C3D9EE"/>
          </w:tcPr>
          <w:p>
            <w:pPr>
              <w:jc w:val="right"/>
              <w:ind w:right="30"/>
              <w:spacing w:after="0"/>
              <w:rPr>
                <w:sz w:val="20"/>
                <w:szCs w:val="20"/>
                <w:color w:val="auto"/>
              </w:rPr>
            </w:pPr>
            <w:r>
              <w:rPr>
                <w:rFonts w:ascii="Arial" w:cs="Arial" w:eastAsia="Arial" w:hAnsi="Arial"/>
                <w:sz w:val="18"/>
                <w:szCs w:val="18"/>
                <w:color w:val="auto"/>
                <w:w w:val="98"/>
              </w:rPr>
              <w:t>1,653.5M</w:t>
            </w:r>
          </w:p>
        </w:tc>
        <w:tc>
          <w:tcPr>
            <w:tcW w:w="1160" w:type="dxa"/>
            <w:vAlign w:val="bottom"/>
            <w:tcBorders>
              <w:bottom w:val="single" w:sz="8" w:color="C3D9EE"/>
            </w:tcBorders>
            <w:shd w:val="clear" w:color="auto" w:fill="C3D9EE"/>
          </w:tcPr>
          <w:p>
            <w:pPr>
              <w:jc w:val="right"/>
              <w:ind w:right="156"/>
              <w:spacing w:after="0"/>
              <w:rPr>
                <w:sz w:val="20"/>
                <w:szCs w:val="20"/>
                <w:color w:val="auto"/>
              </w:rPr>
            </w:pPr>
            <w:r>
              <w:rPr>
                <w:rFonts w:ascii="Arial" w:cs="Arial" w:eastAsia="Arial" w:hAnsi="Arial"/>
                <w:sz w:val="18"/>
                <w:szCs w:val="18"/>
                <w:color w:val="auto"/>
              </w:rPr>
              <w:t>140.3%</w:t>
            </w:r>
          </w:p>
        </w:tc>
        <w:tc>
          <w:tcPr>
            <w:tcW w:w="1000" w:type="dxa"/>
            <w:vAlign w:val="bottom"/>
            <w:tcBorders>
              <w:bottom w:val="single" w:sz="8" w:color="C3D9EE"/>
            </w:tcBorders>
            <w:shd w:val="clear" w:color="auto" w:fill="C3D9EE"/>
          </w:tcPr>
          <w:p>
            <w:pPr>
              <w:jc w:val="right"/>
              <w:ind w:right="173"/>
              <w:spacing w:after="0"/>
              <w:rPr>
                <w:sz w:val="20"/>
                <w:szCs w:val="20"/>
                <w:color w:val="auto"/>
              </w:rPr>
            </w:pPr>
            <w:r>
              <w:rPr>
                <w:rFonts w:ascii="Arial" w:cs="Arial" w:eastAsia="Arial" w:hAnsi="Arial"/>
                <w:sz w:val="18"/>
                <w:szCs w:val="18"/>
                <w:color w:val="auto"/>
              </w:rPr>
              <w:t>50%</w:t>
            </w:r>
          </w:p>
        </w:tc>
        <w:tc>
          <w:tcPr>
            <w:tcW w:w="104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8"/>
                <w:szCs w:val="18"/>
                <w:color w:val="auto"/>
              </w:rPr>
              <w:t>70.2%</w:t>
            </w:r>
          </w:p>
        </w:tc>
      </w:tr>
      <w:tr>
        <w:trPr>
          <w:trHeight w:val="297"/>
        </w:trPr>
        <w:tc>
          <w:tcPr>
            <w:tcW w:w="3200" w:type="dxa"/>
            <w:vAlign w:val="bottom"/>
          </w:tcPr>
          <w:p>
            <w:pPr>
              <w:ind w:left="100"/>
              <w:spacing w:after="0"/>
              <w:rPr>
                <w:sz w:val="20"/>
                <w:szCs w:val="20"/>
                <w:color w:val="auto"/>
              </w:rPr>
            </w:pPr>
            <w:r>
              <w:rPr>
                <w:rFonts w:ascii="Arial" w:cs="Arial" w:eastAsia="Arial" w:hAnsi="Arial"/>
                <w:sz w:val="18"/>
                <w:szCs w:val="18"/>
                <w:color w:val="auto"/>
              </w:rPr>
              <w:t>Non-GAAP Operating Income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282.8M</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404.0M</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525.2M</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463.7M</w:t>
            </w:r>
          </w:p>
        </w:tc>
        <w:tc>
          <w:tcPr>
            <w:tcW w:w="1160" w:type="dxa"/>
            <w:vAlign w:val="bottom"/>
          </w:tcPr>
          <w:p>
            <w:pPr>
              <w:jc w:val="right"/>
              <w:ind w:right="156"/>
              <w:spacing w:after="0"/>
              <w:rPr>
                <w:sz w:val="20"/>
                <w:szCs w:val="20"/>
                <w:color w:val="auto"/>
              </w:rPr>
            </w:pPr>
            <w:r>
              <w:rPr>
                <w:rFonts w:ascii="Arial" w:cs="Arial" w:eastAsia="Arial" w:hAnsi="Arial"/>
                <w:sz w:val="18"/>
                <w:szCs w:val="18"/>
                <w:color w:val="auto"/>
              </w:rPr>
              <w:t>149.2%</w:t>
            </w: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50%</w:t>
            </w:r>
          </w:p>
        </w:tc>
        <w:tc>
          <w:tcPr>
            <w:tcW w:w="1040" w:type="dxa"/>
            <w:vAlign w:val="bottom"/>
          </w:tcPr>
          <w:p>
            <w:pPr>
              <w:jc w:val="right"/>
              <w:spacing w:after="0"/>
              <w:rPr>
                <w:sz w:val="20"/>
                <w:szCs w:val="20"/>
                <w:color w:val="auto"/>
              </w:rPr>
            </w:pPr>
            <w:r>
              <w:rPr>
                <w:rFonts w:ascii="Arial" w:cs="Arial" w:eastAsia="Arial" w:hAnsi="Arial"/>
                <w:sz w:val="18"/>
                <w:szCs w:val="18"/>
                <w:color w:val="auto"/>
              </w:rPr>
              <w:t>74.6%</w:t>
            </w: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04"/>
        </w:trPr>
        <w:tc>
          <w:tcPr>
            <w:tcW w:w="3200" w:type="dxa"/>
            <w:vAlign w:val="bottom"/>
            <w:tcBorders>
              <w:bottom w:val="single" w:sz="8" w:color="C3D9EE"/>
            </w:tcBorders>
            <w:shd w:val="clear" w:color="auto" w:fill="C3D9EE"/>
          </w:tcPr>
          <w:p>
            <w:pPr>
              <w:spacing w:after="0"/>
              <w:rPr>
                <w:sz w:val="24"/>
                <w:szCs w:val="24"/>
                <w:color w:val="auto"/>
              </w:rPr>
            </w:pPr>
          </w:p>
        </w:tc>
        <w:tc>
          <w:tcPr>
            <w:tcW w:w="340" w:type="dxa"/>
            <w:vAlign w:val="bottom"/>
            <w:tcBorders>
              <w:bottom w:val="single" w:sz="8" w:color="C3D9EE"/>
            </w:tcBorders>
            <w:shd w:val="clear" w:color="auto" w:fill="C3D9EE"/>
          </w:tcPr>
          <w:p>
            <w:pPr>
              <w:spacing w:after="0"/>
              <w:rPr>
                <w:sz w:val="24"/>
                <w:szCs w:val="24"/>
                <w:color w:val="auto"/>
              </w:rPr>
            </w:pPr>
          </w:p>
        </w:tc>
        <w:tc>
          <w:tcPr>
            <w:tcW w:w="880" w:type="dxa"/>
            <w:vAlign w:val="bottom"/>
            <w:tcBorders>
              <w:bottom w:val="single" w:sz="8" w:color="C3D9EE"/>
            </w:tcBorders>
            <w:shd w:val="clear" w:color="auto" w:fill="C3D9EE"/>
          </w:tcPr>
          <w:p>
            <w:pPr>
              <w:spacing w:after="0"/>
              <w:rPr>
                <w:sz w:val="24"/>
                <w:szCs w:val="24"/>
                <w:color w:val="auto"/>
              </w:rPr>
            </w:pPr>
          </w:p>
        </w:tc>
        <w:tc>
          <w:tcPr>
            <w:tcW w:w="240" w:type="dxa"/>
            <w:vAlign w:val="bottom"/>
            <w:tcBorders>
              <w:bottom w:val="single" w:sz="8" w:color="C3D9EE"/>
            </w:tcBorders>
            <w:shd w:val="clear" w:color="auto" w:fill="C3D9EE"/>
          </w:tcPr>
          <w:p>
            <w:pPr>
              <w:spacing w:after="0"/>
              <w:rPr>
                <w:sz w:val="24"/>
                <w:szCs w:val="24"/>
                <w:color w:val="auto"/>
              </w:rPr>
            </w:pPr>
          </w:p>
        </w:tc>
        <w:tc>
          <w:tcPr>
            <w:tcW w:w="900" w:type="dxa"/>
            <w:vAlign w:val="bottom"/>
            <w:tcBorders>
              <w:bottom w:val="single" w:sz="8" w:color="C3D9EE"/>
            </w:tcBorders>
            <w:shd w:val="clear" w:color="auto" w:fill="C3D9EE"/>
          </w:tcPr>
          <w:p>
            <w:pPr>
              <w:spacing w:after="0"/>
              <w:rPr>
                <w:sz w:val="24"/>
                <w:szCs w:val="24"/>
                <w:color w:val="auto"/>
              </w:rPr>
            </w:pPr>
          </w:p>
        </w:tc>
        <w:tc>
          <w:tcPr>
            <w:tcW w:w="240" w:type="dxa"/>
            <w:vAlign w:val="bottom"/>
            <w:tcBorders>
              <w:bottom w:val="single" w:sz="8" w:color="C3D9EE"/>
            </w:tcBorders>
            <w:shd w:val="clear" w:color="auto" w:fill="C3D9EE"/>
          </w:tcPr>
          <w:p>
            <w:pPr>
              <w:spacing w:after="0"/>
              <w:rPr>
                <w:sz w:val="24"/>
                <w:szCs w:val="24"/>
                <w:color w:val="auto"/>
              </w:rPr>
            </w:pPr>
          </w:p>
        </w:tc>
        <w:tc>
          <w:tcPr>
            <w:tcW w:w="900" w:type="dxa"/>
            <w:vAlign w:val="bottom"/>
            <w:tcBorders>
              <w:bottom w:val="single" w:sz="8" w:color="C3D9EE"/>
            </w:tcBorders>
            <w:shd w:val="clear" w:color="auto" w:fill="C3D9EE"/>
          </w:tcPr>
          <w:p>
            <w:pPr>
              <w:spacing w:after="0"/>
              <w:rPr>
                <w:sz w:val="24"/>
                <w:szCs w:val="24"/>
                <w:color w:val="auto"/>
              </w:rPr>
            </w:pPr>
          </w:p>
        </w:tc>
        <w:tc>
          <w:tcPr>
            <w:tcW w:w="240" w:type="dxa"/>
            <w:vAlign w:val="bottom"/>
            <w:tcBorders>
              <w:bottom w:val="single" w:sz="8" w:color="C3D9EE"/>
            </w:tcBorders>
            <w:shd w:val="clear" w:color="auto" w:fill="C3D9EE"/>
          </w:tcPr>
          <w:p>
            <w:pPr>
              <w:spacing w:after="0"/>
              <w:rPr>
                <w:sz w:val="24"/>
                <w:szCs w:val="24"/>
                <w:color w:val="auto"/>
              </w:rPr>
            </w:pPr>
          </w:p>
        </w:tc>
        <w:tc>
          <w:tcPr>
            <w:tcW w:w="880" w:type="dxa"/>
            <w:vAlign w:val="bottom"/>
            <w:tcBorders>
              <w:bottom w:val="single" w:sz="8" w:color="C3D9EE"/>
            </w:tcBorders>
            <w:shd w:val="clear" w:color="auto" w:fill="C3D9EE"/>
          </w:tcPr>
          <w:p>
            <w:pPr>
              <w:spacing w:after="0"/>
              <w:rPr>
                <w:sz w:val="24"/>
                <w:szCs w:val="24"/>
                <w:color w:val="auto"/>
              </w:rPr>
            </w:pPr>
          </w:p>
        </w:tc>
        <w:tc>
          <w:tcPr>
            <w:tcW w:w="1160" w:type="dxa"/>
            <w:vAlign w:val="bottom"/>
            <w:tcBorders>
              <w:bottom w:val="single" w:sz="8" w:color="C3D9EE"/>
            </w:tcBorders>
            <w:shd w:val="clear" w:color="auto" w:fill="C3D9EE"/>
          </w:tcPr>
          <w:p>
            <w:pPr>
              <w:spacing w:after="0"/>
              <w:rPr>
                <w:sz w:val="24"/>
                <w:szCs w:val="24"/>
                <w:color w:val="auto"/>
              </w:rPr>
            </w:pPr>
          </w:p>
        </w:tc>
        <w:tc>
          <w:tcPr>
            <w:tcW w:w="1000" w:type="dxa"/>
            <w:vAlign w:val="bottom"/>
            <w:tcBorders>
              <w:bottom w:val="single" w:sz="8" w:color="C3D9EE"/>
            </w:tcBorders>
            <w:shd w:val="clear" w:color="auto" w:fill="C3D9EE"/>
          </w:tcPr>
          <w:p>
            <w:pPr>
              <w:spacing w:after="0"/>
              <w:rPr>
                <w:sz w:val="24"/>
                <w:szCs w:val="24"/>
                <w:color w:val="auto"/>
              </w:rPr>
            </w:pPr>
          </w:p>
        </w:tc>
        <w:tc>
          <w:tcPr>
            <w:tcW w:w="104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8"/>
                <w:szCs w:val="18"/>
                <w:b w:val="1"/>
                <w:bCs w:val="1"/>
                <w:color w:val="auto"/>
              </w:rPr>
              <w:t>144.8%</w:t>
            </w:r>
          </w:p>
        </w:tc>
      </w:tr>
      <w:tr>
        <w:trPr>
          <w:trHeight w:val="20"/>
        </w:trPr>
        <w:tc>
          <w:tcPr>
            <w:tcW w:w="3200" w:type="dxa"/>
            <w:vAlign w:val="bottom"/>
            <w:shd w:val="clear" w:color="auto" w:fill="1269BC"/>
          </w:tcPr>
          <w:p>
            <w:pPr>
              <w:spacing w:after="0" w:line="20" w:lineRule="exact"/>
              <w:rPr>
                <w:sz w:val="1"/>
                <w:szCs w:val="1"/>
                <w:color w:val="auto"/>
              </w:rPr>
            </w:pPr>
          </w:p>
        </w:tc>
        <w:tc>
          <w:tcPr>
            <w:tcW w:w="340" w:type="dxa"/>
            <w:vAlign w:val="bottom"/>
            <w:shd w:val="clear" w:color="auto" w:fill="1269BC"/>
          </w:tcPr>
          <w:p>
            <w:pPr>
              <w:spacing w:after="0" w:line="20" w:lineRule="exact"/>
              <w:rPr>
                <w:sz w:val="1"/>
                <w:szCs w:val="1"/>
                <w:color w:val="auto"/>
              </w:rPr>
            </w:pPr>
          </w:p>
        </w:tc>
        <w:tc>
          <w:tcPr>
            <w:tcW w:w="880" w:type="dxa"/>
            <w:vAlign w:val="bottom"/>
            <w:shd w:val="clear" w:color="auto" w:fill="1269BC"/>
          </w:tcPr>
          <w:p>
            <w:pPr>
              <w:spacing w:after="0" w:line="20" w:lineRule="exact"/>
              <w:rPr>
                <w:sz w:val="1"/>
                <w:szCs w:val="1"/>
                <w:color w:val="auto"/>
              </w:rPr>
            </w:pPr>
          </w:p>
        </w:tc>
        <w:tc>
          <w:tcPr>
            <w:tcW w:w="240" w:type="dxa"/>
            <w:vAlign w:val="bottom"/>
            <w:shd w:val="clear" w:color="auto" w:fill="1269BC"/>
          </w:tcPr>
          <w:p>
            <w:pPr>
              <w:spacing w:after="0" w:line="20" w:lineRule="exact"/>
              <w:rPr>
                <w:sz w:val="1"/>
                <w:szCs w:val="1"/>
                <w:color w:val="auto"/>
              </w:rPr>
            </w:pPr>
          </w:p>
        </w:tc>
        <w:tc>
          <w:tcPr>
            <w:tcW w:w="900" w:type="dxa"/>
            <w:vAlign w:val="bottom"/>
            <w:shd w:val="clear" w:color="auto" w:fill="1269BC"/>
          </w:tcPr>
          <w:p>
            <w:pPr>
              <w:spacing w:after="0" w:line="20" w:lineRule="exact"/>
              <w:rPr>
                <w:sz w:val="1"/>
                <w:szCs w:val="1"/>
                <w:color w:val="auto"/>
              </w:rPr>
            </w:pPr>
          </w:p>
        </w:tc>
        <w:tc>
          <w:tcPr>
            <w:tcW w:w="240" w:type="dxa"/>
            <w:vAlign w:val="bottom"/>
            <w:shd w:val="clear" w:color="auto" w:fill="1269BC"/>
          </w:tcPr>
          <w:p>
            <w:pPr>
              <w:spacing w:after="0" w:line="20" w:lineRule="exact"/>
              <w:rPr>
                <w:sz w:val="1"/>
                <w:szCs w:val="1"/>
                <w:color w:val="auto"/>
              </w:rPr>
            </w:pPr>
          </w:p>
        </w:tc>
        <w:tc>
          <w:tcPr>
            <w:tcW w:w="900" w:type="dxa"/>
            <w:vAlign w:val="bottom"/>
            <w:shd w:val="clear" w:color="auto" w:fill="1269BC"/>
          </w:tcPr>
          <w:p>
            <w:pPr>
              <w:spacing w:after="0" w:line="20" w:lineRule="exact"/>
              <w:rPr>
                <w:sz w:val="1"/>
                <w:szCs w:val="1"/>
                <w:color w:val="auto"/>
              </w:rPr>
            </w:pPr>
          </w:p>
        </w:tc>
        <w:tc>
          <w:tcPr>
            <w:tcW w:w="240" w:type="dxa"/>
            <w:vAlign w:val="bottom"/>
            <w:shd w:val="clear" w:color="auto" w:fill="1269BC"/>
          </w:tcPr>
          <w:p>
            <w:pPr>
              <w:spacing w:after="0" w:line="20" w:lineRule="exact"/>
              <w:rPr>
                <w:sz w:val="1"/>
                <w:szCs w:val="1"/>
                <w:color w:val="auto"/>
              </w:rPr>
            </w:pPr>
          </w:p>
        </w:tc>
        <w:tc>
          <w:tcPr>
            <w:tcW w:w="880" w:type="dxa"/>
            <w:vAlign w:val="bottom"/>
            <w:shd w:val="clear" w:color="auto" w:fill="1269BC"/>
          </w:tcPr>
          <w:p>
            <w:pPr>
              <w:spacing w:after="0" w:line="20" w:lineRule="exact"/>
              <w:rPr>
                <w:sz w:val="1"/>
                <w:szCs w:val="1"/>
                <w:color w:val="auto"/>
              </w:rPr>
            </w:pPr>
          </w:p>
        </w:tc>
        <w:tc>
          <w:tcPr>
            <w:tcW w:w="1160" w:type="dxa"/>
            <w:vAlign w:val="bottom"/>
            <w:shd w:val="clear" w:color="auto" w:fill="1269BC"/>
          </w:tcPr>
          <w:p>
            <w:pPr>
              <w:spacing w:after="0" w:line="20" w:lineRule="exact"/>
              <w:rPr>
                <w:sz w:val="1"/>
                <w:szCs w:val="1"/>
                <w:color w:val="auto"/>
              </w:rPr>
            </w:pPr>
          </w:p>
        </w:tc>
        <w:tc>
          <w:tcPr>
            <w:tcW w:w="1000" w:type="dxa"/>
            <w:vAlign w:val="bottom"/>
            <w:shd w:val="clear" w:color="auto" w:fill="1269BC"/>
          </w:tcPr>
          <w:p>
            <w:pPr>
              <w:spacing w:after="0" w:line="20" w:lineRule="exact"/>
              <w:rPr>
                <w:sz w:val="1"/>
                <w:szCs w:val="1"/>
                <w:color w:val="auto"/>
              </w:rPr>
            </w:pPr>
          </w:p>
        </w:tc>
        <w:tc>
          <w:tcPr>
            <w:tcW w:w="1040" w:type="dxa"/>
            <w:vAlign w:val="bottom"/>
            <w:shd w:val="clear" w:color="auto" w:fill="1269BC"/>
          </w:tcPr>
          <w:p>
            <w:pPr>
              <w:spacing w:after="0" w:line="20" w:lineRule="exact"/>
              <w:rPr>
                <w:sz w:val="1"/>
                <w:szCs w:val="1"/>
                <w:color w:val="auto"/>
              </w:rPr>
            </w:pPr>
          </w:p>
        </w:tc>
      </w:tr>
    </w:tbl>
    <w:p>
      <w:pPr>
        <w:spacing w:after="0" w:line="1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  Excludes acquisition-related revenues and expenses that were not included in the approved updated annual operating plan.</w:t>
      </w:r>
    </w:p>
    <w:p>
      <w:pPr>
        <w:spacing w:after="0" w:line="113" w:lineRule="exact"/>
        <w:rPr>
          <w:sz w:val="20"/>
          <w:szCs w:val="20"/>
          <w:color w:val="auto"/>
        </w:rPr>
      </w:pPr>
    </w:p>
    <w:p>
      <w:pPr>
        <w:ind w:left="120" w:right="240"/>
        <w:spacing w:after="0" w:line="251" w:lineRule="auto"/>
        <w:rPr>
          <w:sz w:val="20"/>
          <w:szCs w:val="20"/>
          <w:color w:val="auto"/>
        </w:rPr>
      </w:pPr>
      <w:r>
        <w:rPr>
          <w:rFonts w:ascii="Arial" w:cs="Arial" w:eastAsia="Arial" w:hAnsi="Arial"/>
          <w:sz w:val="16"/>
          <w:szCs w:val="16"/>
          <w:color w:val="auto"/>
        </w:rPr>
        <w:t>As our performance in fiscal 2020 demonstrates, our short-term incentive compensation targets are intended to reward performance measured against our Board-approved operating plans. For fiscal 2020, the total annual compensation (base salary plus short-term incentive awards at target) was generally aligned with the market practices among companies in our compensation peer group, with the potential to earn up to 200% of the total short-term incentive target for strong performance.</w:t>
      </w:r>
    </w:p>
    <w:p>
      <w:pPr>
        <w:spacing w:after="0" w:line="94" w:lineRule="exact"/>
        <w:rPr>
          <w:sz w:val="20"/>
          <w:szCs w:val="20"/>
          <w:color w:val="auto"/>
        </w:rPr>
      </w:pPr>
    </w:p>
    <w:p>
      <w:pPr>
        <w:ind w:left="120" w:right="20"/>
        <w:spacing w:after="0" w:line="247" w:lineRule="auto"/>
        <w:rPr>
          <w:sz w:val="20"/>
          <w:szCs w:val="20"/>
          <w:color w:val="auto"/>
        </w:rPr>
      </w:pPr>
      <w:r>
        <w:rPr>
          <w:rFonts w:ascii="Arial" w:cs="Arial" w:eastAsia="Arial" w:hAnsi="Arial"/>
          <w:sz w:val="16"/>
          <w:szCs w:val="16"/>
          <w:color w:val="auto"/>
        </w:rPr>
        <w:t>Shortly before the end of fiscal 2020, the Committee determined to make no changes to the target short-term incentive award opportunities for the Named Executive Officers established for fiscal 2020. In addition, for fiscal 2021, the Committee has determined to follow the same approach for measuring short-term incentive award opportunities based on two separate six-month performance periods, again using revenue and non-GAAP operating income as the metrics for the first six-month period. Each metric has a pre-established threshold, target and maximum level, and will constitute 50% of the total short-term incentive award opportunity. The Committee continues to believe that revenue and non-GAAP operating income are the two key metrics that will drive stockholder value creation in fiscal 2021. Each Named Executive Officer has the opportunity to earn a short-term incentive award in an amount between 15% and 200% of such executive officer’s fiscal 2021 target short-term incentive award opportunity expressed as a percentage of such executive officer’s base salary during the first six-month period, depending on our actual level of revenue and non-GAAP operating income. The short-term incentive award earned for each metric will be determined on a linear basis for performance between threshold and maximum levels for such metric. In addition, the fiscal 2021 short-term incentive awards are subject also to the fiscal year award limitation of $5,000,000 per participant applicable under the Short-Term Incentive Plan.</w:t>
      </w:r>
    </w:p>
    <w:p>
      <w:pPr>
        <w:spacing w:after="0" w:line="104" w:lineRule="exact"/>
        <w:rPr>
          <w:sz w:val="20"/>
          <w:szCs w:val="20"/>
          <w:color w:val="auto"/>
        </w:rPr>
      </w:pPr>
    </w:p>
    <w:p>
      <w:pPr>
        <w:jc w:val="both"/>
        <w:ind w:left="120" w:right="60"/>
        <w:spacing w:after="0" w:line="253" w:lineRule="auto"/>
        <w:rPr>
          <w:sz w:val="20"/>
          <w:szCs w:val="20"/>
          <w:color w:val="auto"/>
        </w:rPr>
      </w:pPr>
      <w:r>
        <w:rPr>
          <w:rFonts w:ascii="Arial" w:cs="Arial" w:eastAsia="Arial" w:hAnsi="Arial"/>
          <w:sz w:val="16"/>
          <w:szCs w:val="16"/>
          <w:color w:val="auto"/>
        </w:rPr>
        <w:t>The Committee expects to select the performance metrics and establish the related performance levels for the second portion of the short-term incentive program for fiscal 2021, which is expected to be based on performance during the third and fourth quarters of fiscal 2021, during the third quarter of fiscal 2021. The fiscal 2021 threshold, target and maximum levels of revenue</w:t>
      </w:r>
    </w:p>
    <w:p>
      <w:pPr>
        <w:spacing w:after="0" w:line="132" w:lineRule="exact"/>
        <w:rPr>
          <w:sz w:val="20"/>
          <w:szCs w:val="20"/>
          <w:color w:val="auto"/>
        </w:rPr>
      </w:pPr>
    </w:p>
    <w:p>
      <w:pPr>
        <w:ind w:left="120"/>
        <w:spacing w:after="0"/>
        <w:tabs>
          <w:tab w:leader="none" w:pos="541" w:val="left"/>
        </w:tabs>
        <w:rPr>
          <w:sz w:val="20"/>
          <w:szCs w:val="20"/>
          <w:color w:val="auto"/>
        </w:rPr>
      </w:pPr>
      <w:r>
        <w:rPr>
          <w:rFonts w:ascii="Arial" w:cs="Arial" w:eastAsia="Arial" w:hAnsi="Arial"/>
          <w:sz w:val="18"/>
          <w:szCs w:val="18"/>
          <w:color w:val="auto"/>
        </w:rPr>
        <w:t>28</w:t>
      </w:r>
      <w:r>
        <w:rPr>
          <w:sz w:val="20"/>
          <w:szCs w:val="20"/>
          <w:color w:val="auto"/>
        </w:rPr>
        <w:tab/>
      </w:r>
      <w:r>
        <w:rPr>
          <w:sz w:val="1"/>
          <w:szCs w:val="1"/>
          <w:color w:val="auto"/>
        </w:rPr>
        <w:drawing>
          <wp:inline distT="0" distB="0" distL="0" distR="0">
            <wp:extent cx="582930" cy="13716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i w:val="1"/>
          <w:iCs w:val="1"/>
          <w:color w:val="1269BC"/>
        </w:rPr>
        <w:t xml:space="preserve">   2020 Proxy Statement</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14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5" w:lineRule="exact"/>
        <w:rPr>
          <w:sz w:val="20"/>
          <w:szCs w:val="20"/>
          <w:color w:val="auto"/>
        </w:rPr>
      </w:pPr>
    </w:p>
    <w:p>
      <w:pPr>
        <w:ind w:left="120" w:right="220"/>
        <w:spacing w:after="0" w:line="248" w:lineRule="auto"/>
        <w:rPr>
          <w:sz w:val="20"/>
          <w:szCs w:val="20"/>
          <w:color w:val="auto"/>
        </w:rPr>
      </w:pPr>
      <w:r>
        <w:rPr>
          <w:rFonts w:ascii="Arial" w:cs="Arial" w:eastAsia="Arial" w:hAnsi="Arial"/>
          <w:sz w:val="16"/>
          <w:szCs w:val="16"/>
          <w:color w:val="auto"/>
        </w:rPr>
        <w:t>and non-GAAP operating income were derived from our internal annual operating plan, as approved by the Board, which is not disclosed publicly for competitive reasons. These performance levels constitute confidential commercial and strategic financial information, and we believe that prospective disclosure of these performance levels would result in competitive harm to the Company. The Committee believes that the target levels of performance are challenging and reflect desired above-market performance, and thus typically would not be achieved all the time. At the time the performance goals were established, the Committee also believed that performance at a level above the target level would be difficult, but not impossible, to achieve. The Committee recognizes that the likelihood of achievement in any given year may be different and believes that the payout should be appropriate for the performance, regardless of how often it may happen.</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Performance-Based Restricted Stock Unit Awards</w:t>
      </w:r>
    </w:p>
    <w:p>
      <w:pPr>
        <w:spacing w:after="0" w:line="129" w:lineRule="exact"/>
        <w:rPr>
          <w:sz w:val="20"/>
          <w:szCs w:val="20"/>
          <w:color w:val="auto"/>
        </w:rPr>
      </w:pPr>
    </w:p>
    <w:p>
      <w:pPr>
        <w:ind w:left="120" w:right="140"/>
        <w:spacing w:after="0" w:line="250" w:lineRule="auto"/>
        <w:rPr>
          <w:sz w:val="20"/>
          <w:szCs w:val="20"/>
          <w:color w:val="auto"/>
        </w:rPr>
      </w:pPr>
      <w:r>
        <w:rPr>
          <w:rFonts w:ascii="Arial" w:cs="Arial" w:eastAsia="Arial" w:hAnsi="Arial"/>
          <w:sz w:val="16"/>
          <w:szCs w:val="16"/>
          <w:color w:val="auto"/>
        </w:rPr>
        <w:t>For fiscal 2020, the Named Executive Officers received a performance-based RSU award opportunity to be earned based on our achievement of certain pre-established Company performance objectives. No minimum level of equity award was guaranteed. These Objectives-based RSUs are designed to ensure that approximately 60% of the total target value of each Named Executive Officer’s annual long-term equity-based incentive opportunity (other than Mr. Fego) is linked to project milestones or key initiatives that the Committee believed had a strong potential to impact long-term stockholder value creation.</w:t>
      </w:r>
    </w:p>
    <w:p>
      <w:pPr>
        <w:spacing w:after="0" w:line="203" w:lineRule="exact"/>
        <w:rPr>
          <w:sz w:val="20"/>
          <w:szCs w:val="20"/>
          <w:color w:val="auto"/>
        </w:rPr>
      </w:pPr>
    </w:p>
    <w:p>
      <w:pPr>
        <w:ind w:left="120" w:right="100"/>
        <w:spacing w:after="0" w:line="248" w:lineRule="auto"/>
        <w:rPr>
          <w:sz w:val="20"/>
          <w:szCs w:val="20"/>
          <w:color w:val="auto"/>
        </w:rPr>
      </w:pPr>
      <w:r>
        <w:rPr>
          <w:rFonts w:ascii="Arial" w:cs="Arial" w:eastAsia="Arial" w:hAnsi="Arial"/>
          <w:sz w:val="16"/>
          <w:szCs w:val="16"/>
          <w:color w:val="auto"/>
        </w:rPr>
        <w:t>The Objectives-based RSUs granted in fiscal 2020 were eligible to be earned based on our actual performance as measured against ten performance objectives approved by the Committee. The number of RSUs earned is determined by the objectives met and the specific payout percentage that was assigned to each of those objectives. Depending on the number of objectives met, each Named Executive Officer could have earned up to 150% of the target number of Objectives-based RSUs. We believe the Objectives-based RSUs advance our achievement of long-term financial and operational goals and help ensure our continued performance as an industry leader. These goals were Company-based, and the performance achieved applied to the executive management team as a group; none of the objectives were individually-based. The following table describes the performance objectives for fiscal 2020, along with the rationale, weighting, performance assessment and payout for each:</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3080" w:type="dxa"/>
            <w:vAlign w:val="bottom"/>
          </w:tcPr>
          <w:p>
            <w:pPr>
              <w:ind w:left="80"/>
              <w:spacing w:after="0"/>
              <w:rPr>
                <w:sz w:val="20"/>
                <w:szCs w:val="20"/>
                <w:color w:val="auto"/>
              </w:rPr>
            </w:pPr>
            <w:r>
              <w:rPr>
                <w:rFonts w:ascii="Arial" w:cs="Arial" w:eastAsia="Arial" w:hAnsi="Arial"/>
                <w:sz w:val="16"/>
                <w:szCs w:val="16"/>
                <w:b w:val="1"/>
                <w:bCs w:val="1"/>
                <w:color w:val="1269BC"/>
              </w:rPr>
              <w:t>Performance</w:t>
            </w:r>
          </w:p>
        </w:tc>
        <w:tc>
          <w:tcPr>
            <w:tcW w:w="4440" w:type="dxa"/>
            <w:vAlign w:val="bottom"/>
          </w:tcPr>
          <w:p>
            <w:pPr>
              <w:jc w:val="center"/>
              <w:spacing w:after="0"/>
              <w:rPr>
                <w:sz w:val="20"/>
                <w:szCs w:val="20"/>
                <w:color w:val="auto"/>
              </w:rPr>
            </w:pPr>
            <w:r>
              <w:rPr>
                <w:rFonts w:ascii="Arial" w:cs="Arial" w:eastAsia="Arial" w:hAnsi="Arial"/>
                <w:sz w:val="16"/>
                <w:szCs w:val="16"/>
                <w:b w:val="1"/>
                <w:bCs w:val="1"/>
                <w:color w:val="1269BC"/>
              </w:rPr>
              <w:t>Rationale for</w:t>
            </w:r>
          </w:p>
        </w:tc>
        <w:tc>
          <w:tcPr>
            <w:tcW w:w="12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1269BC"/>
              </w:rPr>
              <w:t>Performance</w:t>
            </w:r>
          </w:p>
        </w:tc>
        <w:tc>
          <w:tcPr>
            <w:tcW w:w="800" w:type="dxa"/>
            <w:vAlign w:val="bottom"/>
          </w:tcPr>
          <w:p>
            <w:pPr>
              <w:jc w:val="center"/>
              <w:ind w:left="52"/>
              <w:spacing w:after="0"/>
              <w:rPr>
                <w:sz w:val="20"/>
                <w:szCs w:val="20"/>
                <w:color w:val="auto"/>
              </w:rPr>
            </w:pPr>
            <w:r>
              <w:rPr>
                <w:rFonts w:ascii="Arial" w:cs="Arial" w:eastAsia="Arial" w:hAnsi="Arial"/>
                <w:sz w:val="16"/>
                <w:szCs w:val="16"/>
                <w:b w:val="1"/>
                <w:bCs w:val="1"/>
                <w:color w:val="1269BC"/>
                <w:w w:val="98"/>
              </w:rPr>
              <w:t>Percent</w:t>
            </w:r>
          </w:p>
        </w:tc>
      </w:tr>
      <w:tr>
        <w:trPr>
          <w:trHeight w:val="222"/>
        </w:trPr>
        <w:tc>
          <w:tcPr>
            <w:tcW w:w="3080" w:type="dxa"/>
            <w:vAlign w:val="bottom"/>
            <w:tcBorders>
              <w:bottom w:val="single" w:sz="8" w:color="1269BC"/>
            </w:tcBorders>
          </w:tcPr>
          <w:p>
            <w:pPr>
              <w:ind w:left="80"/>
              <w:spacing w:after="0" w:line="222" w:lineRule="exact"/>
              <w:rPr>
                <w:sz w:val="20"/>
                <w:szCs w:val="20"/>
                <w:color w:val="auto"/>
              </w:rPr>
            </w:pPr>
            <w:r>
              <w:rPr>
                <w:rFonts w:ascii="Arial" w:cs="Arial" w:eastAsia="Arial" w:hAnsi="Arial"/>
                <w:sz w:val="15"/>
                <w:szCs w:val="15"/>
                <w:b w:val="1"/>
                <w:bCs w:val="1"/>
                <w:color w:val="1269BC"/>
              </w:rPr>
              <w:t>Objective</w:t>
            </w:r>
            <w:r>
              <w:rPr>
                <w:rFonts w:ascii="Arial" w:cs="Arial" w:eastAsia="Arial" w:hAnsi="Arial"/>
                <w:sz w:val="25"/>
                <w:szCs w:val="25"/>
                <w:b w:val="1"/>
                <w:bCs w:val="1"/>
                <w:color w:val="1269BC"/>
                <w:vertAlign w:val="superscript"/>
              </w:rPr>
              <w:t>(1)</w:t>
            </w:r>
          </w:p>
        </w:tc>
        <w:tc>
          <w:tcPr>
            <w:tcW w:w="444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Selection of Objective</w:t>
            </w:r>
          </w:p>
        </w:tc>
        <w:tc>
          <w:tcPr>
            <w:tcW w:w="1260" w:type="dxa"/>
            <w:vAlign w:val="bottom"/>
            <w:tcBorders>
              <w:bottom w:val="single" w:sz="8" w:color="1269BC"/>
            </w:tcBorders>
          </w:tcPr>
          <w:p>
            <w:pPr>
              <w:jc w:val="center"/>
              <w:spacing w:after="0" w:line="222" w:lineRule="exact"/>
              <w:rPr>
                <w:sz w:val="20"/>
                <w:szCs w:val="20"/>
                <w:color w:val="auto"/>
              </w:rPr>
            </w:pPr>
            <w:r>
              <w:rPr>
                <w:rFonts w:ascii="Arial" w:cs="Arial" w:eastAsia="Arial" w:hAnsi="Arial"/>
                <w:sz w:val="15"/>
                <w:szCs w:val="15"/>
                <w:b w:val="1"/>
                <w:bCs w:val="1"/>
                <w:color w:val="1269BC"/>
              </w:rPr>
              <w:t>Weighting</w:t>
            </w:r>
            <w:r>
              <w:rPr>
                <w:rFonts w:ascii="Arial" w:cs="Arial" w:eastAsia="Arial" w:hAnsi="Arial"/>
                <w:sz w:val="25"/>
                <w:szCs w:val="25"/>
                <w:b w:val="1"/>
                <w:bCs w:val="1"/>
                <w:color w:val="1269BC"/>
                <w:vertAlign w:val="superscript"/>
              </w:rPr>
              <w:t>(2)</w:t>
            </w:r>
          </w:p>
        </w:tc>
        <w:tc>
          <w:tcPr>
            <w:tcW w:w="1440" w:type="dxa"/>
            <w:vAlign w:val="bottom"/>
            <w:tcBorders>
              <w:bottom w:val="single" w:sz="8" w:color="1269BC"/>
            </w:tcBorders>
          </w:tcPr>
          <w:p>
            <w:pPr>
              <w:jc w:val="center"/>
              <w:spacing w:after="0" w:line="222" w:lineRule="exact"/>
              <w:rPr>
                <w:sz w:val="20"/>
                <w:szCs w:val="20"/>
                <w:color w:val="auto"/>
              </w:rPr>
            </w:pPr>
            <w:r>
              <w:rPr>
                <w:rFonts w:ascii="Arial" w:cs="Arial" w:eastAsia="Arial" w:hAnsi="Arial"/>
                <w:sz w:val="15"/>
                <w:szCs w:val="15"/>
                <w:b w:val="1"/>
                <w:bCs w:val="1"/>
                <w:color w:val="1269BC"/>
              </w:rPr>
              <w:t>Assessment</w:t>
            </w:r>
            <w:r>
              <w:rPr>
                <w:rFonts w:ascii="Arial" w:cs="Arial" w:eastAsia="Arial" w:hAnsi="Arial"/>
                <w:sz w:val="25"/>
                <w:szCs w:val="25"/>
                <w:b w:val="1"/>
                <w:bCs w:val="1"/>
                <w:color w:val="1269BC"/>
                <w:vertAlign w:val="superscript"/>
              </w:rPr>
              <w:t>(3)</w:t>
            </w:r>
          </w:p>
        </w:tc>
        <w:tc>
          <w:tcPr>
            <w:tcW w:w="800" w:type="dxa"/>
            <w:vAlign w:val="bottom"/>
            <w:tcBorders>
              <w:bottom w:val="single" w:sz="8" w:color="1269BC"/>
            </w:tcBorders>
          </w:tcPr>
          <w:p>
            <w:pPr>
              <w:jc w:val="center"/>
              <w:ind w:left="52"/>
              <w:spacing w:after="0"/>
              <w:rPr>
                <w:sz w:val="20"/>
                <w:szCs w:val="20"/>
                <w:color w:val="auto"/>
              </w:rPr>
            </w:pPr>
            <w:r>
              <w:rPr>
                <w:rFonts w:ascii="Arial" w:cs="Arial" w:eastAsia="Arial" w:hAnsi="Arial"/>
                <w:sz w:val="16"/>
                <w:szCs w:val="16"/>
                <w:b w:val="1"/>
                <w:bCs w:val="1"/>
                <w:color w:val="1269BC"/>
              </w:rPr>
              <w:t>Payout</w:t>
            </w:r>
          </w:p>
        </w:tc>
      </w:tr>
      <w:tr>
        <w:trPr>
          <w:trHeight w:val="276"/>
        </w:trPr>
        <w:tc>
          <w:tcPr>
            <w:tcW w:w="3080" w:type="dxa"/>
            <w:vAlign w:val="bottom"/>
            <w:shd w:val="clear" w:color="auto" w:fill="C3D9EE"/>
          </w:tcPr>
          <w:p>
            <w:pPr>
              <w:ind w:left="100"/>
              <w:spacing w:after="0"/>
              <w:rPr>
                <w:sz w:val="20"/>
                <w:szCs w:val="20"/>
                <w:color w:val="auto"/>
              </w:rPr>
            </w:pPr>
            <w:r>
              <w:rPr>
                <w:rFonts w:ascii="Arial" w:cs="Arial" w:eastAsia="Arial" w:hAnsi="Arial"/>
                <w:sz w:val="18"/>
                <w:szCs w:val="18"/>
                <w:color w:val="auto"/>
              </w:rPr>
              <w:t>Secure specific Mobile Product</w:t>
            </w:r>
          </w:p>
        </w:tc>
        <w:tc>
          <w:tcPr>
            <w:tcW w:w="4440" w:type="dxa"/>
            <w:vAlign w:val="bottom"/>
            <w:shd w:val="clear" w:color="auto" w:fill="C3D9EE"/>
          </w:tcPr>
          <w:p>
            <w:pPr>
              <w:jc w:val="center"/>
              <w:spacing w:after="0"/>
              <w:rPr>
                <w:sz w:val="20"/>
                <w:szCs w:val="20"/>
                <w:color w:val="auto"/>
              </w:rPr>
            </w:pPr>
            <w:r>
              <w:rPr>
                <w:rFonts w:ascii="Arial" w:cs="Arial" w:eastAsia="Arial" w:hAnsi="Arial"/>
                <w:sz w:val="18"/>
                <w:szCs w:val="18"/>
                <w:color w:val="auto"/>
              </w:rPr>
              <w:t>Increase revenue, expand margins, address</w:t>
            </w:r>
          </w:p>
        </w:tc>
        <w:tc>
          <w:tcPr>
            <w:tcW w:w="126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9"/>
              </w:rPr>
              <w:t>25%</w:t>
            </w:r>
          </w:p>
        </w:tc>
        <w:tc>
          <w:tcPr>
            <w:tcW w:w="144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7"/>
              </w:rPr>
              <w:t>Partial</w:t>
            </w:r>
          </w:p>
        </w:tc>
        <w:tc>
          <w:tcPr>
            <w:tcW w:w="800" w:type="dxa"/>
            <w:vAlign w:val="bottom"/>
            <w:shd w:val="clear" w:color="auto" w:fill="C3D9EE"/>
          </w:tcPr>
          <w:p>
            <w:pPr>
              <w:jc w:val="center"/>
              <w:ind w:left="32"/>
              <w:spacing w:after="0"/>
              <w:rPr>
                <w:sz w:val="20"/>
                <w:szCs w:val="20"/>
                <w:color w:val="auto"/>
              </w:rPr>
            </w:pPr>
            <w:r>
              <w:rPr>
                <w:rFonts w:ascii="Arial" w:cs="Arial" w:eastAsia="Arial" w:hAnsi="Arial"/>
                <w:sz w:val="18"/>
                <w:szCs w:val="18"/>
                <w:color w:val="auto"/>
                <w:w w:val="99"/>
              </w:rPr>
              <w:t>10%</w:t>
            </w:r>
          </w:p>
        </w:tc>
      </w:tr>
      <w:tr>
        <w:trPr>
          <w:trHeight w:val="203"/>
        </w:trPr>
        <w:tc>
          <w:tcPr>
            <w:tcW w:w="3080" w:type="dxa"/>
            <w:vAlign w:val="bottom"/>
            <w:shd w:val="clear" w:color="auto" w:fill="C3D9EE"/>
          </w:tcPr>
          <w:p>
            <w:pPr>
              <w:ind w:left="180"/>
              <w:spacing w:after="0" w:line="202" w:lineRule="exact"/>
              <w:rPr>
                <w:sz w:val="20"/>
                <w:szCs w:val="20"/>
                <w:color w:val="auto"/>
              </w:rPr>
            </w:pPr>
            <w:r>
              <w:rPr>
                <w:rFonts w:ascii="Arial" w:cs="Arial" w:eastAsia="Arial" w:hAnsi="Arial"/>
                <w:sz w:val="18"/>
                <w:szCs w:val="18"/>
                <w:color w:val="auto"/>
              </w:rPr>
              <w:t>design wins</w:t>
            </w:r>
          </w:p>
        </w:tc>
        <w:tc>
          <w:tcPr>
            <w:tcW w:w="4440" w:type="dxa"/>
            <w:vAlign w:val="bottom"/>
            <w:shd w:val="clear" w:color="auto" w:fill="C3D9EE"/>
          </w:tcPr>
          <w:p>
            <w:pPr>
              <w:jc w:val="center"/>
              <w:spacing w:after="0" w:line="202" w:lineRule="exact"/>
              <w:rPr>
                <w:sz w:val="20"/>
                <w:szCs w:val="20"/>
                <w:color w:val="auto"/>
              </w:rPr>
            </w:pPr>
            <w:r>
              <w:rPr>
                <w:rFonts w:ascii="Arial" w:cs="Arial" w:eastAsia="Arial" w:hAnsi="Arial"/>
                <w:sz w:val="18"/>
                <w:szCs w:val="18"/>
                <w:color w:val="auto"/>
                <w:w w:val="99"/>
              </w:rPr>
              <w:t>customer requirements and develop key</w:t>
            </w:r>
          </w:p>
        </w:tc>
        <w:tc>
          <w:tcPr>
            <w:tcW w:w="1260" w:type="dxa"/>
            <w:vAlign w:val="bottom"/>
            <w:shd w:val="clear" w:color="auto" w:fill="C3D9EE"/>
          </w:tcPr>
          <w:p>
            <w:pPr>
              <w:spacing w:after="0"/>
              <w:rPr>
                <w:sz w:val="17"/>
                <w:szCs w:val="17"/>
                <w:color w:val="auto"/>
              </w:rPr>
            </w:pPr>
          </w:p>
        </w:tc>
        <w:tc>
          <w:tcPr>
            <w:tcW w:w="1440" w:type="dxa"/>
            <w:vAlign w:val="bottom"/>
            <w:shd w:val="clear" w:color="auto" w:fill="C3D9EE"/>
          </w:tcPr>
          <w:p>
            <w:pPr>
              <w:jc w:val="center"/>
              <w:spacing w:after="0" w:line="202" w:lineRule="exact"/>
              <w:rPr>
                <w:sz w:val="20"/>
                <w:szCs w:val="20"/>
                <w:color w:val="auto"/>
              </w:rPr>
            </w:pPr>
            <w:r>
              <w:rPr>
                <w:rFonts w:ascii="Arial" w:cs="Arial" w:eastAsia="Arial" w:hAnsi="Arial"/>
                <w:sz w:val="18"/>
                <w:szCs w:val="18"/>
                <w:color w:val="auto"/>
                <w:w w:val="99"/>
              </w:rPr>
              <w:t>Achievement</w:t>
            </w:r>
          </w:p>
        </w:tc>
        <w:tc>
          <w:tcPr>
            <w:tcW w:w="800" w:type="dxa"/>
            <w:vAlign w:val="bottom"/>
            <w:shd w:val="clear" w:color="auto" w:fill="C3D9EE"/>
          </w:tcPr>
          <w:p>
            <w:pPr>
              <w:spacing w:after="0"/>
              <w:rPr>
                <w:sz w:val="17"/>
                <w:szCs w:val="17"/>
                <w:color w:val="auto"/>
              </w:rPr>
            </w:pPr>
          </w:p>
        </w:tc>
      </w:tr>
      <w:tr>
        <w:trPr>
          <w:trHeight w:val="237"/>
        </w:trPr>
        <w:tc>
          <w:tcPr>
            <w:tcW w:w="3080" w:type="dxa"/>
            <w:vAlign w:val="bottom"/>
            <w:tcBorders>
              <w:bottom w:val="single" w:sz="8" w:color="C3D9EE"/>
            </w:tcBorders>
            <w:shd w:val="clear" w:color="auto" w:fill="C3D9EE"/>
          </w:tcPr>
          <w:p>
            <w:pPr>
              <w:spacing w:after="0"/>
              <w:rPr>
                <w:sz w:val="20"/>
                <w:szCs w:val="20"/>
                <w:color w:val="auto"/>
              </w:rPr>
            </w:pPr>
          </w:p>
        </w:tc>
        <w:tc>
          <w:tcPr>
            <w:tcW w:w="4440" w:type="dxa"/>
            <w:vAlign w:val="bottom"/>
            <w:tcBorders>
              <w:bottom w:val="single" w:sz="8" w:color="C3D9EE"/>
            </w:tcBorders>
            <w:shd w:val="clear" w:color="auto" w:fill="C3D9EE"/>
          </w:tcPr>
          <w:p>
            <w:pPr>
              <w:jc w:val="center"/>
              <w:spacing w:after="0"/>
              <w:rPr>
                <w:sz w:val="20"/>
                <w:szCs w:val="20"/>
                <w:color w:val="auto"/>
              </w:rPr>
            </w:pPr>
            <w:r>
              <w:rPr>
                <w:rFonts w:ascii="Arial" w:cs="Arial" w:eastAsia="Arial" w:hAnsi="Arial"/>
                <w:sz w:val="18"/>
                <w:szCs w:val="18"/>
                <w:color w:val="auto"/>
                <w:w w:val="98"/>
              </w:rPr>
              <w:t>technologies</w:t>
            </w:r>
          </w:p>
        </w:tc>
        <w:tc>
          <w:tcPr>
            <w:tcW w:w="1260" w:type="dxa"/>
            <w:vAlign w:val="bottom"/>
            <w:tcBorders>
              <w:bottom w:val="single" w:sz="8" w:color="C3D9EE"/>
            </w:tcBorders>
            <w:shd w:val="clear" w:color="auto" w:fill="C3D9EE"/>
          </w:tcPr>
          <w:p>
            <w:pPr>
              <w:spacing w:after="0"/>
              <w:rPr>
                <w:sz w:val="20"/>
                <w:szCs w:val="20"/>
                <w:color w:val="auto"/>
              </w:rPr>
            </w:pPr>
          </w:p>
        </w:tc>
        <w:tc>
          <w:tcPr>
            <w:tcW w:w="1440" w:type="dxa"/>
            <w:vAlign w:val="bottom"/>
            <w:tcBorders>
              <w:bottom w:val="single" w:sz="8" w:color="C3D9EE"/>
            </w:tcBorders>
            <w:shd w:val="clear" w:color="auto" w:fill="C3D9EE"/>
          </w:tcPr>
          <w:p>
            <w:pPr>
              <w:spacing w:after="0"/>
              <w:rPr>
                <w:sz w:val="20"/>
                <w:szCs w:val="20"/>
                <w:color w:val="auto"/>
              </w:rPr>
            </w:pPr>
          </w:p>
        </w:tc>
        <w:tc>
          <w:tcPr>
            <w:tcW w:w="800" w:type="dxa"/>
            <w:vAlign w:val="bottom"/>
            <w:tcBorders>
              <w:bottom w:val="single" w:sz="8" w:color="C3D9EE"/>
            </w:tcBorders>
            <w:shd w:val="clear" w:color="auto" w:fill="C3D9EE"/>
          </w:tcPr>
          <w:p>
            <w:pPr>
              <w:spacing w:after="0"/>
              <w:rPr>
                <w:sz w:val="20"/>
                <w:szCs w:val="20"/>
                <w:color w:val="auto"/>
              </w:rPr>
            </w:pPr>
          </w:p>
        </w:tc>
      </w:tr>
      <w:tr>
        <w:trPr>
          <w:trHeight w:val="296"/>
        </w:trPr>
        <w:tc>
          <w:tcPr>
            <w:tcW w:w="3080" w:type="dxa"/>
            <w:vAlign w:val="bottom"/>
          </w:tcPr>
          <w:p>
            <w:pPr>
              <w:ind w:left="100"/>
              <w:spacing w:after="0"/>
              <w:rPr>
                <w:sz w:val="20"/>
                <w:szCs w:val="20"/>
                <w:color w:val="auto"/>
              </w:rPr>
            </w:pPr>
            <w:r>
              <w:rPr>
                <w:rFonts w:ascii="Arial" w:cs="Arial" w:eastAsia="Arial" w:hAnsi="Arial"/>
                <w:sz w:val="18"/>
                <w:szCs w:val="18"/>
                <w:color w:val="auto"/>
              </w:rPr>
              <w:t>Implement new processes to</w:t>
            </w:r>
          </w:p>
        </w:tc>
        <w:tc>
          <w:tcPr>
            <w:tcW w:w="4440" w:type="dxa"/>
            <w:vAlign w:val="bottom"/>
          </w:tcPr>
          <w:p>
            <w:pPr>
              <w:jc w:val="center"/>
              <w:spacing w:after="0"/>
              <w:rPr>
                <w:sz w:val="20"/>
                <w:szCs w:val="20"/>
                <w:color w:val="auto"/>
              </w:rPr>
            </w:pPr>
            <w:r>
              <w:rPr>
                <w:rFonts w:ascii="Arial" w:cs="Arial" w:eastAsia="Arial" w:hAnsi="Arial"/>
                <w:sz w:val="18"/>
                <w:szCs w:val="18"/>
                <w:color w:val="auto"/>
                <w:w w:val="99"/>
              </w:rPr>
              <w:t>Improve design processes and R&amp;D efficiency</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1440" w:type="dxa"/>
            <w:vAlign w:val="bottom"/>
          </w:tcPr>
          <w:p>
            <w:pPr>
              <w:jc w:val="center"/>
              <w:spacing w:after="0"/>
              <w:rPr>
                <w:sz w:val="20"/>
                <w:szCs w:val="20"/>
                <w:color w:val="auto"/>
              </w:rPr>
            </w:pPr>
            <w:r>
              <w:rPr>
                <w:rFonts w:ascii="Arial" w:cs="Arial" w:eastAsia="Arial" w:hAnsi="Arial"/>
                <w:sz w:val="18"/>
                <w:szCs w:val="18"/>
                <w:color w:val="auto"/>
              </w:rPr>
              <w:t>Complete</w:t>
            </w:r>
          </w:p>
        </w:tc>
        <w:tc>
          <w:tcPr>
            <w:tcW w:w="800" w:type="dxa"/>
            <w:vAlign w:val="bottom"/>
          </w:tcPr>
          <w:p>
            <w:pPr>
              <w:jc w:val="center"/>
              <w:ind w:left="32"/>
              <w:spacing w:after="0"/>
              <w:rPr>
                <w:sz w:val="20"/>
                <w:szCs w:val="20"/>
                <w:color w:val="auto"/>
              </w:rPr>
            </w:pPr>
            <w:r>
              <w:rPr>
                <w:rFonts w:ascii="Arial" w:cs="Arial" w:eastAsia="Arial" w:hAnsi="Arial"/>
                <w:sz w:val="18"/>
                <w:szCs w:val="18"/>
                <w:color w:val="auto"/>
                <w:w w:val="99"/>
              </w:rPr>
              <w:t>10%</w:t>
            </w:r>
          </w:p>
        </w:tc>
      </w:tr>
      <w:tr>
        <w:trPr>
          <w:trHeight w:val="217"/>
        </w:trPr>
        <w:tc>
          <w:tcPr>
            <w:tcW w:w="3080" w:type="dxa"/>
            <w:vAlign w:val="bottom"/>
          </w:tcPr>
          <w:p>
            <w:pPr>
              <w:ind w:left="180"/>
              <w:spacing w:after="0"/>
              <w:rPr>
                <w:sz w:val="20"/>
                <w:szCs w:val="20"/>
                <w:color w:val="auto"/>
              </w:rPr>
            </w:pPr>
            <w:r>
              <w:rPr>
                <w:rFonts w:ascii="Arial" w:cs="Arial" w:eastAsia="Arial" w:hAnsi="Arial"/>
                <w:sz w:val="18"/>
                <w:szCs w:val="18"/>
                <w:color w:val="auto"/>
              </w:rPr>
              <w:t>improve R&amp;D efficiency</w:t>
            </w:r>
          </w:p>
        </w:tc>
        <w:tc>
          <w:tcPr>
            <w:tcW w:w="4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40"/>
        </w:trPr>
        <w:tc>
          <w:tcPr>
            <w:tcW w:w="3080" w:type="dxa"/>
            <w:vAlign w:val="bottom"/>
          </w:tcPr>
          <w:p>
            <w:pPr>
              <w:spacing w:after="0"/>
              <w:rPr>
                <w:sz w:val="3"/>
                <w:szCs w:val="3"/>
                <w:color w:val="auto"/>
              </w:rPr>
            </w:pPr>
          </w:p>
        </w:tc>
        <w:tc>
          <w:tcPr>
            <w:tcW w:w="44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96"/>
        </w:trPr>
        <w:tc>
          <w:tcPr>
            <w:tcW w:w="3080" w:type="dxa"/>
            <w:vAlign w:val="bottom"/>
            <w:shd w:val="clear" w:color="auto" w:fill="C3D9EE"/>
          </w:tcPr>
          <w:p>
            <w:pPr>
              <w:ind w:left="100"/>
              <w:spacing w:after="0"/>
              <w:rPr>
                <w:sz w:val="20"/>
                <w:szCs w:val="20"/>
                <w:color w:val="auto"/>
              </w:rPr>
            </w:pPr>
            <w:r>
              <w:rPr>
                <w:rFonts w:ascii="Arial" w:cs="Arial" w:eastAsia="Arial" w:hAnsi="Arial"/>
                <w:sz w:val="18"/>
                <w:szCs w:val="18"/>
                <w:color w:val="auto"/>
              </w:rPr>
              <w:t>Implement new processes to</w:t>
            </w:r>
          </w:p>
        </w:tc>
        <w:tc>
          <w:tcPr>
            <w:tcW w:w="444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9"/>
              </w:rPr>
              <w:t>Improve manufacturing operations, including</w:t>
            </w:r>
          </w:p>
        </w:tc>
        <w:tc>
          <w:tcPr>
            <w:tcW w:w="126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9"/>
              </w:rPr>
              <w:t>20%</w:t>
            </w:r>
          </w:p>
        </w:tc>
        <w:tc>
          <w:tcPr>
            <w:tcW w:w="1440" w:type="dxa"/>
            <w:vAlign w:val="bottom"/>
            <w:shd w:val="clear" w:color="auto" w:fill="C3D9EE"/>
          </w:tcPr>
          <w:p>
            <w:pPr>
              <w:jc w:val="center"/>
              <w:spacing w:after="0"/>
              <w:rPr>
                <w:sz w:val="20"/>
                <w:szCs w:val="20"/>
                <w:color w:val="auto"/>
              </w:rPr>
            </w:pPr>
            <w:r>
              <w:rPr>
                <w:rFonts w:ascii="Arial" w:cs="Arial" w:eastAsia="Arial" w:hAnsi="Arial"/>
                <w:sz w:val="18"/>
                <w:szCs w:val="18"/>
                <w:color w:val="auto"/>
              </w:rPr>
              <w:t>Complete</w:t>
            </w:r>
          </w:p>
        </w:tc>
        <w:tc>
          <w:tcPr>
            <w:tcW w:w="800" w:type="dxa"/>
            <w:vAlign w:val="bottom"/>
            <w:shd w:val="clear" w:color="auto" w:fill="C3D9EE"/>
          </w:tcPr>
          <w:p>
            <w:pPr>
              <w:jc w:val="center"/>
              <w:ind w:left="32"/>
              <w:spacing w:after="0"/>
              <w:rPr>
                <w:sz w:val="20"/>
                <w:szCs w:val="20"/>
                <w:color w:val="auto"/>
              </w:rPr>
            </w:pPr>
            <w:r>
              <w:rPr>
                <w:rFonts w:ascii="Arial" w:cs="Arial" w:eastAsia="Arial" w:hAnsi="Arial"/>
                <w:sz w:val="18"/>
                <w:szCs w:val="18"/>
                <w:color w:val="auto"/>
                <w:w w:val="99"/>
              </w:rPr>
              <w:t>20%</w:t>
            </w:r>
          </w:p>
        </w:tc>
      </w:tr>
      <w:tr>
        <w:trPr>
          <w:trHeight w:val="217"/>
        </w:trPr>
        <w:tc>
          <w:tcPr>
            <w:tcW w:w="3080" w:type="dxa"/>
            <w:vAlign w:val="bottom"/>
            <w:shd w:val="clear" w:color="auto" w:fill="C3D9EE"/>
          </w:tcPr>
          <w:p>
            <w:pPr>
              <w:ind w:left="180"/>
              <w:spacing w:after="0"/>
              <w:rPr>
                <w:sz w:val="20"/>
                <w:szCs w:val="20"/>
                <w:color w:val="auto"/>
              </w:rPr>
            </w:pPr>
            <w:r>
              <w:rPr>
                <w:rFonts w:ascii="Arial" w:cs="Arial" w:eastAsia="Arial" w:hAnsi="Arial"/>
                <w:sz w:val="18"/>
                <w:szCs w:val="18"/>
                <w:color w:val="auto"/>
              </w:rPr>
              <w:t>improve manufacturing productivity</w:t>
            </w:r>
          </w:p>
        </w:tc>
        <w:tc>
          <w:tcPr>
            <w:tcW w:w="444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9"/>
              </w:rPr>
              <w:t>quality and yield</w:t>
            </w:r>
          </w:p>
        </w:tc>
        <w:tc>
          <w:tcPr>
            <w:tcW w:w="1260" w:type="dxa"/>
            <w:vAlign w:val="bottom"/>
            <w:shd w:val="clear" w:color="auto" w:fill="C3D9EE"/>
          </w:tcPr>
          <w:p>
            <w:pPr>
              <w:spacing w:after="0"/>
              <w:rPr>
                <w:sz w:val="18"/>
                <w:szCs w:val="18"/>
                <w:color w:val="auto"/>
              </w:rPr>
            </w:pPr>
          </w:p>
        </w:tc>
        <w:tc>
          <w:tcPr>
            <w:tcW w:w="1440" w:type="dxa"/>
            <w:vAlign w:val="bottom"/>
            <w:shd w:val="clear" w:color="auto" w:fill="C3D9EE"/>
          </w:tcPr>
          <w:p>
            <w:pPr>
              <w:spacing w:after="0"/>
              <w:rPr>
                <w:sz w:val="18"/>
                <w:szCs w:val="18"/>
                <w:color w:val="auto"/>
              </w:rPr>
            </w:pPr>
          </w:p>
        </w:tc>
        <w:tc>
          <w:tcPr>
            <w:tcW w:w="800" w:type="dxa"/>
            <w:vAlign w:val="bottom"/>
            <w:shd w:val="clear" w:color="auto" w:fill="C3D9EE"/>
          </w:tcPr>
          <w:p>
            <w:pPr>
              <w:spacing w:after="0"/>
              <w:rPr>
                <w:sz w:val="18"/>
                <w:szCs w:val="18"/>
                <w:color w:val="auto"/>
              </w:rPr>
            </w:pPr>
          </w:p>
        </w:tc>
      </w:tr>
      <w:tr>
        <w:trPr>
          <w:trHeight w:val="296"/>
        </w:trPr>
        <w:tc>
          <w:tcPr>
            <w:tcW w:w="3080" w:type="dxa"/>
            <w:vAlign w:val="bottom"/>
          </w:tcPr>
          <w:p>
            <w:pPr>
              <w:ind w:left="100"/>
              <w:spacing w:after="0"/>
              <w:rPr>
                <w:sz w:val="20"/>
                <w:szCs w:val="20"/>
                <w:color w:val="auto"/>
              </w:rPr>
            </w:pPr>
            <w:r>
              <w:rPr>
                <w:rFonts w:ascii="Arial" w:cs="Arial" w:eastAsia="Arial" w:hAnsi="Arial"/>
                <w:sz w:val="18"/>
                <w:szCs w:val="18"/>
                <w:color w:val="auto"/>
              </w:rPr>
              <w:t>Complete internal transfer of a</w:t>
            </w:r>
          </w:p>
        </w:tc>
        <w:tc>
          <w:tcPr>
            <w:tcW w:w="4440" w:type="dxa"/>
            <w:vAlign w:val="bottom"/>
          </w:tcPr>
          <w:p>
            <w:pPr>
              <w:jc w:val="center"/>
              <w:spacing w:after="0"/>
              <w:rPr>
                <w:sz w:val="20"/>
                <w:szCs w:val="20"/>
                <w:color w:val="auto"/>
              </w:rPr>
            </w:pPr>
            <w:r>
              <w:rPr>
                <w:rFonts w:ascii="Arial" w:cs="Arial" w:eastAsia="Arial" w:hAnsi="Arial"/>
                <w:sz w:val="18"/>
                <w:szCs w:val="18"/>
                <w:color w:val="auto"/>
                <w:w w:val="99"/>
              </w:rPr>
              <w:t>Improve manufacturing operations, including cycle</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1440" w:type="dxa"/>
            <w:vAlign w:val="bottom"/>
          </w:tcPr>
          <w:p>
            <w:pPr>
              <w:jc w:val="center"/>
              <w:spacing w:after="0"/>
              <w:rPr>
                <w:sz w:val="20"/>
                <w:szCs w:val="20"/>
                <w:color w:val="auto"/>
              </w:rPr>
            </w:pPr>
            <w:r>
              <w:rPr>
                <w:rFonts w:ascii="Arial" w:cs="Arial" w:eastAsia="Arial" w:hAnsi="Arial"/>
                <w:sz w:val="18"/>
                <w:szCs w:val="18"/>
                <w:color w:val="auto"/>
              </w:rPr>
              <w:t>Complete</w:t>
            </w:r>
          </w:p>
        </w:tc>
        <w:tc>
          <w:tcPr>
            <w:tcW w:w="800" w:type="dxa"/>
            <w:vAlign w:val="bottom"/>
          </w:tcPr>
          <w:p>
            <w:pPr>
              <w:jc w:val="center"/>
              <w:ind w:left="32"/>
              <w:spacing w:after="0"/>
              <w:rPr>
                <w:sz w:val="20"/>
                <w:szCs w:val="20"/>
                <w:color w:val="auto"/>
              </w:rPr>
            </w:pPr>
            <w:r>
              <w:rPr>
                <w:rFonts w:ascii="Arial" w:cs="Arial" w:eastAsia="Arial" w:hAnsi="Arial"/>
                <w:sz w:val="18"/>
                <w:szCs w:val="18"/>
                <w:color w:val="auto"/>
                <w:w w:val="99"/>
              </w:rPr>
              <w:t>15%</w:t>
            </w:r>
          </w:p>
        </w:tc>
      </w:tr>
      <w:tr>
        <w:trPr>
          <w:trHeight w:val="217"/>
        </w:trPr>
        <w:tc>
          <w:tcPr>
            <w:tcW w:w="3080" w:type="dxa"/>
            <w:vAlign w:val="bottom"/>
          </w:tcPr>
          <w:p>
            <w:pPr>
              <w:ind w:left="180"/>
              <w:spacing w:after="0"/>
              <w:rPr>
                <w:sz w:val="20"/>
                <w:szCs w:val="20"/>
                <w:color w:val="auto"/>
              </w:rPr>
            </w:pPr>
            <w:r>
              <w:rPr>
                <w:rFonts w:ascii="Arial" w:cs="Arial" w:eastAsia="Arial" w:hAnsi="Arial"/>
                <w:sz w:val="18"/>
                <w:szCs w:val="18"/>
                <w:color w:val="auto"/>
              </w:rPr>
              <w:t>semiconductor process technology</w:t>
            </w:r>
          </w:p>
        </w:tc>
        <w:tc>
          <w:tcPr>
            <w:tcW w:w="4440" w:type="dxa"/>
            <w:vAlign w:val="bottom"/>
          </w:tcPr>
          <w:p>
            <w:pPr>
              <w:jc w:val="center"/>
              <w:spacing w:after="0"/>
              <w:rPr>
                <w:sz w:val="20"/>
                <w:szCs w:val="20"/>
                <w:color w:val="auto"/>
              </w:rPr>
            </w:pPr>
            <w:r>
              <w:rPr>
                <w:rFonts w:ascii="Arial" w:cs="Arial" w:eastAsia="Arial" w:hAnsi="Arial"/>
                <w:sz w:val="18"/>
                <w:szCs w:val="18"/>
                <w:color w:val="auto"/>
                <w:w w:val="99"/>
              </w:rPr>
              <w:t>time and yields</w:t>
            </w:r>
          </w:p>
        </w:tc>
        <w:tc>
          <w:tcPr>
            <w:tcW w:w="1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40"/>
        </w:trPr>
        <w:tc>
          <w:tcPr>
            <w:tcW w:w="3080" w:type="dxa"/>
            <w:vAlign w:val="bottom"/>
          </w:tcPr>
          <w:p>
            <w:pPr>
              <w:spacing w:after="0"/>
              <w:rPr>
                <w:sz w:val="3"/>
                <w:szCs w:val="3"/>
                <w:color w:val="auto"/>
              </w:rPr>
            </w:pPr>
          </w:p>
        </w:tc>
        <w:tc>
          <w:tcPr>
            <w:tcW w:w="44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96"/>
        </w:trPr>
        <w:tc>
          <w:tcPr>
            <w:tcW w:w="3080" w:type="dxa"/>
            <w:vAlign w:val="bottom"/>
            <w:shd w:val="clear" w:color="auto" w:fill="C3D9EE"/>
          </w:tcPr>
          <w:p>
            <w:pPr>
              <w:ind w:left="100"/>
              <w:spacing w:after="0"/>
              <w:rPr>
                <w:sz w:val="20"/>
                <w:szCs w:val="20"/>
                <w:color w:val="auto"/>
              </w:rPr>
            </w:pPr>
            <w:r>
              <w:rPr>
                <w:rFonts w:ascii="Arial" w:cs="Arial" w:eastAsia="Arial" w:hAnsi="Arial"/>
                <w:sz w:val="18"/>
                <w:szCs w:val="18"/>
                <w:color w:val="auto"/>
              </w:rPr>
              <w:t>Implement quality control</w:t>
            </w:r>
          </w:p>
        </w:tc>
        <w:tc>
          <w:tcPr>
            <w:tcW w:w="444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9"/>
              </w:rPr>
              <w:t>Earlier detection and containment of product</w:t>
            </w:r>
          </w:p>
        </w:tc>
        <w:tc>
          <w:tcPr>
            <w:tcW w:w="126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9"/>
              </w:rPr>
              <w:t>10%</w:t>
            </w:r>
          </w:p>
        </w:tc>
        <w:tc>
          <w:tcPr>
            <w:tcW w:w="1440" w:type="dxa"/>
            <w:vAlign w:val="bottom"/>
            <w:shd w:val="clear" w:color="auto" w:fill="C3D9EE"/>
          </w:tcPr>
          <w:p>
            <w:pPr>
              <w:jc w:val="center"/>
              <w:spacing w:after="0"/>
              <w:rPr>
                <w:sz w:val="20"/>
                <w:szCs w:val="20"/>
                <w:color w:val="auto"/>
              </w:rPr>
            </w:pPr>
            <w:r>
              <w:rPr>
                <w:rFonts w:ascii="Arial" w:cs="Arial" w:eastAsia="Arial" w:hAnsi="Arial"/>
                <w:sz w:val="18"/>
                <w:szCs w:val="18"/>
                <w:color w:val="auto"/>
              </w:rPr>
              <w:t>Complete</w:t>
            </w:r>
          </w:p>
        </w:tc>
        <w:tc>
          <w:tcPr>
            <w:tcW w:w="800" w:type="dxa"/>
            <w:vAlign w:val="bottom"/>
            <w:shd w:val="clear" w:color="auto" w:fill="C3D9EE"/>
          </w:tcPr>
          <w:p>
            <w:pPr>
              <w:jc w:val="center"/>
              <w:ind w:left="32"/>
              <w:spacing w:after="0"/>
              <w:rPr>
                <w:sz w:val="20"/>
                <w:szCs w:val="20"/>
                <w:color w:val="auto"/>
              </w:rPr>
            </w:pPr>
            <w:r>
              <w:rPr>
                <w:rFonts w:ascii="Arial" w:cs="Arial" w:eastAsia="Arial" w:hAnsi="Arial"/>
                <w:sz w:val="18"/>
                <w:szCs w:val="18"/>
                <w:color w:val="auto"/>
                <w:w w:val="99"/>
              </w:rPr>
              <w:t>10%</w:t>
            </w:r>
          </w:p>
        </w:tc>
      </w:tr>
      <w:tr>
        <w:trPr>
          <w:trHeight w:val="203"/>
        </w:trPr>
        <w:tc>
          <w:tcPr>
            <w:tcW w:w="3080" w:type="dxa"/>
            <w:vAlign w:val="bottom"/>
            <w:shd w:val="clear" w:color="auto" w:fill="C3D9EE"/>
          </w:tcPr>
          <w:p>
            <w:pPr>
              <w:ind w:left="180"/>
              <w:spacing w:after="0" w:line="202" w:lineRule="exact"/>
              <w:rPr>
                <w:sz w:val="20"/>
                <w:szCs w:val="20"/>
                <w:color w:val="auto"/>
              </w:rPr>
            </w:pPr>
            <w:r>
              <w:rPr>
                <w:rFonts w:ascii="Arial" w:cs="Arial" w:eastAsia="Arial" w:hAnsi="Arial"/>
                <w:sz w:val="18"/>
                <w:szCs w:val="18"/>
                <w:color w:val="auto"/>
              </w:rPr>
              <w:t>improvements to improve the</w:t>
            </w:r>
          </w:p>
        </w:tc>
        <w:tc>
          <w:tcPr>
            <w:tcW w:w="4440" w:type="dxa"/>
            <w:vAlign w:val="bottom"/>
            <w:shd w:val="clear" w:color="auto" w:fill="C3D9EE"/>
          </w:tcPr>
          <w:p>
            <w:pPr>
              <w:jc w:val="center"/>
              <w:spacing w:after="0" w:line="202" w:lineRule="exact"/>
              <w:rPr>
                <w:sz w:val="20"/>
                <w:szCs w:val="20"/>
                <w:color w:val="auto"/>
              </w:rPr>
            </w:pPr>
            <w:r>
              <w:rPr>
                <w:rFonts w:ascii="Arial" w:cs="Arial" w:eastAsia="Arial" w:hAnsi="Arial"/>
                <w:sz w:val="18"/>
                <w:szCs w:val="18"/>
                <w:color w:val="auto"/>
                <w:w w:val="99"/>
              </w:rPr>
              <w:t>quality issues</w:t>
            </w:r>
          </w:p>
        </w:tc>
        <w:tc>
          <w:tcPr>
            <w:tcW w:w="1260" w:type="dxa"/>
            <w:vAlign w:val="bottom"/>
            <w:shd w:val="clear" w:color="auto" w:fill="C3D9EE"/>
          </w:tcPr>
          <w:p>
            <w:pPr>
              <w:spacing w:after="0"/>
              <w:rPr>
                <w:sz w:val="17"/>
                <w:szCs w:val="17"/>
                <w:color w:val="auto"/>
              </w:rPr>
            </w:pPr>
          </w:p>
        </w:tc>
        <w:tc>
          <w:tcPr>
            <w:tcW w:w="1440" w:type="dxa"/>
            <w:vAlign w:val="bottom"/>
            <w:shd w:val="clear" w:color="auto" w:fill="C3D9EE"/>
          </w:tcPr>
          <w:p>
            <w:pPr>
              <w:spacing w:after="0"/>
              <w:rPr>
                <w:sz w:val="17"/>
                <w:szCs w:val="17"/>
                <w:color w:val="auto"/>
              </w:rPr>
            </w:pPr>
          </w:p>
        </w:tc>
        <w:tc>
          <w:tcPr>
            <w:tcW w:w="800" w:type="dxa"/>
            <w:vAlign w:val="bottom"/>
            <w:shd w:val="clear" w:color="auto" w:fill="C3D9EE"/>
          </w:tcPr>
          <w:p>
            <w:pPr>
              <w:spacing w:after="0"/>
              <w:rPr>
                <w:sz w:val="17"/>
                <w:szCs w:val="17"/>
                <w:color w:val="auto"/>
              </w:rPr>
            </w:pPr>
          </w:p>
        </w:tc>
      </w:tr>
      <w:tr>
        <w:trPr>
          <w:trHeight w:val="217"/>
        </w:trPr>
        <w:tc>
          <w:tcPr>
            <w:tcW w:w="3080" w:type="dxa"/>
            <w:vAlign w:val="bottom"/>
            <w:shd w:val="clear" w:color="auto" w:fill="C3D9EE"/>
          </w:tcPr>
          <w:p>
            <w:pPr>
              <w:ind w:left="180"/>
              <w:spacing w:after="0"/>
              <w:rPr>
                <w:sz w:val="20"/>
                <w:szCs w:val="20"/>
                <w:color w:val="auto"/>
              </w:rPr>
            </w:pPr>
            <w:r>
              <w:rPr>
                <w:rFonts w:ascii="Arial" w:cs="Arial" w:eastAsia="Arial" w:hAnsi="Arial"/>
                <w:sz w:val="18"/>
                <w:szCs w:val="18"/>
                <w:color w:val="auto"/>
              </w:rPr>
              <w:t>product design process</w:t>
            </w:r>
          </w:p>
        </w:tc>
        <w:tc>
          <w:tcPr>
            <w:tcW w:w="4440" w:type="dxa"/>
            <w:vAlign w:val="bottom"/>
            <w:shd w:val="clear" w:color="auto" w:fill="C3D9EE"/>
          </w:tcPr>
          <w:p>
            <w:pPr>
              <w:spacing w:after="0"/>
              <w:rPr>
                <w:sz w:val="18"/>
                <w:szCs w:val="18"/>
                <w:color w:val="auto"/>
              </w:rPr>
            </w:pPr>
          </w:p>
        </w:tc>
        <w:tc>
          <w:tcPr>
            <w:tcW w:w="1260" w:type="dxa"/>
            <w:vAlign w:val="bottom"/>
            <w:shd w:val="clear" w:color="auto" w:fill="C3D9EE"/>
          </w:tcPr>
          <w:p>
            <w:pPr>
              <w:spacing w:after="0"/>
              <w:rPr>
                <w:sz w:val="18"/>
                <w:szCs w:val="18"/>
                <w:color w:val="auto"/>
              </w:rPr>
            </w:pPr>
          </w:p>
        </w:tc>
        <w:tc>
          <w:tcPr>
            <w:tcW w:w="1440" w:type="dxa"/>
            <w:vAlign w:val="bottom"/>
            <w:shd w:val="clear" w:color="auto" w:fill="C3D9EE"/>
          </w:tcPr>
          <w:p>
            <w:pPr>
              <w:spacing w:after="0"/>
              <w:rPr>
                <w:sz w:val="18"/>
                <w:szCs w:val="18"/>
                <w:color w:val="auto"/>
              </w:rPr>
            </w:pPr>
          </w:p>
        </w:tc>
        <w:tc>
          <w:tcPr>
            <w:tcW w:w="800" w:type="dxa"/>
            <w:vAlign w:val="bottom"/>
            <w:shd w:val="clear" w:color="auto" w:fill="C3D9EE"/>
          </w:tcPr>
          <w:p>
            <w:pPr>
              <w:spacing w:after="0"/>
              <w:rPr>
                <w:sz w:val="18"/>
                <w:szCs w:val="18"/>
                <w:color w:val="auto"/>
              </w:rPr>
            </w:pPr>
          </w:p>
        </w:tc>
      </w:tr>
      <w:tr>
        <w:trPr>
          <w:trHeight w:val="296"/>
        </w:trPr>
        <w:tc>
          <w:tcPr>
            <w:tcW w:w="3080" w:type="dxa"/>
            <w:vAlign w:val="bottom"/>
          </w:tcPr>
          <w:p>
            <w:pPr>
              <w:ind w:left="100"/>
              <w:spacing w:after="0"/>
              <w:rPr>
                <w:sz w:val="20"/>
                <w:szCs w:val="20"/>
                <w:color w:val="auto"/>
              </w:rPr>
            </w:pPr>
            <w:r>
              <w:rPr>
                <w:rFonts w:ascii="Arial" w:cs="Arial" w:eastAsia="Arial" w:hAnsi="Arial"/>
                <w:sz w:val="18"/>
                <w:szCs w:val="18"/>
                <w:color w:val="auto"/>
              </w:rPr>
              <w:t>Deploy systems to improve speed</w:t>
            </w:r>
          </w:p>
        </w:tc>
        <w:tc>
          <w:tcPr>
            <w:tcW w:w="4440" w:type="dxa"/>
            <w:vAlign w:val="bottom"/>
          </w:tcPr>
          <w:p>
            <w:pPr>
              <w:jc w:val="center"/>
              <w:spacing w:after="0"/>
              <w:rPr>
                <w:sz w:val="20"/>
                <w:szCs w:val="20"/>
                <w:color w:val="auto"/>
              </w:rPr>
            </w:pPr>
            <w:r>
              <w:rPr>
                <w:rFonts w:ascii="Arial" w:cs="Arial" w:eastAsia="Arial" w:hAnsi="Arial"/>
                <w:sz w:val="18"/>
                <w:szCs w:val="18"/>
                <w:color w:val="auto"/>
                <w:w w:val="99"/>
              </w:rPr>
              <w:t>Earlier detection and containment of product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1440" w:type="dxa"/>
            <w:vAlign w:val="bottom"/>
          </w:tcPr>
          <w:p>
            <w:pPr>
              <w:jc w:val="center"/>
              <w:spacing w:after="0"/>
              <w:rPr>
                <w:sz w:val="20"/>
                <w:szCs w:val="20"/>
                <w:color w:val="auto"/>
              </w:rPr>
            </w:pPr>
            <w:r>
              <w:rPr>
                <w:rFonts w:ascii="Arial" w:cs="Arial" w:eastAsia="Arial" w:hAnsi="Arial"/>
                <w:sz w:val="18"/>
                <w:szCs w:val="18"/>
                <w:color w:val="auto"/>
              </w:rPr>
              <w:t>Complete</w:t>
            </w:r>
          </w:p>
        </w:tc>
        <w:tc>
          <w:tcPr>
            <w:tcW w:w="800" w:type="dxa"/>
            <w:vAlign w:val="bottom"/>
          </w:tcPr>
          <w:p>
            <w:pPr>
              <w:jc w:val="center"/>
              <w:ind w:left="32"/>
              <w:spacing w:after="0"/>
              <w:rPr>
                <w:sz w:val="20"/>
                <w:szCs w:val="20"/>
                <w:color w:val="auto"/>
              </w:rPr>
            </w:pPr>
            <w:r>
              <w:rPr>
                <w:rFonts w:ascii="Arial" w:cs="Arial" w:eastAsia="Arial" w:hAnsi="Arial"/>
                <w:sz w:val="18"/>
                <w:szCs w:val="18"/>
                <w:color w:val="auto"/>
                <w:w w:val="99"/>
              </w:rPr>
              <w:t>10%</w:t>
            </w:r>
          </w:p>
        </w:tc>
      </w:tr>
      <w:tr>
        <w:trPr>
          <w:trHeight w:val="203"/>
        </w:trPr>
        <w:tc>
          <w:tcPr>
            <w:tcW w:w="3080" w:type="dxa"/>
            <w:vAlign w:val="bottom"/>
          </w:tcPr>
          <w:p>
            <w:pPr>
              <w:ind w:left="180"/>
              <w:spacing w:after="0" w:line="202" w:lineRule="exact"/>
              <w:rPr>
                <w:sz w:val="20"/>
                <w:szCs w:val="20"/>
                <w:color w:val="auto"/>
              </w:rPr>
            </w:pPr>
            <w:r>
              <w:rPr>
                <w:rFonts w:ascii="Arial" w:cs="Arial" w:eastAsia="Arial" w:hAnsi="Arial"/>
                <w:sz w:val="18"/>
                <w:szCs w:val="18"/>
                <w:color w:val="auto"/>
              </w:rPr>
              <w:t>and quality of new product releases</w:t>
            </w:r>
          </w:p>
        </w:tc>
        <w:tc>
          <w:tcPr>
            <w:tcW w:w="4440" w:type="dxa"/>
            <w:vAlign w:val="bottom"/>
          </w:tcPr>
          <w:p>
            <w:pPr>
              <w:jc w:val="center"/>
              <w:spacing w:after="0" w:line="202" w:lineRule="exact"/>
              <w:rPr>
                <w:sz w:val="20"/>
                <w:szCs w:val="20"/>
                <w:color w:val="auto"/>
              </w:rPr>
            </w:pPr>
            <w:r>
              <w:rPr>
                <w:rFonts w:ascii="Arial" w:cs="Arial" w:eastAsia="Arial" w:hAnsi="Arial"/>
                <w:sz w:val="18"/>
                <w:szCs w:val="18"/>
                <w:color w:val="auto"/>
              </w:rPr>
              <w:t>quality issues and improve manufacturing</w:t>
            </w:r>
          </w:p>
        </w:tc>
        <w:tc>
          <w:tcPr>
            <w:tcW w:w="1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7"/>
        </w:trPr>
        <w:tc>
          <w:tcPr>
            <w:tcW w:w="308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9"/>
              </w:rPr>
              <w:t>operations</w:t>
            </w:r>
          </w:p>
        </w:tc>
        <w:tc>
          <w:tcPr>
            <w:tcW w:w="1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96"/>
        </w:trPr>
        <w:tc>
          <w:tcPr>
            <w:tcW w:w="3080" w:type="dxa"/>
            <w:vAlign w:val="bottom"/>
            <w:shd w:val="clear" w:color="auto" w:fill="C3D9EE"/>
          </w:tcPr>
          <w:p>
            <w:pPr>
              <w:ind w:left="100"/>
              <w:spacing w:after="0"/>
              <w:rPr>
                <w:sz w:val="20"/>
                <w:szCs w:val="20"/>
                <w:color w:val="auto"/>
              </w:rPr>
            </w:pPr>
            <w:r>
              <w:rPr>
                <w:rFonts w:ascii="Arial" w:cs="Arial" w:eastAsia="Arial" w:hAnsi="Arial"/>
                <w:sz w:val="18"/>
                <w:szCs w:val="18"/>
                <w:color w:val="auto"/>
              </w:rPr>
              <w:t>Develop additional automation</w:t>
            </w:r>
          </w:p>
        </w:tc>
        <w:tc>
          <w:tcPr>
            <w:tcW w:w="444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9"/>
              </w:rPr>
              <w:t>Improve assembly operations and ability to</w:t>
            </w:r>
          </w:p>
        </w:tc>
        <w:tc>
          <w:tcPr>
            <w:tcW w:w="126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9"/>
              </w:rPr>
              <w:t>20%</w:t>
            </w:r>
          </w:p>
        </w:tc>
        <w:tc>
          <w:tcPr>
            <w:tcW w:w="1440" w:type="dxa"/>
            <w:vAlign w:val="bottom"/>
            <w:shd w:val="clear" w:color="auto" w:fill="C3D9EE"/>
          </w:tcPr>
          <w:p>
            <w:pPr>
              <w:jc w:val="center"/>
              <w:spacing w:after="0"/>
              <w:rPr>
                <w:sz w:val="20"/>
                <w:szCs w:val="20"/>
                <w:color w:val="auto"/>
              </w:rPr>
            </w:pPr>
            <w:r>
              <w:rPr>
                <w:rFonts w:ascii="Arial" w:cs="Arial" w:eastAsia="Arial" w:hAnsi="Arial"/>
                <w:sz w:val="18"/>
                <w:szCs w:val="18"/>
                <w:color w:val="auto"/>
              </w:rPr>
              <w:t>Complete</w:t>
            </w:r>
          </w:p>
        </w:tc>
        <w:tc>
          <w:tcPr>
            <w:tcW w:w="800" w:type="dxa"/>
            <w:vAlign w:val="bottom"/>
            <w:shd w:val="clear" w:color="auto" w:fill="C3D9EE"/>
          </w:tcPr>
          <w:p>
            <w:pPr>
              <w:jc w:val="center"/>
              <w:ind w:left="32"/>
              <w:spacing w:after="0"/>
              <w:rPr>
                <w:sz w:val="20"/>
                <w:szCs w:val="20"/>
                <w:color w:val="auto"/>
              </w:rPr>
            </w:pPr>
            <w:r>
              <w:rPr>
                <w:rFonts w:ascii="Arial" w:cs="Arial" w:eastAsia="Arial" w:hAnsi="Arial"/>
                <w:sz w:val="18"/>
                <w:szCs w:val="18"/>
                <w:color w:val="auto"/>
                <w:w w:val="99"/>
              </w:rPr>
              <w:t>20%</w:t>
            </w:r>
          </w:p>
        </w:tc>
      </w:tr>
      <w:tr>
        <w:trPr>
          <w:trHeight w:val="203"/>
        </w:trPr>
        <w:tc>
          <w:tcPr>
            <w:tcW w:w="3080" w:type="dxa"/>
            <w:vAlign w:val="bottom"/>
            <w:shd w:val="clear" w:color="auto" w:fill="C3D9EE"/>
          </w:tcPr>
          <w:p>
            <w:pPr>
              <w:ind w:left="180"/>
              <w:spacing w:after="0" w:line="202" w:lineRule="exact"/>
              <w:rPr>
                <w:sz w:val="20"/>
                <w:szCs w:val="20"/>
                <w:color w:val="auto"/>
              </w:rPr>
            </w:pPr>
            <w:r>
              <w:rPr>
                <w:rFonts w:ascii="Arial" w:cs="Arial" w:eastAsia="Arial" w:hAnsi="Arial"/>
                <w:sz w:val="18"/>
                <w:szCs w:val="18"/>
                <w:color w:val="auto"/>
              </w:rPr>
              <w:t>solutions to improve internal</w:t>
            </w:r>
          </w:p>
        </w:tc>
        <w:tc>
          <w:tcPr>
            <w:tcW w:w="4440" w:type="dxa"/>
            <w:vAlign w:val="bottom"/>
            <w:shd w:val="clear" w:color="auto" w:fill="C3D9EE"/>
          </w:tcPr>
          <w:p>
            <w:pPr>
              <w:jc w:val="center"/>
              <w:spacing w:after="0" w:line="202" w:lineRule="exact"/>
              <w:rPr>
                <w:sz w:val="20"/>
                <w:szCs w:val="20"/>
                <w:color w:val="auto"/>
              </w:rPr>
            </w:pPr>
            <w:r>
              <w:rPr>
                <w:rFonts w:ascii="Arial" w:cs="Arial" w:eastAsia="Arial" w:hAnsi="Arial"/>
                <w:sz w:val="18"/>
                <w:szCs w:val="18"/>
                <w:color w:val="auto"/>
              </w:rPr>
              <w:t>address problems</w:t>
            </w:r>
          </w:p>
        </w:tc>
        <w:tc>
          <w:tcPr>
            <w:tcW w:w="1260" w:type="dxa"/>
            <w:vAlign w:val="bottom"/>
            <w:shd w:val="clear" w:color="auto" w:fill="C3D9EE"/>
          </w:tcPr>
          <w:p>
            <w:pPr>
              <w:spacing w:after="0"/>
              <w:rPr>
                <w:sz w:val="17"/>
                <w:szCs w:val="17"/>
                <w:color w:val="auto"/>
              </w:rPr>
            </w:pPr>
          </w:p>
        </w:tc>
        <w:tc>
          <w:tcPr>
            <w:tcW w:w="1440" w:type="dxa"/>
            <w:vAlign w:val="bottom"/>
            <w:shd w:val="clear" w:color="auto" w:fill="C3D9EE"/>
          </w:tcPr>
          <w:p>
            <w:pPr>
              <w:spacing w:after="0"/>
              <w:rPr>
                <w:sz w:val="17"/>
                <w:szCs w:val="17"/>
                <w:color w:val="auto"/>
              </w:rPr>
            </w:pPr>
          </w:p>
        </w:tc>
        <w:tc>
          <w:tcPr>
            <w:tcW w:w="800" w:type="dxa"/>
            <w:vAlign w:val="bottom"/>
            <w:shd w:val="clear" w:color="auto" w:fill="C3D9EE"/>
          </w:tcPr>
          <w:p>
            <w:pPr>
              <w:spacing w:after="0"/>
              <w:rPr>
                <w:sz w:val="17"/>
                <w:szCs w:val="17"/>
                <w:color w:val="auto"/>
              </w:rPr>
            </w:pPr>
          </w:p>
        </w:tc>
      </w:tr>
      <w:tr>
        <w:trPr>
          <w:trHeight w:val="217"/>
        </w:trPr>
        <w:tc>
          <w:tcPr>
            <w:tcW w:w="3080" w:type="dxa"/>
            <w:vAlign w:val="bottom"/>
            <w:tcBorders>
              <w:bottom w:val="single" w:sz="8" w:color="1269BC"/>
            </w:tcBorders>
            <w:shd w:val="clear" w:color="auto" w:fill="C3D9EE"/>
          </w:tcPr>
          <w:p>
            <w:pPr>
              <w:ind w:left="180"/>
              <w:spacing w:after="0"/>
              <w:rPr>
                <w:sz w:val="20"/>
                <w:szCs w:val="20"/>
                <w:color w:val="auto"/>
              </w:rPr>
            </w:pPr>
            <w:r>
              <w:rPr>
                <w:rFonts w:ascii="Arial" w:cs="Arial" w:eastAsia="Arial" w:hAnsi="Arial"/>
                <w:sz w:val="18"/>
                <w:szCs w:val="18"/>
                <w:color w:val="auto"/>
              </w:rPr>
              <w:t>assembly productivity</w:t>
            </w:r>
          </w:p>
        </w:tc>
        <w:tc>
          <w:tcPr>
            <w:tcW w:w="4440" w:type="dxa"/>
            <w:vAlign w:val="bottom"/>
            <w:tcBorders>
              <w:bottom w:val="single" w:sz="8" w:color="1269BC"/>
            </w:tcBorders>
            <w:shd w:val="clear" w:color="auto" w:fill="C3D9EE"/>
          </w:tcPr>
          <w:p>
            <w:pPr>
              <w:spacing w:after="0"/>
              <w:rPr>
                <w:sz w:val="18"/>
                <w:szCs w:val="18"/>
                <w:color w:val="auto"/>
              </w:rPr>
            </w:pPr>
          </w:p>
        </w:tc>
        <w:tc>
          <w:tcPr>
            <w:tcW w:w="1260" w:type="dxa"/>
            <w:vAlign w:val="bottom"/>
            <w:tcBorders>
              <w:bottom w:val="single" w:sz="8" w:color="1269BC"/>
            </w:tcBorders>
            <w:shd w:val="clear" w:color="auto" w:fill="C3D9EE"/>
          </w:tcPr>
          <w:p>
            <w:pPr>
              <w:spacing w:after="0"/>
              <w:rPr>
                <w:sz w:val="18"/>
                <w:szCs w:val="18"/>
                <w:color w:val="auto"/>
              </w:rPr>
            </w:pPr>
          </w:p>
        </w:tc>
        <w:tc>
          <w:tcPr>
            <w:tcW w:w="1440" w:type="dxa"/>
            <w:vAlign w:val="bottom"/>
            <w:tcBorders>
              <w:bottom w:val="single" w:sz="8" w:color="1269BC"/>
            </w:tcBorders>
            <w:shd w:val="clear" w:color="auto" w:fill="C3D9EE"/>
          </w:tcPr>
          <w:p>
            <w:pPr>
              <w:spacing w:after="0"/>
              <w:rPr>
                <w:sz w:val="18"/>
                <w:szCs w:val="18"/>
                <w:color w:val="auto"/>
              </w:rPr>
            </w:pPr>
          </w:p>
        </w:tc>
        <w:tc>
          <w:tcPr>
            <w:tcW w:w="800" w:type="dxa"/>
            <w:vAlign w:val="bottom"/>
            <w:tcBorders>
              <w:bottom w:val="single" w:sz="8" w:color="1269BC"/>
            </w:tcBorders>
            <w:shd w:val="clear" w:color="auto" w:fill="C3D9EE"/>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94615</wp:posOffset>
            </wp:positionV>
            <wp:extent cx="58293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pacing w:after="0" w:line="16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i w:val="1"/>
          <w:iCs w:val="1"/>
          <w:color w:val="1269BC"/>
        </w:rPr>
        <w:t>2020 Proxy Statement</w:t>
      </w:r>
      <w:r>
        <w:rPr>
          <w:sz w:val="20"/>
          <w:szCs w:val="20"/>
          <w:color w:val="auto"/>
        </w:rPr>
        <w:tab/>
      </w:r>
      <w:r>
        <w:rPr>
          <w:rFonts w:ascii="Arial" w:cs="Arial" w:eastAsia="Arial" w:hAnsi="Arial"/>
          <w:sz w:val="17"/>
          <w:szCs w:val="17"/>
          <w:color w:val="auto"/>
        </w:rPr>
        <w:t>29</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3080" w:type="dxa"/>
            <w:vAlign w:val="bottom"/>
          </w:tcPr>
          <w:p>
            <w:pPr>
              <w:ind w:left="80"/>
              <w:spacing w:after="0"/>
              <w:rPr>
                <w:sz w:val="20"/>
                <w:szCs w:val="20"/>
                <w:color w:val="auto"/>
              </w:rPr>
            </w:pPr>
            <w:r>
              <w:rPr>
                <w:rFonts w:ascii="Arial" w:cs="Arial" w:eastAsia="Arial" w:hAnsi="Arial"/>
                <w:sz w:val="16"/>
                <w:szCs w:val="16"/>
                <w:b w:val="1"/>
                <w:bCs w:val="1"/>
                <w:color w:val="1269BC"/>
              </w:rPr>
              <w:t>Performance</w:t>
            </w:r>
          </w:p>
        </w:tc>
        <w:tc>
          <w:tcPr>
            <w:tcW w:w="4260" w:type="dxa"/>
            <w:vAlign w:val="bottom"/>
          </w:tcPr>
          <w:p>
            <w:pPr>
              <w:jc w:val="center"/>
              <w:spacing w:after="0"/>
              <w:rPr>
                <w:sz w:val="20"/>
                <w:szCs w:val="20"/>
                <w:color w:val="auto"/>
              </w:rPr>
            </w:pPr>
            <w:r>
              <w:rPr>
                <w:rFonts w:ascii="Arial" w:cs="Arial" w:eastAsia="Arial" w:hAnsi="Arial"/>
                <w:sz w:val="16"/>
                <w:szCs w:val="16"/>
                <w:b w:val="1"/>
                <w:bCs w:val="1"/>
                <w:color w:val="1269BC"/>
              </w:rPr>
              <w:t>Rationale for</w:t>
            </w:r>
          </w:p>
        </w:tc>
        <w:tc>
          <w:tcPr>
            <w:tcW w:w="13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1269BC"/>
              </w:rPr>
              <w:t>Performance</w:t>
            </w:r>
          </w:p>
        </w:tc>
        <w:tc>
          <w:tcPr>
            <w:tcW w:w="860" w:type="dxa"/>
            <w:vAlign w:val="bottom"/>
          </w:tcPr>
          <w:p>
            <w:pPr>
              <w:jc w:val="center"/>
              <w:ind w:left="33"/>
              <w:spacing w:after="0"/>
              <w:rPr>
                <w:sz w:val="20"/>
                <w:szCs w:val="20"/>
                <w:color w:val="auto"/>
              </w:rPr>
            </w:pPr>
            <w:r>
              <w:rPr>
                <w:rFonts w:ascii="Arial" w:cs="Arial" w:eastAsia="Arial" w:hAnsi="Arial"/>
                <w:sz w:val="16"/>
                <w:szCs w:val="16"/>
                <w:b w:val="1"/>
                <w:bCs w:val="1"/>
                <w:color w:val="1269BC"/>
                <w:w w:val="98"/>
              </w:rPr>
              <w:t>Percent</w:t>
            </w:r>
          </w:p>
        </w:tc>
      </w:tr>
      <w:tr>
        <w:trPr>
          <w:trHeight w:val="222"/>
        </w:trPr>
        <w:tc>
          <w:tcPr>
            <w:tcW w:w="3080" w:type="dxa"/>
            <w:vAlign w:val="bottom"/>
            <w:tcBorders>
              <w:bottom w:val="single" w:sz="8" w:color="1269BC"/>
            </w:tcBorders>
          </w:tcPr>
          <w:p>
            <w:pPr>
              <w:ind w:left="80"/>
              <w:spacing w:after="0" w:line="222" w:lineRule="exact"/>
              <w:rPr>
                <w:sz w:val="20"/>
                <w:szCs w:val="20"/>
                <w:color w:val="auto"/>
              </w:rPr>
            </w:pPr>
            <w:r>
              <w:rPr>
                <w:rFonts w:ascii="Arial" w:cs="Arial" w:eastAsia="Arial" w:hAnsi="Arial"/>
                <w:sz w:val="15"/>
                <w:szCs w:val="15"/>
                <w:b w:val="1"/>
                <w:bCs w:val="1"/>
                <w:color w:val="1269BC"/>
              </w:rPr>
              <w:t>Objective</w:t>
            </w:r>
            <w:r>
              <w:rPr>
                <w:rFonts w:ascii="Arial" w:cs="Arial" w:eastAsia="Arial" w:hAnsi="Arial"/>
                <w:sz w:val="25"/>
                <w:szCs w:val="25"/>
                <w:b w:val="1"/>
                <w:bCs w:val="1"/>
                <w:color w:val="1269BC"/>
                <w:vertAlign w:val="superscript"/>
              </w:rPr>
              <w:t>(1)</w:t>
            </w:r>
          </w:p>
        </w:tc>
        <w:tc>
          <w:tcPr>
            <w:tcW w:w="426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Selection of Objective</w:t>
            </w:r>
          </w:p>
        </w:tc>
        <w:tc>
          <w:tcPr>
            <w:tcW w:w="1320" w:type="dxa"/>
            <w:vAlign w:val="bottom"/>
            <w:tcBorders>
              <w:bottom w:val="single" w:sz="8" w:color="1269BC"/>
            </w:tcBorders>
          </w:tcPr>
          <w:p>
            <w:pPr>
              <w:ind w:left="220"/>
              <w:spacing w:after="0" w:line="222" w:lineRule="exact"/>
              <w:rPr>
                <w:sz w:val="20"/>
                <w:szCs w:val="20"/>
                <w:color w:val="auto"/>
              </w:rPr>
            </w:pPr>
            <w:r>
              <w:rPr>
                <w:rFonts w:ascii="Arial" w:cs="Arial" w:eastAsia="Arial" w:hAnsi="Arial"/>
                <w:sz w:val="15"/>
                <w:szCs w:val="15"/>
                <w:b w:val="1"/>
                <w:bCs w:val="1"/>
                <w:color w:val="1269BC"/>
              </w:rPr>
              <w:t>Weighting</w:t>
            </w:r>
            <w:r>
              <w:rPr>
                <w:rFonts w:ascii="Arial" w:cs="Arial" w:eastAsia="Arial" w:hAnsi="Arial"/>
                <w:sz w:val="25"/>
                <w:szCs w:val="25"/>
                <w:b w:val="1"/>
                <w:bCs w:val="1"/>
                <w:color w:val="1269BC"/>
                <w:vertAlign w:val="superscript"/>
              </w:rPr>
              <w:t>(2)</w:t>
            </w:r>
          </w:p>
        </w:tc>
        <w:tc>
          <w:tcPr>
            <w:tcW w:w="1500" w:type="dxa"/>
            <w:vAlign w:val="bottom"/>
            <w:tcBorders>
              <w:bottom w:val="single" w:sz="8" w:color="1269BC"/>
            </w:tcBorders>
          </w:tcPr>
          <w:p>
            <w:pPr>
              <w:jc w:val="center"/>
              <w:spacing w:after="0" w:line="222" w:lineRule="exact"/>
              <w:rPr>
                <w:sz w:val="20"/>
                <w:szCs w:val="20"/>
                <w:color w:val="auto"/>
              </w:rPr>
            </w:pPr>
            <w:r>
              <w:rPr>
                <w:rFonts w:ascii="Arial" w:cs="Arial" w:eastAsia="Arial" w:hAnsi="Arial"/>
                <w:sz w:val="15"/>
                <w:szCs w:val="15"/>
                <w:b w:val="1"/>
                <w:bCs w:val="1"/>
                <w:color w:val="1269BC"/>
              </w:rPr>
              <w:t>Assessment</w:t>
            </w:r>
            <w:r>
              <w:rPr>
                <w:rFonts w:ascii="Arial" w:cs="Arial" w:eastAsia="Arial" w:hAnsi="Arial"/>
                <w:sz w:val="25"/>
                <w:szCs w:val="25"/>
                <w:b w:val="1"/>
                <w:bCs w:val="1"/>
                <w:color w:val="1269BC"/>
                <w:vertAlign w:val="superscript"/>
              </w:rPr>
              <w:t>(3)</w:t>
            </w:r>
          </w:p>
        </w:tc>
        <w:tc>
          <w:tcPr>
            <w:tcW w:w="860" w:type="dxa"/>
            <w:vAlign w:val="bottom"/>
            <w:tcBorders>
              <w:bottom w:val="single" w:sz="8" w:color="1269BC"/>
            </w:tcBorders>
          </w:tcPr>
          <w:p>
            <w:pPr>
              <w:jc w:val="center"/>
              <w:ind w:left="33"/>
              <w:spacing w:after="0"/>
              <w:rPr>
                <w:sz w:val="20"/>
                <w:szCs w:val="20"/>
                <w:color w:val="auto"/>
              </w:rPr>
            </w:pPr>
            <w:r>
              <w:rPr>
                <w:rFonts w:ascii="Arial" w:cs="Arial" w:eastAsia="Arial" w:hAnsi="Arial"/>
                <w:sz w:val="16"/>
                <w:szCs w:val="16"/>
                <w:b w:val="1"/>
                <w:bCs w:val="1"/>
                <w:color w:val="1269BC"/>
              </w:rPr>
              <w:t>Payout</w:t>
            </w:r>
          </w:p>
        </w:tc>
      </w:tr>
      <w:tr>
        <w:trPr>
          <w:trHeight w:val="276"/>
        </w:trPr>
        <w:tc>
          <w:tcPr>
            <w:tcW w:w="3080" w:type="dxa"/>
            <w:vAlign w:val="bottom"/>
          </w:tcPr>
          <w:p>
            <w:pPr>
              <w:ind w:left="100"/>
              <w:spacing w:after="0"/>
              <w:rPr>
                <w:sz w:val="20"/>
                <w:szCs w:val="20"/>
                <w:color w:val="auto"/>
              </w:rPr>
            </w:pPr>
            <w:r>
              <w:rPr>
                <w:rFonts w:ascii="Arial" w:cs="Arial" w:eastAsia="Arial" w:hAnsi="Arial"/>
                <w:sz w:val="18"/>
                <w:szCs w:val="18"/>
                <w:color w:val="auto"/>
              </w:rPr>
              <w:t>Implement new manufacturing</w:t>
            </w:r>
          </w:p>
        </w:tc>
        <w:tc>
          <w:tcPr>
            <w:tcW w:w="4260" w:type="dxa"/>
            <w:vAlign w:val="bottom"/>
          </w:tcPr>
          <w:p>
            <w:pPr>
              <w:jc w:val="center"/>
              <w:spacing w:after="0"/>
              <w:rPr>
                <w:sz w:val="20"/>
                <w:szCs w:val="20"/>
                <w:color w:val="auto"/>
              </w:rPr>
            </w:pPr>
            <w:r>
              <w:rPr>
                <w:rFonts w:ascii="Arial" w:cs="Arial" w:eastAsia="Arial" w:hAnsi="Arial"/>
                <w:sz w:val="18"/>
                <w:szCs w:val="18"/>
                <w:color w:val="auto"/>
                <w:w w:val="99"/>
              </w:rPr>
              <w:t>Improve manufacturing operations, including</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1500" w:type="dxa"/>
            <w:vAlign w:val="bottom"/>
          </w:tcPr>
          <w:p>
            <w:pPr>
              <w:jc w:val="center"/>
              <w:spacing w:after="0"/>
              <w:rPr>
                <w:sz w:val="20"/>
                <w:szCs w:val="20"/>
                <w:color w:val="auto"/>
              </w:rPr>
            </w:pPr>
            <w:r>
              <w:rPr>
                <w:rFonts w:ascii="Arial" w:cs="Arial" w:eastAsia="Arial" w:hAnsi="Arial"/>
                <w:sz w:val="18"/>
                <w:szCs w:val="18"/>
                <w:color w:val="auto"/>
              </w:rPr>
              <w:t>Complete</w:t>
            </w:r>
          </w:p>
        </w:tc>
        <w:tc>
          <w:tcPr>
            <w:tcW w:w="860" w:type="dxa"/>
            <w:vAlign w:val="bottom"/>
          </w:tcPr>
          <w:p>
            <w:pPr>
              <w:jc w:val="center"/>
              <w:ind w:left="13"/>
              <w:spacing w:after="0"/>
              <w:rPr>
                <w:sz w:val="20"/>
                <w:szCs w:val="20"/>
                <w:color w:val="auto"/>
              </w:rPr>
            </w:pPr>
            <w:r>
              <w:rPr>
                <w:rFonts w:ascii="Arial" w:cs="Arial" w:eastAsia="Arial" w:hAnsi="Arial"/>
                <w:sz w:val="18"/>
                <w:szCs w:val="18"/>
                <w:color w:val="auto"/>
                <w:w w:val="99"/>
              </w:rPr>
              <w:t>15%</w:t>
            </w:r>
          </w:p>
        </w:tc>
      </w:tr>
      <w:tr>
        <w:trPr>
          <w:trHeight w:val="203"/>
        </w:trPr>
        <w:tc>
          <w:tcPr>
            <w:tcW w:w="3080" w:type="dxa"/>
            <w:vAlign w:val="bottom"/>
          </w:tcPr>
          <w:p>
            <w:pPr>
              <w:ind w:left="180"/>
              <w:spacing w:after="0" w:line="202" w:lineRule="exact"/>
              <w:rPr>
                <w:sz w:val="20"/>
                <w:szCs w:val="20"/>
                <w:color w:val="auto"/>
              </w:rPr>
            </w:pPr>
            <w:r>
              <w:rPr>
                <w:rFonts w:ascii="Arial" w:cs="Arial" w:eastAsia="Arial" w:hAnsi="Arial"/>
                <w:sz w:val="18"/>
                <w:szCs w:val="18"/>
                <w:color w:val="auto"/>
              </w:rPr>
              <w:t>process for a specific advanced</w:t>
            </w:r>
          </w:p>
        </w:tc>
        <w:tc>
          <w:tcPr>
            <w:tcW w:w="4260" w:type="dxa"/>
            <w:vAlign w:val="bottom"/>
          </w:tcPr>
          <w:p>
            <w:pPr>
              <w:jc w:val="center"/>
              <w:spacing w:after="0" w:line="202" w:lineRule="exact"/>
              <w:rPr>
                <w:sz w:val="20"/>
                <w:szCs w:val="20"/>
                <w:color w:val="auto"/>
              </w:rPr>
            </w:pPr>
            <w:r>
              <w:rPr>
                <w:rFonts w:ascii="Arial" w:cs="Arial" w:eastAsia="Arial" w:hAnsi="Arial"/>
                <w:sz w:val="18"/>
                <w:szCs w:val="18"/>
                <w:color w:val="auto"/>
              </w:rPr>
              <w:t>quality and yield</w:t>
            </w: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7"/>
        </w:trPr>
        <w:tc>
          <w:tcPr>
            <w:tcW w:w="308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4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40"/>
        </w:trPr>
        <w:tc>
          <w:tcPr>
            <w:tcW w:w="3080" w:type="dxa"/>
            <w:vAlign w:val="bottom"/>
          </w:tcPr>
          <w:p>
            <w:pPr>
              <w:spacing w:after="0"/>
              <w:rPr>
                <w:sz w:val="3"/>
                <w:szCs w:val="3"/>
                <w:color w:val="auto"/>
              </w:rPr>
            </w:pPr>
          </w:p>
        </w:tc>
        <w:tc>
          <w:tcPr>
            <w:tcW w:w="4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96"/>
        </w:trPr>
        <w:tc>
          <w:tcPr>
            <w:tcW w:w="3080" w:type="dxa"/>
            <w:vAlign w:val="bottom"/>
            <w:shd w:val="clear" w:color="auto" w:fill="C3D9EE"/>
          </w:tcPr>
          <w:p>
            <w:pPr>
              <w:ind w:left="100"/>
              <w:spacing w:after="0"/>
              <w:rPr>
                <w:sz w:val="20"/>
                <w:szCs w:val="20"/>
                <w:color w:val="auto"/>
              </w:rPr>
            </w:pPr>
            <w:r>
              <w:rPr>
                <w:rFonts w:ascii="Arial" w:cs="Arial" w:eastAsia="Arial" w:hAnsi="Arial"/>
                <w:sz w:val="18"/>
                <w:szCs w:val="18"/>
                <w:color w:val="auto"/>
              </w:rPr>
              <w:t>Launch advanced BAW technologies</w:t>
            </w:r>
          </w:p>
        </w:tc>
        <w:tc>
          <w:tcPr>
            <w:tcW w:w="426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9"/>
              </w:rPr>
              <w:t>Increase revenue, reduce product costs and</w:t>
            </w:r>
          </w:p>
        </w:tc>
        <w:tc>
          <w:tcPr>
            <w:tcW w:w="1320" w:type="dxa"/>
            <w:vAlign w:val="bottom"/>
            <w:shd w:val="clear" w:color="auto" w:fill="C3D9EE"/>
          </w:tcPr>
          <w:p>
            <w:pPr>
              <w:jc w:val="center"/>
              <w:spacing w:after="0"/>
              <w:rPr>
                <w:sz w:val="20"/>
                <w:szCs w:val="20"/>
                <w:color w:val="auto"/>
              </w:rPr>
            </w:pPr>
            <w:r>
              <w:rPr>
                <w:rFonts w:ascii="Arial" w:cs="Arial" w:eastAsia="Arial" w:hAnsi="Arial"/>
                <w:sz w:val="18"/>
                <w:szCs w:val="18"/>
                <w:color w:val="auto"/>
                <w:w w:val="99"/>
              </w:rPr>
              <w:t>15%</w:t>
            </w:r>
          </w:p>
        </w:tc>
        <w:tc>
          <w:tcPr>
            <w:tcW w:w="1500" w:type="dxa"/>
            <w:vAlign w:val="bottom"/>
            <w:shd w:val="clear" w:color="auto" w:fill="C3D9EE"/>
          </w:tcPr>
          <w:p>
            <w:pPr>
              <w:jc w:val="center"/>
              <w:spacing w:after="0"/>
              <w:rPr>
                <w:sz w:val="20"/>
                <w:szCs w:val="20"/>
                <w:color w:val="auto"/>
              </w:rPr>
            </w:pPr>
            <w:r>
              <w:rPr>
                <w:rFonts w:ascii="Arial" w:cs="Arial" w:eastAsia="Arial" w:hAnsi="Arial"/>
                <w:sz w:val="18"/>
                <w:szCs w:val="18"/>
                <w:color w:val="auto"/>
              </w:rPr>
              <w:t>Complete</w:t>
            </w:r>
          </w:p>
        </w:tc>
        <w:tc>
          <w:tcPr>
            <w:tcW w:w="860" w:type="dxa"/>
            <w:vAlign w:val="bottom"/>
            <w:shd w:val="clear" w:color="auto" w:fill="C3D9EE"/>
          </w:tcPr>
          <w:p>
            <w:pPr>
              <w:jc w:val="center"/>
              <w:ind w:left="13"/>
              <w:spacing w:after="0"/>
              <w:rPr>
                <w:sz w:val="20"/>
                <w:szCs w:val="20"/>
                <w:color w:val="auto"/>
              </w:rPr>
            </w:pPr>
            <w:r>
              <w:rPr>
                <w:rFonts w:ascii="Arial" w:cs="Arial" w:eastAsia="Arial" w:hAnsi="Arial"/>
                <w:sz w:val="18"/>
                <w:szCs w:val="18"/>
                <w:color w:val="auto"/>
                <w:w w:val="99"/>
              </w:rPr>
              <w:t>15%</w:t>
            </w:r>
          </w:p>
        </w:tc>
      </w:tr>
      <w:tr>
        <w:trPr>
          <w:trHeight w:val="237"/>
        </w:trPr>
        <w:tc>
          <w:tcPr>
            <w:tcW w:w="3080" w:type="dxa"/>
            <w:vAlign w:val="bottom"/>
            <w:tcBorders>
              <w:bottom w:val="single" w:sz="8" w:color="C3D9EE"/>
            </w:tcBorders>
            <w:shd w:val="clear" w:color="auto" w:fill="C3D9EE"/>
          </w:tcPr>
          <w:p>
            <w:pPr>
              <w:spacing w:after="0"/>
              <w:rPr>
                <w:sz w:val="20"/>
                <w:szCs w:val="20"/>
                <w:color w:val="auto"/>
              </w:rPr>
            </w:pPr>
          </w:p>
        </w:tc>
        <w:tc>
          <w:tcPr>
            <w:tcW w:w="4260" w:type="dxa"/>
            <w:vAlign w:val="bottom"/>
            <w:tcBorders>
              <w:bottom w:val="single" w:sz="8" w:color="C3D9EE"/>
            </w:tcBorders>
            <w:shd w:val="clear" w:color="auto" w:fill="C3D9EE"/>
          </w:tcPr>
          <w:p>
            <w:pPr>
              <w:jc w:val="center"/>
              <w:spacing w:after="0"/>
              <w:rPr>
                <w:sz w:val="20"/>
                <w:szCs w:val="20"/>
                <w:color w:val="auto"/>
              </w:rPr>
            </w:pPr>
            <w:r>
              <w:rPr>
                <w:rFonts w:ascii="Arial" w:cs="Arial" w:eastAsia="Arial" w:hAnsi="Arial"/>
                <w:sz w:val="18"/>
                <w:szCs w:val="18"/>
                <w:color w:val="auto"/>
                <w:w w:val="99"/>
              </w:rPr>
              <w:t>increase factory capacity</w:t>
            </w:r>
          </w:p>
        </w:tc>
        <w:tc>
          <w:tcPr>
            <w:tcW w:w="1320" w:type="dxa"/>
            <w:vAlign w:val="bottom"/>
            <w:tcBorders>
              <w:bottom w:val="single" w:sz="8" w:color="C3D9EE"/>
            </w:tcBorders>
            <w:shd w:val="clear" w:color="auto" w:fill="C3D9EE"/>
          </w:tcPr>
          <w:p>
            <w:pPr>
              <w:spacing w:after="0"/>
              <w:rPr>
                <w:sz w:val="20"/>
                <w:szCs w:val="20"/>
                <w:color w:val="auto"/>
              </w:rPr>
            </w:pPr>
          </w:p>
        </w:tc>
        <w:tc>
          <w:tcPr>
            <w:tcW w:w="1500" w:type="dxa"/>
            <w:vAlign w:val="bottom"/>
            <w:tcBorders>
              <w:bottom w:val="single" w:sz="8" w:color="C3D9EE"/>
            </w:tcBorders>
            <w:shd w:val="clear" w:color="auto" w:fill="C3D9EE"/>
          </w:tcPr>
          <w:p>
            <w:pPr>
              <w:spacing w:after="0"/>
              <w:rPr>
                <w:sz w:val="20"/>
                <w:szCs w:val="20"/>
                <w:color w:val="auto"/>
              </w:rPr>
            </w:pPr>
          </w:p>
        </w:tc>
        <w:tc>
          <w:tcPr>
            <w:tcW w:w="860" w:type="dxa"/>
            <w:vAlign w:val="bottom"/>
            <w:tcBorders>
              <w:bottom w:val="single" w:sz="8" w:color="C3D9EE"/>
            </w:tcBorders>
            <w:shd w:val="clear" w:color="auto" w:fill="C3D9EE"/>
          </w:tcPr>
          <w:p>
            <w:pPr>
              <w:spacing w:after="0"/>
              <w:rPr>
                <w:sz w:val="20"/>
                <w:szCs w:val="20"/>
                <w:color w:val="auto"/>
              </w:rPr>
            </w:pPr>
          </w:p>
        </w:tc>
      </w:tr>
      <w:tr>
        <w:trPr>
          <w:trHeight w:val="296"/>
        </w:trPr>
        <w:tc>
          <w:tcPr>
            <w:tcW w:w="3080" w:type="dxa"/>
            <w:vAlign w:val="bottom"/>
          </w:tcPr>
          <w:p>
            <w:pPr>
              <w:ind w:left="100"/>
              <w:spacing w:after="0"/>
              <w:rPr>
                <w:sz w:val="20"/>
                <w:szCs w:val="20"/>
                <w:color w:val="auto"/>
              </w:rPr>
            </w:pPr>
            <w:r>
              <w:rPr>
                <w:rFonts w:ascii="Arial" w:cs="Arial" w:eastAsia="Arial" w:hAnsi="Arial"/>
                <w:sz w:val="18"/>
                <w:szCs w:val="18"/>
                <w:color w:val="auto"/>
              </w:rPr>
              <w:t>Complete development of a specific</w:t>
            </w:r>
          </w:p>
        </w:tc>
        <w:tc>
          <w:tcPr>
            <w:tcW w:w="4260" w:type="dxa"/>
            <w:vAlign w:val="bottom"/>
          </w:tcPr>
          <w:p>
            <w:pPr>
              <w:jc w:val="center"/>
              <w:spacing w:after="0"/>
              <w:rPr>
                <w:sz w:val="20"/>
                <w:szCs w:val="20"/>
                <w:color w:val="auto"/>
              </w:rPr>
            </w:pPr>
            <w:r>
              <w:rPr>
                <w:rFonts w:ascii="Arial" w:cs="Arial" w:eastAsia="Arial" w:hAnsi="Arial"/>
                <w:sz w:val="18"/>
                <w:szCs w:val="18"/>
                <w:color w:val="auto"/>
                <w:w w:val="99"/>
              </w:rPr>
              <w:t>Increase revenue, expand margins, address</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1500" w:type="dxa"/>
            <w:vAlign w:val="bottom"/>
          </w:tcPr>
          <w:p>
            <w:pPr>
              <w:jc w:val="center"/>
              <w:spacing w:after="0"/>
              <w:rPr>
                <w:sz w:val="20"/>
                <w:szCs w:val="20"/>
                <w:color w:val="auto"/>
              </w:rPr>
            </w:pPr>
            <w:r>
              <w:rPr>
                <w:rFonts w:ascii="Arial" w:cs="Arial" w:eastAsia="Arial" w:hAnsi="Arial"/>
                <w:sz w:val="18"/>
                <w:szCs w:val="18"/>
                <w:color w:val="auto"/>
              </w:rPr>
              <w:t>Missed</w:t>
            </w:r>
          </w:p>
        </w:tc>
        <w:tc>
          <w:tcPr>
            <w:tcW w:w="860" w:type="dxa"/>
            <w:vAlign w:val="bottom"/>
          </w:tcPr>
          <w:p>
            <w:pPr>
              <w:jc w:val="center"/>
              <w:ind w:left="33"/>
              <w:spacing w:after="0"/>
              <w:rPr>
                <w:sz w:val="20"/>
                <w:szCs w:val="20"/>
                <w:color w:val="auto"/>
              </w:rPr>
            </w:pPr>
            <w:r>
              <w:rPr>
                <w:rFonts w:ascii="Arial" w:cs="Arial" w:eastAsia="Arial" w:hAnsi="Arial"/>
                <w:sz w:val="18"/>
                <w:szCs w:val="18"/>
                <w:color w:val="auto"/>
                <w:w w:val="99"/>
              </w:rPr>
              <w:t>0%</w:t>
            </w:r>
          </w:p>
        </w:tc>
      </w:tr>
      <w:tr>
        <w:trPr>
          <w:trHeight w:val="203"/>
        </w:trPr>
        <w:tc>
          <w:tcPr>
            <w:tcW w:w="3080" w:type="dxa"/>
            <w:vAlign w:val="bottom"/>
          </w:tcPr>
          <w:p>
            <w:pPr>
              <w:ind w:left="180"/>
              <w:spacing w:after="0" w:line="202" w:lineRule="exact"/>
              <w:rPr>
                <w:sz w:val="20"/>
                <w:szCs w:val="20"/>
                <w:color w:val="auto"/>
              </w:rPr>
            </w:pPr>
            <w:r>
              <w:rPr>
                <w:rFonts w:ascii="Arial" w:cs="Arial" w:eastAsia="Arial" w:hAnsi="Arial"/>
                <w:sz w:val="18"/>
                <w:szCs w:val="18"/>
                <w:color w:val="auto"/>
              </w:rPr>
              <w:t>advanced RF technology</w:t>
            </w:r>
          </w:p>
        </w:tc>
        <w:tc>
          <w:tcPr>
            <w:tcW w:w="4260" w:type="dxa"/>
            <w:vAlign w:val="bottom"/>
          </w:tcPr>
          <w:p>
            <w:pPr>
              <w:jc w:val="center"/>
              <w:spacing w:after="0" w:line="202" w:lineRule="exact"/>
              <w:rPr>
                <w:sz w:val="20"/>
                <w:szCs w:val="20"/>
                <w:color w:val="auto"/>
              </w:rPr>
            </w:pPr>
            <w:r>
              <w:rPr>
                <w:rFonts w:ascii="Arial" w:cs="Arial" w:eastAsia="Arial" w:hAnsi="Arial"/>
                <w:sz w:val="18"/>
                <w:szCs w:val="18"/>
                <w:color w:val="auto"/>
                <w:w w:val="99"/>
              </w:rPr>
              <w:t>customer requirements and develop key</w:t>
            </w:r>
          </w:p>
        </w:tc>
        <w:tc>
          <w:tcPr>
            <w:tcW w:w="1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7"/>
        </w:trPr>
        <w:tc>
          <w:tcPr>
            <w:tcW w:w="308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rPr>
              <w:t>technologies</w:t>
            </w: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1"/>
        </w:trPr>
        <w:tc>
          <w:tcPr>
            <w:tcW w:w="3080" w:type="dxa"/>
            <w:vAlign w:val="bottom"/>
            <w:tcBorders>
              <w:bottom w:val="single" w:sz="8" w:color="C3D9EE"/>
            </w:tcBorders>
            <w:shd w:val="clear" w:color="auto" w:fill="C3D9EE"/>
          </w:tcPr>
          <w:p>
            <w:pPr>
              <w:spacing w:after="0"/>
              <w:rPr>
                <w:sz w:val="24"/>
                <w:szCs w:val="24"/>
                <w:color w:val="auto"/>
              </w:rPr>
            </w:pPr>
          </w:p>
        </w:tc>
        <w:tc>
          <w:tcPr>
            <w:tcW w:w="4260" w:type="dxa"/>
            <w:vAlign w:val="bottom"/>
            <w:tcBorders>
              <w:bottom w:val="single" w:sz="8" w:color="C3D9EE"/>
            </w:tcBorders>
            <w:shd w:val="clear" w:color="auto" w:fill="C3D9EE"/>
          </w:tcPr>
          <w:p>
            <w:pPr>
              <w:ind w:left="3580"/>
              <w:spacing w:after="0"/>
              <w:rPr>
                <w:sz w:val="20"/>
                <w:szCs w:val="20"/>
                <w:color w:val="auto"/>
              </w:rPr>
            </w:pPr>
            <w:r>
              <w:rPr>
                <w:rFonts w:ascii="Arial" w:cs="Arial" w:eastAsia="Arial" w:hAnsi="Arial"/>
                <w:sz w:val="18"/>
                <w:szCs w:val="18"/>
                <w:b w:val="1"/>
                <w:bCs w:val="1"/>
                <w:color w:val="auto"/>
              </w:rPr>
              <w:t>Total:</w:t>
            </w:r>
          </w:p>
        </w:tc>
        <w:tc>
          <w:tcPr>
            <w:tcW w:w="1320" w:type="dxa"/>
            <w:vAlign w:val="bottom"/>
            <w:tcBorders>
              <w:bottom w:val="single" w:sz="8" w:color="C3D9EE"/>
            </w:tcBorders>
            <w:shd w:val="clear" w:color="auto" w:fill="C3D9EE"/>
          </w:tcPr>
          <w:p>
            <w:pPr>
              <w:jc w:val="center"/>
              <w:spacing w:after="0"/>
              <w:rPr>
                <w:sz w:val="20"/>
                <w:szCs w:val="20"/>
                <w:color w:val="auto"/>
              </w:rPr>
            </w:pPr>
            <w:r>
              <w:rPr>
                <w:rFonts w:ascii="Arial" w:cs="Arial" w:eastAsia="Arial" w:hAnsi="Arial"/>
                <w:sz w:val="18"/>
                <w:szCs w:val="18"/>
                <w:b w:val="1"/>
                <w:bCs w:val="1"/>
                <w:color w:val="auto"/>
                <w:w w:val="99"/>
              </w:rPr>
              <w:t>150%</w:t>
            </w:r>
          </w:p>
        </w:tc>
        <w:tc>
          <w:tcPr>
            <w:tcW w:w="1500" w:type="dxa"/>
            <w:vAlign w:val="bottom"/>
            <w:tcBorders>
              <w:bottom w:val="single" w:sz="8" w:color="C3D9EE"/>
            </w:tcBorders>
            <w:shd w:val="clear" w:color="auto" w:fill="C3D9EE"/>
          </w:tcPr>
          <w:p>
            <w:pPr>
              <w:spacing w:after="0"/>
              <w:rPr>
                <w:sz w:val="24"/>
                <w:szCs w:val="24"/>
                <w:color w:val="auto"/>
              </w:rPr>
            </w:pPr>
          </w:p>
        </w:tc>
        <w:tc>
          <w:tcPr>
            <w:tcW w:w="860" w:type="dxa"/>
            <w:vAlign w:val="bottom"/>
            <w:tcBorders>
              <w:bottom w:val="single" w:sz="8" w:color="C3D9EE"/>
            </w:tcBorders>
            <w:shd w:val="clear" w:color="auto" w:fill="C3D9EE"/>
          </w:tcPr>
          <w:p>
            <w:pPr>
              <w:jc w:val="center"/>
              <w:ind w:left="33"/>
              <w:spacing w:after="0"/>
              <w:rPr>
                <w:sz w:val="20"/>
                <w:szCs w:val="20"/>
                <w:color w:val="auto"/>
              </w:rPr>
            </w:pPr>
            <w:r>
              <w:rPr>
                <w:rFonts w:ascii="Arial" w:cs="Arial" w:eastAsia="Arial" w:hAnsi="Arial"/>
                <w:sz w:val="18"/>
                <w:szCs w:val="18"/>
                <w:b w:val="1"/>
                <w:bCs w:val="1"/>
                <w:color w:val="auto"/>
                <w:w w:val="99"/>
              </w:rPr>
              <w:t>125%</w:t>
            </w:r>
          </w:p>
        </w:tc>
      </w:tr>
      <w:tr>
        <w:trPr>
          <w:trHeight w:val="20"/>
        </w:trPr>
        <w:tc>
          <w:tcPr>
            <w:tcW w:w="3080" w:type="dxa"/>
            <w:vAlign w:val="bottom"/>
            <w:shd w:val="clear" w:color="auto" w:fill="1269BC"/>
          </w:tcPr>
          <w:p>
            <w:pPr>
              <w:spacing w:after="0" w:line="20" w:lineRule="exact"/>
              <w:rPr>
                <w:sz w:val="1"/>
                <w:szCs w:val="1"/>
                <w:color w:val="auto"/>
              </w:rPr>
            </w:pPr>
          </w:p>
        </w:tc>
        <w:tc>
          <w:tcPr>
            <w:tcW w:w="4260" w:type="dxa"/>
            <w:vAlign w:val="bottom"/>
            <w:shd w:val="clear" w:color="auto" w:fill="1269BC"/>
          </w:tcPr>
          <w:p>
            <w:pPr>
              <w:spacing w:after="0" w:line="20" w:lineRule="exact"/>
              <w:rPr>
                <w:sz w:val="1"/>
                <w:szCs w:val="1"/>
                <w:color w:val="auto"/>
              </w:rPr>
            </w:pPr>
          </w:p>
        </w:tc>
        <w:tc>
          <w:tcPr>
            <w:tcW w:w="1320" w:type="dxa"/>
            <w:vAlign w:val="bottom"/>
            <w:shd w:val="clear" w:color="auto" w:fill="1269BC"/>
          </w:tcPr>
          <w:p>
            <w:pPr>
              <w:spacing w:after="0" w:line="20" w:lineRule="exact"/>
              <w:rPr>
                <w:sz w:val="1"/>
                <w:szCs w:val="1"/>
                <w:color w:val="auto"/>
              </w:rPr>
            </w:pPr>
          </w:p>
        </w:tc>
        <w:tc>
          <w:tcPr>
            <w:tcW w:w="1500" w:type="dxa"/>
            <w:vAlign w:val="bottom"/>
            <w:shd w:val="clear" w:color="auto" w:fill="1269BC"/>
          </w:tcPr>
          <w:p>
            <w:pPr>
              <w:spacing w:after="0" w:line="20" w:lineRule="exact"/>
              <w:rPr>
                <w:sz w:val="1"/>
                <w:szCs w:val="1"/>
                <w:color w:val="auto"/>
              </w:rPr>
            </w:pPr>
          </w:p>
        </w:tc>
        <w:tc>
          <w:tcPr>
            <w:tcW w:w="860" w:type="dxa"/>
            <w:vAlign w:val="bottom"/>
            <w:shd w:val="clear" w:color="auto" w:fill="1269BC"/>
          </w:tcPr>
          <w:p>
            <w:pPr>
              <w:spacing w:after="0" w:line="20" w:lineRule="exact"/>
              <w:rPr>
                <w:sz w:val="1"/>
                <w:szCs w:val="1"/>
                <w:color w:val="auto"/>
              </w:rPr>
            </w:pPr>
          </w:p>
        </w:tc>
      </w:tr>
    </w:tbl>
    <w:p>
      <w:pPr>
        <w:spacing w:after="0" w:line="245"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Six of the objectives contained between two and four related sub-objectives that carried separate weightings and could be separately met.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Weightings are assigned based on the perceived strategic importance of each objective.</w:t>
      </w:r>
    </w:p>
    <w:p>
      <w:pPr>
        <w:spacing w:after="0" w:line="248" w:lineRule="exact"/>
        <w:rPr>
          <w:rFonts w:ascii="Arial" w:cs="Arial" w:eastAsia="Arial" w:hAnsi="Arial"/>
          <w:sz w:val="16"/>
          <w:szCs w:val="16"/>
          <w:color w:val="auto"/>
        </w:rPr>
      </w:pPr>
    </w:p>
    <w:p>
      <w:pPr>
        <w:jc w:val="both"/>
        <w:ind w:left="980" w:right="420" w:hanging="324"/>
        <w:spacing w:after="0" w:line="253"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performance period was our fiscal year ended March 28, 2020, except for one objective that had a performance period that ends on June 30, 2020. The Committee assessed and determined the Company’s actual performance with respect to all of the objectives in May 2020, including the one objective with the performance period that ends on June 30, 2020.</w:t>
      </w:r>
    </w:p>
    <w:p>
      <w:pPr>
        <w:spacing w:after="0" w:line="201" w:lineRule="exact"/>
        <w:rPr>
          <w:sz w:val="20"/>
          <w:szCs w:val="20"/>
          <w:color w:val="auto"/>
        </w:rPr>
      </w:pPr>
    </w:p>
    <w:p>
      <w:pPr>
        <w:ind w:left="120" w:right="140"/>
        <w:spacing w:after="0" w:line="260" w:lineRule="auto"/>
        <w:rPr>
          <w:sz w:val="20"/>
          <w:szCs w:val="20"/>
          <w:color w:val="auto"/>
        </w:rPr>
      </w:pPr>
      <w:r>
        <w:rPr>
          <w:rFonts w:ascii="Arial" w:cs="Arial" w:eastAsia="Arial" w:hAnsi="Arial"/>
          <w:sz w:val="16"/>
          <w:szCs w:val="16"/>
          <w:color w:val="auto"/>
        </w:rPr>
        <w:t>Based on our actual performance against the pre-established performance objectives, each Named Executive Officer earned 125% of his target number of Objectives-based RSUs, as shown in the following table:</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89"/>
        </w:trPr>
        <w:tc>
          <w:tcPr>
            <w:tcW w:w="35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1269BC"/>
              </w:rPr>
              <w:t>Maximum</w:t>
            </w:r>
          </w:p>
        </w:tc>
        <w:tc>
          <w:tcPr>
            <w:tcW w:w="1800" w:type="dxa"/>
            <w:vAlign w:val="bottom"/>
          </w:tcPr>
          <w:p>
            <w:pPr>
              <w:jc w:val="center"/>
              <w:ind w:left="214"/>
              <w:spacing w:after="0"/>
              <w:rPr>
                <w:sz w:val="20"/>
                <w:szCs w:val="20"/>
                <w:color w:val="auto"/>
              </w:rPr>
            </w:pPr>
            <w:r>
              <w:rPr>
                <w:rFonts w:ascii="Arial" w:cs="Arial" w:eastAsia="Arial" w:hAnsi="Arial"/>
                <w:sz w:val="16"/>
                <w:szCs w:val="16"/>
                <w:b w:val="1"/>
                <w:bCs w:val="1"/>
                <w:color w:val="1269BC"/>
              </w:rPr>
              <w:t>Actual Number of</w:t>
            </w:r>
          </w:p>
        </w:tc>
      </w:tr>
      <w:tr>
        <w:trPr>
          <w:trHeight w:val="189"/>
        </w:trPr>
        <w:tc>
          <w:tcPr>
            <w:tcW w:w="3520" w:type="dxa"/>
            <w:vAlign w:val="bottom"/>
          </w:tcPr>
          <w:p>
            <w:pPr>
              <w:spacing w:after="0"/>
              <w:rPr>
                <w:sz w:val="16"/>
                <w:szCs w:val="16"/>
                <w:color w:val="auto"/>
              </w:rPr>
            </w:pPr>
          </w:p>
        </w:tc>
        <w:tc>
          <w:tcPr>
            <w:tcW w:w="2200" w:type="dxa"/>
            <w:vAlign w:val="bottom"/>
          </w:tcPr>
          <w:p>
            <w:pPr>
              <w:jc w:val="center"/>
              <w:ind w:left="213"/>
              <w:spacing w:after="0"/>
              <w:rPr>
                <w:sz w:val="20"/>
                <w:szCs w:val="20"/>
                <w:color w:val="auto"/>
              </w:rPr>
            </w:pPr>
            <w:r>
              <w:rPr>
                <w:rFonts w:ascii="Arial" w:cs="Arial" w:eastAsia="Arial" w:hAnsi="Arial"/>
                <w:sz w:val="16"/>
                <w:szCs w:val="16"/>
                <w:b w:val="1"/>
                <w:bCs w:val="1"/>
                <w:color w:val="1269BC"/>
              </w:rPr>
              <w:t>Target Number</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1269BC"/>
              </w:rPr>
              <w:t>Number of</w:t>
            </w:r>
          </w:p>
        </w:tc>
        <w:tc>
          <w:tcPr>
            <w:tcW w:w="1800" w:type="dxa"/>
            <w:vAlign w:val="bottom"/>
          </w:tcPr>
          <w:p>
            <w:pPr>
              <w:jc w:val="center"/>
              <w:ind w:left="214"/>
              <w:spacing w:after="0"/>
              <w:rPr>
                <w:sz w:val="20"/>
                <w:szCs w:val="20"/>
                <w:color w:val="auto"/>
              </w:rPr>
            </w:pPr>
            <w:r>
              <w:rPr>
                <w:rFonts w:ascii="Arial" w:cs="Arial" w:eastAsia="Arial" w:hAnsi="Arial"/>
                <w:sz w:val="16"/>
                <w:szCs w:val="16"/>
                <w:b w:val="1"/>
                <w:bCs w:val="1"/>
                <w:color w:val="1269BC"/>
                <w:w w:val="99"/>
              </w:rPr>
              <w:t>Objectives-</w:t>
            </w:r>
          </w:p>
        </w:tc>
      </w:tr>
      <w:tr>
        <w:trPr>
          <w:trHeight w:val="189"/>
        </w:trPr>
        <w:tc>
          <w:tcPr>
            <w:tcW w:w="3520" w:type="dxa"/>
            <w:vAlign w:val="bottom"/>
          </w:tcPr>
          <w:p>
            <w:pPr>
              <w:spacing w:after="0"/>
              <w:rPr>
                <w:sz w:val="16"/>
                <w:szCs w:val="16"/>
                <w:color w:val="auto"/>
              </w:rPr>
            </w:pPr>
          </w:p>
        </w:tc>
        <w:tc>
          <w:tcPr>
            <w:tcW w:w="2200" w:type="dxa"/>
            <w:vAlign w:val="bottom"/>
          </w:tcPr>
          <w:p>
            <w:pPr>
              <w:jc w:val="center"/>
              <w:ind w:left="213"/>
              <w:spacing w:after="0"/>
              <w:rPr>
                <w:sz w:val="20"/>
                <w:szCs w:val="20"/>
                <w:color w:val="auto"/>
              </w:rPr>
            </w:pPr>
            <w:r>
              <w:rPr>
                <w:rFonts w:ascii="Arial" w:cs="Arial" w:eastAsia="Arial" w:hAnsi="Arial"/>
                <w:sz w:val="16"/>
                <w:szCs w:val="16"/>
                <w:b w:val="1"/>
                <w:bCs w:val="1"/>
                <w:color w:val="1269BC"/>
              </w:rPr>
              <w:t>of Objectives-</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1269BC"/>
                <w:w w:val="99"/>
              </w:rPr>
              <w:t>Objectives-</w:t>
            </w:r>
          </w:p>
        </w:tc>
        <w:tc>
          <w:tcPr>
            <w:tcW w:w="1800" w:type="dxa"/>
            <w:vAlign w:val="bottom"/>
          </w:tcPr>
          <w:p>
            <w:pPr>
              <w:jc w:val="center"/>
              <w:ind w:left="234"/>
              <w:spacing w:after="0"/>
              <w:rPr>
                <w:sz w:val="20"/>
                <w:szCs w:val="20"/>
                <w:color w:val="auto"/>
              </w:rPr>
            </w:pPr>
            <w:r>
              <w:rPr>
                <w:rFonts w:ascii="Arial" w:cs="Arial" w:eastAsia="Arial" w:hAnsi="Arial"/>
                <w:sz w:val="16"/>
                <w:szCs w:val="16"/>
                <w:b w:val="1"/>
                <w:bCs w:val="1"/>
                <w:color w:val="1269BC"/>
              </w:rPr>
              <w:t>Based RSUs</w:t>
            </w:r>
          </w:p>
        </w:tc>
      </w:tr>
      <w:tr>
        <w:trPr>
          <w:trHeight w:val="221"/>
        </w:trPr>
        <w:tc>
          <w:tcPr>
            <w:tcW w:w="3520" w:type="dxa"/>
            <w:vAlign w:val="bottom"/>
            <w:tcBorders>
              <w:bottom w:val="single" w:sz="8" w:color="1269BC"/>
            </w:tcBorders>
          </w:tcPr>
          <w:p>
            <w:pPr>
              <w:ind w:left="100"/>
              <w:spacing w:after="0"/>
              <w:rPr>
                <w:sz w:val="20"/>
                <w:szCs w:val="20"/>
                <w:color w:val="auto"/>
              </w:rPr>
            </w:pPr>
            <w:r>
              <w:rPr>
                <w:rFonts w:ascii="Arial" w:cs="Arial" w:eastAsia="Arial" w:hAnsi="Arial"/>
                <w:sz w:val="16"/>
                <w:szCs w:val="16"/>
                <w:b w:val="1"/>
                <w:bCs w:val="1"/>
                <w:color w:val="1269BC"/>
              </w:rPr>
              <w:t>Name</w:t>
            </w:r>
          </w:p>
        </w:tc>
        <w:tc>
          <w:tcPr>
            <w:tcW w:w="2200" w:type="dxa"/>
            <w:vAlign w:val="bottom"/>
            <w:tcBorders>
              <w:bottom w:val="single" w:sz="8" w:color="1269BC"/>
            </w:tcBorders>
          </w:tcPr>
          <w:p>
            <w:pPr>
              <w:jc w:val="center"/>
              <w:ind w:left="233"/>
              <w:spacing w:after="0"/>
              <w:rPr>
                <w:sz w:val="20"/>
                <w:szCs w:val="20"/>
                <w:color w:val="auto"/>
              </w:rPr>
            </w:pPr>
            <w:r>
              <w:rPr>
                <w:rFonts w:ascii="Arial" w:cs="Arial" w:eastAsia="Arial" w:hAnsi="Arial"/>
                <w:sz w:val="16"/>
                <w:szCs w:val="16"/>
                <w:b w:val="1"/>
                <w:bCs w:val="1"/>
                <w:color w:val="1269BC"/>
              </w:rPr>
              <w:t>Based RSUs</w:t>
            </w:r>
          </w:p>
        </w:tc>
        <w:tc>
          <w:tcPr>
            <w:tcW w:w="1740" w:type="dxa"/>
            <w:vAlign w:val="bottom"/>
            <w:tcBorders>
              <w:bottom w:val="single" w:sz="8" w:color="1269BC"/>
            </w:tcBorders>
          </w:tcPr>
          <w:p>
            <w:pPr>
              <w:jc w:val="right"/>
              <w:ind w:right="314"/>
              <w:spacing w:after="0"/>
              <w:rPr>
                <w:sz w:val="20"/>
                <w:szCs w:val="20"/>
                <w:color w:val="auto"/>
              </w:rPr>
            </w:pPr>
            <w:r>
              <w:rPr>
                <w:rFonts w:ascii="Arial" w:cs="Arial" w:eastAsia="Arial" w:hAnsi="Arial"/>
                <w:sz w:val="16"/>
                <w:szCs w:val="16"/>
                <w:b w:val="1"/>
                <w:bCs w:val="1"/>
                <w:color w:val="1269BC"/>
              </w:rPr>
              <w:t>Based RSUs</w:t>
            </w:r>
          </w:p>
        </w:tc>
        <w:tc>
          <w:tcPr>
            <w:tcW w:w="1800" w:type="dxa"/>
            <w:vAlign w:val="bottom"/>
            <w:tcBorders>
              <w:bottom w:val="single" w:sz="8" w:color="1269BC"/>
            </w:tcBorders>
          </w:tcPr>
          <w:p>
            <w:pPr>
              <w:jc w:val="center"/>
              <w:ind w:left="214"/>
              <w:spacing w:after="0"/>
              <w:rPr>
                <w:sz w:val="20"/>
                <w:szCs w:val="20"/>
                <w:color w:val="auto"/>
              </w:rPr>
            </w:pPr>
            <w:r>
              <w:rPr>
                <w:rFonts w:ascii="Arial" w:cs="Arial" w:eastAsia="Arial" w:hAnsi="Arial"/>
                <w:sz w:val="16"/>
                <w:szCs w:val="16"/>
                <w:b w:val="1"/>
                <w:bCs w:val="1"/>
                <w:color w:val="1269BC"/>
                <w:w w:val="99"/>
              </w:rPr>
              <w:t>Earned</w:t>
            </w:r>
          </w:p>
        </w:tc>
      </w:tr>
      <w:tr>
        <w:trPr>
          <w:trHeight w:val="284"/>
        </w:trPr>
        <w:tc>
          <w:tcPr>
            <w:tcW w:w="352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8"/>
                <w:szCs w:val="18"/>
                <w:color w:val="auto"/>
              </w:rPr>
              <w:t>Robert A. Bruggeworth</w:t>
            </w:r>
          </w:p>
        </w:tc>
        <w:tc>
          <w:tcPr>
            <w:tcW w:w="2200" w:type="dxa"/>
            <w:vAlign w:val="bottom"/>
            <w:tcBorders>
              <w:bottom w:val="single" w:sz="8" w:color="C3D9EE"/>
            </w:tcBorders>
            <w:shd w:val="clear" w:color="auto" w:fill="C3D9EE"/>
          </w:tcPr>
          <w:p>
            <w:pPr>
              <w:jc w:val="right"/>
              <w:ind w:right="293"/>
              <w:spacing w:after="0"/>
              <w:rPr>
                <w:sz w:val="20"/>
                <w:szCs w:val="20"/>
                <w:color w:val="auto"/>
              </w:rPr>
            </w:pPr>
            <w:r>
              <w:rPr>
                <w:rFonts w:ascii="Arial" w:cs="Arial" w:eastAsia="Arial" w:hAnsi="Arial"/>
                <w:sz w:val="18"/>
                <w:szCs w:val="18"/>
                <w:color w:val="auto"/>
              </w:rPr>
              <w:t>47,904</w:t>
            </w:r>
          </w:p>
        </w:tc>
        <w:tc>
          <w:tcPr>
            <w:tcW w:w="1740" w:type="dxa"/>
            <w:vAlign w:val="bottom"/>
            <w:tcBorders>
              <w:bottom w:val="single" w:sz="8" w:color="C3D9EE"/>
            </w:tcBorders>
            <w:shd w:val="clear" w:color="auto" w:fill="C3D9EE"/>
          </w:tcPr>
          <w:p>
            <w:pPr>
              <w:jc w:val="right"/>
              <w:ind w:right="294"/>
              <w:spacing w:after="0"/>
              <w:rPr>
                <w:sz w:val="20"/>
                <w:szCs w:val="20"/>
                <w:color w:val="auto"/>
              </w:rPr>
            </w:pPr>
            <w:r>
              <w:rPr>
                <w:rFonts w:ascii="Arial" w:cs="Arial" w:eastAsia="Arial" w:hAnsi="Arial"/>
                <w:sz w:val="18"/>
                <w:szCs w:val="18"/>
                <w:color w:val="auto"/>
              </w:rPr>
              <w:t>71,856</w:t>
            </w:r>
          </w:p>
        </w:tc>
        <w:tc>
          <w:tcPr>
            <w:tcW w:w="180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8"/>
                <w:szCs w:val="18"/>
                <w:color w:val="auto"/>
              </w:rPr>
              <w:t>59,880</w:t>
            </w:r>
          </w:p>
        </w:tc>
      </w:tr>
      <w:tr>
        <w:trPr>
          <w:trHeight w:val="297"/>
        </w:trPr>
        <w:tc>
          <w:tcPr>
            <w:tcW w:w="3520" w:type="dxa"/>
            <w:vAlign w:val="bottom"/>
          </w:tcPr>
          <w:p>
            <w:pPr>
              <w:ind w:left="100"/>
              <w:spacing w:after="0"/>
              <w:rPr>
                <w:sz w:val="20"/>
                <w:szCs w:val="20"/>
                <w:color w:val="auto"/>
              </w:rPr>
            </w:pPr>
            <w:r>
              <w:rPr>
                <w:rFonts w:ascii="Arial" w:cs="Arial" w:eastAsia="Arial" w:hAnsi="Arial"/>
                <w:sz w:val="18"/>
                <w:szCs w:val="18"/>
                <w:color w:val="auto"/>
              </w:rPr>
              <w:t>Mark J. Murphy</w:t>
            </w:r>
          </w:p>
        </w:tc>
        <w:tc>
          <w:tcPr>
            <w:tcW w:w="2200" w:type="dxa"/>
            <w:vAlign w:val="bottom"/>
          </w:tcPr>
          <w:p>
            <w:pPr>
              <w:jc w:val="right"/>
              <w:ind w:right="293"/>
              <w:spacing w:after="0"/>
              <w:rPr>
                <w:sz w:val="20"/>
                <w:szCs w:val="20"/>
                <w:color w:val="auto"/>
              </w:rPr>
            </w:pPr>
            <w:r>
              <w:rPr>
                <w:rFonts w:ascii="Arial" w:cs="Arial" w:eastAsia="Arial" w:hAnsi="Arial"/>
                <w:sz w:val="18"/>
                <w:szCs w:val="18"/>
                <w:color w:val="auto"/>
              </w:rPr>
              <w:t>13,174</w:t>
            </w:r>
          </w:p>
        </w:tc>
        <w:tc>
          <w:tcPr>
            <w:tcW w:w="1740" w:type="dxa"/>
            <w:vAlign w:val="bottom"/>
          </w:tcPr>
          <w:p>
            <w:pPr>
              <w:jc w:val="right"/>
              <w:ind w:right="294"/>
              <w:spacing w:after="0"/>
              <w:rPr>
                <w:sz w:val="20"/>
                <w:szCs w:val="20"/>
                <w:color w:val="auto"/>
              </w:rPr>
            </w:pPr>
            <w:r>
              <w:rPr>
                <w:rFonts w:ascii="Arial" w:cs="Arial" w:eastAsia="Arial" w:hAnsi="Arial"/>
                <w:sz w:val="18"/>
                <w:szCs w:val="18"/>
                <w:color w:val="auto"/>
              </w:rPr>
              <w:t>19,761</w:t>
            </w:r>
          </w:p>
        </w:tc>
        <w:tc>
          <w:tcPr>
            <w:tcW w:w="1800" w:type="dxa"/>
            <w:vAlign w:val="bottom"/>
          </w:tcPr>
          <w:p>
            <w:pPr>
              <w:jc w:val="right"/>
              <w:spacing w:after="0"/>
              <w:rPr>
                <w:sz w:val="20"/>
                <w:szCs w:val="20"/>
                <w:color w:val="auto"/>
              </w:rPr>
            </w:pPr>
            <w:r>
              <w:rPr>
                <w:rFonts w:ascii="Arial" w:cs="Arial" w:eastAsia="Arial" w:hAnsi="Arial"/>
                <w:sz w:val="18"/>
                <w:szCs w:val="18"/>
                <w:color w:val="auto"/>
              </w:rPr>
              <w:t>16,468</w:t>
            </w:r>
          </w:p>
        </w:tc>
      </w:tr>
      <w:tr>
        <w:trPr>
          <w:trHeight w:val="27"/>
        </w:trPr>
        <w:tc>
          <w:tcPr>
            <w:tcW w:w="35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304"/>
        </w:trPr>
        <w:tc>
          <w:tcPr>
            <w:tcW w:w="352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8"/>
                <w:szCs w:val="18"/>
                <w:color w:val="auto"/>
              </w:rPr>
              <w:t>Steven E. Creviston</w:t>
            </w:r>
          </w:p>
        </w:tc>
        <w:tc>
          <w:tcPr>
            <w:tcW w:w="2200" w:type="dxa"/>
            <w:vAlign w:val="bottom"/>
            <w:tcBorders>
              <w:bottom w:val="single" w:sz="8" w:color="C3D9EE"/>
            </w:tcBorders>
            <w:shd w:val="clear" w:color="auto" w:fill="C3D9EE"/>
          </w:tcPr>
          <w:p>
            <w:pPr>
              <w:jc w:val="right"/>
              <w:ind w:right="293"/>
              <w:spacing w:after="0"/>
              <w:rPr>
                <w:sz w:val="20"/>
                <w:szCs w:val="20"/>
                <w:color w:val="auto"/>
              </w:rPr>
            </w:pPr>
            <w:r>
              <w:rPr>
                <w:rFonts w:ascii="Arial" w:cs="Arial" w:eastAsia="Arial" w:hAnsi="Arial"/>
                <w:sz w:val="18"/>
                <w:szCs w:val="18"/>
                <w:color w:val="auto"/>
              </w:rPr>
              <w:t>15,968</w:t>
            </w:r>
          </w:p>
        </w:tc>
        <w:tc>
          <w:tcPr>
            <w:tcW w:w="1740" w:type="dxa"/>
            <w:vAlign w:val="bottom"/>
            <w:tcBorders>
              <w:bottom w:val="single" w:sz="8" w:color="C3D9EE"/>
            </w:tcBorders>
            <w:shd w:val="clear" w:color="auto" w:fill="C3D9EE"/>
          </w:tcPr>
          <w:p>
            <w:pPr>
              <w:jc w:val="right"/>
              <w:ind w:right="294"/>
              <w:spacing w:after="0"/>
              <w:rPr>
                <w:sz w:val="20"/>
                <w:szCs w:val="20"/>
                <w:color w:val="auto"/>
              </w:rPr>
            </w:pPr>
            <w:r>
              <w:rPr>
                <w:rFonts w:ascii="Arial" w:cs="Arial" w:eastAsia="Arial" w:hAnsi="Arial"/>
                <w:sz w:val="18"/>
                <w:szCs w:val="18"/>
                <w:color w:val="auto"/>
              </w:rPr>
              <w:t>23,953</w:t>
            </w:r>
          </w:p>
        </w:tc>
        <w:tc>
          <w:tcPr>
            <w:tcW w:w="180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8"/>
                <w:szCs w:val="18"/>
                <w:color w:val="auto"/>
              </w:rPr>
              <w:t>19,961</w:t>
            </w:r>
          </w:p>
        </w:tc>
      </w:tr>
      <w:tr>
        <w:trPr>
          <w:trHeight w:val="297"/>
        </w:trPr>
        <w:tc>
          <w:tcPr>
            <w:tcW w:w="3520" w:type="dxa"/>
            <w:vAlign w:val="bottom"/>
          </w:tcPr>
          <w:p>
            <w:pPr>
              <w:ind w:left="100"/>
              <w:spacing w:after="0"/>
              <w:rPr>
                <w:sz w:val="20"/>
                <w:szCs w:val="20"/>
                <w:color w:val="auto"/>
              </w:rPr>
            </w:pPr>
            <w:r>
              <w:rPr>
                <w:rFonts w:ascii="Arial" w:cs="Arial" w:eastAsia="Arial" w:hAnsi="Arial"/>
                <w:sz w:val="18"/>
                <w:szCs w:val="18"/>
                <w:color w:val="auto"/>
              </w:rPr>
              <w:t>James L. Klein</w:t>
            </w:r>
          </w:p>
        </w:tc>
        <w:tc>
          <w:tcPr>
            <w:tcW w:w="2200" w:type="dxa"/>
            <w:vAlign w:val="bottom"/>
          </w:tcPr>
          <w:p>
            <w:pPr>
              <w:jc w:val="right"/>
              <w:ind w:right="293"/>
              <w:spacing w:after="0"/>
              <w:rPr>
                <w:sz w:val="20"/>
                <w:szCs w:val="20"/>
                <w:color w:val="auto"/>
              </w:rPr>
            </w:pPr>
            <w:r>
              <w:rPr>
                <w:rFonts w:ascii="Arial" w:cs="Arial" w:eastAsia="Arial" w:hAnsi="Arial"/>
                <w:sz w:val="18"/>
                <w:szCs w:val="18"/>
                <w:color w:val="auto"/>
              </w:rPr>
              <w:t>11,976</w:t>
            </w:r>
          </w:p>
        </w:tc>
        <w:tc>
          <w:tcPr>
            <w:tcW w:w="1740" w:type="dxa"/>
            <w:vAlign w:val="bottom"/>
          </w:tcPr>
          <w:p>
            <w:pPr>
              <w:jc w:val="right"/>
              <w:ind w:right="294"/>
              <w:spacing w:after="0"/>
              <w:rPr>
                <w:sz w:val="20"/>
                <w:szCs w:val="20"/>
                <w:color w:val="auto"/>
              </w:rPr>
            </w:pPr>
            <w:r>
              <w:rPr>
                <w:rFonts w:ascii="Arial" w:cs="Arial" w:eastAsia="Arial" w:hAnsi="Arial"/>
                <w:sz w:val="18"/>
                <w:szCs w:val="18"/>
                <w:color w:val="auto"/>
              </w:rPr>
              <w:t>17,964</w:t>
            </w:r>
          </w:p>
        </w:tc>
        <w:tc>
          <w:tcPr>
            <w:tcW w:w="1800" w:type="dxa"/>
            <w:vAlign w:val="bottom"/>
          </w:tcPr>
          <w:p>
            <w:pPr>
              <w:jc w:val="right"/>
              <w:spacing w:after="0"/>
              <w:rPr>
                <w:sz w:val="20"/>
                <w:szCs w:val="20"/>
                <w:color w:val="auto"/>
              </w:rPr>
            </w:pPr>
            <w:r>
              <w:rPr>
                <w:rFonts w:ascii="Arial" w:cs="Arial" w:eastAsia="Arial" w:hAnsi="Arial"/>
                <w:sz w:val="18"/>
                <w:szCs w:val="18"/>
                <w:color w:val="auto"/>
              </w:rPr>
              <w:t>14,970</w:t>
            </w:r>
          </w:p>
        </w:tc>
      </w:tr>
      <w:tr>
        <w:trPr>
          <w:trHeight w:val="27"/>
        </w:trPr>
        <w:tc>
          <w:tcPr>
            <w:tcW w:w="35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304"/>
        </w:trPr>
        <w:tc>
          <w:tcPr>
            <w:tcW w:w="352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8"/>
                <w:szCs w:val="18"/>
                <w:color w:val="auto"/>
              </w:rPr>
              <w:t>Paul J. Fego</w:t>
            </w:r>
          </w:p>
        </w:tc>
        <w:tc>
          <w:tcPr>
            <w:tcW w:w="2200" w:type="dxa"/>
            <w:vAlign w:val="bottom"/>
            <w:tcBorders>
              <w:bottom w:val="single" w:sz="8" w:color="C3D9EE"/>
            </w:tcBorders>
            <w:shd w:val="clear" w:color="auto" w:fill="C3D9EE"/>
          </w:tcPr>
          <w:p>
            <w:pPr>
              <w:jc w:val="right"/>
              <w:ind w:right="293"/>
              <w:spacing w:after="0"/>
              <w:rPr>
                <w:sz w:val="20"/>
                <w:szCs w:val="20"/>
                <w:color w:val="auto"/>
              </w:rPr>
            </w:pPr>
            <w:r>
              <w:rPr>
                <w:rFonts w:ascii="Arial" w:cs="Arial" w:eastAsia="Arial" w:hAnsi="Arial"/>
                <w:sz w:val="18"/>
                <w:szCs w:val="18"/>
                <w:color w:val="auto"/>
              </w:rPr>
              <w:t>7,984</w:t>
            </w:r>
          </w:p>
        </w:tc>
        <w:tc>
          <w:tcPr>
            <w:tcW w:w="1740" w:type="dxa"/>
            <w:vAlign w:val="bottom"/>
            <w:tcBorders>
              <w:bottom w:val="single" w:sz="8" w:color="C3D9EE"/>
            </w:tcBorders>
            <w:shd w:val="clear" w:color="auto" w:fill="C3D9EE"/>
          </w:tcPr>
          <w:p>
            <w:pPr>
              <w:jc w:val="right"/>
              <w:ind w:right="294"/>
              <w:spacing w:after="0"/>
              <w:rPr>
                <w:sz w:val="20"/>
                <w:szCs w:val="20"/>
                <w:color w:val="auto"/>
              </w:rPr>
            </w:pPr>
            <w:r>
              <w:rPr>
                <w:rFonts w:ascii="Arial" w:cs="Arial" w:eastAsia="Arial" w:hAnsi="Arial"/>
                <w:sz w:val="18"/>
                <w:szCs w:val="18"/>
                <w:color w:val="auto"/>
              </w:rPr>
              <w:t>11,977</w:t>
            </w:r>
          </w:p>
        </w:tc>
        <w:tc>
          <w:tcPr>
            <w:tcW w:w="180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8"/>
                <w:szCs w:val="18"/>
                <w:color w:val="auto"/>
              </w:rPr>
              <w:t>9,980</w:t>
            </w:r>
          </w:p>
        </w:tc>
      </w:tr>
      <w:tr>
        <w:trPr>
          <w:trHeight w:val="20"/>
        </w:trPr>
        <w:tc>
          <w:tcPr>
            <w:tcW w:w="3520" w:type="dxa"/>
            <w:vAlign w:val="bottom"/>
            <w:shd w:val="clear" w:color="auto" w:fill="1269BC"/>
          </w:tcPr>
          <w:p>
            <w:pPr>
              <w:spacing w:after="0" w:line="20" w:lineRule="exact"/>
              <w:rPr>
                <w:sz w:val="1"/>
                <w:szCs w:val="1"/>
                <w:color w:val="auto"/>
              </w:rPr>
            </w:pPr>
          </w:p>
        </w:tc>
        <w:tc>
          <w:tcPr>
            <w:tcW w:w="2200" w:type="dxa"/>
            <w:vAlign w:val="bottom"/>
            <w:shd w:val="clear" w:color="auto" w:fill="1269BC"/>
          </w:tcPr>
          <w:p>
            <w:pPr>
              <w:spacing w:after="0" w:line="20" w:lineRule="exact"/>
              <w:rPr>
                <w:sz w:val="1"/>
                <w:szCs w:val="1"/>
                <w:color w:val="auto"/>
              </w:rPr>
            </w:pPr>
          </w:p>
        </w:tc>
        <w:tc>
          <w:tcPr>
            <w:tcW w:w="1740" w:type="dxa"/>
            <w:vAlign w:val="bottom"/>
            <w:shd w:val="clear" w:color="auto" w:fill="1269BC"/>
          </w:tcPr>
          <w:p>
            <w:pPr>
              <w:spacing w:after="0" w:line="20" w:lineRule="exact"/>
              <w:rPr>
                <w:sz w:val="1"/>
                <w:szCs w:val="1"/>
                <w:color w:val="auto"/>
              </w:rPr>
            </w:pPr>
          </w:p>
        </w:tc>
        <w:tc>
          <w:tcPr>
            <w:tcW w:w="1800" w:type="dxa"/>
            <w:vAlign w:val="bottom"/>
            <w:shd w:val="clear" w:color="auto" w:fill="1269BC"/>
          </w:tcPr>
          <w:p>
            <w:pPr>
              <w:spacing w:after="0" w:line="20" w:lineRule="exact"/>
              <w:rPr>
                <w:sz w:val="1"/>
                <w:szCs w:val="1"/>
                <w:color w:val="auto"/>
              </w:rPr>
            </w:pPr>
          </w:p>
        </w:tc>
      </w:tr>
    </w:tbl>
    <w:p>
      <w:pPr>
        <w:spacing w:after="0" w:line="218"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auto"/>
        </w:rPr>
        <w:t>The number of RSUs earned by the Named Executive Officers listed above will vest over a three-year period, with 50% having vested upon certification of the level of achievement of the awards and the remaining 50% vesting in equal annual installments over each of the following two years.</w:t>
      </w:r>
    </w:p>
    <w:p>
      <w:pPr>
        <w:spacing w:after="0" w:line="195"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We believe that the level of performance required to satisfy the objectives and reach the target award level should not be easily achievable. When the Committee established the objectives for fiscal 2020, it assigned an expected degree of difficulty of achieving each objective or sub-objective, as applicable, as either “low,” “medium” or “high.” Five of the objectives were rated with high difficulty to accomplish within the performance period, and one of the objectives was rated with medium difficulty. Two of the objectives were rated with low difficulty, while the two remaining objectives included one sub-objective rated with high difficulty and three sub-objectives rated with medium difficulty. The Committee believes that earning any awards equal to or greater than the target level of 100% should be difficult, but still possible, to achieve. We recognize, however, that the likelihood of achievement of any level of award in any given year may be different and believe that the amount of the award should be appropriate for the performance, regardless of how often it may happen. No minimum level of award is guaranteed. In addition, the Committee believes it is inherently difficult to predict whether these performance goals will be met. The Committee believes that one of the</w:t>
      </w:r>
    </w:p>
    <w:p>
      <w:pPr>
        <w:spacing w:after="0" w:line="137" w:lineRule="exact"/>
        <w:rPr>
          <w:sz w:val="20"/>
          <w:szCs w:val="20"/>
          <w:color w:val="auto"/>
        </w:rPr>
      </w:pPr>
    </w:p>
    <w:p>
      <w:pPr>
        <w:ind w:left="120"/>
        <w:spacing w:after="0"/>
        <w:tabs>
          <w:tab w:leader="none" w:pos="541" w:val="left"/>
        </w:tabs>
        <w:rPr>
          <w:sz w:val="20"/>
          <w:szCs w:val="20"/>
          <w:color w:val="auto"/>
        </w:rPr>
      </w:pPr>
      <w:r>
        <w:rPr>
          <w:rFonts w:ascii="Arial" w:cs="Arial" w:eastAsia="Arial" w:hAnsi="Arial"/>
          <w:sz w:val="18"/>
          <w:szCs w:val="18"/>
          <w:color w:val="auto"/>
        </w:rPr>
        <w:t>30</w:t>
      </w:r>
      <w:r>
        <w:rPr>
          <w:sz w:val="20"/>
          <w:szCs w:val="20"/>
          <w:color w:val="auto"/>
        </w:rPr>
        <w:tab/>
      </w:r>
      <w:r>
        <w:rPr>
          <w:sz w:val="1"/>
          <w:szCs w:val="1"/>
          <w:color w:val="auto"/>
        </w:rPr>
        <w:drawing>
          <wp:inline distT="0" distB="0" distL="0" distR="0">
            <wp:extent cx="582930" cy="1371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i w:val="1"/>
          <w:iCs w:val="1"/>
          <w:color w:val="1269BC"/>
        </w:rPr>
        <w:t xml:space="preserve">   2020 Proxy Statement</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14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5" w:lineRule="exact"/>
        <w:rPr>
          <w:sz w:val="20"/>
          <w:szCs w:val="20"/>
          <w:color w:val="auto"/>
        </w:rPr>
      </w:pPr>
    </w:p>
    <w:p>
      <w:pPr>
        <w:ind w:left="120" w:right="400"/>
        <w:spacing w:after="0" w:line="260" w:lineRule="auto"/>
        <w:rPr>
          <w:sz w:val="20"/>
          <w:szCs w:val="20"/>
          <w:color w:val="auto"/>
        </w:rPr>
      </w:pPr>
      <w:r>
        <w:rPr>
          <w:rFonts w:ascii="Arial" w:cs="Arial" w:eastAsia="Arial" w:hAnsi="Arial"/>
          <w:sz w:val="16"/>
          <w:szCs w:val="16"/>
          <w:color w:val="auto"/>
        </w:rPr>
        <w:t>most important benefits to Qorvo from the use of the Objectives-based RSUs is the focused emphasis by all participating employees on attaining the objectives as a team, including a monthly management review of the status of each objective by responsible employees.</w:t>
      </w:r>
    </w:p>
    <w:p>
      <w:pPr>
        <w:spacing w:after="0" w:line="195"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In May 2020, we granted Objectives-based RSUs for fiscal 2021 to our executive officers, including our Named Executive Officers. We generally used the same criteria we used in fiscal 2020 in setting these awards. With respect to Mr. Fego, the Committee approved Objectives-based RSUs accounting for 60% of his target total equity compensation for fiscal 2021, in line with our other executive officers.</w:t>
      </w:r>
    </w:p>
    <w:p>
      <w:pPr>
        <w:spacing w:after="0" w:line="201" w:lineRule="exact"/>
        <w:rPr>
          <w:sz w:val="20"/>
          <w:szCs w:val="20"/>
          <w:color w:val="auto"/>
        </w:rPr>
      </w:pPr>
    </w:p>
    <w:p>
      <w:pPr>
        <w:ind w:left="120" w:right="40"/>
        <w:spacing w:after="0" w:line="249" w:lineRule="auto"/>
        <w:rPr>
          <w:sz w:val="20"/>
          <w:szCs w:val="20"/>
          <w:color w:val="auto"/>
        </w:rPr>
      </w:pPr>
      <w:r>
        <w:rPr>
          <w:rFonts w:ascii="Arial" w:cs="Arial" w:eastAsia="Arial" w:hAnsi="Arial"/>
          <w:sz w:val="16"/>
          <w:szCs w:val="16"/>
          <w:color w:val="auto"/>
        </w:rPr>
        <w:t>Each award will be earned by each Named Executive Officer to the extent the Company achieves at least one, and up to eleven, pre-established performance objectives selected by the Committee. Named Executive Officers may earn up to 150% of the target number of Objectives-based RSUs if all eleven Company performance objectives are met in full. Eight of the performance objectives have between two and five sub-objectives that can be separately met. The fiscal 2021 objectives relate to securing specific design wins, making specific R&amp;D-related improvements, implementing or realizing specific manufacturing-related and operational improvements, further improving environmental performance, developing or qualifying specific product and process technologies, and making key IT-related improvements.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Service-Based Restricted Stock Unit Awards</w:t>
      </w:r>
    </w:p>
    <w:p>
      <w:pPr>
        <w:spacing w:after="0" w:line="129" w:lineRule="exact"/>
        <w:rPr>
          <w:sz w:val="20"/>
          <w:szCs w:val="20"/>
          <w:color w:val="auto"/>
        </w:rPr>
      </w:pPr>
    </w:p>
    <w:p>
      <w:pPr>
        <w:ind w:left="120" w:right="460"/>
        <w:spacing w:after="0" w:line="246" w:lineRule="auto"/>
        <w:rPr>
          <w:sz w:val="20"/>
          <w:szCs w:val="20"/>
          <w:color w:val="auto"/>
        </w:rPr>
      </w:pPr>
      <w:r>
        <w:rPr>
          <w:rFonts w:ascii="Arial" w:cs="Arial" w:eastAsia="Arial" w:hAnsi="Arial"/>
          <w:sz w:val="16"/>
          <w:szCs w:val="16"/>
          <w:color w:val="auto"/>
        </w:rPr>
        <w:t>For fiscal 2020, the Committee granted Service-based RSUs to our executive officers, including our Named Executive Officers. The amount of each award was determined by the Committee in August 2019 following our annual meeting of stockholders upon consideration of (a) peer group data,</w:t>
      </w:r>
    </w:p>
    <w:p>
      <w:pPr>
        <w:spacing w:after="0" w:line="1" w:lineRule="exact"/>
        <w:rPr>
          <w:sz w:val="20"/>
          <w:szCs w:val="20"/>
          <w:color w:val="auto"/>
        </w:rPr>
      </w:pPr>
    </w:p>
    <w:p>
      <w:pPr>
        <w:ind w:left="120" w:right="180" w:hanging="4"/>
        <w:spacing w:after="0" w:line="249" w:lineRule="auto"/>
        <w:tabs>
          <w:tab w:leader="none" w:pos="363" w:val="left"/>
        </w:tabs>
        <w:numPr>
          <w:ilvl w:val="0"/>
          <w:numId w:val="30"/>
        </w:numPr>
        <w:rPr>
          <w:rFonts w:ascii="Arial" w:cs="Arial" w:eastAsia="Arial" w:hAnsi="Arial"/>
          <w:sz w:val="16"/>
          <w:szCs w:val="16"/>
          <w:color w:val="auto"/>
        </w:rPr>
      </w:pPr>
      <w:r>
        <w:rPr>
          <w:rFonts w:ascii="Arial" w:cs="Arial" w:eastAsia="Arial" w:hAnsi="Arial"/>
          <w:sz w:val="16"/>
          <w:szCs w:val="16"/>
          <w:color w:val="auto"/>
        </w:rPr>
        <w:t>each executive officer’s base salary, short-term incentive award opportunities and performance-based RSU opportunities, (c) overall responsibilities and anticipated performance required for the upcoming fiscal year, and (d) past accomplishments and performance. Consistent with the Committee’s philosophy of promoting performance-based compensation, Service-based RSUs generally approximate 40% of the total target value of all annual long-term equity-based incentive opportunities (other than Mr. Fego). The RSUs generally are expected to vest over a four-year period, with 25% vesting on each anniversary of the grant date. The following table sets forth the number of Service-based RSUs granted to each Named Executive Officer, with additional detail regarding the awards set forth in the “2020 Grants of Plan-Based Awards Table.”</w:t>
      </w:r>
    </w:p>
    <w:p>
      <w:pPr>
        <w:spacing w:after="0" w:line="212" w:lineRule="exact"/>
        <w:rPr>
          <w:sz w:val="20"/>
          <w:szCs w:val="20"/>
          <w:color w:val="auto"/>
        </w:rPr>
      </w:pPr>
    </w:p>
    <w:tbl>
      <w:tblPr>
        <w:tblLayout w:type="fixed"/>
        <w:tblInd w:w="100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1400" w:type="dxa"/>
            <w:vAlign w:val="bottom"/>
          </w:tcPr>
          <w:p>
            <w:pPr>
              <w:jc w:val="right"/>
              <w:ind w:right="153"/>
              <w:spacing w:after="0"/>
              <w:rPr>
                <w:sz w:val="20"/>
                <w:szCs w:val="20"/>
                <w:color w:val="auto"/>
              </w:rPr>
            </w:pPr>
            <w:r>
              <w:rPr>
                <w:rFonts w:ascii="Arial" w:cs="Arial" w:eastAsia="Arial" w:hAnsi="Arial"/>
                <w:sz w:val="16"/>
                <w:szCs w:val="16"/>
                <w:b w:val="1"/>
                <w:bCs w:val="1"/>
                <w:color w:val="1269BC"/>
              </w:rPr>
              <w:t>Service-</w:t>
            </w:r>
          </w:p>
        </w:tc>
      </w:tr>
      <w:tr>
        <w:trPr>
          <w:trHeight w:val="221"/>
        </w:trPr>
        <w:tc>
          <w:tcPr>
            <w:tcW w:w="7860" w:type="dxa"/>
            <w:vAlign w:val="bottom"/>
            <w:tcBorders>
              <w:bottom w:val="single" w:sz="8" w:color="1269BC"/>
            </w:tcBorders>
          </w:tcPr>
          <w:p>
            <w:pPr>
              <w:ind w:left="100"/>
              <w:spacing w:after="0"/>
              <w:rPr>
                <w:sz w:val="20"/>
                <w:szCs w:val="20"/>
                <w:color w:val="auto"/>
              </w:rPr>
            </w:pPr>
            <w:r>
              <w:rPr>
                <w:rFonts w:ascii="Arial" w:cs="Arial" w:eastAsia="Arial" w:hAnsi="Arial"/>
                <w:sz w:val="16"/>
                <w:szCs w:val="16"/>
                <w:b w:val="1"/>
                <w:bCs w:val="1"/>
                <w:color w:val="1269BC"/>
              </w:rPr>
              <w:t>Name</w:t>
            </w:r>
          </w:p>
        </w:tc>
        <w:tc>
          <w:tcPr>
            <w:tcW w:w="1400" w:type="dxa"/>
            <w:vAlign w:val="bottom"/>
            <w:tcBorders>
              <w:bottom w:val="single" w:sz="8" w:color="1269BC"/>
            </w:tcBorders>
          </w:tcPr>
          <w:p>
            <w:pPr>
              <w:jc w:val="right"/>
              <w:spacing w:after="0"/>
              <w:rPr>
                <w:sz w:val="20"/>
                <w:szCs w:val="20"/>
                <w:color w:val="auto"/>
              </w:rPr>
            </w:pPr>
            <w:r>
              <w:rPr>
                <w:rFonts w:ascii="Arial" w:cs="Arial" w:eastAsia="Arial" w:hAnsi="Arial"/>
                <w:sz w:val="16"/>
                <w:szCs w:val="16"/>
                <w:b w:val="1"/>
                <w:bCs w:val="1"/>
                <w:color w:val="1269BC"/>
              </w:rPr>
              <w:t>Based RSUs</w:t>
            </w:r>
          </w:p>
        </w:tc>
      </w:tr>
      <w:tr>
        <w:trPr>
          <w:trHeight w:val="284"/>
        </w:trPr>
        <w:tc>
          <w:tcPr>
            <w:tcW w:w="786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8"/>
                <w:szCs w:val="18"/>
                <w:color w:val="auto"/>
              </w:rPr>
              <w:t>Robert A. Bruggeworth</w:t>
            </w:r>
          </w:p>
        </w:tc>
        <w:tc>
          <w:tcPr>
            <w:tcW w:w="1400" w:type="dxa"/>
            <w:vAlign w:val="bottom"/>
            <w:tcBorders>
              <w:bottom w:val="single" w:sz="8" w:color="C3D9EE"/>
            </w:tcBorders>
            <w:shd w:val="clear" w:color="auto" w:fill="C3D9EE"/>
          </w:tcPr>
          <w:p>
            <w:pPr>
              <w:jc w:val="right"/>
              <w:ind w:right="173"/>
              <w:spacing w:after="0"/>
              <w:rPr>
                <w:sz w:val="20"/>
                <w:szCs w:val="20"/>
                <w:color w:val="auto"/>
              </w:rPr>
            </w:pPr>
            <w:r>
              <w:rPr>
                <w:rFonts w:ascii="Arial" w:cs="Arial" w:eastAsia="Arial" w:hAnsi="Arial"/>
                <w:sz w:val="18"/>
                <w:szCs w:val="18"/>
                <w:color w:val="auto"/>
              </w:rPr>
              <w:t>35,216</w:t>
            </w:r>
          </w:p>
        </w:tc>
      </w:tr>
      <w:tr>
        <w:trPr>
          <w:trHeight w:val="297"/>
        </w:trPr>
        <w:tc>
          <w:tcPr>
            <w:tcW w:w="7860" w:type="dxa"/>
            <w:vAlign w:val="bottom"/>
          </w:tcPr>
          <w:p>
            <w:pPr>
              <w:ind w:left="100"/>
              <w:spacing w:after="0"/>
              <w:rPr>
                <w:sz w:val="20"/>
                <w:szCs w:val="20"/>
                <w:color w:val="auto"/>
              </w:rPr>
            </w:pPr>
            <w:r>
              <w:rPr>
                <w:rFonts w:ascii="Arial" w:cs="Arial" w:eastAsia="Arial" w:hAnsi="Arial"/>
                <w:sz w:val="18"/>
                <w:szCs w:val="18"/>
                <w:color w:val="auto"/>
              </w:rPr>
              <w:t>Mark J. Murphy</w:t>
            </w:r>
          </w:p>
        </w:tc>
        <w:tc>
          <w:tcPr>
            <w:tcW w:w="1400" w:type="dxa"/>
            <w:vAlign w:val="bottom"/>
          </w:tcPr>
          <w:p>
            <w:pPr>
              <w:jc w:val="right"/>
              <w:ind w:right="173"/>
              <w:spacing w:after="0"/>
              <w:rPr>
                <w:sz w:val="20"/>
                <w:szCs w:val="20"/>
                <w:color w:val="auto"/>
              </w:rPr>
            </w:pPr>
            <w:r>
              <w:rPr>
                <w:rFonts w:ascii="Arial" w:cs="Arial" w:eastAsia="Arial" w:hAnsi="Arial"/>
                <w:sz w:val="18"/>
                <w:szCs w:val="18"/>
                <w:color w:val="auto"/>
              </w:rPr>
              <w:t>9,685</w:t>
            </w:r>
          </w:p>
        </w:tc>
      </w:tr>
      <w:tr>
        <w:trPr>
          <w:trHeight w:val="27"/>
        </w:trPr>
        <w:tc>
          <w:tcPr>
            <w:tcW w:w="7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304"/>
        </w:trPr>
        <w:tc>
          <w:tcPr>
            <w:tcW w:w="786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8"/>
                <w:szCs w:val="18"/>
                <w:color w:val="auto"/>
              </w:rPr>
              <w:t>Steven E. Creviston</w:t>
            </w:r>
          </w:p>
        </w:tc>
        <w:tc>
          <w:tcPr>
            <w:tcW w:w="1400" w:type="dxa"/>
            <w:vAlign w:val="bottom"/>
            <w:tcBorders>
              <w:bottom w:val="single" w:sz="8" w:color="C3D9EE"/>
            </w:tcBorders>
            <w:shd w:val="clear" w:color="auto" w:fill="C3D9EE"/>
          </w:tcPr>
          <w:p>
            <w:pPr>
              <w:jc w:val="right"/>
              <w:ind w:right="173"/>
              <w:spacing w:after="0"/>
              <w:rPr>
                <w:sz w:val="20"/>
                <w:szCs w:val="20"/>
                <w:color w:val="auto"/>
              </w:rPr>
            </w:pPr>
            <w:r>
              <w:rPr>
                <w:rFonts w:ascii="Arial" w:cs="Arial" w:eastAsia="Arial" w:hAnsi="Arial"/>
                <w:sz w:val="18"/>
                <w:szCs w:val="18"/>
                <w:color w:val="auto"/>
              </w:rPr>
              <w:t>11,739</w:t>
            </w:r>
          </w:p>
        </w:tc>
      </w:tr>
      <w:tr>
        <w:trPr>
          <w:trHeight w:val="297"/>
        </w:trPr>
        <w:tc>
          <w:tcPr>
            <w:tcW w:w="7860" w:type="dxa"/>
            <w:vAlign w:val="bottom"/>
          </w:tcPr>
          <w:p>
            <w:pPr>
              <w:ind w:left="100"/>
              <w:spacing w:after="0"/>
              <w:rPr>
                <w:sz w:val="20"/>
                <w:szCs w:val="20"/>
                <w:color w:val="auto"/>
              </w:rPr>
            </w:pPr>
            <w:r>
              <w:rPr>
                <w:rFonts w:ascii="Arial" w:cs="Arial" w:eastAsia="Arial" w:hAnsi="Arial"/>
                <w:sz w:val="18"/>
                <w:szCs w:val="18"/>
                <w:color w:val="auto"/>
              </w:rPr>
              <w:t>James L. Klein</w:t>
            </w:r>
          </w:p>
        </w:tc>
        <w:tc>
          <w:tcPr>
            <w:tcW w:w="1400" w:type="dxa"/>
            <w:vAlign w:val="bottom"/>
          </w:tcPr>
          <w:p>
            <w:pPr>
              <w:jc w:val="right"/>
              <w:ind w:right="173"/>
              <w:spacing w:after="0"/>
              <w:rPr>
                <w:sz w:val="20"/>
                <w:szCs w:val="20"/>
                <w:color w:val="auto"/>
              </w:rPr>
            </w:pPr>
            <w:r>
              <w:rPr>
                <w:rFonts w:ascii="Arial" w:cs="Arial" w:eastAsia="Arial" w:hAnsi="Arial"/>
                <w:sz w:val="18"/>
                <w:szCs w:val="18"/>
                <w:color w:val="auto"/>
              </w:rPr>
              <w:t>8,804</w:t>
            </w:r>
          </w:p>
        </w:tc>
      </w:tr>
      <w:tr>
        <w:trPr>
          <w:trHeight w:val="27"/>
        </w:trPr>
        <w:tc>
          <w:tcPr>
            <w:tcW w:w="7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304"/>
        </w:trPr>
        <w:tc>
          <w:tcPr>
            <w:tcW w:w="786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8"/>
                <w:szCs w:val="18"/>
                <w:color w:val="auto"/>
              </w:rPr>
              <w:t>Paul J. Fego</w:t>
            </w:r>
          </w:p>
        </w:tc>
        <w:tc>
          <w:tcPr>
            <w:tcW w:w="1400" w:type="dxa"/>
            <w:vAlign w:val="bottom"/>
            <w:tcBorders>
              <w:bottom w:val="single" w:sz="8" w:color="C3D9EE"/>
            </w:tcBorders>
            <w:shd w:val="clear" w:color="auto" w:fill="C3D9EE"/>
          </w:tcPr>
          <w:p>
            <w:pPr>
              <w:jc w:val="right"/>
              <w:ind w:right="173"/>
              <w:spacing w:after="0"/>
              <w:rPr>
                <w:sz w:val="20"/>
                <w:szCs w:val="20"/>
                <w:color w:val="auto"/>
              </w:rPr>
            </w:pPr>
            <w:r>
              <w:rPr>
                <w:rFonts w:ascii="Arial" w:cs="Arial" w:eastAsia="Arial" w:hAnsi="Arial"/>
                <w:sz w:val="18"/>
                <w:szCs w:val="18"/>
                <w:color w:val="auto"/>
              </w:rPr>
              <w:t>13,206</w:t>
            </w:r>
          </w:p>
        </w:tc>
      </w:tr>
      <w:tr>
        <w:trPr>
          <w:trHeight w:val="20"/>
        </w:trPr>
        <w:tc>
          <w:tcPr>
            <w:tcW w:w="7860" w:type="dxa"/>
            <w:vAlign w:val="bottom"/>
            <w:shd w:val="clear" w:color="auto" w:fill="1269BC"/>
          </w:tcPr>
          <w:p>
            <w:pPr>
              <w:spacing w:after="0" w:line="20" w:lineRule="exact"/>
              <w:rPr>
                <w:sz w:val="1"/>
                <w:szCs w:val="1"/>
                <w:color w:val="auto"/>
              </w:rPr>
            </w:pPr>
          </w:p>
        </w:tc>
        <w:tc>
          <w:tcPr>
            <w:tcW w:w="1400" w:type="dxa"/>
            <w:vAlign w:val="bottom"/>
            <w:shd w:val="clear" w:color="auto" w:fill="1269BC"/>
          </w:tcPr>
          <w:p>
            <w:pPr>
              <w:spacing w:after="0" w:line="20" w:lineRule="exact"/>
              <w:rPr>
                <w:sz w:val="1"/>
                <w:szCs w:val="1"/>
                <w:color w:val="auto"/>
              </w:rPr>
            </w:pPr>
          </w:p>
        </w:tc>
      </w:tr>
    </w:tbl>
    <w:p>
      <w:pPr>
        <w:spacing w:after="0" w:line="218" w:lineRule="exact"/>
        <w:rPr>
          <w:sz w:val="20"/>
          <w:szCs w:val="20"/>
          <w:color w:val="auto"/>
        </w:rPr>
      </w:pPr>
    </w:p>
    <w:p>
      <w:pPr>
        <w:jc w:val="both"/>
        <w:ind w:left="120" w:right="340"/>
        <w:spacing w:after="0" w:line="260" w:lineRule="auto"/>
        <w:rPr>
          <w:sz w:val="20"/>
          <w:szCs w:val="20"/>
          <w:color w:val="auto"/>
        </w:rPr>
      </w:pPr>
      <w:r>
        <w:rPr>
          <w:rFonts w:ascii="Arial" w:cs="Arial" w:eastAsia="Arial" w:hAnsi="Arial"/>
          <w:sz w:val="16"/>
          <w:szCs w:val="16"/>
          <w:color w:val="auto"/>
        </w:rPr>
        <w:t>In fiscal 2021, we again expect to grant Service-based RSUs to certain members of the executive management team, including our Named Executive Officers, following the annual meeting of stockholders. We expect to continue to use the same criteria we used in fiscal 2020 in setting these awards.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Other Employee Benefits</w:t>
      </w:r>
    </w:p>
    <w:p>
      <w:pPr>
        <w:spacing w:after="0" w:line="129" w:lineRule="exact"/>
        <w:rPr>
          <w:sz w:val="20"/>
          <w:szCs w:val="20"/>
          <w:color w:val="auto"/>
        </w:rPr>
      </w:pPr>
    </w:p>
    <w:p>
      <w:pPr>
        <w:ind w:left="120" w:right="40"/>
        <w:spacing w:after="0" w:line="249" w:lineRule="auto"/>
        <w:rPr>
          <w:sz w:val="20"/>
          <w:szCs w:val="20"/>
          <w:color w:val="auto"/>
        </w:rPr>
      </w:pPr>
      <w:r>
        <w:rPr>
          <w:rFonts w:ascii="Arial" w:cs="Arial" w:eastAsia="Arial" w:hAnsi="Arial"/>
          <w:sz w:val="16"/>
          <w:szCs w:val="16"/>
          <w:color w:val="auto"/>
        </w:rPr>
        <w:t>Our executive officers are eligible to participate in the same employee benefit plans generally available to all our employees, including health insurance, group life and disability insurance, 401(k) and employee stock purchase plans. We also maintain a non-qualified deferred compensation plan under which eligible employees, including our Named Executive Officers, may elect to defer the receipt of a portion of their base salary and some or all of their short-term incentive compensation, to the extent paid in cash. We do not provide any matching contributions under our deferred compensation plan, nor do we guarantee any minimum rate of return. None of our Named Executive Officers has elected to defer compensation under our non-qualified deferred compensation plan.</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Perquisites</w:t>
      </w:r>
    </w:p>
    <w:p>
      <w:pPr>
        <w:spacing w:after="0" w:line="129" w:lineRule="exact"/>
        <w:rPr>
          <w:sz w:val="20"/>
          <w:szCs w:val="20"/>
          <w:color w:val="auto"/>
        </w:rPr>
      </w:pPr>
    </w:p>
    <w:p>
      <w:pPr>
        <w:jc w:val="both"/>
        <w:ind w:left="120" w:right="60"/>
        <w:spacing w:after="0" w:line="253" w:lineRule="auto"/>
        <w:rPr>
          <w:sz w:val="20"/>
          <w:szCs w:val="20"/>
          <w:color w:val="auto"/>
        </w:rPr>
      </w:pPr>
      <w:r>
        <w:rPr>
          <w:rFonts w:ascii="Arial" w:cs="Arial" w:eastAsia="Arial" w:hAnsi="Arial"/>
          <w:sz w:val="16"/>
          <w:szCs w:val="16"/>
          <w:color w:val="auto"/>
        </w:rPr>
        <w:t>Our executive officers do not receive any perquisites or other personal benefits. We believe that perquisites are viewed by some of our stockholders and employees as being discriminatory in nature and, as such, we have taken the position that these highly visible (and sometimes controversial) benefits are not necessary to implement our current compensation philosophy and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83820</wp:posOffset>
            </wp:positionV>
            <wp:extent cx="58293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pacing w:after="0" w:line="14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i w:val="1"/>
          <w:iCs w:val="1"/>
          <w:color w:val="1269BC"/>
        </w:rPr>
        <w:t>2020 Proxy Statement</w:t>
      </w:r>
      <w:r>
        <w:rPr>
          <w:sz w:val="20"/>
          <w:szCs w:val="20"/>
          <w:color w:val="auto"/>
        </w:rPr>
        <w:tab/>
      </w:r>
      <w:r>
        <w:rPr>
          <w:rFonts w:ascii="Arial" w:cs="Arial" w:eastAsia="Arial" w:hAnsi="Arial"/>
          <w:sz w:val="17"/>
          <w:szCs w:val="17"/>
          <w:color w:val="auto"/>
        </w:rPr>
        <w:t>31</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Tax Considerations</w:t>
      </w:r>
    </w:p>
    <w:p>
      <w:pPr>
        <w:spacing w:after="0" w:line="129"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Historically, we have used stockholder-approved plans and followed other grant practices that were intended to comply with Section 162(m) of the Internal Revenue Code of 1986, as amended, or the Code, to ensure whenever reasonably feasible that performance-based short-term incentive awards and long-term equity-based incentive awards would be tax deductible by the Company. When designing the compensation structure for our executive officers, the Committee believes that it needs to continue to consider all relevant factors that attract, retain and reward talent. Therefore, the Committee will continue to maintain the flexibility to award compensation that may not be tax deductible.</w:t>
      </w:r>
    </w:p>
    <w:p>
      <w:pPr>
        <w:spacing w:after="0" w:line="203"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Section 162(m) was amended in December 2017 by the Tax Cuts and Jobs Act (the “Tax Act”) to eliminate the “performance-based compensation” exception to the deduction limit of Section 162(m) and to expand the group of current and former executive officers who may be covered by the deduction limit, subject to a transition rule for compensation payable pursuant to a written binding contract that was in effect on November 2, 2017, that is not materially modified after that date, and which compensation otherwise would have been deductible under Section 162(m) prior to the amendments made by the Tax Act. The changes made by the Tax Act apply to tax years commencing after December 31, 2017.</w:t>
      </w:r>
    </w:p>
    <w:p>
      <w:pPr>
        <w:spacing w:after="0" w:line="203" w:lineRule="exact"/>
        <w:rPr>
          <w:sz w:val="20"/>
          <w:szCs w:val="20"/>
          <w:color w:val="auto"/>
        </w:rPr>
      </w:pPr>
    </w:p>
    <w:p>
      <w:pPr>
        <w:ind w:left="120" w:right="140"/>
        <w:spacing w:after="0" w:line="251" w:lineRule="auto"/>
        <w:rPr>
          <w:sz w:val="20"/>
          <w:szCs w:val="20"/>
          <w:color w:val="auto"/>
        </w:rPr>
      </w:pPr>
      <w:r>
        <w:rPr>
          <w:rFonts w:ascii="Arial" w:cs="Arial" w:eastAsia="Arial" w:hAnsi="Arial"/>
          <w:sz w:val="16"/>
          <w:szCs w:val="16"/>
          <w:color w:val="auto"/>
        </w:rPr>
        <w:t>As a result of the changes made by the Tax Act, short-term and long-term equity-based incentive awards granted or other compensation provided under arrangements entered into on or after April 1, 2018 (Qorvo’s first tax year commencing after December 31, 2017) will not be tax deductible to the extent they result in compensation to certain executive officers that exceeds $1 million in any one year for any such officer. To date, we have not made any changes to our executive compensation program or to the policies and practices we follow in response to the Tax Act.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Employment Agreement and Offer Letter Agreement</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connection with the Business Combination, Qorvo assumed the employment agreement previously entered into between RFMD and our CEO,</w:t>
      </w:r>
    </w:p>
    <w:p>
      <w:pPr>
        <w:spacing w:after="0" w:line="5"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auto"/>
        </w:rPr>
        <w:t>Mr. Bruggeworth, as required by the terms of that agreement. The Committee believes the employment agreement helps ensure that Mr. Bruggeworth will devote a significant portion of his time on long-term strategic initiatives that are in our best interests, including those that may not be in his personal best interests. Mr. Klein is a party to an employment offer letter agreement with TriQuint pursuant to which he will receive benefits in the event of the termination of his employment by the Company without cause or by Mr. Klein for good reason other than in connection with a change in control of the Company. Qorvo assumed this offer letter agreement in connection with the Business Combination. The terms of Mr. Bruggeworth’s employment agreement and Mr. Klein’s offer letter agreement are described in more detail below in the section entitled “Potential Payments upon Termination or Change-in-Control.”</w:t>
      </w:r>
    </w:p>
    <w:p>
      <w:pPr>
        <w:spacing w:after="0" w:line="3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Change in Control Agreements</w:t>
      </w:r>
    </w:p>
    <w:p>
      <w:pPr>
        <w:spacing w:after="0" w:line="128" w:lineRule="exact"/>
        <w:rPr>
          <w:sz w:val="20"/>
          <w:szCs w:val="20"/>
          <w:color w:val="auto"/>
        </w:rPr>
      </w:pPr>
    </w:p>
    <w:p>
      <w:pPr>
        <w:jc w:val="both"/>
        <w:ind w:left="120"/>
        <w:spacing w:after="0" w:line="246" w:lineRule="auto"/>
        <w:rPr>
          <w:sz w:val="20"/>
          <w:szCs w:val="20"/>
          <w:color w:val="auto"/>
        </w:rPr>
      </w:pPr>
      <w:r>
        <w:rPr>
          <w:rFonts w:ascii="Arial" w:cs="Arial" w:eastAsia="Arial" w:hAnsi="Arial"/>
          <w:sz w:val="16"/>
          <w:szCs w:val="16"/>
          <w:color w:val="auto"/>
        </w:rPr>
        <w:t>We have entered into change-in-control agreements with each of our Named Executive Officers and certain other members of our executive management team. We entered into these arrangements to acknowledge the respective employee’s importance to us and our stockholders and to attempt to avoid the distraction and loss of key management personnel that may occur in connection with rumored or actual fundamental corporate organizational changes.</w:t>
      </w:r>
    </w:p>
    <w:p>
      <w:pPr>
        <w:spacing w:after="0" w:line="1"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auto"/>
        </w:rPr>
        <w:t>As more fully described in the section entitled “Potential Payments Upon Termination or Change in Control” below, these agreements entitle our Named Executive Officers to payments and benefits only if his employment is terminated without “cause,” or by him for “good reason,” within the two-year period following the change in control (which will include the 90 days prior to the date of the change in control in the case of a termination without cause). The Committee believes that this “double-trigger” structure provides an appropriate balance between the corporate objectives described above and the potential compensation payable upon a qualifying termination following a change of control.</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Conclusion</w:t>
      </w:r>
    </w:p>
    <w:p>
      <w:pPr>
        <w:spacing w:after="0" w:line="128"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We believe our executive compensation program provides a balanced and stable foundation for rewarding our Named Executive Officers for achieving Qorvo’s corporate objectives. Based on our financial performance in fiscal 2020, the Named Executive Officers received short-term incentive awards at 83.7% of their fiscal 2020 target percentage of base salary paid in the first six months of fiscal 2020 and 144.8% of their fiscal 2020 target percentage of base salary paid in the second six months of fiscal 2020. These awards reflect operating performance by the Company above the threshold performance level required for an award, with the first six-month period of fiscal 2020 reflecting performance below the target levels and the second six-month period of fiscal 2020 demonstrating strong performance that exceeded the target levels reflected in our Board-approved annual and updated annual operating plans, respectively. The Committee believes the award levels match the Company’s performance against its plan in fiscal 2020. In addition, as a result of the achievement of eight of the ten objectives in full and partial achievement of one of the two remaining objectives, our executive officers, including the Named Executive Officers, earned their Objectives-based RSUs at 125% of target. The Committee believes that accomplishment of these objectives will position the Company for improved operating performance in fiscal 2021 and beyond.</w:t>
      </w:r>
    </w:p>
    <w:p>
      <w:pPr>
        <w:spacing w:after="0" w:line="135" w:lineRule="exact"/>
        <w:rPr>
          <w:sz w:val="20"/>
          <w:szCs w:val="20"/>
          <w:color w:val="auto"/>
        </w:rPr>
      </w:pPr>
    </w:p>
    <w:p>
      <w:pPr>
        <w:ind w:left="120"/>
        <w:spacing w:after="0"/>
        <w:tabs>
          <w:tab w:leader="none" w:pos="541" w:val="left"/>
        </w:tabs>
        <w:rPr>
          <w:sz w:val="20"/>
          <w:szCs w:val="20"/>
          <w:color w:val="auto"/>
        </w:rPr>
      </w:pPr>
      <w:r>
        <w:rPr>
          <w:rFonts w:ascii="Arial" w:cs="Arial" w:eastAsia="Arial" w:hAnsi="Arial"/>
          <w:sz w:val="18"/>
          <w:szCs w:val="18"/>
          <w:color w:val="auto"/>
        </w:rPr>
        <w:t>32</w:t>
      </w:r>
      <w:r>
        <w:rPr>
          <w:sz w:val="20"/>
          <w:szCs w:val="20"/>
          <w:color w:val="auto"/>
        </w:rPr>
        <w:tab/>
      </w:r>
      <w:r>
        <w:rPr>
          <w:sz w:val="1"/>
          <w:szCs w:val="1"/>
          <w:color w:val="auto"/>
        </w:rPr>
        <w:drawing>
          <wp:inline distT="0" distB="0" distL="0" distR="0">
            <wp:extent cx="582930" cy="13716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i w:val="1"/>
          <w:iCs w:val="1"/>
          <w:color w:val="1269BC"/>
        </w:rPr>
        <w:t xml:space="preserve">   2020 Proxy Statement</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14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5" w:lineRule="exact"/>
        <w:rPr>
          <w:sz w:val="20"/>
          <w:szCs w:val="20"/>
          <w:color w:val="auto"/>
        </w:rPr>
      </w:pPr>
    </w:p>
    <w:p>
      <w:pPr>
        <w:ind w:left="120" w:right="260"/>
        <w:spacing w:after="0" w:line="251" w:lineRule="auto"/>
        <w:rPr>
          <w:sz w:val="20"/>
          <w:szCs w:val="20"/>
          <w:color w:val="auto"/>
        </w:rPr>
      </w:pPr>
      <w:r>
        <w:rPr>
          <w:rFonts w:ascii="Arial" w:cs="Arial" w:eastAsia="Arial" w:hAnsi="Arial"/>
          <w:sz w:val="16"/>
          <w:szCs w:val="16"/>
          <w:color w:val="auto"/>
        </w:rPr>
        <w:t>Our executive compensation philosophy emphasizes team effort, which we believe fosters rapid adjustment and adaptation to fast-changing market conditions. We believe that our combination of short-term incentive awards and long-term performance- and service-based RSUs helps us achieve our long-term goals and will continue to align the interests of our executive officers, including the Named Executive Officers, with those of Qorvo and our stockholders during fiscal 2021 and beyond.</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Compensation Committee Report</w:t>
      </w:r>
    </w:p>
    <w:p>
      <w:pPr>
        <w:spacing w:after="0" w:line="132"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color w:val="auto"/>
        </w:rPr>
        <w:t>The Compensation Committee has reviewed and discussed the Compensation Discussion and Analysis that accompanies this report with our management. Based on such review and discussions, the Compensation Committee recommended to the Board that the Compensation Discussion and Analysis be included in our Annual Report on Form 10-K for the year ended March 28, 2020 by incorporation by reference to this proxy statement.</w:t>
      </w:r>
    </w:p>
    <w:p>
      <w:pPr>
        <w:spacing w:after="0" w:line="201" w:lineRule="exact"/>
        <w:rPr>
          <w:sz w:val="20"/>
          <w:szCs w:val="20"/>
          <w:color w:val="auto"/>
        </w:rPr>
      </w:pPr>
    </w:p>
    <w:p>
      <w:pPr>
        <w:ind w:left="120" w:right="480"/>
        <w:spacing w:after="0" w:line="260" w:lineRule="auto"/>
        <w:rPr>
          <w:sz w:val="20"/>
          <w:szCs w:val="20"/>
          <w:color w:val="auto"/>
        </w:rPr>
      </w:pPr>
      <w:r>
        <w:rPr>
          <w:rFonts w:ascii="Arial" w:cs="Arial" w:eastAsia="Arial" w:hAnsi="Arial"/>
          <w:sz w:val="16"/>
          <w:szCs w:val="16"/>
          <w:color w:val="auto"/>
        </w:rPr>
        <w:t>Except for the Annual Report on Form 10-K described above, this Compensation Committee Report is not incorporated by reference into any of our previous or future filings with the SEC, unless any such filing explicitly incorporates this Report.</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The Compensation Committee</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Walden C. Rhines (Chair)</w:t>
      </w:r>
    </w:p>
    <w:p>
      <w:pPr>
        <w:ind w:left="120"/>
        <w:spacing w:after="0" w:line="234" w:lineRule="auto"/>
        <w:rPr>
          <w:sz w:val="20"/>
          <w:szCs w:val="20"/>
          <w:color w:val="auto"/>
        </w:rPr>
      </w:pPr>
      <w:r>
        <w:rPr>
          <w:rFonts w:ascii="Arial" w:cs="Arial" w:eastAsia="Arial" w:hAnsi="Arial"/>
          <w:sz w:val="18"/>
          <w:szCs w:val="18"/>
          <w:color w:val="auto"/>
        </w:rPr>
        <w:t>David H. Y. Ho</w:t>
      </w:r>
    </w:p>
    <w:p>
      <w:pPr>
        <w:ind w:left="120"/>
        <w:spacing w:after="0" w:line="235" w:lineRule="auto"/>
        <w:rPr>
          <w:sz w:val="20"/>
          <w:szCs w:val="20"/>
          <w:color w:val="auto"/>
        </w:rPr>
      </w:pPr>
      <w:r>
        <w:rPr>
          <w:rFonts w:ascii="Arial" w:cs="Arial" w:eastAsia="Arial" w:hAnsi="Arial"/>
          <w:sz w:val="18"/>
          <w:szCs w:val="18"/>
          <w:color w:val="auto"/>
        </w:rPr>
        <w:t>Susan L. Spradley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Walter H. Wilkinson,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92075</wp:posOffset>
            </wp:positionV>
            <wp:extent cx="58293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pacing w:after="0" w:line="16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i w:val="1"/>
          <w:iCs w:val="1"/>
          <w:color w:val="1269BC"/>
        </w:rPr>
        <w:t>2020 Proxy Statement</w:t>
      </w:r>
      <w:r>
        <w:rPr>
          <w:sz w:val="20"/>
          <w:szCs w:val="20"/>
          <w:color w:val="auto"/>
        </w:rPr>
        <w:tab/>
      </w:r>
      <w:r>
        <w:rPr>
          <w:rFonts w:ascii="Arial" w:cs="Arial" w:eastAsia="Arial" w:hAnsi="Arial"/>
          <w:sz w:val="17"/>
          <w:szCs w:val="17"/>
          <w:color w:val="auto"/>
        </w:rPr>
        <w:t>33</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Summary Compensation Table</w:t>
      </w:r>
    </w:p>
    <w:p>
      <w:pPr>
        <w:spacing w:after="0" w:line="240" w:lineRule="exact"/>
        <w:rPr>
          <w:sz w:val="20"/>
          <w:szCs w:val="20"/>
          <w:color w:val="auto"/>
        </w:rPr>
      </w:pPr>
    </w:p>
    <w:p>
      <w:pPr>
        <w:ind w:left="120" w:right="500"/>
        <w:spacing w:after="0" w:line="260" w:lineRule="auto"/>
        <w:rPr>
          <w:sz w:val="20"/>
          <w:szCs w:val="20"/>
          <w:color w:val="auto"/>
        </w:rPr>
      </w:pPr>
      <w:r>
        <w:rPr>
          <w:rFonts w:ascii="Arial" w:cs="Arial" w:eastAsia="Arial" w:hAnsi="Arial"/>
          <w:sz w:val="16"/>
          <w:szCs w:val="16"/>
          <w:color w:val="auto"/>
        </w:rPr>
        <w:t>The following table summarizes the compensation of the Named Executive Officers for the fiscal years ended March 28, 2020, March 30, 2019 and March 31, 2018. We use a 52- or 53-week fiscal year ending on the Saturday closest to March 31 of each year.</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1269BC"/>
              </w:rPr>
              <w:t>Non-Equity</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jc w:val="center"/>
              <w:ind w:right="179"/>
              <w:spacing w:after="0"/>
              <w:rPr>
                <w:sz w:val="20"/>
                <w:szCs w:val="20"/>
                <w:color w:val="auto"/>
              </w:rPr>
            </w:pPr>
            <w:r>
              <w:rPr>
                <w:rFonts w:ascii="Arial" w:cs="Arial" w:eastAsia="Arial" w:hAnsi="Arial"/>
                <w:sz w:val="16"/>
                <w:szCs w:val="16"/>
                <w:b w:val="1"/>
                <w:bCs w:val="1"/>
                <w:color w:val="1269BC"/>
              </w:rPr>
              <w:t>Stock</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1269BC"/>
              </w:rPr>
              <w:t>Incentive Plan</w:t>
            </w: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1269BC"/>
              </w:rPr>
              <w:t>All Other</w:t>
            </w:r>
          </w:p>
        </w:tc>
        <w:tc>
          <w:tcPr>
            <w:tcW w:w="360" w:type="dxa"/>
            <w:vAlign w:val="bottom"/>
          </w:tcPr>
          <w:p>
            <w:pPr>
              <w:spacing w:after="0"/>
              <w:rPr>
                <w:sz w:val="16"/>
                <w:szCs w:val="16"/>
                <w:color w:val="auto"/>
              </w:rPr>
            </w:pPr>
          </w:p>
        </w:tc>
        <w:tc>
          <w:tcPr>
            <w:tcW w:w="780" w:type="dxa"/>
            <w:vAlign w:val="bottom"/>
          </w:tcPr>
          <w:p>
            <w:pPr>
              <w:jc w:val="center"/>
              <w:ind w:right="279"/>
              <w:spacing w:after="0"/>
              <w:rPr>
                <w:sz w:val="20"/>
                <w:szCs w:val="20"/>
                <w:color w:val="auto"/>
              </w:rPr>
            </w:pPr>
            <w:r>
              <w:rPr>
                <w:rFonts w:ascii="Arial" w:cs="Arial" w:eastAsia="Arial" w:hAnsi="Arial"/>
                <w:sz w:val="16"/>
                <w:szCs w:val="16"/>
                <w:b w:val="1"/>
                <w:bCs w:val="1"/>
                <w:color w:val="1269BC"/>
                <w:w w:val="99"/>
              </w:rPr>
              <w:t>Total</w:t>
            </w:r>
          </w:p>
        </w:tc>
      </w:tr>
      <w:tr>
        <w:trPr>
          <w:trHeight w:val="194"/>
        </w:trPr>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right"/>
              <w:ind w:right="247"/>
              <w:spacing w:after="0"/>
              <w:rPr>
                <w:sz w:val="20"/>
                <w:szCs w:val="20"/>
                <w:color w:val="auto"/>
              </w:rPr>
            </w:pPr>
            <w:r>
              <w:rPr>
                <w:rFonts w:ascii="Arial" w:cs="Arial" w:eastAsia="Arial" w:hAnsi="Arial"/>
                <w:sz w:val="16"/>
                <w:szCs w:val="16"/>
                <w:b w:val="1"/>
                <w:bCs w:val="1"/>
                <w:color w:val="1269BC"/>
              </w:rPr>
              <w:t>Salary</w:t>
            </w:r>
          </w:p>
        </w:tc>
        <w:tc>
          <w:tcPr>
            <w:tcW w:w="40" w:type="dxa"/>
            <w:vAlign w:val="bottom"/>
          </w:tcPr>
          <w:p>
            <w:pPr>
              <w:spacing w:after="0"/>
              <w:rPr>
                <w:sz w:val="16"/>
                <w:szCs w:val="16"/>
                <w:color w:val="auto"/>
              </w:rPr>
            </w:pPr>
          </w:p>
        </w:tc>
        <w:tc>
          <w:tcPr>
            <w:tcW w:w="980" w:type="dxa"/>
            <w:vAlign w:val="bottom"/>
          </w:tcPr>
          <w:p>
            <w:pPr>
              <w:jc w:val="center"/>
              <w:ind w:right="199"/>
              <w:spacing w:after="0"/>
              <w:rPr>
                <w:sz w:val="20"/>
                <w:szCs w:val="20"/>
                <w:color w:val="auto"/>
              </w:rPr>
            </w:pPr>
            <w:r>
              <w:rPr>
                <w:rFonts w:ascii="Arial" w:cs="Arial" w:eastAsia="Arial" w:hAnsi="Arial"/>
                <w:sz w:val="16"/>
                <w:szCs w:val="16"/>
                <w:b w:val="1"/>
                <w:bCs w:val="1"/>
                <w:color w:val="1269BC"/>
              </w:rPr>
              <w:t>Awards</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1269BC"/>
              </w:rPr>
              <w:t>Compensation</w:t>
            </w: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1269BC"/>
              </w:rPr>
              <w:t>Compensation</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1269BC"/>
              </w:rPr>
              <w:t>Compensation</w:t>
            </w:r>
          </w:p>
        </w:tc>
      </w:tr>
      <w:tr>
        <w:trPr>
          <w:trHeight w:val="223"/>
        </w:trPr>
        <w:tc>
          <w:tcPr>
            <w:tcW w:w="4360" w:type="dxa"/>
            <w:vAlign w:val="bottom"/>
            <w:tcBorders>
              <w:bottom w:val="single" w:sz="8" w:color="1269BC"/>
            </w:tcBorders>
          </w:tcPr>
          <w:p>
            <w:pPr>
              <w:ind w:left="80"/>
              <w:spacing w:after="0"/>
              <w:rPr>
                <w:sz w:val="20"/>
                <w:szCs w:val="20"/>
                <w:color w:val="auto"/>
              </w:rPr>
            </w:pPr>
            <w:r>
              <w:rPr>
                <w:rFonts w:ascii="Arial" w:cs="Arial" w:eastAsia="Arial" w:hAnsi="Arial"/>
                <w:sz w:val="16"/>
                <w:szCs w:val="16"/>
                <w:b w:val="1"/>
                <w:bCs w:val="1"/>
                <w:color w:val="1269BC"/>
              </w:rPr>
              <w:t>Name &amp; Principal Position</w:t>
            </w:r>
          </w:p>
        </w:tc>
        <w:tc>
          <w:tcPr>
            <w:tcW w:w="220" w:type="dxa"/>
            <w:vAlign w:val="bottom"/>
            <w:tcBorders>
              <w:bottom w:val="single" w:sz="8" w:color="1269BC"/>
            </w:tcBorders>
          </w:tcPr>
          <w:p>
            <w:pPr>
              <w:spacing w:after="0"/>
              <w:rPr>
                <w:sz w:val="19"/>
                <w:szCs w:val="19"/>
                <w:color w:val="auto"/>
              </w:rPr>
            </w:pPr>
          </w:p>
        </w:tc>
        <w:tc>
          <w:tcPr>
            <w:tcW w:w="40" w:type="dxa"/>
            <w:vAlign w:val="bottom"/>
            <w:tcBorders>
              <w:bottom w:val="single" w:sz="8" w:color="1269BC"/>
            </w:tcBorders>
          </w:tcPr>
          <w:p>
            <w:pPr>
              <w:spacing w:after="0"/>
              <w:rPr>
                <w:sz w:val="19"/>
                <w:szCs w:val="19"/>
                <w:color w:val="auto"/>
              </w:rPr>
            </w:pPr>
          </w:p>
        </w:tc>
        <w:tc>
          <w:tcPr>
            <w:tcW w:w="660" w:type="dxa"/>
            <w:vAlign w:val="bottom"/>
            <w:tcBorders>
              <w:bottom w:val="single" w:sz="8" w:color="1269BC"/>
            </w:tcBorders>
            <w:gridSpan w:val="2"/>
          </w:tcPr>
          <w:p>
            <w:pPr>
              <w:ind w:left="20"/>
              <w:spacing w:after="0"/>
              <w:rPr>
                <w:sz w:val="20"/>
                <w:szCs w:val="20"/>
                <w:color w:val="auto"/>
              </w:rPr>
            </w:pPr>
            <w:r>
              <w:rPr>
                <w:rFonts w:ascii="Arial" w:cs="Arial" w:eastAsia="Arial" w:hAnsi="Arial"/>
                <w:sz w:val="16"/>
                <w:szCs w:val="16"/>
                <w:b w:val="1"/>
                <w:bCs w:val="1"/>
                <w:color w:val="1269BC"/>
              </w:rPr>
              <w:t>Year</w:t>
            </w:r>
          </w:p>
        </w:tc>
        <w:tc>
          <w:tcPr>
            <w:tcW w:w="880" w:type="dxa"/>
            <w:vAlign w:val="bottom"/>
            <w:tcBorders>
              <w:bottom w:val="single" w:sz="8" w:color="1269BC"/>
            </w:tcBorders>
          </w:tcPr>
          <w:p>
            <w:pPr>
              <w:jc w:val="right"/>
              <w:ind w:right="407"/>
              <w:spacing w:after="0"/>
              <w:rPr>
                <w:sz w:val="20"/>
                <w:szCs w:val="20"/>
                <w:color w:val="auto"/>
              </w:rPr>
            </w:pPr>
            <w:r>
              <w:rPr>
                <w:rFonts w:ascii="Arial" w:cs="Arial" w:eastAsia="Arial" w:hAnsi="Arial"/>
                <w:sz w:val="14"/>
                <w:szCs w:val="14"/>
                <w:b w:val="1"/>
                <w:bCs w:val="1"/>
                <w:color w:val="1269BC"/>
              </w:rPr>
              <w:t>($)</w:t>
            </w:r>
          </w:p>
        </w:tc>
        <w:tc>
          <w:tcPr>
            <w:tcW w:w="1020" w:type="dxa"/>
            <w:vAlign w:val="bottom"/>
            <w:tcBorders>
              <w:bottom w:val="single" w:sz="8" w:color="1269BC"/>
            </w:tcBorders>
            <w:gridSpan w:val="2"/>
          </w:tcPr>
          <w:p>
            <w:pPr>
              <w:jc w:val="center"/>
              <w:ind w:right="139"/>
              <w:spacing w:after="0"/>
              <w:rPr>
                <w:sz w:val="20"/>
                <w:szCs w:val="20"/>
                <w:color w:val="auto"/>
              </w:rPr>
            </w:pPr>
            <w:r>
              <w:rPr>
                <w:rFonts w:ascii="Arial" w:cs="Arial" w:eastAsia="Arial" w:hAnsi="Arial"/>
                <w:sz w:val="16"/>
                <w:szCs w:val="16"/>
                <w:b w:val="1"/>
                <w:bCs w:val="1"/>
                <w:color w:val="1269BC"/>
              </w:rPr>
              <w:t>($) (1)</w:t>
            </w:r>
          </w:p>
        </w:tc>
        <w:tc>
          <w:tcPr>
            <w:tcW w:w="1340" w:type="dxa"/>
            <w:vAlign w:val="bottom"/>
            <w:tcBorders>
              <w:bottom w:val="single" w:sz="8" w:color="1269BC"/>
            </w:tcBorders>
            <w:gridSpan w:val="2"/>
          </w:tcPr>
          <w:p>
            <w:pPr>
              <w:jc w:val="center"/>
              <w:ind w:right="220"/>
              <w:spacing w:after="0"/>
              <w:rPr>
                <w:sz w:val="20"/>
                <w:szCs w:val="20"/>
                <w:color w:val="auto"/>
              </w:rPr>
            </w:pPr>
            <w:r>
              <w:rPr>
                <w:rFonts w:ascii="Arial" w:cs="Arial" w:eastAsia="Arial" w:hAnsi="Arial"/>
                <w:sz w:val="16"/>
                <w:szCs w:val="16"/>
                <w:b w:val="1"/>
                <w:bCs w:val="1"/>
                <w:color w:val="1269BC"/>
              </w:rPr>
              <w:t>($) (2)</w:t>
            </w:r>
          </w:p>
        </w:tc>
        <w:tc>
          <w:tcPr>
            <w:tcW w:w="1360" w:type="dxa"/>
            <w:vAlign w:val="bottom"/>
            <w:tcBorders>
              <w:bottom w:val="single" w:sz="8" w:color="1269BC"/>
            </w:tcBorders>
            <w:gridSpan w:val="2"/>
          </w:tcPr>
          <w:p>
            <w:pPr>
              <w:jc w:val="center"/>
              <w:ind w:right="200"/>
              <w:spacing w:after="0"/>
              <w:rPr>
                <w:sz w:val="20"/>
                <w:szCs w:val="20"/>
                <w:color w:val="auto"/>
              </w:rPr>
            </w:pPr>
            <w:r>
              <w:rPr>
                <w:rFonts w:ascii="Arial" w:cs="Arial" w:eastAsia="Arial" w:hAnsi="Arial"/>
                <w:sz w:val="16"/>
                <w:szCs w:val="16"/>
                <w:b w:val="1"/>
                <w:bCs w:val="1"/>
                <w:color w:val="1269BC"/>
              </w:rPr>
              <w:t>($) (3)</w:t>
            </w:r>
          </w:p>
        </w:tc>
        <w:tc>
          <w:tcPr>
            <w:tcW w:w="1140" w:type="dxa"/>
            <w:vAlign w:val="bottom"/>
            <w:tcBorders>
              <w:bottom w:val="single" w:sz="8" w:color="1269BC"/>
            </w:tcBorders>
            <w:gridSpan w:val="2"/>
          </w:tcPr>
          <w:p>
            <w:pPr>
              <w:jc w:val="center"/>
              <w:spacing w:after="0"/>
              <w:rPr>
                <w:sz w:val="20"/>
                <w:szCs w:val="20"/>
                <w:color w:val="auto"/>
              </w:rPr>
            </w:pPr>
            <w:r>
              <w:rPr>
                <w:rFonts w:ascii="Arial" w:cs="Arial" w:eastAsia="Arial" w:hAnsi="Arial"/>
                <w:sz w:val="16"/>
                <w:szCs w:val="16"/>
                <w:b w:val="1"/>
                <w:bCs w:val="1"/>
                <w:color w:val="1269BC"/>
              </w:rPr>
              <w:t>($)</w:t>
            </w:r>
          </w:p>
        </w:tc>
      </w:tr>
      <w:tr>
        <w:trPr>
          <w:trHeight w:val="175"/>
        </w:trPr>
        <w:tc>
          <w:tcPr>
            <w:tcW w:w="4360" w:type="dxa"/>
            <w:vAlign w:val="bottom"/>
            <w:shd w:val="clear" w:color="auto" w:fill="C3D9EE"/>
          </w:tcPr>
          <w:p>
            <w:pPr>
              <w:ind w:left="80"/>
              <w:spacing w:after="0"/>
              <w:rPr>
                <w:sz w:val="20"/>
                <w:szCs w:val="20"/>
                <w:color w:val="auto"/>
              </w:rPr>
            </w:pPr>
            <w:r>
              <w:rPr>
                <w:rFonts w:ascii="Arial" w:cs="Arial" w:eastAsia="Arial" w:hAnsi="Arial"/>
                <w:sz w:val="14"/>
                <w:szCs w:val="14"/>
                <w:color w:val="auto"/>
              </w:rPr>
              <w:t>Robert A. Bruggeworth,</w:t>
            </w:r>
          </w:p>
        </w:tc>
        <w:tc>
          <w:tcPr>
            <w:tcW w:w="220" w:type="dxa"/>
            <w:vAlign w:val="bottom"/>
            <w:shd w:val="clear" w:color="auto" w:fill="C3D9EE"/>
          </w:tcPr>
          <w:p>
            <w:pPr>
              <w:spacing w:after="0"/>
              <w:rPr>
                <w:sz w:val="15"/>
                <w:szCs w:val="15"/>
                <w:color w:val="auto"/>
              </w:rPr>
            </w:pPr>
          </w:p>
        </w:tc>
        <w:tc>
          <w:tcPr>
            <w:tcW w:w="660" w:type="dxa"/>
            <w:vAlign w:val="bottom"/>
            <w:gridSpan w:val="2"/>
            <w:shd w:val="clear" w:color="auto" w:fill="C3D9EE"/>
          </w:tcPr>
          <w:p>
            <w:pPr>
              <w:jc w:val="right"/>
              <w:ind w:right="167"/>
              <w:spacing w:after="0"/>
              <w:rPr>
                <w:sz w:val="20"/>
                <w:szCs w:val="20"/>
                <w:color w:val="auto"/>
              </w:rPr>
            </w:pPr>
            <w:r>
              <w:rPr>
                <w:rFonts w:ascii="Arial" w:cs="Arial" w:eastAsia="Arial" w:hAnsi="Arial"/>
                <w:sz w:val="14"/>
                <w:szCs w:val="14"/>
                <w:color w:val="auto"/>
              </w:rPr>
              <w:t>2020</w:t>
            </w:r>
          </w:p>
        </w:tc>
        <w:tc>
          <w:tcPr>
            <w:tcW w:w="40" w:type="dxa"/>
            <w:vAlign w:val="bottom"/>
            <w:shd w:val="clear" w:color="auto" w:fill="C3D9EE"/>
          </w:tcPr>
          <w:p>
            <w:pPr>
              <w:spacing w:after="0"/>
              <w:rPr>
                <w:sz w:val="15"/>
                <w:szCs w:val="15"/>
                <w:color w:val="auto"/>
              </w:rPr>
            </w:pPr>
          </w:p>
        </w:tc>
        <w:tc>
          <w:tcPr>
            <w:tcW w:w="880" w:type="dxa"/>
            <w:vAlign w:val="bottom"/>
            <w:shd w:val="clear" w:color="auto" w:fill="C3D9EE"/>
          </w:tcPr>
          <w:p>
            <w:pPr>
              <w:jc w:val="right"/>
              <w:ind w:right="187"/>
              <w:spacing w:after="0"/>
              <w:rPr>
                <w:sz w:val="20"/>
                <w:szCs w:val="20"/>
                <w:color w:val="auto"/>
              </w:rPr>
            </w:pPr>
            <w:r>
              <w:rPr>
                <w:rFonts w:ascii="Arial" w:cs="Arial" w:eastAsia="Arial" w:hAnsi="Arial"/>
                <w:sz w:val="14"/>
                <w:szCs w:val="14"/>
                <w:color w:val="auto"/>
              </w:rPr>
              <w:t>$851,204</w:t>
            </w:r>
          </w:p>
        </w:tc>
        <w:tc>
          <w:tcPr>
            <w:tcW w:w="1020" w:type="dxa"/>
            <w:vAlign w:val="bottom"/>
            <w:gridSpan w:val="2"/>
            <w:shd w:val="clear" w:color="auto" w:fill="C3D9EE"/>
          </w:tcPr>
          <w:p>
            <w:pPr>
              <w:jc w:val="right"/>
              <w:ind w:right="179"/>
              <w:spacing w:after="0"/>
              <w:rPr>
                <w:sz w:val="20"/>
                <w:szCs w:val="20"/>
                <w:color w:val="auto"/>
              </w:rPr>
            </w:pPr>
            <w:r>
              <w:rPr>
                <w:rFonts w:ascii="Arial" w:cs="Arial" w:eastAsia="Arial" w:hAnsi="Arial"/>
                <w:sz w:val="14"/>
                <w:szCs w:val="14"/>
                <w:color w:val="auto"/>
              </w:rPr>
              <w:t>$5,999,956</w:t>
            </w:r>
          </w:p>
        </w:tc>
        <w:tc>
          <w:tcPr>
            <w:tcW w:w="1340" w:type="dxa"/>
            <w:vAlign w:val="bottom"/>
            <w:gridSpan w:val="2"/>
            <w:shd w:val="clear" w:color="auto" w:fill="C3D9EE"/>
          </w:tcPr>
          <w:p>
            <w:pPr>
              <w:jc w:val="right"/>
              <w:ind w:right="240"/>
              <w:spacing w:after="0"/>
              <w:rPr>
                <w:sz w:val="20"/>
                <w:szCs w:val="20"/>
                <w:color w:val="auto"/>
              </w:rPr>
            </w:pPr>
            <w:r>
              <w:rPr>
                <w:rFonts w:ascii="Arial" w:cs="Arial" w:eastAsia="Arial" w:hAnsi="Arial"/>
                <w:sz w:val="14"/>
                <w:szCs w:val="14"/>
                <w:color w:val="auto"/>
              </w:rPr>
              <w:t>$  533,744</w:t>
            </w:r>
          </w:p>
        </w:tc>
        <w:tc>
          <w:tcPr>
            <w:tcW w:w="1360" w:type="dxa"/>
            <w:vAlign w:val="bottom"/>
            <w:gridSpan w:val="2"/>
            <w:shd w:val="clear" w:color="auto" w:fill="C3D9EE"/>
          </w:tcPr>
          <w:p>
            <w:pPr>
              <w:jc w:val="right"/>
              <w:ind w:right="360"/>
              <w:spacing w:after="0"/>
              <w:rPr>
                <w:sz w:val="20"/>
                <w:szCs w:val="20"/>
                <w:color w:val="auto"/>
              </w:rPr>
            </w:pPr>
            <w:r>
              <w:rPr>
                <w:rFonts w:ascii="Arial" w:cs="Arial" w:eastAsia="Arial" w:hAnsi="Arial"/>
                <w:sz w:val="14"/>
                <w:szCs w:val="14"/>
                <w:color w:val="auto"/>
              </w:rPr>
              <w:t>$10,000</w:t>
            </w:r>
          </w:p>
        </w:tc>
        <w:tc>
          <w:tcPr>
            <w:tcW w:w="1140" w:type="dxa"/>
            <w:vAlign w:val="bottom"/>
            <w:gridSpan w:val="2"/>
            <w:shd w:val="clear" w:color="auto" w:fill="C3D9EE"/>
          </w:tcPr>
          <w:p>
            <w:pPr>
              <w:jc w:val="right"/>
              <w:spacing w:after="0"/>
              <w:rPr>
                <w:sz w:val="20"/>
                <w:szCs w:val="20"/>
                <w:color w:val="auto"/>
              </w:rPr>
            </w:pPr>
            <w:r>
              <w:rPr>
                <w:rFonts w:ascii="Arial" w:cs="Arial" w:eastAsia="Arial" w:hAnsi="Arial"/>
                <w:sz w:val="14"/>
                <w:szCs w:val="14"/>
                <w:color w:val="auto"/>
              </w:rPr>
              <w:t>$7,394,904</w:t>
            </w:r>
          </w:p>
        </w:tc>
      </w:tr>
      <w:tr>
        <w:trPr>
          <w:trHeight w:val="175"/>
        </w:trPr>
        <w:tc>
          <w:tcPr>
            <w:tcW w:w="4360" w:type="dxa"/>
            <w:vAlign w:val="bottom"/>
            <w:shd w:val="clear" w:color="auto" w:fill="C3D9EE"/>
          </w:tcPr>
          <w:p>
            <w:pPr>
              <w:ind w:left="80"/>
              <w:spacing w:after="0"/>
              <w:rPr>
                <w:sz w:val="20"/>
                <w:szCs w:val="20"/>
                <w:color w:val="auto"/>
              </w:rPr>
            </w:pPr>
            <w:r>
              <w:rPr>
                <w:rFonts w:ascii="Arial" w:cs="Arial" w:eastAsia="Arial" w:hAnsi="Arial"/>
                <w:sz w:val="14"/>
                <w:szCs w:val="14"/>
                <w:color w:val="auto"/>
              </w:rPr>
              <w:t>President and Chief</w:t>
            </w:r>
          </w:p>
        </w:tc>
        <w:tc>
          <w:tcPr>
            <w:tcW w:w="220" w:type="dxa"/>
            <w:vAlign w:val="bottom"/>
            <w:shd w:val="clear" w:color="auto" w:fill="C3D9EE"/>
          </w:tcPr>
          <w:p>
            <w:pPr>
              <w:spacing w:after="0"/>
              <w:rPr>
                <w:sz w:val="15"/>
                <w:szCs w:val="15"/>
                <w:color w:val="auto"/>
              </w:rPr>
            </w:pPr>
          </w:p>
        </w:tc>
        <w:tc>
          <w:tcPr>
            <w:tcW w:w="40" w:type="dxa"/>
            <w:vAlign w:val="bottom"/>
            <w:shd w:val="clear" w:color="auto" w:fill="C3D9EE"/>
          </w:tcPr>
          <w:p>
            <w:pPr>
              <w:spacing w:after="0"/>
              <w:rPr>
                <w:sz w:val="15"/>
                <w:szCs w:val="15"/>
                <w:color w:val="auto"/>
              </w:rPr>
            </w:pPr>
          </w:p>
        </w:tc>
        <w:tc>
          <w:tcPr>
            <w:tcW w:w="620" w:type="dxa"/>
            <w:vAlign w:val="bottom"/>
            <w:shd w:val="clear" w:color="auto" w:fill="C3D9EE"/>
          </w:tcPr>
          <w:p>
            <w:pPr>
              <w:jc w:val="right"/>
              <w:ind w:right="167"/>
              <w:spacing w:after="0"/>
              <w:rPr>
                <w:sz w:val="20"/>
                <w:szCs w:val="20"/>
                <w:color w:val="auto"/>
              </w:rPr>
            </w:pPr>
            <w:r>
              <w:rPr>
                <w:rFonts w:ascii="Arial" w:cs="Arial" w:eastAsia="Arial" w:hAnsi="Arial"/>
                <w:sz w:val="14"/>
                <w:szCs w:val="14"/>
                <w:color w:val="auto"/>
              </w:rPr>
              <w:t>2019</w:t>
            </w:r>
          </w:p>
        </w:tc>
        <w:tc>
          <w:tcPr>
            <w:tcW w:w="40" w:type="dxa"/>
            <w:vAlign w:val="bottom"/>
            <w:shd w:val="clear" w:color="auto" w:fill="C3D9EE"/>
          </w:tcPr>
          <w:p>
            <w:pPr>
              <w:spacing w:after="0"/>
              <w:rPr>
                <w:sz w:val="15"/>
                <w:szCs w:val="15"/>
                <w:color w:val="auto"/>
              </w:rPr>
            </w:pPr>
          </w:p>
        </w:tc>
        <w:tc>
          <w:tcPr>
            <w:tcW w:w="880" w:type="dxa"/>
            <w:vAlign w:val="bottom"/>
            <w:shd w:val="clear" w:color="auto" w:fill="C3D9EE"/>
          </w:tcPr>
          <w:p>
            <w:pPr>
              <w:jc w:val="right"/>
              <w:ind w:right="187"/>
              <w:spacing w:after="0"/>
              <w:rPr>
                <w:sz w:val="20"/>
                <w:szCs w:val="20"/>
                <w:color w:val="auto"/>
              </w:rPr>
            </w:pPr>
            <w:r>
              <w:rPr>
                <w:rFonts w:ascii="Arial" w:cs="Arial" w:eastAsia="Arial" w:hAnsi="Arial"/>
                <w:sz w:val="14"/>
                <w:szCs w:val="14"/>
                <w:color w:val="auto"/>
              </w:rPr>
              <w:t>826,412</w:t>
            </w:r>
          </w:p>
        </w:tc>
        <w:tc>
          <w:tcPr>
            <w:tcW w:w="1020" w:type="dxa"/>
            <w:vAlign w:val="bottom"/>
            <w:gridSpan w:val="2"/>
            <w:shd w:val="clear" w:color="auto" w:fill="C3D9EE"/>
          </w:tcPr>
          <w:p>
            <w:pPr>
              <w:jc w:val="right"/>
              <w:ind w:right="179"/>
              <w:spacing w:after="0"/>
              <w:rPr>
                <w:sz w:val="20"/>
                <w:szCs w:val="20"/>
                <w:color w:val="auto"/>
              </w:rPr>
            </w:pPr>
            <w:r>
              <w:rPr>
                <w:rFonts w:ascii="Arial" w:cs="Arial" w:eastAsia="Arial" w:hAnsi="Arial"/>
                <w:sz w:val="14"/>
                <w:szCs w:val="14"/>
                <w:color w:val="auto"/>
              </w:rPr>
              <w:t>6,015,423</w:t>
            </w:r>
          </w:p>
        </w:tc>
        <w:tc>
          <w:tcPr>
            <w:tcW w:w="1340" w:type="dxa"/>
            <w:vAlign w:val="bottom"/>
            <w:gridSpan w:val="2"/>
            <w:shd w:val="clear" w:color="auto" w:fill="C3D9EE"/>
          </w:tcPr>
          <w:p>
            <w:pPr>
              <w:jc w:val="right"/>
              <w:ind w:right="240"/>
              <w:spacing w:after="0"/>
              <w:rPr>
                <w:sz w:val="20"/>
                <w:szCs w:val="20"/>
                <w:color w:val="auto"/>
              </w:rPr>
            </w:pPr>
            <w:r>
              <w:rPr>
                <w:rFonts w:ascii="Arial" w:cs="Arial" w:eastAsia="Arial" w:hAnsi="Arial"/>
                <w:sz w:val="14"/>
                <w:szCs w:val="14"/>
                <w:color w:val="auto"/>
              </w:rPr>
              <w:t>1,133,084</w:t>
            </w:r>
          </w:p>
        </w:tc>
        <w:tc>
          <w:tcPr>
            <w:tcW w:w="1360" w:type="dxa"/>
            <w:vAlign w:val="bottom"/>
            <w:gridSpan w:val="2"/>
            <w:shd w:val="clear" w:color="auto" w:fill="C3D9EE"/>
          </w:tcPr>
          <w:p>
            <w:pPr>
              <w:jc w:val="right"/>
              <w:ind w:right="360"/>
              <w:spacing w:after="0"/>
              <w:rPr>
                <w:sz w:val="20"/>
                <w:szCs w:val="20"/>
                <w:color w:val="auto"/>
              </w:rPr>
            </w:pPr>
            <w:r>
              <w:rPr>
                <w:rFonts w:ascii="Arial" w:cs="Arial" w:eastAsia="Arial" w:hAnsi="Arial"/>
                <w:sz w:val="14"/>
                <w:szCs w:val="14"/>
                <w:color w:val="auto"/>
              </w:rPr>
              <w:t>9,820</w:t>
            </w:r>
          </w:p>
        </w:tc>
        <w:tc>
          <w:tcPr>
            <w:tcW w:w="1140" w:type="dxa"/>
            <w:vAlign w:val="bottom"/>
            <w:gridSpan w:val="2"/>
            <w:shd w:val="clear" w:color="auto" w:fill="C3D9EE"/>
          </w:tcPr>
          <w:p>
            <w:pPr>
              <w:jc w:val="right"/>
              <w:spacing w:after="0"/>
              <w:rPr>
                <w:sz w:val="20"/>
                <w:szCs w:val="20"/>
                <w:color w:val="auto"/>
              </w:rPr>
            </w:pPr>
            <w:r>
              <w:rPr>
                <w:rFonts w:ascii="Arial" w:cs="Arial" w:eastAsia="Arial" w:hAnsi="Arial"/>
                <w:sz w:val="14"/>
                <w:szCs w:val="14"/>
                <w:color w:val="auto"/>
              </w:rPr>
              <w:t>7,984,739</w:t>
            </w:r>
          </w:p>
        </w:tc>
      </w:tr>
      <w:tr>
        <w:trPr>
          <w:trHeight w:val="189"/>
        </w:trPr>
        <w:tc>
          <w:tcPr>
            <w:tcW w:w="4360" w:type="dxa"/>
            <w:vAlign w:val="bottom"/>
            <w:shd w:val="clear" w:color="auto" w:fill="C3D9EE"/>
          </w:tcPr>
          <w:p>
            <w:pPr>
              <w:ind w:left="80"/>
              <w:spacing w:after="0"/>
              <w:rPr>
                <w:sz w:val="20"/>
                <w:szCs w:val="20"/>
                <w:color w:val="auto"/>
              </w:rPr>
            </w:pPr>
            <w:r>
              <w:rPr>
                <w:rFonts w:ascii="Arial" w:cs="Arial" w:eastAsia="Arial" w:hAnsi="Arial"/>
                <w:sz w:val="14"/>
                <w:szCs w:val="14"/>
                <w:color w:val="auto"/>
              </w:rPr>
              <w:t>Executive Officer</w:t>
            </w:r>
          </w:p>
        </w:tc>
        <w:tc>
          <w:tcPr>
            <w:tcW w:w="220" w:type="dxa"/>
            <w:vAlign w:val="bottom"/>
            <w:shd w:val="clear" w:color="auto" w:fill="C3D9EE"/>
          </w:tcPr>
          <w:p>
            <w:pPr>
              <w:spacing w:after="0"/>
              <w:rPr>
                <w:sz w:val="16"/>
                <w:szCs w:val="16"/>
                <w:color w:val="auto"/>
              </w:rPr>
            </w:pPr>
          </w:p>
        </w:tc>
        <w:tc>
          <w:tcPr>
            <w:tcW w:w="40" w:type="dxa"/>
            <w:vAlign w:val="bottom"/>
            <w:shd w:val="clear" w:color="auto" w:fill="C3D9EE"/>
          </w:tcPr>
          <w:p>
            <w:pPr>
              <w:spacing w:after="0"/>
              <w:rPr>
                <w:sz w:val="16"/>
                <w:szCs w:val="16"/>
                <w:color w:val="auto"/>
              </w:rPr>
            </w:pPr>
          </w:p>
        </w:tc>
        <w:tc>
          <w:tcPr>
            <w:tcW w:w="620" w:type="dxa"/>
            <w:vAlign w:val="bottom"/>
            <w:shd w:val="clear" w:color="auto" w:fill="C3D9EE"/>
          </w:tcPr>
          <w:p>
            <w:pPr>
              <w:jc w:val="right"/>
              <w:ind w:right="167"/>
              <w:spacing w:after="0"/>
              <w:rPr>
                <w:sz w:val="20"/>
                <w:szCs w:val="20"/>
                <w:color w:val="auto"/>
              </w:rPr>
            </w:pPr>
            <w:r>
              <w:rPr>
                <w:rFonts w:ascii="Arial" w:cs="Arial" w:eastAsia="Arial" w:hAnsi="Arial"/>
                <w:sz w:val="14"/>
                <w:szCs w:val="14"/>
                <w:color w:val="auto"/>
              </w:rPr>
              <w:t>2018</w:t>
            </w:r>
          </w:p>
        </w:tc>
        <w:tc>
          <w:tcPr>
            <w:tcW w:w="40" w:type="dxa"/>
            <w:vAlign w:val="bottom"/>
            <w:shd w:val="clear" w:color="auto" w:fill="C3D9EE"/>
          </w:tcPr>
          <w:p>
            <w:pPr>
              <w:spacing w:after="0"/>
              <w:rPr>
                <w:sz w:val="16"/>
                <w:szCs w:val="16"/>
                <w:color w:val="auto"/>
              </w:rPr>
            </w:pPr>
          </w:p>
        </w:tc>
        <w:tc>
          <w:tcPr>
            <w:tcW w:w="880" w:type="dxa"/>
            <w:vAlign w:val="bottom"/>
            <w:shd w:val="clear" w:color="auto" w:fill="C3D9EE"/>
          </w:tcPr>
          <w:p>
            <w:pPr>
              <w:jc w:val="right"/>
              <w:ind w:right="187"/>
              <w:spacing w:after="0"/>
              <w:rPr>
                <w:sz w:val="20"/>
                <w:szCs w:val="20"/>
                <w:color w:val="auto"/>
              </w:rPr>
            </w:pPr>
            <w:r>
              <w:rPr>
                <w:rFonts w:ascii="Arial" w:cs="Arial" w:eastAsia="Arial" w:hAnsi="Arial"/>
                <w:sz w:val="14"/>
                <w:szCs w:val="14"/>
                <w:color w:val="auto"/>
              </w:rPr>
              <w:t>802,936</w:t>
            </w:r>
          </w:p>
        </w:tc>
        <w:tc>
          <w:tcPr>
            <w:tcW w:w="1020" w:type="dxa"/>
            <w:vAlign w:val="bottom"/>
            <w:gridSpan w:val="2"/>
            <w:shd w:val="clear" w:color="auto" w:fill="C3D9EE"/>
          </w:tcPr>
          <w:p>
            <w:pPr>
              <w:jc w:val="right"/>
              <w:ind w:right="179"/>
              <w:spacing w:after="0"/>
              <w:rPr>
                <w:sz w:val="20"/>
                <w:szCs w:val="20"/>
                <w:color w:val="auto"/>
              </w:rPr>
            </w:pPr>
            <w:r>
              <w:rPr>
                <w:rFonts w:ascii="Arial" w:cs="Arial" w:eastAsia="Arial" w:hAnsi="Arial"/>
                <w:sz w:val="14"/>
                <w:szCs w:val="14"/>
                <w:color w:val="auto"/>
              </w:rPr>
              <w:t>5,399,959</w:t>
            </w:r>
          </w:p>
        </w:tc>
        <w:tc>
          <w:tcPr>
            <w:tcW w:w="1340" w:type="dxa"/>
            <w:vAlign w:val="bottom"/>
            <w:gridSpan w:val="2"/>
            <w:shd w:val="clear" w:color="auto" w:fill="C3D9EE"/>
          </w:tcPr>
          <w:p>
            <w:pPr>
              <w:jc w:val="right"/>
              <w:ind w:right="240"/>
              <w:spacing w:after="0"/>
              <w:rPr>
                <w:sz w:val="20"/>
                <w:szCs w:val="20"/>
                <w:color w:val="auto"/>
              </w:rPr>
            </w:pPr>
            <w:r>
              <w:rPr>
                <w:rFonts w:ascii="Arial" w:cs="Arial" w:eastAsia="Arial" w:hAnsi="Arial"/>
                <w:sz w:val="14"/>
                <w:szCs w:val="14"/>
                <w:color w:val="auto"/>
              </w:rPr>
              <w:t>729,663</w:t>
            </w:r>
          </w:p>
        </w:tc>
        <w:tc>
          <w:tcPr>
            <w:tcW w:w="1360" w:type="dxa"/>
            <w:vAlign w:val="bottom"/>
            <w:gridSpan w:val="2"/>
            <w:shd w:val="clear" w:color="auto" w:fill="C3D9EE"/>
          </w:tcPr>
          <w:p>
            <w:pPr>
              <w:jc w:val="right"/>
              <w:ind w:right="360"/>
              <w:spacing w:after="0"/>
              <w:rPr>
                <w:sz w:val="20"/>
                <w:szCs w:val="20"/>
                <w:color w:val="auto"/>
              </w:rPr>
            </w:pPr>
            <w:r>
              <w:rPr>
                <w:rFonts w:ascii="Arial" w:cs="Arial" w:eastAsia="Arial" w:hAnsi="Arial"/>
                <w:sz w:val="14"/>
                <w:szCs w:val="14"/>
                <w:color w:val="auto"/>
              </w:rPr>
              <w:t>9,219</w:t>
            </w:r>
          </w:p>
        </w:tc>
        <w:tc>
          <w:tcPr>
            <w:tcW w:w="1140" w:type="dxa"/>
            <w:vAlign w:val="bottom"/>
            <w:gridSpan w:val="2"/>
            <w:shd w:val="clear" w:color="auto" w:fill="C3D9EE"/>
          </w:tcPr>
          <w:p>
            <w:pPr>
              <w:jc w:val="right"/>
              <w:spacing w:after="0"/>
              <w:rPr>
                <w:sz w:val="20"/>
                <w:szCs w:val="20"/>
                <w:color w:val="auto"/>
              </w:rPr>
            </w:pPr>
            <w:r>
              <w:rPr>
                <w:rFonts w:ascii="Arial" w:cs="Arial" w:eastAsia="Arial" w:hAnsi="Arial"/>
                <w:sz w:val="14"/>
                <w:szCs w:val="14"/>
                <w:color w:val="auto"/>
              </w:rPr>
              <w:t>6,941,777</w:t>
            </w:r>
          </w:p>
        </w:tc>
      </w:tr>
      <w:tr>
        <w:trPr>
          <w:trHeight w:val="177"/>
        </w:trPr>
        <w:tc>
          <w:tcPr>
            <w:tcW w:w="4360" w:type="dxa"/>
            <w:vAlign w:val="bottom"/>
          </w:tcPr>
          <w:p>
            <w:pPr>
              <w:ind w:left="80"/>
              <w:spacing w:after="0"/>
              <w:rPr>
                <w:sz w:val="20"/>
                <w:szCs w:val="20"/>
                <w:color w:val="auto"/>
              </w:rPr>
            </w:pPr>
            <w:r>
              <w:rPr>
                <w:rFonts w:ascii="Arial" w:cs="Arial" w:eastAsia="Arial" w:hAnsi="Arial"/>
                <w:sz w:val="14"/>
                <w:szCs w:val="14"/>
                <w:color w:val="auto"/>
              </w:rPr>
              <w:t>Mark J. Murphy,</w:t>
            </w:r>
          </w:p>
        </w:tc>
        <w:tc>
          <w:tcPr>
            <w:tcW w:w="880" w:type="dxa"/>
            <w:vAlign w:val="bottom"/>
            <w:gridSpan w:val="3"/>
          </w:tcPr>
          <w:p>
            <w:pPr>
              <w:jc w:val="right"/>
              <w:ind w:right="167"/>
              <w:spacing w:after="0"/>
              <w:rPr>
                <w:sz w:val="20"/>
                <w:szCs w:val="20"/>
                <w:color w:val="auto"/>
              </w:rPr>
            </w:pPr>
            <w:r>
              <w:rPr>
                <w:rFonts w:ascii="Arial" w:cs="Arial" w:eastAsia="Arial" w:hAnsi="Arial"/>
                <w:sz w:val="14"/>
                <w:szCs w:val="14"/>
                <w:color w:val="auto"/>
              </w:rPr>
              <w:t>2020</w:t>
            </w:r>
          </w:p>
        </w:tc>
        <w:tc>
          <w:tcPr>
            <w:tcW w:w="40" w:type="dxa"/>
            <w:vAlign w:val="bottom"/>
          </w:tcPr>
          <w:p>
            <w:pPr>
              <w:spacing w:after="0"/>
              <w:rPr>
                <w:sz w:val="15"/>
                <w:szCs w:val="15"/>
                <w:color w:val="auto"/>
              </w:rPr>
            </w:pPr>
          </w:p>
        </w:tc>
        <w:tc>
          <w:tcPr>
            <w:tcW w:w="880" w:type="dxa"/>
            <w:vAlign w:val="bottom"/>
          </w:tcPr>
          <w:p>
            <w:pPr>
              <w:jc w:val="right"/>
              <w:ind w:right="187"/>
              <w:spacing w:after="0"/>
              <w:rPr>
                <w:sz w:val="20"/>
                <w:szCs w:val="20"/>
                <w:color w:val="auto"/>
              </w:rPr>
            </w:pPr>
            <w:r>
              <w:rPr>
                <w:rFonts w:ascii="Arial" w:cs="Arial" w:eastAsia="Arial" w:hAnsi="Arial"/>
                <w:sz w:val="14"/>
                <w:szCs w:val="14"/>
                <w:color w:val="auto"/>
              </w:rPr>
              <w:t>518,465</w:t>
            </w:r>
          </w:p>
        </w:tc>
        <w:tc>
          <w:tcPr>
            <w:tcW w:w="1020" w:type="dxa"/>
            <w:vAlign w:val="bottom"/>
            <w:gridSpan w:val="2"/>
          </w:tcPr>
          <w:p>
            <w:pPr>
              <w:jc w:val="right"/>
              <w:ind w:right="179"/>
              <w:spacing w:after="0"/>
              <w:rPr>
                <w:sz w:val="20"/>
                <w:szCs w:val="20"/>
                <w:color w:val="auto"/>
              </w:rPr>
            </w:pPr>
            <w:r>
              <w:rPr>
                <w:rFonts w:ascii="Arial" w:cs="Arial" w:eastAsia="Arial" w:hAnsi="Arial"/>
                <w:sz w:val="14"/>
                <w:szCs w:val="14"/>
                <w:color w:val="auto"/>
              </w:rPr>
              <w:t>1,650,059</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195,061</w:t>
            </w:r>
          </w:p>
        </w:tc>
        <w:tc>
          <w:tcPr>
            <w:tcW w:w="1360" w:type="dxa"/>
            <w:vAlign w:val="bottom"/>
            <w:gridSpan w:val="2"/>
          </w:tcPr>
          <w:p>
            <w:pPr>
              <w:jc w:val="right"/>
              <w:ind w:right="360"/>
              <w:spacing w:after="0"/>
              <w:rPr>
                <w:sz w:val="20"/>
                <w:szCs w:val="20"/>
                <w:color w:val="auto"/>
              </w:rPr>
            </w:pPr>
            <w:r>
              <w:rPr>
                <w:rFonts w:ascii="Arial" w:cs="Arial" w:eastAsia="Arial" w:hAnsi="Arial"/>
                <w:sz w:val="14"/>
                <w:szCs w:val="14"/>
                <w:color w:val="auto"/>
              </w:rPr>
              <w:t>9,722</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2,373,307</w:t>
            </w:r>
          </w:p>
        </w:tc>
      </w:tr>
      <w:tr>
        <w:trPr>
          <w:trHeight w:val="176"/>
        </w:trPr>
        <w:tc>
          <w:tcPr>
            <w:tcW w:w="4360" w:type="dxa"/>
            <w:vAlign w:val="bottom"/>
          </w:tcPr>
          <w:p>
            <w:pPr>
              <w:ind w:left="80"/>
              <w:spacing w:after="0"/>
              <w:rPr>
                <w:sz w:val="20"/>
                <w:szCs w:val="20"/>
                <w:color w:val="auto"/>
              </w:rPr>
            </w:pPr>
            <w:r>
              <w:rPr>
                <w:rFonts w:ascii="Arial" w:cs="Arial" w:eastAsia="Arial" w:hAnsi="Arial"/>
                <w:sz w:val="14"/>
                <w:szCs w:val="14"/>
                <w:color w:val="auto"/>
              </w:rPr>
              <w:t>Chief Financial Officer</w:t>
            </w:r>
          </w:p>
        </w:tc>
        <w:tc>
          <w:tcPr>
            <w:tcW w:w="880" w:type="dxa"/>
            <w:vAlign w:val="bottom"/>
            <w:gridSpan w:val="3"/>
          </w:tcPr>
          <w:p>
            <w:pPr>
              <w:jc w:val="right"/>
              <w:ind w:right="167"/>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15"/>
                <w:szCs w:val="15"/>
                <w:color w:val="auto"/>
              </w:rPr>
            </w:pPr>
          </w:p>
        </w:tc>
        <w:tc>
          <w:tcPr>
            <w:tcW w:w="880" w:type="dxa"/>
            <w:vAlign w:val="bottom"/>
          </w:tcPr>
          <w:p>
            <w:pPr>
              <w:jc w:val="right"/>
              <w:ind w:right="187"/>
              <w:spacing w:after="0"/>
              <w:rPr>
                <w:sz w:val="20"/>
                <w:szCs w:val="20"/>
                <w:color w:val="auto"/>
              </w:rPr>
            </w:pPr>
            <w:r>
              <w:rPr>
                <w:rFonts w:ascii="Arial" w:cs="Arial" w:eastAsia="Arial" w:hAnsi="Arial"/>
                <w:sz w:val="14"/>
                <w:szCs w:val="14"/>
                <w:color w:val="auto"/>
              </w:rPr>
              <w:t>503,364</w:t>
            </w:r>
          </w:p>
        </w:tc>
        <w:tc>
          <w:tcPr>
            <w:tcW w:w="1020" w:type="dxa"/>
            <w:vAlign w:val="bottom"/>
            <w:gridSpan w:val="2"/>
          </w:tcPr>
          <w:p>
            <w:pPr>
              <w:jc w:val="right"/>
              <w:ind w:right="179"/>
              <w:spacing w:after="0"/>
              <w:rPr>
                <w:sz w:val="20"/>
                <w:szCs w:val="20"/>
                <w:color w:val="auto"/>
              </w:rPr>
            </w:pPr>
            <w:r>
              <w:rPr>
                <w:rFonts w:ascii="Arial" w:cs="Arial" w:eastAsia="Arial" w:hAnsi="Arial"/>
                <w:sz w:val="14"/>
                <w:szCs w:val="14"/>
                <w:color w:val="auto"/>
              </w:rPr>
              <w:t>1,654,237</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414,075</w:t>
            </w:r>
          </w:p>
        </w:tc>
        <w:tc>
          <w:tcPr>
            <w:tcW w:w="1360" w:type="dxa"/>
            <w:vAlign w:val="bottom"/>
            <w:gridSpan w:val="2"/>
          </w:tcPr>
          <w:p>
            <w:pPr>
              <w:jc w:val="right"/>
              <w:ind w:right="360"/>
              <w:spacing w:after="0"/>
              <w:rPr>
                <w:sz w:val="20"/>
                <w:szCs w:val="20"/>
                <w:color w:val="auto"/>
              </w:rPr>
            </w:pPr>
            <w:r>
              <w:rPr>
                <w:rFonts w:ascii="Arial" w:cs="Arial" w:eastAsia="Arial" w:hAnsi="Arial"/>
                <w:sz w:val="14"/>
                <w:szCs w:val="14"/>
                <w:color w:val="auto"/>
              </w:rPr>
              <w:t>9,465</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2,581,141</w:t>
            </w:r>
          </w:p>
        </w:tc>
      </w:tr>
      <w:tr>
        <w:trPr>
          <w:trHeight w:val="174"/>
        </w:trPr>
        <w:tc>
          <w:tcPr>
            <w:tcW w:w="4360" w:type="dxa"/>
            <w:vAlign w:val="bottom"/>
          </w:tcPr>
          <w:p>
            <w:pPr>
              <w:spacing w:after="0"/>
              <w:rPr>
                <w:sz w:val="15"/>
                <w:szCs w:val="15"/>
                <w:color w:val="auto"/>
              </w:rPr>
            </w:pPr>
          </w:p>
        </w:tc>
        <w:tc>
          <w:tcPr>
            <w:tcW w:w="880" w:type="dxa"/>
            <w:vAlign w:val="bottom"/>
            <w:gridSpan w:val="3"/>
          </w:tcPr>
          <w:p>
            <w:pPr>
              <w:jc w:val="right"/>
              <w:ind w:right="167"/>
              <w:spacing w:after="0"/>
              <w:rPr>
                <w:sz w:val="20"/>
                <w:szCs w:val="20"/>
                <w:color w:val="auto"/>
              </w:rPr>
            </w:pPr>
            <w:r>
              <w:rPr>
                <w:rFonts w:ascii="Arial" w:cs="Arial" w:eastAsia="Arial" w:hAnsi="Arial"/>
                <w:sz w:val="14"/>
                <w:szCs w:val="14"/>
                <w:color w:val="auto"/>
              </w:rPr>
              <w:t>2018</w:t>
            </w:r>
          </w:p>
        </w:tc>
        <w:tc>
          <w:tcPr>
            <w:tcW w:w="40" w:type="dxa"/>
            <w:vAlign w:val="bottom"/>
          </w:tcPr>
          <w:p>
            <w:pPr>
              <w:spacing w:after="0"/>
              <w:rPr>
                <w:sz w:val="15"/>
                <w:szCs w:val="15"/>
                <w:color w:val="auto"/>
              </w:rPr>
            </w:pPr>
          </w:p>
        </w:tc>
        <w:tc>
          <w:tcPr>
            <w:tcW w:w="880" w:type="dxa"/>
            <w:vAlign w:val="bottom"/>
          </w:tcPr>
          <w:p>
            <w:pPr>
              <w:jc w:val="right"/>
              <w:ind w:right="187"/>
              <w:spacing w:after="0"/>
              <w:rPr>
                <w:sz w:val="20"/>
                <w:szCs w:val="20"/>
                <w:color w:val="auto"/>
              </w:rPr>
            </w:pPr>
            <w:r>
              <w:rPr>
                <w:rFonts w:ascii="Arial" w:cs="Arial" w:eastAsia="Arial" w:hAnsi="Arial"/>
                <w:sz w:val="14"/>
                <w:szCs w:val="14"/>
                <w:color w:val="auto"/>
              </w:rPr>
              <w:t>488,002</w:t>
            </w:r>
          </w:p>
        </w:tc>
        <w:tc>
          <w:tcPr>
            <w:tcW w:w="1020" w:type="dxa"/>
            <w:vAlign w:val="bottom"/>
            <w:gridSpan w:val="2"/>
          </w:tcPr>
          <w:p>
            <w:pPr>
              <w:jc w:val="right"/>
              <w:ind w:right="179"/>
              <w:spacing w:after="0"/>
              <w:rPr>
                <w:sz w:val="20"/>
                <w:szCs w:val="20"/>
                <w:color w:val="auto"/>
              </w:rPr>
            </w:pPr>
            <w:r>
              <w:rPr>
                <w:rFonts w:ascii="Arial" w:cs="Arial" w:eastAsia="Arial" w:hAnsi="Arial"/>
                <w:sz w:val="14"/>
                <w:szCs w:val="14"/>
                <w:color w:val="auto"/>
              </w:rPr>
              <w:t>1,599,950</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263,751</w:t>
            </w:r>
          </w:p>
        </w:tc>
        <w:tc>
          <w:tcPr>
            <w:tcW w:w="1360" w:type="dxa"/>
            <w:vAlign w:val="bottom"/>
            <w:gridSpan w:val="2"/>
          </w:tcPr>
          <w:p>
            <w:pPr>
              <w:jc w:val="right"/>
              <w:ind w:right="360"/>
              <w:spacing w:after="0"/>
              <w:rPr>
                <w:sz w:val="20"/>
                <w:szCs w:val="20"/>
                <w:color w:val="auto"/>
              </w:rPr>
            </w:pPr>
            <w:r>
              <w:rPr>
                <w:rFonts w:ascii="Arial" w:cs="Arial" w:eastAsia="Arial" w:hAnsi="Arial"/>
                <w:sz w:val="14"/>
                <w:szCs w:val="14"/>
                <w:color w:val="auto"/>
              </w:rPr>
              <w:t>9,201</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2,360,904</w:t>
            </w:r>
          </w:p>
        </w:tc>
      </w:tr>
      <w:tr>
        <w:trPr>
          <w:trHeight w:val="176"/>
        </w:trPr>
        <w:tc>
          <w:tcPr>
            <w:tcW w:w="4360" w:type="dxa"/>
            <w:vAlign w:val="bottom"/>
            <w:shd w:val="clear" w:color="auto" w:fill="C3D9EE"/>
          </w:tcPr>
          <w:p>
            <w:pPr>
              <w:ind w:left="80"/>
              <w:spacing w:after="0"/>
              <w:rPr>
                <w:sz w:val="20"/>
                <w:szCs w:val="20"/>
                <w:color w:val="auto"/>
              </w:rPr>
            </w:pPr>
            <w:r>
              <w:rPr>
                <w:rFonts w:ascii="Arial" w:cs="Arial" w:eastAsia="Arial" w:hAnsi="Arial"/>
                <w:sz w:val="14"/>
                <w:szCs w:val="14"/>
                <w:color w:val="auto"/>
              </w:rPr>
              <w:t>Steven E. Creviston,</w:t>
            </w:r>
          </w:p>
        </w:tc>
        <w:tc>
          <w:tcPr>
            <w:tcW w:w="220" w:type="dxa"/>
            <w:vAlign w:val="bottom"/>
            <w:shd w:val="clear" w:color="auto" w:fill="C3D9EE"/>
          </w:tcPr>
          <w:p>
            <w:pPr>
              <w:spacing w:after="0"/>
              <w:rPr>
                <w:sz w:val="15"/>
                <w:szCs w:val="15"/>
                <w:color w:val="auto"/>
              </w:rPr>
            </w:pPr>
          </w:p>
        </w:tc>
        <w:tc>
          <w:tcPr>
            <w:tcW w:w="660" w:type="dxa"/>
            <w:vAlign w:val="bottom"/>
            <w:gridSpan w:val="2"/>
            <w:shd w:val="clear" w:color="auto" w:fill="C3D9EE"/>
          </w:tcPr>
          <w:p>
            <w:pPr>
              <w:jc w:val="right"/>
              <w:ind w:right="167"/>
              <w:spacing w:after="0"/>
              <w:rPr>
                <w:sz w:val="20"/>
                <w:szCs w:val="20"/>
                <w:color w:val="auto"/>
              </w:rPr>
            </w:pPr>
            <w:r>
              <w:rPr>
                <w:rFonts w:ascii="Arial" w:cs="Arial" w:eastAsia="Arial" w:hAnsi="Arial"/>
                <w:sz w:val="14"/>
                <w:szCs w:val="14"/>
                <w:color w:val="auto"/>
              </w:rPr>
              <w:t>2020</w:t>
            </w:r>
          </w:p>
        </w:tc>
        <w:tc>
          <w:tcPr>
            <w:tcW w:w="40" w:type="dxa"/>
            <w:vAlign w:val="bottom"/>
            <w:shd w:val="clear" w:color="auto" w:fill="C3D9EE"/>
          </w:tcPr>
          <w:p>
            <w:pPr>
              <w:spacing w:after="0"/>
              <w:rPr>
                <w:sz w:val="15"/>
                <w:szCs w:val="15"/>
                <w:color w:val="auto"/>
              </w:rPr>
            </w:pPr>
          </w:p>
        </w:tc>
        <w:tc>
          <w:tcPr>
            <w:tcW w:w="880" w:type="dxa"/>
            <w:vAlign w:val="bottom"/>
            <w:shd w:val="clear" w:color="auto" w:fill="C3D9EE"/>
          </w:tcPr>
          <w:p>
            <w:pPr>
              <w:jc w:val="right"/>
              <w:ind w:right="187"/>
              <w:spacing w:after="0"/>
              <w:rPr>
                <w:sz w:val="20"/>
                <w:szCs w:val="20"/>
                <w:color w:val="auto"/>
              </w:rPr>
            </w:pPr>
            <w:r>
              <w:rPr>
                <w:rFonts w:ascii="Arial" w:cs="Arial" w:eastAsia="Arial" w:hAnsi="Arial"/>
                <w:sz w:val="14"/>
                <w:szCs w:val="14"/>
                <w:color w:val="auto"/>
              </w:rPr>
              <w:t>508,165</w:t>
            </w:r>
          </w:p>
        </w:tc>
        <w:tc>
          <w:tcPr>
            <w:tcW w:w="1020" w:type="dxa"/>
            <w:vAlign w:val="bottom"/>
            <w:gridSpan w:val="2"/>
            <w:shd w:val="clear" w:color="auto" w:fill="C3D9EE"/>
          </w:tcPr>
          <w:p>
            <w:pPr>
              <w:jc w:val="right"/>
              <w:ind w:right="179"/>
              <w:spacing w:after="0"/>
              <w:rPr>
                <w:sz w:val="20"/>
                <w:szCs w:val="20"/>
                <w:color w:val="auto"/>
              </w:rPr>
            </w:pPr>
            <w:r>
              <w:rPr>
                <w:rFonts w:ascii="Arial" w:cs="Arial" w:eastAsia="Arial" w:hAnsi="Arial"/>
                <w:sz w:val="14"/>
                <w:szCs w:val="14"/>
                <w:color w:val="auto"/>
              </w:rPr>
              <w:t>2,000,008</w:t>
            </w:r>
          </w:p>
        </w:tc>
        <w:tc>
          <w:tcPr>
            <w:tcW w:w="1340" w:type="dxa"/>
            <w:vAlign w:val="bottom"/>
            <w:gridSpan w:val="2"/>
            <w:shd w:val="clear" w:color="auto" w:fill="C3D9EE"/>
          </w:tcPr>
          <w:p>
            <w:pPr>
              <w:jc w:val="right"/>
              <w:ind w:right="240"/>
              <w:spacing w:after="0"/>
              <w:rPr>
                <w:sz w:val="20"/>
                <w:szCs w:val="20"/>
                <w:color w:val="auto"/>
              </w:rPr>
            </w:pPr>
            <w:r>
              <w:rPr>
                <w:rFonts w:ascii="Arial" w:cs="Arial" w:eastAsia="Arial" w:hAnsi="Arial"/>
                <w:sz w:val="14"/>
                <w:szCs w:val="14"/>
                <w:color w:val="auto"/>
              </w:rPr>
              <w:t>191,186</w:t>
            </w:r>
          </w:p>
        </w:tc>
        <w:tc>
          <w:tcPr>
            <w:tcW w:w="1360" w:type="dxa"/>
            <w:vAlign w:val="bottom"/>
            <w:gridSpan w:val="2"/>
            <w:shd w:val="clear" w:color="auto" w:fill="C3D9EE"/>
          </w:tcPr>
          <w:p>
            <w:pPr>
              <w:jc w:val="right"/>
              <w:ind w:right="360"/>
              <w:spacing w:after="0"/>
              <w:rPr>
                <w:sz w:val="20"/>
                <w:szCs w:val="20"/>
                <w:color w:val="auto"/>
              </w:rPr>
            </w:pPr>
            <w:r>
              <w:rPr>
                <w:rFonts w:ascii="Arial" w:cs="Arial" w:eastAsia="Arial" w:hAnsi="Arial"/>
                <w:sz w:val="14"/>
                <w:szCs w:val="14"/>
                <w:color w:val="auto"/>
              </w:rPr>
              <w:t>9,920</w:t>
            </w:r>
          </w:p>
        </w:tc>
        <w:tc>
          <w:tcPr>
            <w:tcW w:w="1140" w:type="dxa"/>
            <w:vAlign w:val="bottom"/>
            <w:gridSpan w:val="2"/>
            <w:shd w:val="clear" w:color="auto" w:fill="C3D9EE"/>
          </w:tcPr>
          <w:p>
            <w:pPr>
              <w:jc w:val="right"/>
              <w:spacing w:after="0"/>
              <w:rPr>
                <w:sz w:val="20"/>
                <w:szCs w:val="20"/>
                <w:color w:val="auto"/>
              </w:rPr>
            </w:pPr>
            <w:r>
              <w:rPr>
                <w:rFonts w:ascii="Arial" w:cs="Arial" w:eastAsia="Arial" w:hAnsi="Arial"/>
                <w:sz w:val="14"/>
                <w:szCs w:val="14"/>
                <w:color w:val="auto"/>
              </w:rPr>
              <w:t>2,709,279</w:t>
            </w:r>
          </w:p>
        </w:tc>
      </w:tr>
      <w:tr>
        <w:trPr>
          <w:trHeight w:val="175"/>
        </w:trPr>
        <w:tc>
          <w:tcPr>
            <w:tcW w:w="4360" w:type="dxa"/>
            <w:vAlign w:val="bottom"/>
            <w:shd w:val="clear" w:color="auto" w:fill="C3D9EE"/>
          </w:tcPr>
          <w:p>
            <w:pPr>
              <w:ind w:left="80"/>
              <w:spacing w:after="0"/>
              <w:rPr>
                <w:sz w:val="20"/>
                <w:szCs w:val="20"/>
                <w:color w:val="auto"/>
              </w:rPr>
            </w:pPr>
            <w:r>
              <w:rPr>
                <w:rFonts w:ascii="Arial" w:cs="Arial" w:eastAsia="Arial" w:hAnsi="Arial"/>
                <w:sz w:val="14"/>
                <w:szCs w:val="14"/>
                <w:color w:val="auto"/>
              </w:rPr>
              <w:t>Corporate Vice President</w:t>
            </w:r>
          </w:p>
        </w:tc>
        <w:tc>
          <w:tcPr>
            <w:tcW w:w="220" w:type="dxa"/>
            <w:vAlign w:val="bottom"/>
            <w:shd w:val="clear" w:color="auto" w:fill="C3D9EE"/>
          </w:tcPr>
          <w:p>
            <w:pPr>
              <w:spacing w:after="0"/>
              <w:rPr>
                <w:sz w:val="15"/>
                <w:szCs w:val="15"/>
                <w:color w:val="auto"/>
              </w:rPr>
            </w:pPr>
          </w:p>
        </w:tc>
        <w:tc>
          <w:tcPr>
            <w:tcW w:w="40" w:type="dxa"/>
            <w:vAlign w:val="bottom"/>
            <w:shd w:val="clear" w:color="auto" w:fill="C3D9EE"/>
          </w:tcPr>
          <w:p>
            <w:pPr>
              <w:spacing w:after="0"/>
              <w:rPr>
                <w:sz w:val="15"/>
                <w:szCs w:val="15"/>
                <w:color w:val="auto"/>
              </w:rPr>
            </w:pPr>
          </w:p>
        </w:tc>
        <w:tc>
          <w:tcPr>
            <w:tcW w:w="620" w:type="dxa"/>
            <w:vAlign w:val="bottom"/>
            <w:shd w:val="clear" w:color="auto" w:fill="C3D9EE"/>
          </w:tcPr>
          <w:p>
            <w:pPr>
              <w:jc w:val="right"/>
              <w:ind w:right="167"/>
              <w:spacing w:after="0"/>
              <w:rPr>
                <w:sz w:val="20"/>
                <w:szCs w:val="20"/>
                <w:color w:val="auto"/>
              </w:rPr>
            </w:pPr>
            <w:r>
              <w:rPr>
                <w:rFonts w:ascii="Arial" w:cs="Arial" w:eastAsia="Arial" w:hAnsi="Arial"/>
                <w:sz w:val="14"/>
                <w:szCs w:val="14"/>
                <w:color w:val="auto"/>
              </w:rPr>
              <w:t>2019</w:t>
            </w:r>
          </w:p>
        </w:tc>
        <w:tc>
          <w:tcPr>
            <w:tcW w:w="40" w:type="dxa"/>
            <w:vAlign w:val="bottom"/>
            <w:shd w:val="clear" w:color="auto" w:fill="C3D9EE"/>
          </w:tcPr>
          <w:p>
            <w:pPr>
              <w:spacing w:after="0"/>
              <w:rPr>
                <w:sz w:val="15"/>
                <w:szCs w:val="15"/>
                <w:color w:val="auto"/>
              </w:rPr>
            </w:pPr>
          </w:p>
        </w:tc>
        <w:tc>
          <w:tcPr>
            <w:tcW w:w="880" w:type="dxa"/>
            <w:vAlign w:val="bottom"/>
            <w:shd w:val="clear" w:color="auto" w:fill="C3D9EE"/>
          </w:tcPr>
          <w:p>
            <w:pPr>
              <w:jc w:val="right"/>
              <w:ind w:right="187"/>
              <w:spacing w:after="0"/>
              <w:rPr>
                <w:sz w:val="20"/>
                <w:szCs w:val="20"/>
                <w:color w:val="auto"/>
              </w:rPr>
            </w:pPr>
            <w:r>
              <w:rPr>
                <w:rFonts w:ascii="Arial" w:cs="Arial" w:eastAsia="Arial" w:hAnsi="Arial"/>
                <w:sz w:val="14"/>
                <w:szCs w:val="14"/>
                <w:color w:val="auto"/>
              </w:rPr>
              <w:t>493,364</w:t>
            </w:r>
          </w:p>
        </w:tc>
        <w:tc>
          <w:tcPr>
            <w:tcW w:w="1020" w:type="dxa"/>
            <w:vAlign w:val="bottom"/>
            <w:gridSpan w:val="2"/>
            <w:shd w:val="clear" w:color="auto" w:fill="C3D9EE"/>
          </w:tcPr>
          <w:p>
            <w:pPr>
              <w:jc w:val="right"/>
              <w:ind w:right="179"/>
              <w:spacing w:after="0"/>
              <w:rPr>
                <w:sz w:val="20"/>
                <w:szCs w:val="20"/>
                <w:color w:val="auto"/>
              </w:rPr>
            </w:pPr>
            <w:r>
              <w:rPr>
                <w:rFonts w:ascii="Arial" w:cs="Arial" w:eastAsia="Arial" w:hAnsi="Arial"/>
                <w:sz w:val="14"/>
                <w:szCs w:val="14"/>
                <w:color w:val="auto"/>
              </w:rPr>
              <w:t>2,005,197</w:t>
            </w:r>
          </w:p>
        </w:tc>
        <w:tc>
          <w:tcPr>
            <w:tcW w:w="1340" w:type="dxa"/>
            <w:vAlign w:val="bottom"/>
            <w:gridSpan w:val="2"/>
            <w:shd w:val="clear" w:color="auto" w:fill="C3D9EE"/>
          </w:tcPr>
          <w:p>
            <w:pPr>
              <w:jc w:val="right"/>
              <w:ind w:right="240"/>
              <w:spacing w:after="0"/>
              <w:rPr>
                <w:sz w:val="20"/>
                <w:szCs w:val="20"/>
                <w:color w:val="auto"/>
              </w:rPr>
            </w:pPr>
            <w:r>
              <w:rPr>
                <w:rFonts w:ascii="Arial" w:cs="Arial" w:eastAsia="Arial" w:hAnsi="Arial"/>
                <w:sz w:val="14"/>
                <w:szCs w:val="14"/>
                <w:color w:val="auto"/>
              </w:rPr>
              <w:t>405,912</w:t>
            </w:r>
          </w:p>
        </w:tc>
        <w:tc>
          <w:tcPr>
            <w:tcW w:w="1360" w:type="dxa"/>
            <w:vAlign w:val="bottom"/>
            <w:gridSpan w:val="2"/>
            <w:shd w:val="clear" w:color="auto" w:fill="C3D9EE"/>
          </w:tcPr>
          <w:p>
            <w:pPr>
              <w:jc w:val="right"/>
              <w:ind w:right="360"/>
              <w:spacing w:after="0"/>
              <w:rPr>
                <w:sz w:val="20"/>
                <w:szCs w:val="20"/>
                <w:color w:val="auto"/>
              </w:rPr>
            </w:pPr>
            <w:r>
              <w:rPr>
                <w:rFonts w:ascii="Arial" w:cs="Arial" w:eastAsia="Arial" w:hAnsi="Arial"/>
                <w:sz w:val="14"/>
                <w:szCs w:val="14"/>
                <w:color w:val="auto"/>
              </w:rPr>
              <w:t>9,741</w:t>
            </w:r>
          </w:p>
        </w:tc>
        <w:tc>
          <w:tcPr>
            <w:tcW w:w="1140" w:type="dxa"/>
            <w:vAlign w:val="bottom"/>
            <w:gridSpan w:val="2"/>
            <w:shd w:val="clear" w:color="auto" w:fill="C3D9EE"/>
          </w:tcPr>
          <w:p>
            <w:pPr>
              <w:jc w:val="right"/>
              <w:spacing w:after="0"/>
              <w:rPr>
                <w:sz w:val="20"/>
                <w:szCs w:val="20"/>
                <w:color w:val="auto"/>
              </w:rPr>
            </w:pPr>
            <w:r>
              <w:rPr>
                <w:rFonts w:ascii="Arial" w:cs="Arial" w:eastAsia="Arial" w:hAnsi="Arial"/>
                <w:sz w:val="14"/>
                <w:szCs w:val="14"/>
                <w:color w:val="auto"/>
              </w:rPr>
              <w:t>2,914,214</w:t>
            </w:r>
          </w:p>
        </w:tc>
      </w:tr>
      <w:tr>
        <w:trPr>
          <w:trHeight w:val="189"/>
        </w:trPr>
        <w:tc>
          <w:tcPr>
            <w:tcW w:w="4360" w:type="dxa"/>
            <w:vAlign w:val="bottom"/>
            <w:shd w:val="clear" w:color="auto" w:fill="C3D9EE"/>
          </w:tcPr>
          <w:p>
            <w:pPr>
              <w:ind w:left="80"/>
              <w:spacing w:after="0"/>
              <w:rPr>
                <w:sz w:val="20"/>
                <w:szCs w:val="20"/>
                <w:color w:val="auto"/>
              </w:rPr>
            </w:pPr>
            <w:r>
              <w:rPr>
                <w:rFonts w:ascii="Arial" w:cs="Arial" w:eastAsia="Arial" w:hAnsi="Arial"/>
                <w:sz w:val="14"/>
                <w:szCs w:val="14"/>
                <w:color w:val="auto"/>
              </w:rPr>
              <w:t>and President of Mobile Products</w:t>
            </w:r>
          </w:p>
        </w:tc>
        <w:tc>
          <w:tcPr>
            <w:tcW w:w="220" w:type="dxa"/>
            <w:vAlign w:val="bottom"/>
            <w:shd w:val="clear" w:color="auto" w:fill="C3D9EE"/>
          </w:tcPr>
          <w:p>
            <w:pPr>
              <w:spacing w:after="0"/>
              <w:rPr>
                <w:sz w:val="16"/>
                <w:szCs w:val="16"/>
                <w:color w:val="auto"/>
              </w:rPr>
            </w:pPr>
          </w:p>
        </w:tc>
        <w:tc>
          <w:tcPr>
            <w:tcW w:w="40" w:type="dxa"/>
            <w:vAlign w:val="bottom"/>
            <w:shd w:val="clear" w:color="auto" w:fill="C3D9EE"/>
          </w:tcPr>
          <w:p>
            <w:pPr>
              <w:spacing w:after="0"/>
              <w:rPr>
                <w:sz w:val="16"/>
                <w:szCs w:val="16"/>
                <w:color w:val="auto"/>
              </w:rPr>
            </w:pPr>
          </w:p>
        </w:tc>
        <w:tc>
          <w:tcPr>
            <w:tcW w:w="620" w:type="dxa"/>
            <w:vAlign w:val="bottom"/>
            <w:shd w:val="clear" w:color="auto" w:fill="C3D9EE"/>
          </w:tcPr>
          <w:p>
            <w:pPr>
              <w:jc w:val="right"/>
              <w:ind w:right="167"/>
              <w:spacing w:after="0"/>
              <w:rPr>
                <w:sz w:val="20"/>
                <w:szCs w:val="20"/>
                <w:color w:val="auto"/>
              </w:rPr>
            </w:pPr>
            <w:r>
              <w:rPr>
                <w:rFonts w:ascii="Arial" w:cs="Arial" w:eastAsia="Arial" w:hAnsi="Arial"/>
                <w:sz w:val="14"/>
                <w:szCs w:val="14"/>
                <w:color w:val="auto"/>
              </w:rPr>
              <w:t>2018</w:t>
            </w:r>
          </w:p>
        </w:tc>
        <w:tc>
          <w:tcPr>
            <w:tcW w:w="40" w:type="dxa"/>
            <w:vAlign w:val="bottom"/>
            <w:shd w:val="clear" w:color="auto" w:fill="C3D9EE"/>
          </w:tcPr>
          <w:p>
            <w:pPr>
              <w:spacing w:after="0"/>
              <w:rPr>
                <w:sz w:val="16"/>
                <w:szCs w:val="16"/>
                <w:color w:val="auto"/>
              </w:rPr>
            </w:pPr>
          </w:p>
        </w:tc>
        <w:tc>
          <w:tcPr>
            <w:tcW w:w="880" w:type="dxa"/>
            <w:vAlign w:val="bottom"/>
            <w:shd w:val="clear" w:color="auto" w:fill="C3D9EE"/>
          </w:tcPr>
          <w:p>
            <w:pPr>
              <w:jc w:val="right"/>
              <w:ind w:right="187"/>
              <w:spacing w:after="0"/>
              <w:rPr>
                <w:sz w:val="20"/>
                <w:szCs w:val="20"/>
                <w:color w:val="auto"/>
              </w:rPr>
            </w:pPr>
            <w:r>
              <w:rPr>
                <w:rFonts w:ascii="Arial" w:cs="Arial" w:eastAsia="Arial" w:hAnsi="Arial"/>
                <w:sz w:val="14"/>
                <w:szCs w:val="14"/>
                <w:color w:val="auto"/>
              </w:rPr>
              <w:t>479,169</w:t>
            </w:r>
          </w:p>
        </w:tc>
        <w:tc>
          <w:tcPr>
            <w:tcW w:w="1020" w:type="dxa"/>
            <w:vAlign w:val="bottom"/>
            <w:gridSpan w:val="2"/>
            <w:shd w:val="clear" w:color="auto" w:fill="C3D9EE"/>
          </w:tcPr>
          <w:p>
            <w:pPr>
              <w:jc w:val="right"/>
              <w:ind w:right="179"/>
              <w:spacing w:after="0"/>
              <w:rPr>
                <w:sz w:val="20"/>
                <w:szCs w:val="20"/>
                <w:color w:val="auto"/>
              </w:rPr>
            </w:pPr>
            <w:r>
              <w:rPr>
                <w:rFonts w:ascii="Arial" w:cs="Arial" w:eastAsia="Arial" w:hAnsi="Arial"/>
                <w:sz w:val="14"/>
                <w:szCs w:val="14"/>
                <w:color w:val="auto"/>
              </w:rPr>
              <w:t>2,000,022</w:t>
            </w:r>
          </w:p>
        </w:tc>
        <w:tc>
          <w:tcPr>
            <w:tcW w:w="1340" w:type="dxa"/>
            <w:vAlign w:val="bottom"/>
            <w:gridSpan w:val="2"/>
            <w:shd w:val="clear" w:color="auto" w:fill="C3D9EE"/>
          </w:tcPr>
          <w:p>
            <w:pPr>
              <w:jc w:val="right"/>
              <w:ind w:right="240"/>
              <w:spacing w:after="0"/>
              <w:rPr>
                <w:sz w:val="20"/>
                <w:szCs w:val="20"/>
                <w:color w:val="auto"/>
              </w:rPr>
            </w:pPr>
            <w:r>
              <w:rPr>
                <w:rFonts w:ascii="Arial" w:cs="Arial" w:eastAsia="Arial" w:hAnsi="Arial"/>
                <w:sz w:val="14"/>
                <w:szCs w:val="14"/>
                <w:color w:val="auto"/>
              </w:rPr>
              <w:t>259,923</w:t>
            </w:r>
          </w:p>
        </w:tc>
        <w:tc>
          <w:tcPr>
            <w:tcW w:w="1360" w:type="dxa"/>
            <w:vAlign w:val="bottom"/>
            <w:gridSpan w:val="2"/>
            <w:shd w:val="clear" w:color="auto" w:fill="C3D9EE"/>
          </w:tcPr>
          <w:p>
            <w:pPr>
              <w:jc w:val="right"/>
              <w:ind w:right="360"/>
              <w:spacing w:after="0"/>
              <w:rPr>
                <w:sz w:val="20"/>
                <w:szCs w:val="20"/>
                <w:color w:val="auto"/>
              </w:rPr>
            </w:pPr>
            <w:r>
              <w:rPr>
                <w:rFonts w:ascii="Arial" w:cs="Arial" w:eastAsia="Arial" w:hAnsi="Arial"/>
                <w:sz w:val="14"/>
                <w:szCs w:val="14"/>
                <w:color w:val="auto"/>
              </w:rPr>
              <w:t>9,526</w:t>
            </w:r>
          </w:p>
        </w:tc>
        <w:tc>
          <w:tcPr>
            <w:tcW w:w="1140" w:type="dxa"/>
            <w:vAlign w:val="bottom"/>
            <w:gridSpan w:val="2"/>
            <w:shd w:val="clear" w:color="auto" w:fill="C3D9EE"/>
          </w:tcPr>
          <w:p>
            <w:pPr>
              <w:jc w:val="right"/>
              <w:spacing w:after="0"/>
              <w:rPr>
                <w:sz w:val="20"/>
                <w:szCs w:val="20"/>
                <w:color w:val="auto"/>
              </w:rPr>
            </w:pPr>
            <w:r>
              <w:rPr>
                <w:rFonts w:ascii="Arial" w:cs="Arial" w:eastAsia="Arial" w:hAnsi="Arial"/>
                <w:sz w:val="14"/>
                <w:szCs w:val="14"/>
                <w:color w:val="auto"/>
              </w:rPr>
              <w:t>2,748,640</w:t>
            </w:r>
          </w:p>
        </w:tc>
      </w:tr>
      <w:tr>
        <w:trPr>
          <w:trHeight w:val="177"/>
        </w:trPr>
        <w:tc>
          <w:tcPr>
            <w:tcW w:w="4360" w:type="dxa"/>
            <w:vAlign w:val="bottom"/>
          </w:tcPr>
          <w:p>
            <w:pPr>
              <w:ind w:left="80"/>
              <w:spacing w:after="0"/>
              <w:rPr>
                <w:sz w:val="20"/>
                <w:szCs w:val="20"/>
                <w:color w:val="auto"/>
              </w:rPr>
            </w:pPr>
            <w:r>
              <w:rPr>
                <w:rFonts w:ascii="Arial" w:cs="Arial" w:eastAsia="Arial" w:hAnsi="Arial"/>
                <w:sz w:val="14"/>
                <w:szCs w:val="14"/>
                <w:color w:val="auto"/>
              </w:rPr>
              <w:t>James L. Klein,</w:t>
            </w:r>
          </w:p>
        </w:tc>
        <w:tc>
          <w:tcPr>
            <w:tcW w:w="880" w:type="dxa"/>
            <w:vAlign w:val="bottom"/>
            <w:gridSpan w:val="3"/>
          </w:tcPr>
          <w:p>
            <w:pPr>
              <w:jc w:val="right"/>
              <w:ind w:right="167"/>
              <w:spacing w:after="0"/>
              <w:rPr>
                <w:sz w:val="20"/>
                <w:szCs w:val="20"/>
                <w:color w:val="auto"/>
              </w:rPr>
            </w:pPr>
            <w:r>
              <w:rPr>
                <w:rFonts w:ascii="Arial" w:cs="Arial" w:eastAsia="Arial" w:hAnsi="Arial"/>
                <w:sz w:val="14"/>
                <w:szCs w:val="14"/>
                <w:color w:val="auto"/>
              </w:rPr>
              <w:t>2020</w:t>
            </w:r>
          </w:p>
        </w:tc>
        <w:tc>
          <w:tcPr>
            <w:tcW w:w="40" w:type="dxa"/>
            <w:vAlign w:val="bottom"/>
          </w:tcPr>
          <w:p>
            <w:pPr>
              <w:spacing w:after="0"/>
              <w:rPr>
                <w:sz w:val="15"/>
                <w:szCs w:val="15"/>
                <w:color w:val="auto"/>
              </w:rPr>
            </w:pPr>
          </w:p>
        </w:tc>
        <w:tc>
          <w:tcPr>
            <w:tcW w:w="880" w:type="dxa"/>
            <w:vAlign w:val="bottom"/>
          </w:tcPr>
          <w:p>
            <w:pPr>
              <w:jc w:val="right"/>
              <w:ind w:right="187"/>
              <w:spacing w:after="0"/>
              <w:rPr>
                <w:sz w:val="20"/>
                <w:szCs w:val="20"/>
                <w:color w:val="auto"/>
              </w:rPr>
            </w:pPr>
            <w:r>
              <w:rPr>
                <w:rFonts w:ascii="Arial" w:cs="Arial" w:eastAsia="Arial" w:hAnsi="Arial"/>
                <w:sz w:val="14"/>
                <w:szCs w:val="14"/>
                <w:color w:val="auto"/>
              </w:rPr>
              <w:t>465,362</w:t>
            </w:r>
          </w:p>
        </w:tc>
        <w:tc>
          <w:tcPr>
            <w:tcW w:w="1020" w:type="dxa"/>
            <w:vAlign w:val="bottom"/>
            <w:gridSpan w:val="2"/>
          </w:tcPr>
          <w:p>
            <w:pPr>
              <w:jc w:val="right"/>
              <w:ind w:right="179"/>
              <w:spacing w:after="0"/>
              <w:rPr>
                <w:sz w:val="20"/>
                <w:szCs w:val="20"/>
                <w:color w:val="auto"/>
              </w:rPr>
            </w:pPr>
            <w:r>
              <w:rPr>
                <w:rFonts w:ascii="Arial" w:cs="Arial" w:eastAsia="Arial" w:hAnsi="Arial"/>
                <w:sz w:val="14"/>
                <w:szCs w:val="14"/>
                <w:color w:val="auto"/>
              </w:rPr>
              <w:t>1,499,989</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175,019</w:t>
            </w:r>
          </w:p>
        </w:tc>
        <w:tc>
          <w:tcPr>
            <w:tcW w:w="1360" w:type="dxa"/>
            <w:vAlign w:val="bottom"/>
            <w:gridSpan w:val="2"/>
          </w:tcPr>
          <w:p>
            <w:pPr>
              <w:jc w:val="right"/>
              <w:ind w:right="360"/>
              <w:spacing w:after="0"/>
              <w:rPr>
                <w:sz w:val="20"/>
                <w:szCs w:val="20"/>
                <w:color w:val="auto"/>
              </w:rPr>
            </w:pPr>
            <w:r>
              <w:rPr>
                <w:rFonts w:ascii="Arial" w:cs="Arial" w:eastAsia="Arial" w:hAnsi="Arial"/>
                <w:sz w:val="14"/>
                <w:szCs w:val="14"/>
                <w:color w:val="auto"/>
              </w:rPr>
              <w:t>8,593</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2,148,963</w:t>
            </w:r>
          </w:p>
        </w:tc>
      </w:tr>
      <w:tr>
        <w:trPr>
          <w:trHeight w:val="175"/>
        </w:trPr>
        <w:tc>
          <w:tcPr>
            <w:tcW w:w="4360" w:type="dxa"/>
            <w:vAlign w:val="bottom"/>
          </w:tcPr>
          <w:p>
            <w:pPr>
              <w:ind w:left="80"/>
              <w:spacing w:after="0"/>
              <w:rPr>
                <w:sz w:val="20"/>
                <w:szCs w:val="20"/>
                <w:color w:val="auto"/>
              </w:rPr>
            </w:pPr>
            <w:r>
              <w:rPr>
                <w:rFonts w:ascii="Arial" w:cs="Arial" w:eastAsia="Arial" w:hAnsi="Arial"/>
                <w:sz w:val="14"/>
                <w:szCs w:val="14"/>
                <w:color w:val="auto"/>
              </w:rPr>
              <w:t>Corporate Vice President and President of</w:t>
            </w:r>
          </w:p>
        </w:tc>
        <w:tc>
          <w:tcPr>
            <w:tcW w:w="880" w:type="dxa"/>
            <w:vAlign w:val="bottom"/>
            <w:gridSpan w:val="3"/>
          </w:tcPr>
          <w:p>
            <w:pPr>
              <w:jc w:val="right"/>
              <w:ind w:right="167"/>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15"/>
                <w:szCs w:val="15"/>
                <w:color w:val="auto"/>
              </w:rPr>
            </w:pPr>
          </w:p>
        </w:tc>
        <w:tc>
          <w:tcPr>
            <w:tcW w:w="880" w:type="dxa"/>
            <w:vAlign w:val="bottom"/>
          </w:tcPr>
          <w:p>
            <w:pPr>
              <w:jc w:val="right"/>
              <w:ind w:right="187"/>
              <w:spacing w:after="0"/>
              <w:rPr>
                <w:sz w:val="20"/>
                <w:szCs w:val="20"/>
                <w:color w:val="auto"/>
              </w:rPr>
            </w:pPr>
            <w:r>
              <w:rPr>
                <w:rFonts w:ascii="Arial" w:cs="Arial" w:eastAsia="Arial" w:hAnsi="Arial"/>
                <w:sz w:val="14"/>
                <w:szCs w:val="14"/>
                <w:color w:val="auto"/>
              </w:rPr>
              <w:t>447,305</w:t>
            </w:r>
          </w:p>
        </w:tc>
        <w:tc>
          <w:tcPr>
            <w:tcW w:w="1020" w:type="dxa"/>
            <w:vAlign w:val="bottom"/>
            <w:gridSpan w:val="2"/>
          </w:tcPr>
          <w:p>
            <w:pPr>
              <w:jc w:val="right"/>
              <w:ind w:right="179"/>
              <w:spacing w:after="0"/>
              <w:rPr>
                <w:sz w:val="20"/>
                <w:szCs w:val="20"/>
                <w:color w:val="auto"/>
              </w:rPr>
            </w:pPr>
            <w:r>
              <w:rPr>
                <w:rFonts w:ascii="Arial" w:cs="Arial" w:eastAsia="Arial" w:hAnsi="Arial"/>
                <w:sz w:val="14"/>
                <w:szCs w:val="14"/>
                <w:color w:val="auto"/>
              </w:rPr>
              <w:t>1,503,875</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366,459</w:t>
            </w:r>
          </w:p>
        </w:tc>
        <w:tc>
          <w:tcPr>
            <w:tcW w:w="1360" w:type="dxa"/>
            <w:vAlign w:val="bottom"/>
            <w:gridSpan w:val="2"/>
          </w:tcPr>
          <w:p>
            <w:pPr>
              <w:jc w:val="right"/>
              <w:ind w:right="360"/>
              <w:spacing w:after="0"/>
              <w:rPr>
                <w:sz w:val="20"/>
                <w:szCs w:val="20"/>
                <w:color w:val="auto"/>
              </w:rPr>
            </w:pPr>
            <w:r>
              <w:rPr>
                <w:rFonts w:ascii="Arial" w:cs="Arial" w:eastAsia="Arial" w:hAnsi="Arial"/>
                <w:sz w:val="14"/>
                <w:szCs w:val="14"/>
                <w:color w:val="auto"/>
              </w:rPr>
              <w:t>8,417</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2,326,056</w:t>
            </w:r>
          </w:p>
        </w:tc>
      </w:tr>
      <w:tr>
        <w:trPr>
          <w:trHeight w:val="182"/>
        </w:trPr>
        <w:tc>
          <w:tcPr>
            <w:tcW w:w="4360" w:type="dxa"/>
            <w:vAlign w:val="bottom"/>
          </w:tcPr>
          <w:p>
            <w:pPr>
              <w:ind w:left="80"/>
              <w:spacing w:after="0"/>
              <w:rPr>
                <w:sz w:val="20"/>
                <w:szCs w:val="20"/>
                <w:color w:val="auto"/>
              </w:rPr>
            </w:pPr>
            <w:r>
              <w:rPr>
                <w:rFonts w:ascii="Arial" w:cs="Arial" w:eastAsia="Arial" w:hAnsi="Arial"/>
                <w:sz w:val="14"/>
                <w:szCs w:val="14"/>
                <w:color w:val="auto"/>
              </w:rPr>
              <w:t>Infrastructure and Defense Products</w:t>
            </w:r>
          </w:p>
        </w:tc>
        <w:tc>
          <w:tcPr>
            <w:tcW w:w="880" w:type="dxa"/>
            <w:vAlign w:val="bottom"/>
            <w:gridSpan w:val="3"/>
          </w:tcPr>
          <w:p>
            <w:pPr>
              <w:jc w:val="right"/>
              <w:ind w:right="167"/>
              <w:spacing w:after="0"/>
              <w:rPr>
                <w:sz w:val="20"/>
                <w:szCs w:val="20"/>
                <w:color w:val="auto"/>
              </w:rPr>
            </w:pPr>
            <w:r>
              <w:rPr>
                <w:rFonts w:ascii="Arial" w:cs="Arial" w:eastAsia="Arial" w:hAnsi="Arial"/>
                <w:sz w:val="14"/>
                <w:szCs w:val="14"/>
                <w:color w:val="auto"/>
              </w:rPr>
              <w:t>2018</w:t>
            </w:r>
          </w:p>
        </w:tc>
        <w:tc>
          <w:tcPr>
            <w:tcW w:w="40" w:type="dxa"/>
            <w:vAlign w:val="bottom"/>
          </w:tcPr>
          <w:p>
            <w:pPr>
              <w:spacing w:after="0"/>
              <w:rPr>
                <w:sz w:val="15"/>
                <w:szCs w:val="15"/>
                <w:color w:val="auto"/>
              </w:rPr>
            </w:pPr>
          </w:p>
        </w:tc>
        <w:tc>
          <w:tcPr>
            <w:tcW w:w="880" w:type="dxa"/>
            <w:vAlign w:val="bottom"/>
          </w:tcPr>
          <w:p>
            <w:pPr>
              <w:jc w:val="right"/>
              <w:ind w:right="187"/>
              <w:spacing w:after="0"/>
              <w:rPr>
                <w:sz w:val="20"/>
                <w:szCs w:val="20"/>
                <w:color w:val="auto"/>
              </w:rPr>
            </w:pPr>
            <w:r>
              <w:rPr>
                <w:rFonts w:ascii="Arial" w:cs="Arial" w:eastAsia="Arial" w:hAnsi="Arial"/>
                <w:sz w:val="14"/>
                <w:szCs w:val="14"/>
                <w:color w:val="auto"/>
              </w:rPr>
              <w:t>426,387</w:t>
            </w:r>
          </w:p>
        </w:tc>
        <w:tc>
          <w:tcPr>
            <w:tcW w:w="1020" w:type="dxa"/>
            <w:vAlign w:val="bottom"/>
            <w:gridSpan w:val="2"/>
          </w:tcPr>
          <w:p>
            <w:pPr>
              <w:jc w:val="right"/>
              <w:ind w:right="179"/>
              <w:spacing w:after="0"/>
              <w:rPr>
                <w:sz w:val="20"/>
                <w:szCs w:val="20"/>
                <w:color w:val="auto"/>
              </w:rPr>
            </w:pPr>
            <w:r>
              <w:rPr>
                <w:rFonts w:ascii="Arial" w:cs="Arial" w:eastAsia="Arial" w:hAnsi="Arial"/>
                <w:sz w:val="14"/>
                <w:szCs w:val="14"/>
                <w:color w:val="auto"/>
              </w:rPr>
              <w:t>1,400,050</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230,703</w:t>
            </w:r>
          </w:p>
        </w:tc>
        <w:tc>
          <w:tcPr>
            <w:tcW w:w="1360" w:type="dxa"/>
            <w:vAlign w:val="bottom"/>
            <w:gridSpan w:val="2"/>
          </w:tcPr>
          <w:p>
            <w:pPr>
              <w:jc w:val="right"/>
              <w:ind w:right="360"/>
              <w:spacing w:after="0"/>
              <w:rPr>
                <w:sz w:val="20"/>
                <w:szCs w:val="20"/>
                <w:color w:val="auto"/>
              </w:rPr>
            </w:pPr>
            <w:r>
              <w:rPr>
                <w:rFonts w:ascii="Arial" w:cs="Arial" w:eastAsia="Arial" w:hAnsi="Arial"/>
                <w:sz w:val="14"/>
                <w:szCs w:val="14"/>
                <w:color w:val="auto"/>
              </w:rPr>
              <w:t>8,029</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2,065,169</w:t>
            </w:r>
          </w:p>
        </w:tc>
      </w:tr>
      <w:tr>
        <w:trPr>
          <w:trHeight w:val="182"/>
        </w:trPr>
        <w:tc>
          <w:tcPr>
            <w:tcW w:w="4360" w:type="dxa"/>
            <w:vAlign w:val="bottom"/>
            <w:shd w:val="clear" w:color="auto" w:fill="C3D9EE"/>
          </w:tcPr>
          <w:p>
            <w:pPr>
              <w:ind w:left="80"/>
              <w:spacing w:after="0"/>
              <w:rPr>
                <w:sz w:val="20"/>
                <w:szCs w:val="20"/>
                <w:color w:val="auto"/>
              </w:rPr>
            </w:pPr>
            <w:r>
              <w:rPr>
                <w:rFonts w:ascii="Arial" w:cs="Arial" w:eastAsia="Arial" w:hAnsi="Arial"/>
                <w:sz w:val="14"/>
                <w:szCs w:val="14"/>
                <w:color w:val="auto"/>
              </w:rPr>
              <w:t>Paul J. Fego</w:t>
            </w:r>
          </w:p>
        </w:tc>
        <w:tc>
          <w:tcPr>
            <w:tcW w:w="220" w:type="dxa"/>
            <w:vAlign w:val="bottom"/>
            <w:shd w:val="clear" w:color="auto" w:fill="C3D9EE"/>
          </w:tcPr>
          <w:p>
            <w:pPr>
              <w:spacing w:after="0"/>
              <w:rPr>
                <w:sz w:val="15"/>
                <w:szCs w:val="15"/>
                <w:color w:val="auto"/>
              </w:rPr>
            </w:pPr>
          </w:p>
        </w:tc>
        <w:tc>
          <w:tcPr>
            <w:tcW w:w="660" w:type="dxa"/>
            <w:vAlign w:val="bottom"/>
            <w:gridSpan w:val="2"/>
            <w:shd w:val="clear" w:color="auto" w:fill="C3D9EE"/>
          </w:tcPr>
          <w:p>
            <w:pPr>
              <w:jc w:val="right"/>
              <w:ind w:right="167"/>
              <w:spacing w:after="0"/>
              <w:rPr>
                <w:sz w:val="20"/>
                <w:szCs w:val="20"/>
                <w:color w:val="auto"/>
              </w:rPr>
            </w:pPr>
            <w:r>
              <w:rPr>
                <w:rFonts w:ascii="Arial" w:cs="Arial" w:eastAsia="Arial" w:hAnsi="Arial"/>
                <w:sz w:val="14"/>
                <w:szCs w:val="14"/>
                <w:color w:val="auto"/>
              </w:rPr>
              <w:t>2020</w:t>
            </w:r>
          </w:p>
        </w:tc>
        <w:tc>
          <w:tcPr>
            <w:tcW w:w="40" w:type="dxa"/>
            <w:vAlign w:val="bottom"/>
            <w:shd w:val="clear" w:color="auto" w:fill="C3D9EE"/>
          </w:tcPr>
          <w:p>
            <w:pPr>
              <w:spacing w:after="0"/>
              <w:rPr>
                <w:sz w:val="15"/>
                <w:szCs w:val="15"/>
                <w:color w:val="auto"/>
              </w:rPr>
            </w:pPr>
          </w:p>
        </w:tc>
        <w:tc>
          <w:tcPr>
            <w:tcW w:w="880" w:type="dxa"/>
            <w:vAlign w:val="bottom"/>
            <w:shd w:val="clear" w:color="auto" w:fill="C3D9EE"/>
          </w:tcPr>
          <w:p>
            <w:pPr>
              <w:jc w:val="right"/>
              <w:ind w:right="187"/>
              <w:spacing w:after="0"/>
              <w:rPr>
                <w:sz w:val="20"/>
                <w:szCs w:val="20"/>
                <w:color w:val="auto"/>
              </w:rPr>
            </w:pPr>
            <w:r>
              <w:rPr>
                <w:rFonts w:ascii="Arial" w:cs="Arial" w:eastAsia="Arial" w:hAnsi="Arial"/>
                <w:sz w:val="14"/>
                <w:szCs w:val="14"/>
                <w:color w:val="auto"/>
              </w:rPr>
              <w:t>457,837</w:t>
            </w:r>
          </w:p>
        </w:tc>
        <w:tc>
          <w:tcPr>
            <w:tcW w:w="1020" w:type="dxa"/>
            <w:vAlign w:val="bottom"/>
            <w:gridSpan w:val="2"/>
            <w:shd w:val="clear" w:color="auto" w:fill="C3D9EE"/>
          </w:tcPr>
          <w:p>
            <w:pPr>
              <w:jc w:val="right"/>
              <w:ind w:right="179"/>
              <w:spacing w:after="0"/>
              <w:rPr>
                <w:sz w:val="20"/>
                <w:szCs w:val="20"/>
                <w:color w:val="auto"/>
              </w:rPr>
            </w:pPr>
            <w:r>
              <w:rPr>
                <w:rFonts w:ascii="Arial" w:cs="Arial" w:eastAsia="Arial" w:hAnsi="Arial"/>
                <w:sz w:val="14"/>
                <w:szCs w:val="14"/>
                <w:color w:val="auto"/>
              </w:rPr>
              <w:t>1,499,987</w:t>
            </w:r>
          </w:p>
        </w:tc>
        <w:tc>
          <w:tcPr>
            <w:tcW w:w="1340" w:type="dxa"/>
            <w:vAlign w:val="bottom"/>
            <w:gridSpan w:val="2"/>
            <w:shd w:val="clear" w:color="auto" w:fill="C3D9EE"/>
          </w:tcPr>
          <w:p>
            <w:pPr>
              <w:jc w:val="right"/>
              <w:ind w:right="240"/>
              <w:spacing w:after="0"/>
              <w:rPr>
                <w:sz w:val="20"/>
                <w:szCs w:val="20"/>
                <w:color w:val="auto"/>
              </w:rPr>
            </w:pPr>
            <w:r>
              <w:rPr>
                <w:rFonts w:ascii="Arial" w:cs="Arial" w:eastAsia="Arial" w:hAnsi="Arial"/>
                <w:sz w:val="14"/>
                <w:szCs w:val="14"/>
                <w:color w:val="auto"/>
              </w:rPr>
              <w:t>172,251</w:t>
            </w:r>
          </w:p>
        </w:tc>
        <w:tc>
          <w:tcPr>
            <w:tcW w:w="1360" w:type="dxa"/>
            <w:vAlign w:val="bottom"/>
            <w:gridSpan w:val="2"/>
            <w:shd w:val="clear" w:color="auto" w:fill="C3D9EE"/>
          </w:tcPr>
          <w:p>
            <w:pPr>
              <w:jc w:val="right"/>
              <w:ind w:right="360"/>
              <w:spacing w:after="0"/>
              <w:rPr>
                <w:sz w:val="20"/>
                <w:szCs w:val="20"/>
                <w:color w:val="auto"/>
              </w:rPr>
            </w:pPr>
            <w:r>
              <w:rPr>
                <w:rFonts w:ascii="Arial" w:cs="Arial" w:eastAsia="Arial" w:hAnsi="Arial"/>
                <w:sz w:val="14"/>
                <w:szCs w:val="14"/>
                <w:color w:val="auto"/>
              </w:rPr>
              <w:t>9,908</w:t>
            </w:r>
          </w:p>
        </w:tc>
        <w:tc>
          <w:tcPr>
            <w:tcW w:w="1140" w:type="dxa"/>
            <w:vAlign w:val="bottom"/>
            <w:gridSpan w:val="2"/>
            <w:shd w:val="clear" w:color="auto" w:fill="C3D9EE"/>
          </w:tcPr>
          <w:p>
            <w:pPr>
              <w:jc w:val="right"/>
              <w:spacing w:after="0"/>
              <w:rPr>
                <w:sz w:val="20"/>
                <w:szCs w:val="20"/>
                <w:color w:val="auto"/>
              </w:rPr>
            </w:pPr>
            <w:r>
              <w:rPr>
                <w:rFonts w:ascii="Arial" w:cs="Arial" w:eastAsia="Arial" w:hAnsi="Arial"/>
                <w:sz w:val="14"/>
                <w:szCs w:val="14"/>
                <w:color w:val="auto"/>
              </w:rPr>
              <w:t>2,139,983</w:t>
            </w:r>
          </w:p>
        </w:tc>
      </w:tr>
      <w:tr>
        <w:trPr>
          <w:trHeight w:val="177"/>
        </w:trPr>
        <w:tc>
          <w:tcPr>
            <w:tcW w:w="4360" w:type="dxa"/>
            <w:vAlign w:val="bottom"/>
            <w:shd w:val="clear" w:color="auto" w:fill="C3D9EE"/>
          </w:tcPr>
          <w:p>
            <w:pPr>
              <w:ind w:left="80"/>
              <w:spacing w:after="0"/>
              <w:rPr>
                <w:sz w:val="20"/>
                <w:szCs w:val="20"/>
                <w:color w:val="auto"/>
              </w:rPr>
            </w:pPr>
            <w:r>
              <w:rPr>
                <w:rFonts w:ascii="Arial" w:cs="Arial" w:eastAsia="Arial" w:hAnsi="Arial"/>
                <w:sz w:val="14"/>
                <w:szCs w:val="14"/>
                <w:color w:val="auto"/>
              </w:rPr>
              <w:t>Corporate Vice President of Global</w:t>
            </w:r>
          </w:p>
        </w:tc>
        <w:tc>
          <w:tcPr>
            <w:tcW w:w="220" w:type="dxa"/>
            <w:vAlign w:val="bottom"/>
            <w:shd w:val="clear" w:color="auto" w:fill="C3D9EE"/>
          </w:tcPr>
          <w:p>
            <w:pPr>
              <w:spacing w:after="0"/>
              <w:rPr>
                <w:sz w:val="15"/>
                <w:szCs w:val="15"/>
                <w:color w:val="auto"/>
              </w:rPr>
            </w:pPr>
          </w:p>
        </w:tc>
        <w:tc>
          <w:tcPr>
            <w:tcW w:w="40" w:type="dxa"/>
            <w:vAlign w:val="bottom"/>
            <w:shd w:val="clear" w:color="auto" w:fill="C3D9EE"/>
          </w:tcPr>
          <w:p>
            <w:pPr>
              <w:spacing w:after="0"/>
              <w:rPr>
                <w:sz w:val="15"/>
                <w:szCs w:val="15"/>
                <w:color w:val="auto"/>
              </w:rPr>
            </w:pPr>
          </w:p>
        </w:tc>
        <w:tc>
          <w:tcPr>
            <w:tcW w:w="620" w:type="dxa"/>
            <w:vAlign w:val="bottom"/>
            <w:shd w:val="clear" w:color="auto" w:fill="C3D9EE"/>
          </w:tcPr>
          <w:p>
            <w:pPr>
              <w:jc w:val="right"/>
              <w:ind w:right="167"/>
              <w:spacing w:after="0"/>
              <w:rPr>
                <w:sz w:val="20"/>
                <w:szCs w:val="20"/>
                <w:color w:val="auto"/>
              </w:rPr>
            </w:pPr>
            <w:r>
              <w:rPr>
                <w:rFonts w:ascii="Arial" w:cs="Arial" w:eastAsia="Arial" w:hAnsi="Arial"/>
                <w:sz w:val="14"/>
                <w:szCs w:val="14"/>
                <w:color w:val="auto"/>
              </w:rPr>
              <w:t>2019</w:t>
            </w:r>
          </w:p>
        </w:tc>
        <w:tc>
          <w:tcPr>
            <w:tcW w:w="40" w:type="dxa"/>
            <w:vAlign w:val="bottom"/>
            <w:shd w:val="clear" w:color="auto" w:fill="C3D9EE"/>
          </w:tcPr>
          <w:p>
            <w:pPr>
              <w:spacing w:after="0"/>
              <w:rPr>
                <w:sz w:val="15"/>
                <w:szCs w:val="15"/>
                <w:color w:val="auto"/>
              </w:rPr>
            </w:pPr>
          </w:p>
        </w:tc>
        <w:tc>
          <w:tcPr>
            <w:tcW w:w="880" w:type="dxa"/>
            <w:vAlign w:val="bottom"/>
            <w:shd w:val="clear" w:color="auto" w:fill="C3D9EE"/>
          </w:tcPr>
          <w:p>
            <w:pPr>
              <w:jc w:val="right"/>
              <w:ind w:right="187"/>
              <w:spacing w:after="0"/>
              <w:rPr>
                <w:sz w:val="20"/>
                <w:szCs w:val="20"/>
                <w:color w:val="auto"/>
              </w:rPr>
            </w:pPr>
            <w:r>
              <w:rPr>
                <w:rFonts w:ascii="Arial" w:cs="Arial" w:eastAsia="Arial" w:hAnsi="Arial"/>
                <w:sz w:val="14"/>
                <w:szCs w:val="14"/>
                <w:color w:val="auto"/>
              </w:rPr>
              <w:t>282,404</w:t>
            </w:r>
          </w:p>
        </w:tc>
        <w:tc>
          <w:tcPr>
            <w:tcW w:w="1020" w:type="dxa"/>
            <w:vAlign w:val="bottom"/>
            <w:gridSpan w:val="2"/>
            <w:shd w:val="clear" w:color="auto" w:fill="C3D9EE"/>
          </w:tcPr>
          <w:p>
            <w:pPr>
              <w:jc w:val="right"/>
              <w:ind w:right="179"/>
              <w:spacing w:after="0"/>
              <w:rPr>
                <w:sz w:val="20"/>
                <w:szCs w:val="20"/>
                <w:color w:val="auto"/>
              </w:rPr>
            </w:pPr>
            <w:r>
              <w:rPr>
                <w:rFonts w:ascii="Arial" w:cs="Arial" w:eastAsia="Arial" w:hAnsi="Arial"/>
                <w:sz w:val="14"/>
                <w:szCs w:val="14"/>
                <w:color w:val="auto"/>
              </w:rPr>
              <w:t>2,328,286</w:t>
            </w:r>
          </w:p>
        </w:tc>
        <w:tc>
          <w:tcPr>
            <w:tcW w:w="1340" w:type="dxa"/>
            <w:vAlign w:val="bottom"/>
            <w:gridSpan w:val="2"/>
            <w:shd w:val="clear" w:color="auto" w:fill="C3D9EE"/>
          </w:tcPr>
          <w:p>
            <w:pPr>
              <w:jc w:val="right"/>
              <w:ind w:right="240"/>
              <w:spacing w:after="0"/>
              <w:rPr>
                <w:sz w:val="20"/>
                <w:szCs w:val="20"/>
                <w:color w:val="auto"/>
              </w:rPr>
            </w:pPr>
            <w:r>
              <w:rPr>
                <w:rFonts w:ascii="Arial" w:cs="Arial" w:eastAsia="Arial" w:hAnsi="Arial"/>
                <w:sz w:val="14"/>
                <w:szCs w:val="14"/>
                <w:color w:val="auto"/>
              </w:rPr>
              <w:t>66,358</w:t>
            </w:r>
          </w:p>
        </w:tc>
        <w:tc>
          <w:tcPr>
            <w:tcW w:w="1360" w:type="dxa"/>
            <w:vAlign w:val="bottom"/>
            <w:gridSpan w:val="2"/>
            <w:shd w:val="clear" w:color="auto" w:fill="C3D9EE"/>
          </w:tcPr>
          <w:p>
            <w:pPr>
              <w:jc w:val="right"/>
              <w:ind w:right="360"/>
              <w:spacing w:after="0"/>
              <w:rPr>
                <w:sz w:val="20"/>
                <w:szCs w:val="20"/>
                <w:color w:val="auto"/>
              </w:rPr>
            </w:pPr>
            <w:r>
              <w:rPr>
                <w:rFonts w:ascii="Arial" w:cs="Arial" w:eastAsia="Arial" w:hAnsi="Arial"/>
                <w:sz w:val="14"/>
                <w:szCs w:val="14"/>
                <w:color w:val="auto"/>
              </w:rPr>
              <w:t>8,387</w:t>
            </w:r>
          </w:p>
        </w:tc>
        <w:tc>
          <w:tcPr>
            <w:tcW w:w="1140" w:type="dxa"/>
            <w:vAlign w:val="bottom"/>
            <w:gridSpan w:val="2"/>
            <w:shd w:val="clear" w:color="auto" w:fill="C3D9EE"/>
          </w:tcPr>
          <w:p>
            <w:pPr>
              <w:jc w:val="right"/>
              <w:spacing w:after="0"/>
              <w:rPr>
                <w:sz w:val="20"/>
                <w:szCs w:val="20"/>
                <w:color w:val="auto"/>
              </w:rPr>
            </w:pPr>
            <w:r>
              <w:rPr>
                <w:rFonts w:ascii="Arial" w:cs="Arial" w:eastAsia="Arial" w:hAnsi="Arial"/>
                <w:sz w:val="14"/>
                <w:szCs w:val="14"/>
                <w:color w:val="auto"/>
              </w:rPr>
              <w:t>2,685,435</w:t>
            </w:r>
          </w:p>
        </w:tc>
      </w:tr>
      <w:tr>
        <w:trPr>
          <w:trHeight w:val="182"/>
        </w:trPr>
        <w:tc>
          <w:tcPr>
            <w:tcW w:w="4360" w:type="dxa"/>
            <w:vAlign w:val="bottom"/>
            <w:tcBorders>
              <w:bottom w:val="single" w:sz="8" w:color="1269BC"/>
            </w:tcBorders>
            <w:shd w:val="clear" w:color="auto" w:fill="C3D9EE"/>
          </w:tcPr>
          <w:p>
            <w:pPr>
              <w:ind w:left="80"/>
              <w:spacing w:after="0"/>
              <w:rPr>
                <w:sz w:val="20"/>
                <w:szCs w:val="20"/>
                <w:color w:val="auto"/>
              </w:rPr>
            </w:pPr>
            <w:r>
              <w:rPr>
                <w:rFonts w:ascii="Arial" w:cs="Arial" w:eastAsia="Arial" w:hAnsi="Arial"/>
                <w:sz w:val="14"/>
                <w:szCs w:val="14"/>
                <w:color w:val="auto"/>
              </w:rPr>
              <w:t>Operations (4)</w:t>
            </w:r>
          </w:p>
        </w:tc>
        <w:tc>
          <w:tcPr>
            <w:tcW w:w="220" w:type="dxa"/>
            <w:vAlign w:val="bottom"/>
            <w:tcBorders>
              <w:bottom w:val="single" w:sz="8" w:color="1269BC"/>
            </w:tcBorders>
            <w:shd w:val="clear" w:color="auto" w:fill="C3D9EE"/>
          </w:tcPr>
          <w:p>
            <w:pPr>
              <w:spacing w:after="0"/>
              <w:rPr>
                <w:sz w:val="15"/>
                <w:szCs w:val="15"/>
                <w:color w:val="auto"/>
              </w:rPr>
            </w:pPr>
          </w:p>
        </w:tc>
        <w:tc>
          <w:tcPr>
            <w:tcW w:w="40" w:type="dxa"/>
            <w:vAlign w:val="bottom"/>
            <w:shd w:val="clear" w:color="auto" w:fill="C3D9EE"/>
          </w:tcPr>
          <w:p>
            <w:pPr>
              <w:spacing w:after="0"/>
              <w:rPr>
                <w:sz w:val="15"/>
                <w:szCs w:val="15"/>
                <w:color w:val="auto"/>
              </w:rPr>
            </w:pPr>
          </w:p>
        </w:tc>
        <w:tc>
          <w:tcPr>
            <w:tcW w:w="620" w:type="dxa"/>
            <w:vAlign w:val="bottom"/>
            <w:tcBorders>
              <w:bottom w:val="single" w:sz="8" w:color="1269BC"/>
            </w:tcBorders>
            <w:shd w:val="clear" w:color="auto" w:fill="C3D9EE"/>
          </w:tcPr>
          <w:p>
            <w:pPr>
              <w:spacing w:after="0"/>
              <w:rPr>
                <w:sz w:val="15"/>
                <w:szCs w:val="15"/>
                <w:color w:val="auto"/>
              </w:rPr>
            </w:pPr>
          </w:p>
        </w:tc>
        <w:tc>
          <w:tcPr>
            <w:tcW w:w="40" w:type="dxa"/>
            <w:vAlign w:val="bottom"/>
            <w:shd w:val="clear" w:color="auto" w:fill="C3D9EE"/>
          </w:tcPr>
          <w:p>
            <w:pPr>
              <w:spacing w:after="0"/>
              <w:rPr>
                <w:sz w:val="15"/>
                <w:szCs w:val="15"/>
                <w:color w:val="auto"/>
              </w:rPr>
            </w:pPr>
          </w:p>
        </w:tc>
        <w:tc>
          <w:tcPr>
            <w:tcW w:w="880" w:type="dxa"/>
            <w:vAlign w:val="bottom"/>
            <w:tcBorders>
              <w:bottom w:val="single" w:sz="8" w:color="1269BC"/>
            </w:tcBorders>
            <w:shd w:val="clear" w:color="auto" w:fill="C3D9EE"/>
          </w:tcPr>
          <w:p>
            <w:pPr>
              <w:spacing w:after="0"/>
              <w:rPr>
                <w:sz w:val="15"/>
                <w:szCs w:val="15"/>
                <w:color w:val="auto"/>
              </w:rPr>
            </w:pPr>
          </w:p>
        </w:tc>
        <w:tc>
          <w:tcPr>
            <w:tcW w:w="40" w:type="dxa"/>
            <w:vAlign w:val="bottom"/>
            <w:shd w:val="clear" w:color="auto" w:fill="C3D9EE"/>
          </w:tcPr>
          <w:p>
            <w:pPr>
              <w:spacing w:after="0"/>
              <w:rPr>
                <w:sz w:val="15"/>
                <w:szCs w:val="15"/>
                <w:color w:val="auto"/>
              </w:rPr>
            </w:pPr>
          </w:p>
        </w:tc>
        <w:tc>
          <w:tcPr>
            <w:tcW w:w="980" w:type="dxa"/>
            <w:vAlign w:val="bottom"/>
            <w:tcBorders>
              <w:bottom w:val="single" w:sz="8" w:color="1269BC"/>
            </w:tcBorders>
            <w:shd w:val="clear" w:color="auto" w:fill="C3D9EE"/>
          </w:tcPr>
          <w:p>
            <w:pPr>
              <w:spacing w:after="0"/>
              <w:rPr>
                <w:sz w:val="15"/>
                <w:szCs w:val="15"/>
                <w:color w:val="auto"/>
              </w:rPr>
            </w:pPr>
          </w:p>
        </w:tc>
        <w:tc>
          <w:tcPr>
            <w:tcW w:w="360" w:type="dxa"/>
            <w:vAlign w:val="bottom"/>
            <w:shd w:val="clear" w:color="auto" w:fill="C3D9EE"/>
          </w:tcPr>
          <w:p>
            <w:pPr>
              <w:spacing w:after="0"/>
              <w:rPr>
                <w:sz w:val="15"/>
                <w:szCs w:val="15"/>
                <w:color w:val="auto"/>
              </w:rPr>
            </w:pPr>
          </w:p>
        </w:tc>
        <w:tc>
          <w:tcPr>
            <w:tcW w:w="980" w:type="dxa"/>
            <w:vAlign w:val="bottom"/>
            <w:tcBorders>
              <w:bottom w:val="single" w:sz="8" w:color="1269BC"/>
            </w:tcBorders>
            <w:shd w:val="clear" w:color="auto" w:fill="C3D9EE"/>
          </w:tcPr>
          <w:p>
            <w:pPr>
              <w:spacing w:after="0"/>
              <w:rPr>
                <w:sz w:val="15"/>
                <w:szCs w:val="15"/>
                <w:color w:val="auto"/>
              </w:rPr>
            </w:pPr>
          </w:p>
        </w:tc>
        <w:tc>
          <w:tcPr>
            <w:tcW w:w="480" w:type="dxa"/>
            <w:vAlign w:val="bottom"/>
            <w:shd w:val="clear" w:color="auto" w:fill="C3D9EE"/>
          </w:tcPr>
          <w:p>
            <w:pPr>
              <w:spacing w:after="0"/>
              <w:rPr>
                <w:sz w:val="15"/>
                <w:szCs w:val="15"/>
                <w:color w:val="auto"/>
              </w:rPr>
            </w:pPr>
          </w:p>
        </w:tc>
        <w:tc>
          <w:tcPr>
            <w:tcW w:w="880" w:type="dxa"/>
            <w:vAlign w:val="bottom"/>
            <w:tcBorders>
              <w:bottom w:val="single" w:sz="8" w:color="1269BC"/>
            </w:tcBorders>
            <w:shd w:val="clear" w:color="auto" w:fill="C3D9EE"/>
          </w:tcPr>
          <w:p>
            <w:pPr>
              <w:spacing w:after="0"/>
              <w:rPr>
                <w:sz w:val="15"/>
                <w:szCs w:val="15"/>
                <w:color w:val="auto"/>
              </w:rPr>
            </w:pPr>
          </w:p>
        </w:tc>
        <w:tc>
          <w:tcPr>
            <w:tcW w:w="360" w:type="dxa"/>
            <w:vAlign w:val="bottom"/>
            <w:shd w:val="clear" w:color="auto" w:fill="C3D9EE"/>
          </w:tcPr>
          <w:p>
            <w:pPr>
              <w:spacing w:after="0"/>
              <w:rPr>
                <w:sz w:val="15"/>
                <w:szCs w:val="15"/>
                <w:color w:val="auto"/>
              </w:rPr>
            </w:pPr>
          </w:p>
        </w:tc>
        <w:tc>
          <w:tcPr>
            <w:tcW w:w="780" w:type="dxa"/>
            <w:vAlign w:val="bottom"/>
            <w:tcBorders>
              <w:bottom w:val="single" w:sz="8" w:color="1269BC"/>
            </w:tcBorders>
            <w:shd w:val="clear" w:color="auto" w:fill="C3D9EE"/>
          </w:tcPr>
          <w:p>
            <w:pPr>
              <w:spacing w:after="0"/>
              <w:rPr>
                <w:sz w:val="15"/>
                <w:szCs w:val="15"/>
                <w:color w:val="auto"/>
              </w:rPr>
            </w:pPr>
          </w:p>
        </w:tc>
      </w:tr>
    </w:tbl>
    <w:p>
      <w:pPr>
        <w:spacing w:after="0" w:line="245" w:lineRule="exact"/>
        <w:rPr>
          <w:sz w:val="20"/>
          <w:szCs w:val="20"/>
          <w:color w:val="auto"/>
        </w:rPr>
      </w:pPr>
    </w:p>
    <w:p>
      <w:pPr>
        <w:ind w:left="980" w:right="80" w:hanging="324"/>
        <w:spacing w:after="0" w:line="248"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the aggregate grant date fair value of performance-based and service-based restricted stock units granted during the fiscal years shown calculated in accordance with Financial Accounting Standards Board, or FASB, Accounting Standards Codification Topic 718, Compensation-Stock Compensation, or ASC Topic 718, rather than an amount paid to or realized by the Named Executive Officer, disregarding the estimate of forfeitures related to performance-based and service-based, as applicable, vesting conditions. The aggregate grant date fair value is the amount we expect to expense in our financial statements over the award’s vesting schedule. See “Stock-Based Compensation” in Note 15 of the Notes to the Consolidated Financial Statements included in our Annual Report on Form 10-K for the year ended March 28, 2020 (the “10-K”) for the assumptions used to calculate grant date fair value. The actual amounts, if any, ultimately realized may differ from the ASC Topic 718 grant date fair value amounts. See the “2020 Grants of Plan-Based Awards Table” on page 35 for information on grants awarded in fiscal year 2020.</w:t>
      </w:r>
    </w:p>
    <w:p>
      <w:pPr>
        <w:spacing w:after="0" w:line="232" w:lineRule="exact"/>
        <w:rPr>
          <w:rFonts w:ascii="Arial" w:cs="Arial" w:eastAsia="Arial" w:hAnsi="Arial"/>
          <w:sz w:val="16"/>
          <w:szCs w:val="16"/>
          <w:color w:val="auto"/>
        </w:rPr>
      </w:pPr>
    </w:p>
    <w:p>
      <w:pPr>
        <w:ind w:left="980" w:right="100" w:hanging="324"/>
        <w:spacing w:after="0" w:line="260"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amounts paid under our Short-Term Incentive Plan. See “Compensation Discussion and Analysis – Elements of Compensation – Short-Term Incentive Opportunities” for information on the Short-Term Incentive Plan.</w:t>
      </w:r>
    </w:p>
    <w:p>
      <w:pPr>
        <w:spacing w:after="0" w:line="222" w:lineRule="exact"/>
        <w:rPr>
          <w:rFonts w:ascii="Arial" w:cs="Arial" w:eastAsia="Arial" w:hAnsi="Arial"/>
          <w:sz w:val="16"/>
          <w:szCs w:val="16"/>
          <w:color w:val="auto"/>
        </w:rPr>
      </w:pPr>
    </w:p>
    <w:p>
      <w:pPr>
        <w:ind w:left="980" w:hanging="324"/>
        <w:spacing w:after="0"/>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company matching contributions to the accounts of the Named Executive Officers under our 401(k) plan.</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Fego was appointed as Corporate Vice President of Global Operations effective July 30, 2018.</w:t>
      </w:r>
    </w:p>
    <w:p>
      <w:pPr>
        <w:spacing w:after="0" w:line="152" w:lineRule="exact"/>
        <w:rPr>
          <w:sz w:val="20"/>
          <w:szCs w:val="20"/>
          <w:color w:val="auto"/>
        </w:rPr>
      </w:pPr>
    </w:p>
    <w:p>
      <w:pPr>
        <w:ind w:left="120"/>
        <w:spacing w:after="0"/>
        <w:tabs>
          <w:tab w:leader="none" w:pos="541" w:val="left"/>
        </w:tabs>
        <w:rPr>
          <w:sz w:val="20"/>
          <w:szCs w:val="20"/>
          <w:color w:val="auto"/>
        </w:rPr>
      </w:pPr>
      <w:r>
        <w:rPr>
          <w:rFonts w:ascii="Arial" w:cs="Arial" w:eastAsia="Arial" w:hAnsi="Arial"/>
          <w:sz w:val="18"/>
          <w:szCs w:val="18"/>
          <w:color w:val="auto"/>
        </w:rPr>
        <w:t>34</w:t>
      </w:r>
      <w:r>
        <w:rPr>
          <w:sz w:val="20"/>
          <w:szCs w:val="20"/>
          <w:color w:val="auto"/>
        </w:rPr>
        <w:tab/>
      </w:r>
      <w:r>
        <w:rPr>
          <w:sz w:val="1"/>
          <w:szCs w:val="1"/>
          <w:color w:val="auto"/>
        </w:rPr>
        <w:drawing>
          <wp:inline distT="0" distB="0" distL="0" distR="0">
            <wp:extent cx="582930" cy="13716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i w:val="1"/>
          <w:iCs w:val="1"/>
          <w:color w:val="1269BC"/>
        </w:rPr>
        <w:t xml:space="preserve">   2020 Proxy Statement</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14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2020 Grants of Plan-Based Awards Table</w:t>
      </w:r>
    </w:p>
    <w:p>
      <w:pPr>
        <w:spacing w:after="0" w:line="132" w:lineRule="exact"/>
        <w:rPr>
          <w:sz w:val="20"/>
          <w:szCs w:val="20"/>
          <w:color w:val="auto"/>
        </w:rPr>
      </w:pPr>
    </w:p>
    <w:p>
      <w:pPr>
        <w:ind w:left="120" w:right="160"/>
        <w:spacing w:after="0" w:line="253" w:lineRule="auto"/>
        <w:rPr>
          <w:sz w:val="20"/>
          <w:szCs w:val="20"/>
          <w:color w:val="auto"/>
        </w:rPr>
      </w:pPr>
      <w:r>
        <w:rPr>
          <w:rFonts w:ascii="Arial" w:cs="Arial" w:eastAsia="Arial" w:hAnsi="Arial"/>
          <w:sz w:val="16"/>
          <w:szCs w:val="16"/>
          <w:color w:val="auto"/>
        </w:rPr>
        <w:t>The following table provides information on restricted stock unit awards and plan-based short-term incentive awards granted to or earned by each of our Named Executive Officers with respect to fiscal year 2020. The actual amounts, if any, ultimately realized may differ from the amounts set forth in the “Grant Date Fair Value of Stock and Option Awards” column.</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80" w:type="dxa"/>
            <w:vAlign w:val="bottom"/>
            <w:gridSpan w:val="4"/>
            <w:vMerge w:val="restart"/>
          </w:tcPr>
          <w:p>
            <w:pPr>
              <w:jc w:val="center"/>
              <w:ind w:right="700"/>
              <w:spacing w:after="0"/>
              <w:rPr>
                <w:sz w:val="20"/>
                <w:szCs w:val="20"/>
                <w:color w:val="auto"/>
              </w:rPr>
            </w:pPr>
            <w:r>
              <w:rPr>
                <w:rFonts w:ascii="Arial" w:cs="Arial" w:eastAsia="Arial" w:hAnsi="Arial"/>
                <w:sz w:val="16"/>
                <w:szCs w:val="16"/>
                <w:b w:val="1"/>
                <w:bCs w:val="1"/>
                <w:color w:val="1269BC"/>
              </w:rPr>
              <w:t>Estimated Possible</w:t>
            </w: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1269BC"/>
              </w:rPr>
              <w:t>All Other</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18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1269BC"/>
              </w:rPr>
              <w:t>Stock</w:t>
            </w: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1269BC"/>
              </w:rPr>
              <w:t>Payouts Under</w:t>
            </w:r>
          </w:p>
        </w:tc>
        <w:tc>
          <w:tcPr>
            <w:tcW w:w="9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1269BC"/>
              </w:rPr>
              <w:t>Estimated Possible</w:t>
            </w:r>
          </w:p>
        </w:tc>
        <w:tc>
          <w:tcPr>
            <w:tcW w:w="88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1269BC"/>
              </w:rPr>
              <w:t>Awards:</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1269BC"/>
              </w:rPr>
              <w:t>Grant Date</w:t>
            </w:r>
          </w:p>
        </w:tc>
        <w:tc>
          <w:tcPr>
            <w:tcW w:w="0" w:type="dxa"/>
            <w:vAlign w:val="bottom"/>
          </w:tcPr>
          <w:p>
            <w:pPr>
              <w:spacing w:after="0"/>
              <w:rPr>
                <w:sz w:val="1"/>
                <w:szCs w:val="1"/>
                <w:color w:val="auto"/>
              </w:rPr>
            </w:pPr>
          </w:p>
        </w:tc>
      </w:tr>
      <w:tr>
        <w:trPr>
          <w:trHeight w:val="81"/>
        </w:trPr>
        <w:tc>
          <w:tcPr>
            <w:tcW w:w="1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180" w:type="dxa"/>
            <w:vAlign w:val="bottom"/>
            <w:gridSpan w:val="4"/>
            <w:vMerge w:val="restart"/>
          </w:tcPr>
          <w:p>
            <w:pPr>
              <w:jc w:val="center"/>
              <w:ind w:right="720"/>
              <w:spacing w:after="0"/>
              <w:rPr>
                <w:sz w:val="20"/>
                <w:szCs w:val="20"/>
                <w:color w:val="auto"/>
              </w:rPr>
            </w:pPr>
            <w:r>
              <w:rPr>
                <w:rFonts w:ascii="Arial" w:cs="Arial" w:eastAsia="Arial" w:hAnsi="Arial"/>
                <w:sz w:val="16"/>
                <w:szCs w:val="16"/>
                <w:b w:val="1"/>
                <w:bCs w:val="1"/>
                <w:color w:val="1269BC"/>
              </w:rPr>
              <w:t>Non-Equity Incentive</w:t>
            </w:r>
          </w:p>
        </w:tc>
        <w:tc>
          <w:tcPr>
            <w:tcW w:w="640" w:type="dxa"/>
            <w:vAlign w:val="bottom"/>
          </w:tcPr>
          <w:p>
            <w:pPr>
              <w:spacing w:after="0"/>
              <w:rPr>
                <w:sz w:val="7"/>
                <w:szCs w:val="7"/>
                <w:color w:val="auto"/>
              </w:rPr>
            </w:pPr>
          </w:p>
        </w:tc>
        <w:tc>
          <w:tcPr>
            <w:tcW w:w="1840" w:type="dxa"/>
            <w:vAlign w:val="bottom"/>
            <w:gridSpan w:val="2"/>
            <w:vMerge w:val="restart"/>
          </w:tcPr>
          <w:p>
            <w:pPr>
              <w:jc w:val="center"/>
              <w:ind w:right="565"/>
              <w:spacing w:after="0"/>
              <w:rPr>
                <w:sz w:val="20"/>
                <w:szCs w:val="20"/>
                <w:color w:val="auto"/>
              </w:rPr>
            </w:pPr>
            <w:r>
              <w:rPr>
                <w:rFonts w:ascii="Arial" w:cs="Arial" w:eastAsia="Arial" w:hAnsi="Arial"/>
                <w:sz w:val="16"/>
                <w:szCs w:val="16"/>
                <w:b w:val="1"/>
                <w:bCs w:val="1"/>
                <w:color w:val="1269BC"/>
              </w:rPr>
              <w:t>Payouts Under</w:t>
            </w:r>
          </w:p>
        </w:tc>
        <w:tc>
          <w:tcPr>
            <w:tcW w:w="8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18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1269BC"/>
              </w:rPr>
              <w:t>Number of</w:t>
            </w:r>
          </w:p>
        </w:tc>
        <w:tc>
          <w:tcPr>
            <w:tcW w:w="1040" w:type="dxa"/>
            <w:vAlign w:val="bottom"/>
            <w:vMerge w:val="restart"/>
          </w:tcPr>
          <w:p>
            <w:pPr>
              <w:jc w:val="right"/>
              <w:ind w:right="105"/>
              <w:spacing w:after="0"/>
              <w:rPr>
                <w:sz w:val="20"/>
                <w:szCs w:val="20"/>
                <w:color w:val="auto"/>
              </w:rPr>
            </w:pPr>
            <w:r>
              <w:rPr>
                <w:rFonts w:ascii="Arial" w:cs="Arial" w:eastAsia="Arial" w:hAnsi="Arial"/>
                <w:sz w:val="16"/>
                <w:szCs w:val="16"/>
                <w:b w:val="1"/>
                <w:bCs w:val="1"/>
                <w:color w:val="1269BC"/>
              </w:rPr>
              <w:t>Fair Value</w:t>
            </w:r>
          </w:p>
        </w:tc>
        <w:tc>
          <w:tcPr>
            <w:tcW w:w="0" w:type="dxa"/>
            <w:vAlign w:val="bottom"/>
          </w:tcPr>
          <w:p>
            <w:pPr>
              <w:spacing w:after="0"/>
              <w:rPr>
                <w:sz w:val="1"/>
                <w:szCs w:val="1"/>
                <w:color w:val="auto"/>
              </w:rPr>
            </w:pPr>
          </w:p>
        </w:tc>
      </w:tr>
      <w:tr>
        <w:trPr>
          <w:trHeight w:val="81"/>
        </w:trPr>
        <w:tc>
          <w:tcPr>
            <w:tcW w:w="1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1269BC"/>
                <w:w w:val="99"/>
              </w:rPr>
              <w:t>Plan Awards</w:t>
            </w:r>
          </w:p>
        </w:tc>
        <w:tc>
          <w:tcPr>
            <w:tcW w:w="9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1269BC"/>
              </w:rPr>
              <w:t>Equity Incentive</w:t>
            </w:r>
          </w:p>
        </w:tc>
        <w:tc>
          <w:tcPr>
            <w:tcW w:w="8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1269BC"/>
              </w:rPr>
              <w:t>Shares of</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1269BC"/>
              </w:rPr>
              <w:t>of Stock</w:t>
            </w:r>
          </w:p>
        </w:tc>
        <w:tc>
          <w:tcPr>
            <w:tcW w:w="0" w:type="dxa"/>
            <w:vAlign w:val="bottom"/>
          </w:tcPr>
          <w:p>
            <w:pPr>
              <w:spacing w:after="0"/>
              <w:rPr>
                <w:sz w:val="1"/>
                <w:szCs w:val="1"/>
                <w:color w:val="auto"/>
              </w:rPr>
            </w:pPr>
          </w:p>
        </w:tc>
      </w:tr>
      <w:tr>
        <w:trPr>
          <w:trHeight w:val="81"/>
        </w:trPr>
        <w:tc>
          <w:tcPr>
            <w:tcW w:w="1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1269BC"/>
              </w:rPr>
              <w:t>(2)</w:t>
            </w:r>
          </w:p>
        </w:tc>
        <w:tc>
          <w:tcPr>
            <w:tcW w:w="9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40" w:type="dxa"/>
            <w:vAlign w:val="bottom"/>
            <w:gridSpan w:val="2"/>
            <w:vMerge w:val="restart"/>
          </w:tcPr>
          <w:p>
            <w:pPr>
              <w:jc w:val="center"/>
              <w:ind w:right="565"/>
              <w:spacing w:after="0"/>
              <w:rPr>
                <w:sz w:val="20"/>
                <w:szCs w:val="20"/>
                <w:color w:val="auto"/>
              </w:rPr>
            </w:pPr>
            <w:r>
              <w:rPr>
                <w:rFonts w:ascii="Arial" w:cs="Arial" w:eastAsia="Arial" w:hAnsi="Arial"/>
                <w:sz w:val="16"/>
                <w:szCs w:val="16"/>
                <w:b w:val="1"/>
                <w:bCs w:val="1"/>
                <w:color w:val="1269BC"/>
                <w:w w:val="99"/>
              </w:rPr>
              <w:t>Plan Awards</w:t>
            </w:r>
          </w:p>
        </w:tc>
        <w:tc>
          <w:tcPr>
            <w:tcW w:w="8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Borders>
              <w:bottom w:val="single" w:sz="8" w:color="1269BC"/>
            </w:tcBorders>
          </w:tcPr>
          <w:p>
            <w:pPr>
              <w:spacing w:after="0"/>
              <w:rPr>
                <w:sz w:val="11"/>
                <w:szCs w:val="11"/>
                <w:color w:val="auto"/>
              </w:rPr>
            </w:pPr>
          </w:p>
        </w:tc>
        <w:tc>
          <w:tcPr>
            <w:tcW w:w="600" w:type="dxa"/>
            <w:vAlign w:val="bottom"/>
            <w:tcBorders>
              <w:bottom w:val="single" w:sz="8" w:color="1269BC"/>
            </w:tcBorders>
          </w:tcPr>
          <w:p>
            <w:pPr>
              <w:spacing w:after="0"/>
              <w:rPr>
                <w:sz w:val="11"/>
                <w:szCs w:val="11"/>
                <w:color w:val="auto"/>
              </w:rPr>
            </w:pPr>
          </w:p>
        </w:tc>
        <w:tc>
          <w:tcPr>
            <w:tcW w:w="1260" w:type="dxa"/>
            <w:vAlign w:val="bottom"/>
            <w:tcBorders>
              <w:bottom w:val="single" w:sz="8" w:color="1269BC"/>
            </w:tcBorders>
            <w:vMerge w:val="continue"/>
          </w:tcPr>
          <w:p>
            <w:pPr>
              <w:spacing w:after="0"/>
              <w:rPr>
                <w:sz w:val="11"/>
                <w:szCs w:val="11"/>
                <w:color w:val="auto"/>
              </w:rPr>
            </w:pPr>
          </w:p>
        </w:tc>
        <w:tc>
          <w:tcPr>
            <w:tcW w:w="980" w:type="dxa"/>
            <w:vAlign w:val="bottom"/>
            <w:tcBorders>
              <w:bottom w:val="single" w:sz="8" w:color="1269BC"/>
            </w:tcBorders>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Borders>
              <w:bottom w:val="single" w:sz="8" w:color="1269BC"/>
            </w:tcBorders>
          </w:tcPr>
          <w:p>
            <w:pPr>
              <w:spacing w:after="0"/>
              <w:rPr>
                <w:sz w:val="11"/>
                <w:szCs w:val="11"/>
                <w:color w:val="auto"/>
              </w:rPr>
            </w:pPr>
          </w:p>
        </w:tc>
        <w:tc>
          <w:tcPr>
            <w:tcW w:w="1840" w:type="dxa"/>
            <w:vAlign w:val="bottom"/>
            <w:tcBorders>
              <w:bottom w:val="single" w:sz="8" w:color="1269BC"/>
            </w:tcBorders>
            <w:gridSpan w:val="2"/>
            <w:vMerge w:val="continue"/>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1269BC"/>
              </w:rPr>
              <w:t>Stock or</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1269BC"/>
              </w:rPr>
              <w:t>and Option</w:t>
            </w:r>
          </w:p>
        </w:tc>
        <w:tc>
          <w:tcPr>
            <w:tcW w:w="0" w:type="dxa"/>
            <w:vAlign w:val="bottom"/>
          </w:tcPr>
          <w:p>
            <w:pPr>
              <w:spacing w:after="0"/>
              <w:rPr>
                <w:sz w:val="1"/>
                <w:szCs w:val="1"/>
                <w:color w:val="auto"/>
              </w:rPr>
            </w:pPr>
          </w:p>
        </w:tc>
      </w:tr>
      <w:tr>
        <w:trPr>
          <w:trHeight w:val="32"/>
        </w:trPr>
        <w:tc>
          <w:tcPr>
            <w:tcW w:w="1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980" w:type="dxa"/>
            <w:vAlign w:val="bottom"/>
          </w:tcPr>
          <w:p>
            <w:pPr>
              <w:spacing w:after="0"/>
              <w:rPr>
                <w:sz w:val="16"/>
                <w:szCs w:val="16"/>
                <w:color w:val="auto"/>
              </w:rPr>
            </w:pPr>
          </w:p>
        </w:tc>
        <w:tc>
          <w:tcPr>
            <w:tcW w:w="1100" w:type="dxa"/>
            <w:vAlign w:val="bottom"/>
          </w:tcPr>
          <w:p>
            <w:pPr>
              <w:jc w:val="right"/>
              <w:ind w:right="67"/>
              <w:spacing w:after="0"/>
              <w:rPr>
                <w:sz w:val="20"/>
                <w:szCs w:val="20"/>
                <w:color w:val="auto"/>
              </w:rPr>
            </w:pPr>
            <w:r>
              <w:rPr>
                <w:rFonts w:ascii="Arial" w:cs="Arial" w:eastAsia="Arial" w:hAnsi="Arial"/>
                <w:sz w:val="16"/>
                <w:szCs w:val="16"/>
                <w:b w:val="1"/>
                <w:bCs w:val="1"/>
                <w:color w:val="1269BC"/>
              </w:rPr>
              <w:t>Grant Date</w:t>
            </w: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1269BC"/>
              </w:rPr>
              <w:t>Threshold</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1269BC"/>
                <w:w w:val="98"/>
              </w:rPr>
              <w:t>Target</w:t>
            </w: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1269BC"/>
              </w:rPr>
              <w:t>Maximum</w:t>
            </w:r>
          </w:p>
        </w:tc>
        <w:tc>
          <w:tcPr>
            <w:tcW w:w="1580" w:type="dxa"/>
            <w:vAlign w:val="bottom"/>
            <w:gridSpan w:val="2"/>
          </w:tcPr>
          <w:p>
            <w:pPr>
              <w:jc w:val="right"/>
              <w:ind w:right="45"/>
              <w:spacing w:after="0"/>
              <w:rPr>
                <w:sz w:val="20"/>
                <w:szCs w:val="20"/>
                <w:color w:val="auto"/>
              </w:rPr>
            </w:pPr>
            <w:r>
              <w:rPr>
                <w:rFonts w:ascii="Arial" w:cs="Arial" w:eastAsia="Arial" w:hAnsi="Arial"/>
                <w:sz w:val="16"/>
                <w:szCs w:val="16"/>
                <w:b w:val="1"/>
                <w:bCs w:val="1"/>
                <w:color w:val="1269BC"/>
              </w:rPr>
              <w:t>Threshold  Target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1269BC"/>
              </w:rPr>
              <w:t>Maximum</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1269BC"/>
                <w:w w:val="99"/>
              </w:rPr>
              <w:t>Units</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1269BC"/>
              </w:rPr>
              <w:t>Awards</w:t>
            </w:r>
          </w:p>
        </w:tc>
        <w:tc>
          <w:tcPr>
            <w:tcW w:w="0" w:type="dxa"/>
            <w:vAlign w:val="bottom"/>
          </w:tcPr>
          <w:p>
            <w:pPr>
              <w:spacing w:after="0"/>
              <w:rPr>
                <w:sz w:val="1"/>
                <w:szCs w:val="1"/>
                <w:color w:val="auto"/>
              </w:rPr>
            </w:pPr>
          </w:p>
        </w:tc>
      </w:tr>
      <w:tr>
        <w:trPr>
          <w:trHeight w:val="228"/>
        </w:trPr>
        <w:tc>
          <w:tcPr>
            <w:tcW w:w="1980" w:type="dxa"/>
            <w:vAlign w:val="bottom"/>
            <w:tcBorders>
              <w:bottom w:val="single" w:sz="8" w:color="1269BC"/>
            </w:tcBorders>
          </w:tcPr>
          <w:p>
            <w:pPr>
              <w:ind w:left="80"/>
              <w:spacing w:after="0"/>
              <w:rPr>
                <w:sz w:val="20"/>
                <w:szCs w:val="20"/>
                <w:color w:val="auto"/>
              </w:rPr>
            </w:pPr>
            <w:r>
              <w:rPr>
                <w:rFonts w:ascii="Arial" w:cs="Arial" w:eastAsia="Arial" w:hAnsi="Arial"/>
                <w:sz w:val="16"/>
                <w:szCs w:val="16"/>
                <w:b w:val="1"/>
                <w:bCs w:val="1"/>
                <w:color w:val="1269BC"/>
              </w:rPr>
              <w:t>Name</w:t>
            </w:r>
          </w:p>
        </w:tc>
        <w:tc>
          <w:tcPr>
            <w:tcW w:w="1100" w:type="dxa"/>
            <w:vAlign w:val="bottom"/>
            <w:tcBorders>
              <w:bottom w:val="single" w:sz="8" w:color="1269BC"/>
            </w:tcBorders>
          </w:tcPr>
          <w:p>
            <w:pPr>
              <w:jc w:val="right"/>
              <w:ind w:right="387"/>
              <w:spacing w:after="0"/>
              <w:rPr>
                <w:sz w:val="20"/>
                <w:szCs w:val="20"/>
                <w:color w:val="auto"/>
              </w:rPr>
            </w:pPr>
            <w:r>
              <w:rPr>
                <w:rFonts w:ascii="Arial" w:cs="Arial" w:eastAsia="Arial" w:hAnsi="Arial"/>
                <w:sz w:val="16"/>
                <w:szCs w:val="16"/>
                <w:b w:val="1"/>
                <w:bCs w:val="1"/>
                <w:color w:val="1269BC"/>
              </w:rPr>
              <w:t>(1)</w:t>
            </w:r>
          </w:p>
        </w:tc>
        <w:tc>
          <w:tcPr>
            <w:tcW w:w="360" w:type="dxa"/>
            <w:vAlign w:val="bottom"/>
            <w:tcBorders>
              <w:bottom w:val="single" w:sz="8" w:color="1269BC"/>
            </w:tcBorders>
          </w:tcPr>
          <w:p>
            <w:pPr>
              <w:spacing w:after="0"/>
              <w:rPr>
                <w:sz w:val="19"/>
                <w:szCs w:val="19"/>
                <w:color w:val="auto"/>
              </w:rPr>
            </w:pPr>
          </w:p>
        </w:tc>
        <w:tc>
          <w:tcPr>
            <w:tcW w:w="600" w:type="dxa"/>
            <w:vAlign w:val="bottom"/>
            <w:tcBorders>
              <w:bottom w:val="single" w:sz="8" w:color="1269BC"/>
            </w:tcBorders>
          </w:tcPr>
          <w:p>
            <w:pPr>
              <w:ind w:left="60"/>
              <w:spacing w:after="0"/>
              <w:rPr>
                <w:sz w:val="20"/>
                <w:szCs w:val="20"/>
                <w:color w:val="auto"/>
              </w:rPr>
            </w:pPr>
            <w:r>
              <w:rPr>
                <w:rFonts w:ascii="Arial" w:cs="Arial" w:eastAsia="Arial" w:hAnsi="Arial"/>
                <w:sz w:val="16"/>
                <w:szCs w:val="16"/>
                <w:b w:val="1"/>
                <w:bCs w:val="1"/>
                <w:color w:val="1269BC"/>
              </w:rPr>
              <w:t>($)</w:t>
            </w:r>
          </w:p>
        </w:tc>
        <w:tc>
          <w:tcPr>
            <w:tcW w:w="126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w:t>
            </w:r>
          </w:p>
        </w:tc>
        <w:tc>
          <w:tcPr>
            <w:tcW w:w="980" w:type="dxa"/>
            <w:vAlign w:val="bottom"/>
            <w:tcBorders>
              <w:bottom w:val="single" w:sz="8" w:color="1269BC"/>
            </w:tcBorders>
          </w:tcPr>
          <w:p>
            <w:pPr>
              <w:jc w:val="right"/>
              <w:ind w:right="365"/>
              <w:spacing w:after="0"/>
              <w:rPr>
                <w:sz w:val="20"/>
                <w:szCs w:val="20"/>
                <w:color w:val="auto"/>
              </w:rPr>
            </w:pPr>
            <w:r>
              <w:rPr>
                <w:rFonts w:ascii="Arial" w:cs="Arial" w:eastAsia="Arial" w:hAnsi="Arial"/>
                <w:sz w:val="16"/>
                <w:szCs w:val="16"/>
                <w:b w:val="1"/>
                <w:bCs w:val="1"/>
                <w:color w:val="1269BC"/>
              </w:rPr>
              <w:t>($)</w:t>
            </w:r>
          </w:p>
        </w:tc>
        <w:tc>
          <w:tcPr>
            <w:tcW w:w="340" w:type="dxa"/>
            <w:vAlign w:val="bottom"/>
            <w:tcBorders>
              <w:bottom w:val="single" w:sz="8" w:color="1269BC"/>
            </w:tcBorders>
          </w:tcPr>
          <w:p>
            <w:pPr>
              <w:spacing w:after="0"/>
              <w:rPr>
                <w:sz w:val="19"/>
                <w:szCs w:val="19"/>
                <w:color w:val="auto"/>
              </w:rPr>
            </w:pPr>
          </w:p>
        </w:tc>
        <w:tc>
          <w:tcPr>
            <w:tcW w:w="640" w:type="dxa"/>
            <w:vAlign w:val="bottom"/>
            <w:tcBorders>
              <w:bottom w:val="single" w:sz="8" w:color="1269BC"/>
            </w:tcBorders>
          </w:tcPr>
          <w:p>
            <w:pPr>
              <w:jc w:val="right"/>
              <w:ind w:right="64"/>
              <w:spacing w:after="0"/>
              <w:rPr>
                <w:sz w:val="20"/>
                <w:szCs w:val="20"/>
                <w:color w:val="auto"/>
              </w:rPr>
            </w:pPr>
            <w:r>
              <w:rPr>
                <w:rFonts w:ascii="Arial" w:cs="Arial" w:eastAsia="Arial" w:hAnsi="Arial"/>
                <w:sz w:val="16"/>
                <w:szCs w:val="16"/>
                <w:b w:val="1"/>
                <w:bCs w:val="1"/>
                <w:color w:val="1269BC"/>
              </w:rPr>
              <w:t>(#)</w:t>
            </w:r>
          </w:p>
        </w:tc>
        <w:tc>
          <w:tcPr>
            <w:tcW w:w="940" w:type="dxa"/>
            <w:vAlign w:val="bottom"/>
            <w:tcBorders>
              <w:bottom w:val="single" w:sz="8" w:color="1269BC"/>
            </w:tcBorders>
          </w:tcPr>
          <w:p>
            <w:pPr>
              <w:jc w:val="center"/>
              <w:ind w:left="145"/>
              <w:spacing w:after="0"/>
              <w:rPr>
                <w:sz w:val="20"/>
                <w:szCs w:val="20"/>
                <w:color w:val="auto"/>
              </w:rPr>
            </w:pPr>
            <w:r>
              <w:rPr>
                <w:rFonts w:ascii="Arial" w:cs="Arial" w:eastAsia="Arial" w:hAnsi="Arial"/>
                <w:sz w:val="16"/>
                <w:szCs w:val="16"/>
                <w:b w:val="1"/>
                <w:bCs w:val="1"/>
                <w:color w:val="1269BC"/>
              </w:rPr>
              <w:t>(#)</w:t>
            </w:r>
          </w:p>
        </w:tc>
        <w:tc>
          <w:tcPr>
            <w:tcW w:w="900" w:type="dxa"/>
            <w:vAlign w:val="bottom"/>
            <w:tcBorders>
              <w:bottom w:val="single" w:sz="8" w:color="1269BC"/>
            </w:tcBorders>
          </w:tcPr>
          <w:p>
            <w:pPr>
              <w:jc w:val="right"/>
              <w:ind w:right="245"/>
              <w:spacing w:after="0"/>
              <w:rPr>
                <w:sz w:val="20"/>
                <w:szCs w:val="20"/>
                <w:color w:val="auto"/>
              </w:rPr>
            </w:pPr>
            <w:r>
              <w:rPr>
                <w:rFonts w:ascii="Arial" w:cs="Arial" w:eastAsia="Arial" w:hAnsi="Arial"/>
                <w:sz w:val="16"/>
                <w:szCs w:val="16"/>
                <w:b w:val="1"/>
                <w:bCs w:val="1"/>
                <w:color w:val="1269BC"/>
              </w:rPr>
              <w:t>(#)</w:t>
            </w:r>
          </w:p>
        </w:tc>
        <w:tc>
          <w:tcPr>
            <w:tcW w:w="88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w:t>
            </w:r>
          </w:p>
        </w:tc>
        <w:tc>
          <w:tcPr>
            <w:tcW w:w="104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 (5)</w:t>
            </w:r>
          </w:p>
        </w:tc>
        <w:tc>
          <w:tcPr>
            <w:tcW w:w="0" w:type="dxa"/>
            <w:vAlign w:val="bottom"/>
          </w:tcPr>
          <w:p>
            <w:pPr>
              <w:spacing w:after="0"/>
              <w:rPr>
                <w:sz w:val="1"/>
                <w:szCs w:val="1"/>
                <w:color w:val="auto"/>
              </w:rPr>
            </w:pPr>
          </w:p>
        </w:tc>
      </w:tr>
      <w:tr>
        <w:trPr>
          <w:trHeight w:val="175"/>
        </w:trPr>
        <w:tc>
          <w:tcPr>
            <w:tcW w:w="1980" w:type="dxa"/>
            <w:vAlign w:val="bottom"/>
            <w:shd w:val="clear" w:color="auto" w:fill="C3D9EE"/>
          </w:tcPr>
          <w:p>
            <w:pPr>
              <w:ind w:left="80"/>
              <w:spacing w:after="0"/>
              <w:rPr>
                <w:sz w:val="20"/>
                <w:szCs w:val="20"/>
                <w:color w:val="auto"/>
              </w:rPr>
            </w:pPr>
            <w:r>
              <w:rPr>
                <w:rFonts w:ascii="Arial" w:cs="Arial" w:eastAsia="Arial" w:hAnsi="Arial"/>
                <w:sz w:val="14"/>
                <w:szCs w:val="14"/>
                <w:color w:val="auto"/>
              </w:rPr>
              <w:t>Robert A. Bruggeworth</w:t>
            </w:r>
          </w:p>
        </w:tc>
        <w:tc>
          <w:tcPr>
            <w:tcW w:w="1100" w:type="dxa"/>
            <w:vAlign w:val="bottom"/>
            <w:shd w:val="clear" w:color="auto" w:fill="C3D9EE"/>
          </w:tcPr>
          <w:p>
            <w:pPr>
              <w:jc w:val="right"/>
              <w:ind w:right="147"/>
              <w:spacing w:after="0"/>
              <w:rPr>
                <w:sz w:val="20"/>
                <w:szCs w:val="20"/>
                <w:color w:val="auto"/>
              </w:rPr>
            </w:pPr>
            <w:r>
              <w:rPr>
                <w:rFonts w:ascii="Arial" w:cs="Arial" w:eastAsia="Arial" w:hAnsi="Arial"/>
                <w:sz w:val="14"/>
                <w:szCs w:val="14"/>
                <w:color w:val="auto"/>
              </w:rPr>
              <w:t>N/A</w:t>
            </w:r>
          </w:p>
        </w:tc>
        <w:tc>
          <w:tcPr>
            <w:tcW w:w="360" w:type="dxa"/>
            <w:vAlign w:val="bottom"/>
            <w:shd w:val="clear" w:color="auto" w:fill="C3D9EE"/>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3D9EE"/>
          </w:tcPr>
          <w:p>
            <w:pPr>
              <w:ind w:left="42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3D9EE"/>
          </w:tcPr>
          <w:p>
            <w:pPr>
              <w:jc w:val="right"/>
              <w:ind w:right="204"/>
              <w:spacing w:after="0"/>
              <w:rPr>
                <w:sz w:val="20"/>
                <w:szCs w:val="20"/>
                <w:color w:val="auto"/>
              </w:rPr>
            </w:pPr>
            <w:r>
              <w:rPr>
                <w:rFonts w:ascii="Arial" w:cs="Arial" w:eastAsia="Arial" w:hAnsi="Arial"/>
                <w:sz w:val="14"/>
                <w:szCs w:val="14"/>
                <w:color w:val="auto"/>
              </w:rPr>
              <w:t>$1,278,233</w:t>
            </w:r>
          </w:p>
        </w:tc>
        <w:tc>
          <w:tcPr>
            <w:tcW w:w="980" w:type="dxa"/>
            <w:vAlign w:val="bottom"/>
            <w:shd w:val="clear" w:color="auto" w:fill="C3D9EE"/>
          </w:tcPr>
          <w:p>
            <w:pPr>
              <w:jc w:val="right"/>
              <w:ind w:right="105"/>
              <w:spacing w:after="0"/>
              <w:rPr>
                <w:sz w:val="20"/>
                <w:szCs w:val="20"/>
                <w:color w:val="auto"/>
              </w:rPr>
            </w:pPr>
            <w:r>
              <w:rPr>
                <w:rFonts w:ascii="Arial" w:cs="Arial" w:eastAsia="Arial" w:hAnsi="Arial"/>
                <w:sz w:val="14"/>
                <w:szCs w:val="14"/>
                <w:color w:val="auto"/>
              </w:rPr>
              <w:t>$2,556,466</w:t>
            </w:r>
          </w:p>
        </w:tc>
        <w:tc>
          <w:tcPr>
            <w:tcW w:w="340" w:type="dxa"/>
            <w:vAlign w:val="bottom"/>
            <w:shd w:val="clear" w:color="auto" w:fill="C3D9EE"/>
          </w:tcPr>
          <w:p>
            <w:pPr>
              <w:spacing w:after="0"/>
              <w:rPr>
                <w:sz w:val="15"/>
                <w:szCs w:val="15"/>
                <w:color w:val="auto"/>
              </w:rPr>
            </w:pPr>
          </w:p>
        </w:tc>
        <w:tc>
          <w:tcPr>
            <w:tcW w:w="640" w:type="dxa"/>
            <w:vAlign w:val="bottom"/>
            <w:shd w:val="clear" w:color="auto" w:fill="C3D9EE"/>
          </w:tcPr>
          <w:p>
            <w:pPr>
              <w:spacing w:after="0"/>
              <w:rPr>
                <w:sz w:val="15"/>
                <w:szCs w:val="15"/>
                <w:color w:val="auto"/>
              </w:rPr>
            </w:pPr>
          </w:p>
        </w:tc>
        <w:tc>
          <w:tcPr>
            <w:tcW w:w="940" w:type="dxa"/>
            <w:vAlign w:val="bottom"/>
            <w:shd w:val="clear" w:color="auto" w:fill="C3D9EE"/>
          </w:tcPr>
          <w:p>
            <w:pPr>
              <w:spacing w:after="0"/>
              <w:rPr>
                <w:sz w:val="15"/>
                <w:szCs w:val="15"/>
                <w:color w:val="auto"/>
              </w:rPr>
            </w:pPr>
          </w:p>
        </w:tc>
        <w:tc>
          <w:tcPr>
            <w:tcW w:w="900" w:type="dxa"/>
            <w:vAlign w:val="bottom"/>
            <w:shd w:val="clear" w:color="auto" w:fill="C3D9EE"/>
          </w:tcPr>
          <w:p>
            <w:pPr>
              <w:spacing w:after="0"/>
              <w:rPr>
                <w:sz w:val="15"/>
                <w:szCs w:val="15"/>
                <w:color w:val="auto"/>
              </w:rPr>
            </w:pPr>
          </w:p>
        </w:tc>
        <w:tc>
          <w:tcPr>
            <w:tcW w:w="880" w:type="dxa"/>
            <w:vAlign w:val="bottom"/>
            <w:shd w:val="clear" w:color="auto" w:fill="C3D9EE"/>
          </w:tcPr>
          <w:p>
            <w:pPr>
              <w:spacing w:after="0"/>
              <w:rPr>
                <w:sz w:val="15"/>
                <w:szCs w:val="15"/>
                <w:color w:val="auto"/>
              </w:rPr>
            </w:pPr>
          </w:p>
        </w:tc>
        <w:tc>
          <w:tcPr>
            <w:tcW w:w="1040" w:type="dxa"/>
            <w:vAlign w:val="bottom"/>
            <w:shd w:val="clear" w:color="auto" w:fill="C3D9E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80" w:type="dxa"/>
            <w:vAlign w:val="bottom"/>
            <w:shd w:val="clear" w:color="auto" w:fill="C3D9EE"/>
          </w:tcPr>
          <w:p>
            <w:pPr>
              <w:spacing w:after="0"/>
              <w:rPr>
                <w:sz w:val="15"/>
                <w:szCs w:val="15"/>
                <w:color w:val="auto"/>
              </w:rPr>
            </w:pPr>
          </w:p>
        </w:tc>
        <w:tc>
          <w:tcPr>
            <w:tcW w:w="1100" w:type="dxa"/>
            <w:vAlign w:val="bottom"/>
            <w:shd w:val="clear" w:color="auto" w:fill="C3D9EE"/>
          </w:tcPr>
          <w:p>
            <w:pPr>
              <w:jc w:val="right"/>
              <w:spacing w:after="0"/>
              <w:rPr>
                <w:sz w:val="20"/>
                <w:szCs w:val="20"/>
                <w:color w:val="auto"/>
              </w:rPr>
            </w:pPr>
            <w:r>
              <w:rPr>
                <w:rFonts w:ascii="Arial" w:cs="Arial" w:eastAsia="Arial" w:hAnsi="Arial"/>
                <w:sz w:val="14"/>
                <w:szCs w:val="14"/>
                <w:color w:val="auto"/>
              </w:rPr>
              <w:t>5/10/2019 (3)</w:t>
            </w:r>
          </w:p>
        </w:tc>
        <w:tc>
          <w:tcPr>
            <w:tcW w:w="360" w:type="dxa"/>
            <w:vAlign w:val="bottom"/>
            <w:shd w:val="clear" w:color="auto" w:fill="C3D9EE"/>
          </w:tcPr>
          <w:p>
            <w:pPr>
              <w:spacing w:after="0"/>
              <w:rPr>
                <w:sz w:val="15"/>
                <w:szCs w:val="15"/>
                <w:color w:val="auto"/>
              </w:rPr>
            </w:pPr>
          </w:p>
        </w:tc>
        <w:tc>
          <w:tcPr>
            <w:tcW w:w="600" w:type="dxa"/>
            <w:vAlign w:val="bottom"/>
            <w:shd w:val="clear" w:color="auto" w:fill="C3D9EE"/>
          </w:tcPr>
          <w:p>
            <w:pPr>
              <w:spacing w:after="0"/>
              <w:rPr>
                <w:sz w:val="15"/>
                <w:szCs w:val="15"/>
                <w:color w:val="auto"/>
              </w:rPr>
            </w:pPr>
          </w:p>
        </w:tc>
        <w:tc>
          <w:tcPr>
            <w:tcW w:w="1260" w:type="dxa"/>
            <w:vAlign w:val="bottom"/>
            <w:shd w:val="clear" w:color="auto" w:fill="C3D9EE"/>
          </w:tcPr>
          <w:p>
            <w:pPr>
              <w:spacing w:after="0"/>
              <w:rPr>
                <w:sz w:val="15"/>
                <w:szCs w:val="15"/>
                <w:color w:val="auto"/>
              </w:rPr>
            </w:pPr>
          </w:p>
        </w:tc>
        <w:tc>
          <w:tcPr>
            <w:tcW w:w="980" w:type="dxa"/>
            <w:vAlign w:val="bottom"/>
            <w:shd w:val="clear" w:color="auto" w:fill="C3D9EE"/>
          </w:tcPr>
          <w:p>
            <w:pPr>
              <w:spacing w:after="0"/>
              <w:rPr>
                <w:sz w:val="15"/>
                <w:szCs w:val="15"/>
                <w:color w:val="auto"/>
              </w:rPr>
            </w:pPr>
          </w:p>
        </w:tc>
        <w:tc>
          <w:tcPr>
            <w:tcW w:w="340" w:type="dxa"/>
            <w:vAlign w:val="bottom"/>
            <w:shd w:val="clear" w:color="auto" w:fill="C3D9EE"/>
          </w:tcPr>
          <w:p>
            <w:pPr>
              <w:spacing w:after="0"/>
              <w:rPr>
                <w:sz w:val="15"/>
                <w:szCs w:val="15"/>
                <w:color w:val="auto"/>
              </w:rPr>
            </w:pPr>
          </w:p>
        </w:tc>
        <w:tc>
          <w:tcPr>
            <w:tcW w:w="640" w:type="dxa"/>
            <w:vAlign w:val="bottom"/>
            <w:shd w:val="clear" w:color="auto" w:fill="C3D9EE"/>
          </w:tcPr>
          <w:p>
            <w:pPr>
              <w:jc w:val="right"/>
              <w:spacing w:after="0"/>
              <w:rPr>
                <w:sz w:val="20"/>
                <w:szCs w:val="20"/>
                <w:color w:val="auto"/>
              </w:rPr>
            </w:pPr>
            <w:r>
              <w:rPr>
                <w:rFonts w:ascii="Arial" w:cs="Arial" w:eastAsia="Arial" w:hAnsi="Arial"/>
                <w:sz w:val="14"/>
                <w:szCs w:val="14"/>
                <w:color w:val="auto"/>
              </w:rPr>
              <w:t>1,198</w:t>
            </w:r>
          </w:p>
        </w:tc>
        <w:tc>
          <w:tcPr>
            <w:tcW w:w="940" w:type="dxa"/>
            <w:vAlign w:val="bottom"/>
            <w:shd w:val="clear" w:color="auto" w:fill="C3D9EE"/>
          </w:tcPr>
          <w:p>
            <w:pPr>
              <w:jc w:val="right"/>
              <w:ind w:right="45"/>
              <w:spacing w:after="0"/>
              <w:rPr>
                <w:sz w:val="20"/>
                <w:szCs w:val="20"/>
                <w:color w:val="auto"/>
              </w:rPr>
            </w:pPr>
            <w:r>
              <w:rPr>
                <w:rFonts w:ascii="Arial" w:cs="Arial" w:eastAsia="Arial" w:hAnsi="Arial"/>
                <w:sz w:val="14"/>
                <w:szCs w:val="14"/>
                <w:color w:val="auto"/>
              </w:rPr>
              <w:t>47,904</w:t>
            </w:r>
          </w:p>
        </w:tc>
        <w:tc>
          <w:tcPr>
            <w:tcW w:w="900" w:type="dxa"/>
            <w:vAlign w:val="bottom"/>
            <w:shd w:val="clear" w:color="auto" w:fill="C3D9EE"/>
          </w:tcPr>
          <w:p>
            <w:pPr>
              <w:jc w:val="right"/>
              <w:ind w:right="105"/>
              <w:spacing w:after="0"/>
              <w:rPr>
                <w:sz w:val="20"/>
                <w:szCs w:val="20"/>
                <w:color w:val="auto"/>
              </w:rPr>
            </w:pPr>
            <w:r>
              <w:rPr>
                <w:rFonts w:ascii="Arial" w:cs="Arial" w:eastAsia="Arial" w:hAnsi="Arial"/>
                <w:sz w:val="14"/>
                <w:szCs w:val="14"/>
                <w:color w:val="auto"/>
              </w:rPr>
              <w:t>71,856</w:t>
            </w:r>
          </w:p>
        </w:tc>
        <w:tc>
          <w:tcPr>
            <w:tcW w:w="880" w:type="dxa"/>
            <w:vAlign w:val="bottom"/>
            <w:shd w:val="clear" w:color="auto" w:fill="C3D9EE"/>
          </w:tcPr>
          <w:p>
            <w:pPr>
              <w:spacing w:after="0"/>
              <w:rPr>
                <w:sz w:val="15"/>
                <w:szCs w:val="15"/>
                <w:color w:val="auto"/>
              </w:rPr>
            </w:pPr>
          </w:p>
        </w:tc>
        <w:tc>
          <w:tcPr>
            <w:tcW w:w="1040" w:type="dxa"/>
            <w:vAlign w:val="bottom"/>
            <w:shd w:val="clear" w:color="auto" w:fill="C3D9EE"/>
          </w:tcPr>
          <w:p>
            <w:pPr>
              <w:jc w:val="right"/>
              <w:ind w:right="105"/>
              <w:spacing w:after="0"/>
              <w:rPr>
                <w:sz w:val="20"/>
                <w:szCs w:val="20"/>
                <w:color w:val="auto"/>
              </w:rPr>
            </w:pPr>
            <w:r>
              <w:rPr>
                <w:rFonts w:ascii="Arial" w:cs="Arial" w:eastAsia="Arial" w:hAnsi="Arial"/>
                <w:sz w:val="14"/>
                <w:szCs w:val="14"/>
                <w:color w:val="auto"/>
              </w:rPr>
              <w:t>$3,599,986</w:t>
            </w:r>
          </w:p>
        </w:tc>
        <w:tc>
          <w:tcPr>
            <w:tcW w:w="0" w:type="dxa"/>
            <w:vAlign w:val="bottom"/>
          </w:tcPr>
          <w:p>
            <w:pPr>
              <w:spacing w:after="0"/>
              <w:rPr>
                <w:sz w:val="1"/>
                <w:szCs w:val="1"/>
                <w:color w:val="auto"/>
              </w:rPr>
            </w:pPr>
          </w:p>
        </w:tc>
      </w:tr>
      <w:tr>
        <w:trPr>
          <w:trHeight w:val="175"/>
        </w:trPr>
        <w:tc>
          <w:tcPr>
            <w:tcW w:w="1980" w:type="dxa"/>
            <w:vAlign w:val="bottom"/>
            <w:shd w:val="clear" w:color="auto" w:fill="C3D9EE"/>
          </w:tcPr>
          <w:p>
            <w:pPr>
              <w:spacing w:after="0"/>
              <w:rPr>
                <w:sz w:val="15"/>
                <w:szCs w:val="15"/>
                <w:color w:val="auto"/>
              </w:rPr>
            </w:pPr>
          </w:p>
        </w:tc>
        <w:tc>
          <w:tcPr>
            <w:tcW w:w="1100" w:type="dxa"/>
            <w:vAlign w:val="bottom"/>
            <w:shd w:val="clear" w:color="auto" w:fill="C3D9EE"/>
          </w:tcPr>
          <w:p>
            <w:pPr>
              <w:jc w:val="right"/>
              <w:spacing w:after="0"/>
              <w:rPr>
                <w:sz w:val="20"/>
                <w:szCs w:val="20"/>
                <w:color w:val="auto"/>
              </w:rPr>
            </w:pPr>
            <w:r>
              <w:rPr>
                <w:rFonts w:ascii="Arial" w:cs="Arial" w:eastAsia="Arial" w:hAnsi="Arial"/>
                <w:sz w:val="14"/>
                <w:szCs w:val="14"/>
                <w:color w:val="auto"/>
              </w:rPr>
              <w:t>8/6/2019 (4)</w:t>
            </w:r>
          </w:p>
        </w:tc>
        <w:tc>
          <w:tcPr>
            <w:tcW w:w="360" w:type="dxa"/>
            <w:vAlign w:val="bottom"/>
            <w:shd w:val="clear" w:color="auto" w:fill="C3D9EE"/>
          </w:tcPr>
          <w:p>
            <w:pPr>
              <w:spacing w:after="0"/>
              <w:rPr>
                <w:sz w:val="15"/>
                <w:szCs w:val="15"/>
                <w:color w:val="auto"/>
              </w:rPr>
            </w:pPr>
          </w:p>
        </w:tc>
        <w:tc>
          <w:tcPr>
            <w:tcW w:w="600" w:type="dxa"/>
            <w:vAlign w:val="bottom"/>
            <w:shd w:val="clear" w:color="auto" w:fill="C3D9EE"/>
          </w:tcPr>
          <w:p>
            <w:pPr>
              <w:spacing w:after="0"/>
              <w:rPr>
                <w:sz w:val="15"/>
                <w:szCs w:val="15"/>
                <w:color w:val="auto"/>
              </w:rPr>
            </w:pPr>
          </w:p>
        </w:tc>
        <w:tc>
          <w:tcPr>
            <w:tcW w:w="1260" w:type="dxa"/>
            <w:vAlign w:val="bottom"/>
            <w:shd w:val="clear" w:color="auto" w:fill="C3D9EE"/>
          </w:tcPr>
          <w:p>
            <w:pPr>
              <w:spacing w:after="0"/>
              <w:rPr>
                <w:sz w:val="15"/>
                <w:szCs w:val="15"/>
                <w:color w:val="auto"/>
              </w:rPr>
            </w:pPr>
          </w:p>
        </w:tc>
        <w:tc>
          <w:tcPr>
            <w:tcW w:w="980" w:type="dxa"/>
            <w:vAlign w:val="bottom"/>
            <w:shd w:val="clear" w:color="auto" w:fill="C3D9EE"/>
          </w:tcPr>
          <w:p>
            <w:pPr>
              <w:spacing w:after="0"/>
              <w:rPr>
                <w:sz w:val="15"/>
                <w:szCs w:val="15"/>
                <w:color w:val="auto"/>
              </w:rPr>
            </w:pPr>
          </w:p>
        </w:tc>
        <w:tc>
          <w:tcPr>
            <w:tcW w:w="340" w:type="dxa"/>
            <w:vAlign w:val="bottom"/>
            <w:shd w:val="clear" w:color="auto" w:fill="C3D9EE"/>
          </w:tcPr>
          <w:p>
            <w:pPr>
              <w:spacing w:after="0"/>
              <w:rPr>
                <w:sz w:val="15"/>
                <w:szCs w:val="15"/>
                <w:color w:val="auto"/>
              </w:rPr>
            </w:pPr>
          </w:p>
        </w:tc>
        <w:tc>
          <w:tcPr>
            <w:tcW w:w="640" w:type="dxa"/>
            <w:vAlign w:val="bottom"/>
            <w:shd w:val="clear" w:color="auto" w:fill="C3D9EE"/>
          </w:tcPr>
          <w:p>
            <w:pPr>
              <w:spacing w:after="0"/>
              <w:rPr>
                <w:sz w:val="15"/>
                <w:szCs w:val="15"/>
                <w:color w:val="auto"/>
              </w:rPr>
            </w:pPr>
          </w:p>
        </w:tc>
        <w:tc>
          <w:tcPr>
            <w:tcW w:w="940" w:type="dxa"/>
            <w:vAlign w:val="bottom"/>
            <w:shd w:val="clear" w:color="auto" w:fill="C3D9EE"/>
          </w:tcPr>
          <w:p>
            <w:pPr>
              <w:spacing w:after="0"/>
              <w:rPr>
                <w:sz w:val="15"/>
                <w:szCs w:val="15"/>
                <w:color w:val="auto"/>
              </w:rPr>
            </w:pPr>
          </w:p>
        </w:tc>
        <w:tc>
          <w:tcPr>
            <w:tcW w:w="900" w:type="dxa"/>
            <w:vAlign w:val="bottom"/>
            <w:shd w:val="clear" w:color="auto" w:fill="C3D9EE"/>
          </w:tcPr>
          <w:p>
            <w:pPr>
              <w:spacing w:after="0"/>
              <w:rPr>
                <w:sz w:val="15"/>
                <w:szCs w:val="15"/>
                <w:color w:val="auto"/>
              </w:rPr>
            </w:pPr>
          </w:p>
        </w:tc>
        <w:tc>
          <w:tcPr>
            <w:tcW w:w="880" w:type="dxa"/>
            <w:vAlign w:val="bottom"/>
            <w:shd w:val="clear" w:color="auto" w:fill="C3D9EE"/>
          </w:tcPr>
          <w:p>
            <w:pPr>
              <w:jc w:val="right"/>
              <w:ind w:right="142"/>
              <w:spacing w:after="0"/>
              <w:rPr>
                <w:sz w:val="20"/>
                <w:szCs w:val="20"/>
                <w:color w:val="auto"/>
              </w:rPr>
            </w:pPr>
            <w:r>
              <w:rPr>
                <w:rFonts w:ascii="Arial" w:cs="Arial" w:eastAsia="Arial" w:hAnsi="Arial"/>
                <w:sz w:val="14"/>
                <w:szCs w:val="14"/>
                <w:color w:val="auto"/>
              </w:rPr>
              <w:t>35,216</w:t>
            </w:r>
          </w:p>
        </w:tc>
        <w:tc>
          <w:tcPr>
            <w:tcW w:w="1040" w:type="dxa"/>
            <w:vAlign w:val="bottom"/>
            <w:shd w:val="clear" w:color="auto" w:fill="C3D9EE"/>
          </w:tcPr>
          <w:p>
            <w:pPr>
              <w:jc w:val="right"/>
              <w:ind w:right="105"/>
              <w:spacing w:after="0"/>
              <w:rPr>
                <w:sz w:val="20"/>
                <w:szCs w:val="20"/>
                <w:color w:val="auto"/>
              </w:rPr>
            </w:pPr>
            <w:r>
              <w:rPr>
                <w:rFonts w:ascii="Arial" w:cs="Arial" w:eastAsia="Arial" w:hAnsi="Arial"/>
                <w:sz w:val="14"/>
                <w:szCs w:val="14"/>
                <w:color w:val="auto"/>
              </w:rPr>
              <w:t>2,399,970</w:t>
            </w:r>
          </w:p>
        </w:tc>
        <w:tc>
          <w:tcPr>
            <w:tcW w:w="0" w:type="dxa"/>
            <w:vAlign w:val="bottom"/>
          </w:tcPr>
          <w:p>
            <w:pPr>
              <w:spacing w:after="0"/>
              <w:rPr>
                <w:sz w:val="1"/>
                <w:szCs w:val="1"/>
                <w:color w:val="auto"/>
              </w:rPr>
            </w:pPr>
          </w:p>
        </w:tc>
      </w:tr>
      <w:tr>
        <w:trPr>
          <w:trHeight w:val="177"/>
        </w:trPr>
        <w:tc>
          <w:tcPr>
            <w:tcW w:w="1980" w:type="dxa"/>
            <w:vAlign w:val="bottom"/>
          </w:tcPr>
          <w:p>
            <w:pPr>
              <w:ind w:left="80"/>
              <w:spacing w:after="0"/>
              <w:rPr>
                <w:sz w:val="20"/>
                <w:szCs w:val="20"/>
                <w:color w:val="auto"/>
              </w:rPr>
            </w:pPr>
            <w:r>
              <w:rPr>
                <w:rFonts w:ascii="Arial" w:cs="Arial" w:eastAsia="Arial" w:hAnsi="Arial"/>
                <w:sz w:val="14"/>
                <w:szCs w:val="14"/>
                <w:color w:val="auto"/>
              </w:rPr>
              <w:t>Mark J. Murphy</w:t>
            </w:r>
          </w:p>
        </w:tc>
        <w:tc>
          <w:tcPr>
            <w:tcW w:w="1100" w:type="dxa"/>
            <w:vAlign w:val="bottom"/>
          </w:tcPr>
          <w:p>
            <w:pPr>
              <w:jc w:val="right"/>
              <w:ind w:right="147"/>
              <w:spacing w:after="0"/>
              <w:rPr>
                <w:sz w:val="20"/>
                <w:szCs w:val="20"/>
                <w:color w:val="auto"/>
              </w:rPr>
            </w:pPr>
            <w:r>
              <w:rPr>
                <w:rFonts w:ascii="Arial" w:cs="Arial" w:eastAsia="Arial" w:hAnsi="Arial"/>
                <w:sz w:val="14"/>
                <w:szCs w:val="14"/>
                <w:color w:val="auto"/>
              </w:rPr>
              <w:t>N/A</w:t>
            </w:r>
          </w:p>
        </w:tc>
        <w:tc>
          <w:tcPr>
            <w:tcW w:w="36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04"/>
              <w:spacing w:after="0"/>
              <w:rPr>
                <w:sz w:val="20"/>
                <w:szCs w:val="20"/>
                <w:color w:val="auto"/>
              </w:rPr>
            </w:pPr>
            <w:r>
              <w:rPr>
                <w:rFonts w:ascii="Arial" w:cs="Arial" w:eastAsia="Arial" w:hAnsi="Arial"/>
                <w:sz w:val="14"/>
                <w:szCs w:val="14"/>
                <w:color w:val="auto"/>
              </w:rPr>
              <w:t>467,139</w:t>
            </w:r>
          </w:p>
        </w:tc>
        <w:tc>
          <w:tcPr>
            <w:tcW w:w="980" w:type="dxa"/>
            <w:vAlign w:val="bottom"/>
          </w:tcPr>
          <w:p>
            <w:pPr>
              <w:jc w:val="right"/>
              <w:ind w:right="105"/>
              <w:spacing w:after="0"/>
              <w:rPr>
                <w:sz w:val="20"/>
                <w:szCs w:val="20"/>
                <w:color w:val="auto"/>
              </w:rPr>
            </w:pPr>
            <w:r>
              <w:rPr>
                <w:rFonts w:ascii="Arial" w:cs="Arial" w:eastAsia="Arial" w:hAnsi="Arial"/>
                <w:sz w:val="14"/>
                <w:szCs w:val="14"/>
                <w:color w:val="auto"/>
              </w:rPr>
              <w:t>934,278</w:t>
            </w: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5/10/2019 (3)</w:t>
            </w: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329</w:t>
            </w:r>
          </w:p>
        </w:tc>
        <w:tc>
          <w:tcPr>
            <w:tcW w:w="940" w:type="dxa"/>
            <w:vAlign w:val="bottom"/>
          </w:tcPr>
          <w:p>
            <w:pPr>
              <w:jc w:val="right"/>
              <w:ind w:right="45"/>
              <w:spacing w:after="0"/>
              <w:rPr>
                <w:sz w:val="20"/>
                <w:szCs w:val="20"/>
                <w:color w:val="auto"/>
              </w:rPr>
            </w:pPr>
            <w:r>
              <w:rPr>
                <w:rFonts w:ascii="Arial" w:cs="Arial" w:eastAsia="Arial" w:hAnsi="Arial"/>
                <w:sz w:val="14"/>
                <w:szCs w:val="14"/>
                <w:color w:val="auto"/>
              </w:rPr>
              <w:t>13,174</w:t>
            </w:r>
          </w:p>
        </w:tc>
        <w:tc>
          <w:tcPr>
            <w:tcW w:w="900" w:type="dxa"/>
            <w:vAlign w:val="bottom"/>
          </w:tcPr>
          <w:p>
            <w:pPr>
              <w:jc w:val="right"/>
              <w:ind w:right="105"/>
              <w:spacing w:after="0"/>
              <w:rPr>
                <w:sz w:val="20"/>
                <w:szCs w:val="20"/>
                <w:color w:val="auto"/>
              </w:rPr>
            </w:pPr>
            <w:r>
              <w:rPr>
                <w:rFonts w:ascii="Arial" w:cs="Arial" w:eastAsia="Arial" w:hAnsi="Arial"/>
                <w:sz w:val="14"/>
                <w:szCs w:val="14"/>
                <w:color w:val="auto"/>
              </w:rPr>
              <w:t>19,761</w:t>
            </w:r>
          </w:p>
        </w:tc>
        <w:tc>
          <w:tcPr>
            <w:tcW w:w="88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Arial" w:cs="Arial" w:eastAsia="Arial" w:hAnsi="Arial"/>
                <w:sz w:val="14"/>
                <w:szCs w:val="14"/>
                <w:color w:val="auto"/>
              </w:rPr>
              <w:t>990,026</w:t>
            </w:r>
          </w:p>
        </w:tc>
        <w:tc>
          <w:tcPr>
            <w:tcW w:w="0" w:type="dxa"/>
            <w:vAlign w:val="bottom"/>
          </w:tcPr>
          <w:p>
            <w:pPr>
              <w:spacing w:after="0"/>
              <w:rPr>
                <w:sz w:val="1"/>
                <w:szCs w:val="1"/>
                <w:color w:val="auto"/>
              </w:rPr>
            </w:pPr>
          </w:p>
        </w:tc>
      </w:tr>
      <w:tr>
        <w:trPr>
          <w:trHeight w:val="174"/>
        </w:trPr>
        <w:tc>
          <w:tcPr>
            <w:tcW w:w="19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8/6/2019 (4)</w:t>
            </w: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jc w:val="right"/>
              <w:ind w:right="142"/>
              <w:spacing w:after="0"/>
              <w:rPr>
                <w:sz w:val="20"/>
                <w:szCs w:val="20"/>
                <w:color w:val="auto"/>
              </w:rPr>
            </w:pPr>
            <w:r>
              <w:rPr>
                <w:rFonts w:ascii="Arial" w:cs="Arial" w:eastAsia="Arial" w:hAnsi="Arial"/>
                <w:sz w:val="14"/>
                <w:szCs w:val="14"/>
                <w:color w:val="auto"/>
              </w:rPr>
              <w:t>9,685</w:t>
            </w:r>
          </w:p>
        </w:tc>
        <w:tc>
          <w:tcPr>
            <w:tcW w:w="1040" w:type="dxa"/>
            <w:vAlign w:val="bottom"/>
          </w:tcPr>
          <w:p>
            <w:pPr>
              <w:jc w:val="right"/>
              <w:ind w:right="105"/>
              <w:spacing w:after="0"/>
              <w:rPr>
                <w:sz w:val="20"/>
                <w:szCs w:val="20"/>
                <w:color w:val="auto"/>
              </w:rPr>
            </w:pPr>
            <w:r>
              <w:rPr>
                <w:rFonts w:ascii="Arial" w:cs="Arial" w:eastAsia="Arial" w:hAnsi="Arial"/>
                <w:sz w:val="14"/>
                <w:szCs w:val="14"/>
                <w:color w:val="auto"/>
              </w:rPr>
              <w:t>660,033</w:t>
            </w:r>
          </w:p>
        </w:tc>
        <w:tc>
          <w:tcPr>
            <w:tcW w:w="0" w:type="dxa"/>
            <w:vAlign w:val="bottom"/>
          </w:tcPr>
          <w:p>
            <w:pPr>
              <w:spacing w:after="0"/>
              <w:rPr>
                <w:sz w:val="1"/>
                <w:szCs w:val="1"/>
                <w:color w:val="auto"/>
              </w:rPr>
            </w:pPr>
          </w:p>
        </w:tc>
      </w:tr>
      <w:tr>
        <w:trPr>
          <w:trHeight w:val="176"/>
        </w:trPr>
        <w:tc>
          <w:tcPr>
            <w:tcW w:w="1980" w:type="dxa"/>
            <w:vAlign w:val="bottom"/>
            <w:shd w:val="clear" w:color="auto" w:fill="C3D9EE"/>
          </w:tcPr>
          <w:p>
            <w:pPr>
              <w:ind w:left="80"/>
              <w:spacing w:after="0"/>
              <w:rPr>
                <w:sz w:val="20"/>
                <w:szCs w:val="20"/>
                <w:color w:val="auto"/>
              </w:rPr>
            </w:pPr>
            <w:r>
              <w:rPr>
                <w:rFonts w:ascii="Arial" w:cs="Arial" w:eastAsia="Arial" w:hAnsi="Arial"/>
                <w:sz w:val="14"/>
                <w:szCs w:val="14"/>
                <w:color w:val="auto"/>
              </w:rPr>
              <w:t>Steven E. Creviston</w:t>
            </w:r>
          </w:p>
        </w:tc>
        <w:tc>
          <w:tcPr>
            <w:tcW w:w="1100" w:type="dxa"/>
            <w:vAlign w:val="bottom"/>
            <w:shd w:val="clear" w:color="auto" w:fill="C3D9EE"/>
          </w:tcPr>
          <w:p>
            <w:pPr>
              <w:jc w:val="right"/>
              <w:ind w:right="147"/>
              <w:spacing w:after="0"/>
              <w:rPr>
                <w:sz w:val="20"/>
                <w:szCs w:val="20"/>
                <w:color w:val="auto"/>
              </w:rPr>
            </w:pPr>
            <w:r>
              <w:rPr>
                <w:rFonts w:ascii="Arial" w:cs="Arial" w:eastAsia="Arial" w:hAnsi="Arial"/>
                <w:sz w:val="14"/>
                <w:szCs w:val="14"/>
                <w:color w:val="auto"/>
              </w:rPr>
              <w:t>N/A</w:t>
            </w:r>
          </w:p>
        </w:tc>
        <w:tc>
          <w:tcPr>
            <w:tcW w:w="360" w:type="dxa"/>
            <w:vAlign w:val="bottom"/>
            <w:shd w:val="clear" w:color="auto" w:fill="C3D9EE"/>
          </w:tcPr>
          <w:p>
            <w:pPr>
              <w:spacing w:after="0"/>
              <w:rPr>
                <w:sz w:val="15"/>
                <w:szCs w:val="15"/>
                <w:color w:val="auto"/>
              </w:rPr>
            </w:pPr>
          </w:p>
        </w:tc>
        <w:tc>
          <w:tcPr>
            <w:tcW w:w="600" w:type="dxa"/>
            <w:vAlign w:val="bottom"/>
            <w:shd w:val="clear" w:color="auto" w:fill="C3D9EE"/>
          </w:tcPr>
          <w:p>
            <w:pPr>
              <w:ind w:left="42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3D9EE"/>
          </w:tcPr>
          <w:p>
            <w:pPr>
              <w:jc w:val="right"/>
              <w:ind w:right="204"/>
              <w:spacing w:after="0"/>
              <w:rPr>
                <w:sz w:val="20"/>
                <w:szCs w:val="20"/>
                <w:color w:val="auto"/>
              </w:rPr>
            </w:pPr>
            <w:r>
              <w:rPr>
                <w:rFonts w:ascii="Arial" w:cs="Arial" w:eastAsia="Arial" w:hAnsi="Arial"/>
                <w:sz w:val="14"/>
                <w:szCs w:val="14"/>
                <w:color w:val="auto"/>
              </w:rPr>
              <w:t>457,854</w:t>
            </w:r>
          </w:p>
        </w:tc>
        <w:tc>
          <w:tcPr>
            <w:tcW w:w="980" w:type="dxa"/>
            <w:vAlign w:val="bottom"/>
            <w:shd w:val="clear" w:color="auto" w:fill="C3D9EE"/>
          </w:tcPr>
          <w:p>
            <w:pPr>
              <w:jc w:val="right"/>
              <w:ind w:right="105"/>
              <w:spacing w:after="0"/>
              <w:rPr>
                <w:sz w:val="20"/>
                <w:szCs w:val="20"/>
                <w:color w:val="auto"/>
              </w:rPr>
            </w:pPr>
            <w:r>
              <w:rPr>
                <w:rFonts w:ascii="Arial" w:cs="Arial" w:eastAsia="Arial" w:hAnsi="Arial"/>
                <w:sz w:val="14"/>
                <w:szCs w:val="14"/>
                <w:color w:val="auto"/>
              </w:rPr>
              <w:t>915,708</w:t>
            </w:r>
          </w:p>
        </w:tc>
        <w:tc>
          <w:tcPr>
            <w:tcW w:w="340" w:type="dxa"/>
            <w:vAlign w:val="bottom"/>
            <w:shd w:val="clear" w:color="auto" w:fill="C3D9EE"/>
          </w:tcPr>
          <w:p>
            <w:pPr>
              <w:spacing w:after="0"/>
              <w:rPr>
                <w:sz w:val="15"/>
                <w:szCs w:val="15"/>
                <w:color w:val="auto"/>
              </w:rPr>
            </w:pPr>
          </w:p>
        </w:tc>
        <w:tc>
          <w:tcPr>
            <w:tcW w:w="640" w:type="dxa"/>
            <w:vAlign w:val="bottom"/>
            <w:shd w:val="clear" w:color="auto" w:fill="C3D9EE"/>
          </w:tcPr>
          <w:p>
            <w:pPr>
              <w:spacing w:after="0"/>
              <w:rPr>
                <w:sz w:val="15"/>
                <w:szCs w:val="15"/>
                <w:color w:val="auto"/>
              </w:rPr>
            </w:pPr>
          </w:p>
        </w:tc>
        <w:tc>
          <w:tcPr>
            <w:tcW w:w="940" w:type="dxa"/>
            <w:vAlign w:val="bottom"/>
            <w:shd w:val="clear" w:color="auto" w:fill="C3D9EE"/>
          </w:tcPr>
          <w:p>
            <w:pPr>
              <w:spacing w:after="0"/>
              <w:rPr>
                <w:sz w:val="15"/>
                <w:szCs w:val="15"/>
                <w:color w:val="auto"/>
              </w:rPr>
            </w:pPr>
          </w:p>
        </w:tc>
        <w:tc>
          <w:tcPr>
            <w:tcW w:w="900" w:type="dxa"/>
            <w:vAlign w:val="bottom"/>
            <w:shd w:val="clear" w:color="auto" w:fill="C3D9EE"/>
          </w:tcPr>
          <w:p>
            <w:pPr>
              <w:spacing w:after="0"/>
              <w:rPr>
                <w:sz w:val="15"/>
                <w:szCs w:val="15"/>
                <w:color w:val="auto"/>
              </w:rPr>
            </w:pPr>
          </w:p>
        </w:tc>
        <w:tc>
          <w:tcPr>
            <w:tcW w:w="880" w:type="dxa"/>
            <w:vAlign w:val="bottom"/>
            <w:shd w:val="clear" w:color="auto" w:fill="C3D9EE"/>
          </w:tcPr>
          <w:p>
            <w:pPr>
              <w:spacing w:after="0"/>
              <w:rPr>
                <w:sz w:val="15"/>
                <w:szCs w:val="15"/>
                <w:color w:val="auto"/>
              </w:rPr>
            </w:pPr>
          </w:p>
        </w:tc>
        <w:tc>
          <w:tcPr>
            <w:tcW w:w="1040" w:type="dxa"/>
            <w:vAlign w:val="bottom"/>
            <w:shd w:val="clear" w:color="auto" w:fill="C3D9E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80" w:type="dxa"/>
            <w:vAlign w:val="bottom"/>
            <w:shd w:val="clear" w:color="auto" w:fill="C3D9EE"/>
          </w:tcPr>
          <w:p>
            <w:pPr>
              <w:spacing w:after="0"/>
              <w:rPr>
                <w:sz w:val="15"/>
                <w:szCs w:val="15"/>
                <w:color w:val="auto"/>
              </w:rPr>
            </w:pPr>
          </w:p>
        </w:tc>
        <w:tc>
          <w:tcPr>
            <w:tcW w:w="1100" w:type="dxa"/>
            <w:vAlign w:val="bottom"/>
            <w:shd w:val="clear" w:color="auto" w:fill="C3D9EE"/>
          </w:tcPr>
          <w:p>
            <w:pPr>
              <w:jc w:val="right"/>
              <w:spacing w:after="0"/>
              <w:rPr>
                <w:sz w:val="20"/>
                <w:szCs w:val="20"/>
                <w:color w:val="auto"/>
              </w:rPr>
            </w:pPr>
            <w:r>
              <w:rPr>
                <w:rFonts w:ascii="Arial" w:cs="Arial" w:eastAsia="Arial" w:hAnsi="Arial"/>
                <w:sz w:val="14"/>
                <w:szCs w:val="14"/>
                <w:color w:val="auto"/>
              </w:rPr>
              <w:t>5/10/2019 (3)</w:t>
            </w:r>
          </w:p>
        </w:tc>
        <w:tc>
          <w:tcPr>
            <w:tcW w:w="360" w:type="dxa"/>
            <w:vAlign w:val="bottom"/>
            <w:shd w:val="clear" w:color="auto" w:fill="C3D9EE"/>
          </w:tcPr>
          <w:p>
            <w:pPr>
              <w:spacing w:after="0"/>
              <w:rPr>
                <w:sz w:val="15"/>
                <w:szCs w:val="15"/>
                <w:color w:val="auto"/>
              </w:rPr>
            </w:pPr>
          </w:p>
        </w:tc>
        <w:tc>
          <w:tcPr>
            <w:tcW w:w="600" w:type="dxa"/>
            <w:vAlign w:val="bottom"/>
            <w:shd w:val="clear" w:color="auto" w:fill="C3D9EE"/>
          </w:tcPr>
          <w:p>
            <w:pPr>
              <w:spacing w:after="0"/>
              <w:rPr>
                <w:sz w:val="15"/>
                <w:szCs w:val="15"/>
                <w:color w:val="auto"/>
              </w:rPr>
            </w:pPr>
          </w:p>
        </w:tc>
        <w:tc>
          <w:tcPr>
            <w:tcW w:w="1260" w:type="dxa"/>
            <w:vAlign w:val="bottom"/>
            <w:shd w:val="clear" w:color="auto" w:fill="C3D9EE"/>
          </w:tcPr>
          <w:p>
            <w:pPr>
              <w:spacing w:after="0"/>
              <w:rPr>
                <w:sz w:val="15"/>
                <w:szCs w:val="15"/>
                <w:color w:val="auto"/>
              </w:rPr>
            </w:pPr>
          </w:p>
        </w:tc>
        <w:tc>
          <w:tcPr>
            <w:tcW w:w="980" w:type="dxa"/>
            <w:vAlign w:val="bottom"/>
            <w:shd w:val="clear" w:color="auto" w:fill="C3D9EE"/>
          </w:tcPr>
          <w:p>
            <w:pPr>
              <w:spacing w:after="0"/>
              <w:rPr>
                <w:sz w:val="15"/>
                <w:szCs w:val="15"/>
                <w:color w:val="auto"/>
              </w:rPr>
            </w:pPr>
          </w:p>
        </w:tc>
        <w:tc>
          <w:tcPr>
            <w:tcW w:w="340" w:type="dxa"/>
            <w:vAlign w:val="bottom"/>
            <w:shd w:val="clear" w:color="auto" w:fill="C3D9EE"/>
          </w:tcPr>
          <w:p>
            <w:pPr>
              <w:spacing w:after="0"/>
              <w:rPr>
                <w:sz w:val="15"/>
                <w:szCs w:val="15"/>
                <w:color w:val="auto"/>
              </w:rPr>
            </w:pPr>
          </w:p>
        </w:tc>
        <w:tc>
          <w:tcPr>
            <w:tcW w:w="640" w:type="dxa"/>
            <w:vAlign w:val="bottom"/>
            <w:shd w:val="clear" w:color="auto" w:fill="C3D9EE"/>
          </w:tcPr>
          <w:p>
            <w:pPr>
              <w:jc w:val="right"/>
              <w:spacing w:after="0"/>
              <w:rPr>
                <w:sz w:val="20"/>
                <w:szCs w:val="20"/>
                <w:color w:val="auto"/>
              </w:rPr>
            </w:pPr>
            <w:r>
              <w:rPr>
                <w:rFonts w:ascii="Arial" w:cs="Arial" w:eastAsia="Arial" w:hAnsi="Arial"/>
                <w:sz w:val="14"/>
                <w:szCs w:val="14"/>
                <w:color w:val="auto"/>
              </w:rPr>
              <w:t>399</w:t>
            </w:r>
          </w:p>
        </w:tc>
        <w:tc>
          <w:tcPr>
            <w:tcW w:w="940" w:type="dxa"/>
            <w:vAlign w:val="bottom"/>
            <w:shd w:val="clear" w:color="auto" w:fill="C3D9EE"/>
          </w:tcPr>
          <w:p>
            <w:pPr>
              <w:jc w:val="right"/>
              <w:ind w:right="45"/>
              <w:spacing w:after="0"/>
              <w:rPr>
                <w:sz w:val="20"/>
                <w:szCs w:val="20"/>
                <w:color w:val="auto"/>
              </w:rPr>
            </w:pPr>
            <w:r>
              <w:rPr>
                <w:rFonts w:ascii="Arial" w:cs="Arial" w:eastAsia="Arial" w:hAnsi="Arial"/>
                <w:sz w:val="14"/>
                <w:szCs w:val="14"/>
                <w:color w:val="auto"/>
              </w:rPr>
              <w:t>15,968</w:t>
            </w:r>
          </w:p>
        </w:tc>
        <w:tc>
          <w:tcPr>
            <w:tcW w:w="900" w:type="dxa"/>
            <w:vAlign w:val="bottom"/>
            <w:shd w:val="clear" w:color="auto" w:fill="C3D9EE"/>
          </w:tcPr>
          <w:p>
            <w:pPr>
              <w:jc w:val="right"/>
              <w:ind w:right="105"/>
              <w:spacing w:after="0"/>
              <w:rPr>
                <w:sz w:val="20"/>
                <w:szCs w:val="20"/>
                <w:color w:val="auto"/>
              </w:rPr>
            </w:pPr>
            <w:r>
              <w:rPr>
                <w:rFonts w:ascii="Arial" w:cs="Arial" w:eastAsia="Arial" w:hAnsi="Arial"/>
                <w:sz w:val="14"/>
                <w:szCs w:val="14"/>
                <w:color w:val="auto"/>
              </w:rPr>
              <w:t>23,952</w:t>
            </w:r>
          </w:p>
        </w:tc>
        <w:tc>
          <w:tcPr>
            <w:tcW w:w="880" w:type="dxa"/>
            <w:vAlign w:val="bottom"/>
            <w:shd w:val="clear" w:color="auto" w:fill="C3D9EE"/>
          </w:tcPr>
          <w:p>
            <w:pPr>
              <w:spacing w:after="0"/>
              <w:rPr>
                <w:sz w:val="15"/>
                <w:szCs w:val="15"/>
                <w:color w:val="auto"/>
              </w:rPr>
            </w:pPr>
          </w:p>
        </w:tc>
        <w:tc>
          <w:tcPr>
            <w:tcW w:w="1040" w:type="dxa"/>
            <w:vAlign w:val="bottom"/>
            <w:shd w:val="clear" w:color="auto" w:fill="C3D9EE"/>
          </w:tcPr>
          <w:p>
            <w:pPr>
              <w:jc w:val="right"/>
              <w:ind w:right="105"/>
              <w:spacing w:after="0"/>
              <w:rPr>
                <w:sz w:val="20"/>
                <w:szCs w:val="20"/>
                <w:color w:val="auto"/>
              </w:rPr>
            </w:pPr>
            <w:r>
              <w:rPr>
                <w:rFonts w:ascii="Arial" w:cs="Arial" w:eastAsia="Arial" w:hAnsi="Arial"/>
                <w:sz w:val="14"/>
                <w:szCs w:val="14"/>
                <w:color w:val="auto"/>
              </w:rPr>
              <w:t>1,199,995</w:t>
            </w:r>
          </w:p>
        </w:tc>
        <w:tc>
          <w:tcPr>
            <w:tcW w:w="0" w:type="dxa"/>
            <w:vAlign w:val="bottom"/>
          </w:tcPr>
          <w:p>
            <w:pPr>
              <w:spacing w:after="0"/>
              <w:rPr>
                <w:sz w:val="1"/>
                <w:szCs w:val="1"/>
                <w:color w:val="auto"/>
              </w:rPr>
            </w:pPr>
          </w:p>
        </w:tc>
      </w:tr>
      <w:tr>
        <w:trPr>
          <w:trHeight w:val="176"/>
        </w:trPr>
        <w:tc>
          <w:tcPr>
            <w:tcW w:w="1980" w:type="dxa"/>
            <w:vAlign w:val="bottom"/>
            <w:shd w:val="clear" w:color="auto" w:fill="C3D9EE"/>
          </w:tcPr>
          <w:p>
            <w:pPr>
              <w:spacing w:after="0"/>
              <w:rPr>
                <w:sz w:val="15"/>
                <w:szCs w:val="15"/>
                <w:color w:val="auto"/>
              </w:rPr>
            </w:pPr>
          </w:p>
        </w:tc>
        <w:tc>
          <w:tcPr>
            <w:tcW w:w="1100" w:type="dxa"/>
            <w:vAlign w:val="bottom"/>
            <w:shd w:val="clear" w:color="auto" w:fill="C3D9EE"/>
          </w:tcPr>
          <w:p>
            <w:pPr>
              <w:jc w:val="right"/>
              <w:spacing w:after="0"/>
              <w:rPr>
                <w:sz w:val="20"/>
                <w:szCs w:val="20"/>
                <w:color w:val="auto"/>
              </w:rPr>
            </w:pPr>
            <w:r>
              <w:rPr>
                <w:rFonts w:ascii="Arial" w:cs="Arial" w:eastAsia="Arial" w:hAnsi="Arial"/>
                <w:sz w:val="14"/>
                <w:szCs w:val="14"/>
                <w:color w:val="auto"/>
              </w:rPr>
              <w:t>8/6/2019 (4)</w:t>
            </w:r>
          </w:p>
        </w:tc>
        <w:tc>
          <w:tcPr>
            <w:tcW w:w="360" w:type="dxa"/>
            <w:vAlign w:val="bottom"/>
            <w:shd w:val="clear" w:color="auto" w:fill="C3D9EE"/>
          </w:tcPr>
          <w:p>
            <w:pPr>
              <w:spacing w:after="0"/>
              <w:rPr>
                <w:sz w:val="15"/>
                <w:szCs w:val="15"/>
                <w:color w:val="auto"/>
              </w:rPr>
            </w:pPr>
          </w:p>
        </w:tc>
        <w:tc>
          <w:tcPr>
            <w:tcW w:w="600" w:type="dxa"/>
            <w:vAlign w:val="bottom"/>
            <w:shd w:val="clear" w:color="auto" w:fill="C3D9EE"/>
          </w:tcPr>
          <w:p>
            <w:pPr>
              <w:spacing w:after="0"/>
              <w:rPr>
                <w:sz w:val="15"/>
                <w:szCs w:val="15"/>
                <w:color w:val="auto"/>
              </w:rPr>
            </w:pPr>
          </w:p>
        </w:tc>
        <w:tc>
          <w:tcPr>
            <w:tcW w:w="1260" w:type="dxa"/>
            <w:vAlign w:val="bottom"/>
            <w:shd w:val="clear" w:color="auto" w:fill="C3D9EE"/>
          </w:tcPr>
          <w:p>
            <w:pPr>
              <w:spacing w:after="0"/>
              <w:rPr>
                <w:sz w:val="15"/>
                <w:szCs w:val="15"/>
                <w:color w:val="auto"/>
              </w:rPr>
            </w:pPr>
          </w:p>
        </w:tc>
        <w:tc>
          <w:tcPr>
            <w:tcW w:w="980" w:type="dxa"/>
            <w:vAlign w:val="bottom"/>
            <w:shd w:val="clear" w:color="auto" w:fill="C3D9EE"/>
          </w:tcPr>
          <w:p>
            <w:pPr>
              <w:spacing w:after="0"/>
              <w:rPr>
                <w:sz w:val="15"/>
                <w:szCs w:val="15"/>
                <w:color w:val="auto"/>
              </w:rPr>
            </w:pPr>
          </w:p>
        </w:tc>
        <w:tc>
          <w:tcPr>
            <w:tcW w:w="340" w:type="dxa"/>
            <w:vAlign w:val="bottom"/>
            <w:shd w:val="clear" w:color="auto" w:fill="C3D9EE"/>
          </w:tcPr>
          <w:p>
            <w:pPr>
              <w:spacing w:after="0"/>
              <w:rPr>
                <w:sz w:val="15"/>
                <w:szCs w:val="15"/>
                <w:color w:val="auto"/>
              </w:rPr>
            </w:pPr>
          </w:p>
        </w:tc>
        <w:tc>
          <w:tcPr>
            <w:tcW w:w="640" w:type="dxa"/>
            <w:vAlign w:val="bottom"/>
            <w:shd w:val="clear" w:color="auto" w:fill="C3D9EE"/>
          </w:tcPr>
          <w:p>
            <w:pPr>
              <w:spacing w:after="0"/>
              <w:rPr>
                <w:sz w:val="15"/>
                <w:szCs w:val="15"/>
                <w:color w:val="auto"/>
              </w:rPr>
            </w:pPr>
          </w:p>
        </w:tc>
        <w:tc>
          <w:tcPr>
            <w:tcW w:w="940" w:type="dxa"/>
            <w:vAlign w:val="bottom"/>
            <w:shd w:val="clear" w:color="auto" w:fill="C3D9EE"/>
          </w:tcPr>
          <w:p>
            <w:pPr>
              <w:spacing w:after="0"/>
              <w:rPr>
                <w:sz w:val="15"/>
                <w:szCs w:val="15"/>
                <w:color w:val="auto"/>
              </w:rPr>
            </w:pPr>
          </w:p>
        </w:tc>
        <w:tc>
          <w:tcPr>
            <w:tcW w:w="900" w:type="dxa"/>
            <w:vAlign w:val="bottom"/>
            <w:shd w:val="clear" w:color="auto" w:fill="C3D9EE"/>
          </w:tcPr>
          <w:p>
            <w:pPr>
              <w:spacing w:after="0"/>
              <w:rPr>
                <w:sz w:val="15"/>
                <w:szCs w:val="15"/>
                <w:color w:val="auto"/>
              </w:rPr>
            </w:pPr>
          </w:p>
        </w:tc>
        <w:tc>
          <w:tcPr>
            <w:tcW w:w="880" w:type="dxa"/>
            <w:vAlign w:val="bottom"/>
            <w:shd w:val="clear" w:color="auto" w:fill="C3D9EE"/>
          </w:tcPr>
          <w:p>
            <w:pPr>
              <w:jc w:val="right"/>
              <w:ind w:right="142"/>
              <w:spacing w:after="0"/>
              <w:rPr>
                <w:sz w:val="20"/>
                <w:szCs w:val="20"/>
                <w:color w:val="auto"/>
              </w:rPr>
            </w:pPr>
            <w:r>
              <w:rPr>
                <w:rFonts w:ascii="Arial" w:cs="Arial" w:eastAsia="Arial" w:hAnsi="Arial"/>
                <w:sz w:val="14"/>
                <w:szCs w:val="14"/>
                <w:color w:val="auto"/>
              </w:rPr>
              <w:t>11,739</w:t>
            </w:r>
          </w:p>
        </w:tc>
        <w:tc>
          <w:tcPr>
            <w:tcW w:w="1040" w:type="dxa"/>
            <w:vAlign w:val="bottom"/>
            <w:shd w:val="clear" w:color="auto" w:fill="C3D9EE"/>
          </w:tcPr>
          <w:p>
            <w:pPr>
              <w:jc w:val="right"/>
              <w:ind w:right="105"/>
              <w:spacing w:after="0"/>
              <w:rPr>
                <w:sz w:val="20"/>
                <w:szCs w:val="20"/>
                <w:color w:val="auto"/>
              </w:rPr>
            </w:pPr>
            <w:r>
              <w:rPr>
                <w:rFonts w:ascii="Arial" w:cs="Arial" w:eastAsia="Arial" w:hAnsi="Arial"/>
                <w:sz w:val="14"/>
                <w:szCs w:val="14"/>
                <w:color w:val="auto"/>
              </w:rPr>
              <w:t>800,013</w:t>
            </w:r>
          </w:p>
        </w:tc>
        <w:tc>
          <w:tcPr>
            <w:tcW w:w="0" w:type="dxa"/>
            <w:vAlign w:val="bottom"/>
          </w:tcPr>
          <w:p>
            <w:pPr>
              <w:spacing w:after="0"/>
              <w:rPr>
                <w:sz w:val="1"/>
                <w:szCs w:val="1"/>
                <w:color w:val="auto"/>
              </w:rPr>
            </w:pPr>
          </w:p>
        </w:tc>
      </w:tr>
      <w:tr>
        <w:trPr>
          <w:trHeight w:val="177"/>
        </w:trPr>
        <w:tc>
          <w:tcPr>
            <w:tcW w:w="1980" w:type="dxa"/>
            <w:vAlign w:val="bottom"/>
          </w:tcPr>
          <w:p>
            <w:pPr>
              <w:ind w:left="80"/>
              <w:spacing w:after="0"/>
              <w:rPr>
                <w:sz w:val="20"/>
                <w:szCs w:val="20"/>
                <w:color w:val="auto"/>
              </w:rPr>
            </w:pPr>
            <w:r>
              <w:rPr>
                <w:rFonts w:ascii="Arial" w:cs="Arial" w:eastAsia="Arial" w:hAnsi="Arial"/>
                <w:sz w:val="14"/>
                <w:szCs w:val="14"/>
                <w:color w:val="auto"/>
              </w:rPr>
              <w:t>James L. Klein</w:t>
            </w:r>
          </w:p>
        </w:tc>
        <w:tc>
          <w:tcPr>
            <w:tcW w:w="1100" w:type="dxa"/>
            <w:vAlign w:val="bottom"/>
          </w:tcPr>
          <w:p>
            <w:pPr>
              <w:jc w:val="right"/>
              <w:ind w:right="147"/>
              <w:spacing w:after="0"/>
              <w:rPr>
                <w:sz w:val="20"/>
                <w:szCs w:val="20"/>
                <w:color w:val="auto"/>
              </w:rPr>
            </w:pPr>
            <w:r>
              <w:rPr>
                <w:rFonts w:ascii="Arial" w:cs="Arial" w:eastAsia="Arial" w:hAnsi="Arial"/>
                <w:sz w:val="14"/>
                <w:szCs w:val="14"/>
                <w:color w:val="auto"/>
              </w:rPr>
              <w:t>N/A</w:t>
            </w:r>
          </w:p>
        </w:tc>
        <w:tc>
          <w:tcPr>
            <w:tcW w:w="36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04"/>
              <w:spacing w:after="0"/>
              <w:rPr>
                <w:sz w:val="20"/>
                <w:szCs w:val="20"/>
                <w:color w:val="auto"/>
              </w:rPr>
            </w:pPr>
            <w:r>
              <w:rPr>
                <w:rFonts w:ascii="Arial" w:cs="Arial" w:eastAsia="Arial" w:hAnsi="Arial"/>
                <w:sz w:val="14"/>
                <w:szCs w:val="14"/>
                <w:color w:val="auto"/>
              </w:rPr>
              <w:t>419,440</w:t>
            </w:r>
          </w:p>
        </w:tc>
        <w:tc>
          <w:tcPr>
            <w:tcW w:w="980" w:type="dxa"/>
            <w:vAlign w:val="bottom"/>
          </w:tcPr>
          <w:p>
            <w:pPr>
              <w:jc w:val="right"/>
              <w:ind w:right="105"/>
              <w:spacing w:after="0"/>
              <w:rPr>
                <w:sz w:val="20"/>
                <w:szCs w:val="20"/>
                <w:color w:val="auto"/>
              </w:rPr>
            </w:pPr>
            <w:r>
              <w:rPr>
                <w:rFonts w:ascii="Arial" w:cs="Arial" w:eastAsia="Arial" w:hAnsi="Arial"/>
                <w:sz w:val="14"/>
                <w:szCs w:val="14"/>
                <w:color w:val="auto"/>
              </w:rPr>
              <w:t>838,880</w:t>
            </w: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5/10/2019 (3)</w:t>
            </w: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299</w:t>
            </w:r>
          </w:p>
        </w:tc>
        <w:tc>
          <w:tcPr>
            <w:tcW w:w="940" w:type="dxa"/>
            <w:vAlign w:val="bottom"/>
          </w:tcPr>
          <w:p>
            <w:pPr>
              <w:jc w:val="right"/>
              <w:ind w:right="45"/>
              <w:spacing w:after="0"/>
              <w:rPr>
                <w:sz w:val="20"/>
                <w:szCs w:val="20"/>
                <w:color w:val="auto"/>
              </w:rPr>
            </w:pPr>
            <w:r>
              <w:rPr>
                <w:rFonts w:ascii="Arial" w:cs="Arial" w:eastAsia="Arial" w:hAnsi="Arial"/>
                <w:sz w:val="14"/>
                <w:szCs w:val="14"/>
                <w:color w:val="auto"/>
              </w:rPr>
              <w:t>11,976</w:t>
            </w:r>
          </w:p>
        </w:tc>
        <w:tc>
          <w:tcPr>
            <w:tcW w:w="900" w:type="dxa"/>
            <w:vAlign w:val="bottom"/>
          </w:tcPr>
          <w:p>
            <w:pPr>
              <w:jc w:val="right"/>
              <w:ind w:right="105"/>
              <w:spacing w:after="0"/>
              <w:rPr>
                <w:sz w:val="20"/>
                <w:szCs w:val="20"/>
                <w:color w:val="auto"/>
              </w:rPr>
            </w:pPr>
            <w:r>
              <w:rPr>
                <w:rFonts w:ascii="Arial" w:cs="Arial" w:eastAsia="Arial" w:hAnsi="Arial"/>
                <w:sz w:val="14"/>
                <w:szCs w:val="14"/>
                <w:color w:val="auto"/>
              </w:rPr>
              <w:t>17,964</w:t>
            </w:r>
          </w:p>
        </w:tc>
        <w:tc>
          <w:tcPr>
            <w:tcW w:w="88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Arial" w:cs="Arial" w:eastAsia="Arial" w:hAnsi="Arial"/>
                <w:sz w:val="14"/>
                <w:szCs w:val="14"/>
                <w:color w:val="auto"/>
              </w:rPr>
              <w:t>899,996</w:t>
            </w:r>
          </w:p>
        </w:tc>
        <w:tc>
          <w:tcPr>
            <w:tcW w:w="0" w:type="dxa"/>
            <w:vAlign w:val="bottom"/>
          </w:tcPr>
          <w:p>
            <w:pPr>
              <w:spacing w:after="0"/>
              <w:rPr>
                <w:sz w:val="1"/>
                <w:szCs w:val="1"/>
                <w:color w:val="auto"/>
              </w:rPr>
            </w:pPr>
          </w:p>
        </w:tc>
      </w:tr>
      <w:tr>
        <w:trPr>
          <w:trHeight w:val="161"/>
        </w:trPr>
        <w:tc>
          <w:tcPr>
            <w:tcW w:w="19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8/6/2019 (4)</w:t>
            </w: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jc w:val="right"/>
              <w:ind w:right="142"/>
              <w:spacing w:after="0"/>
              <w:rPr>
                <w:sz w:val="20"/>
                <w:szCs w:val="20"/>
                <w:color w:val="auto"/>
              </w:rPr>
            </w:pPr>
            <w:r>
              <w:rPr>
                <w:rFonts w:ascii="Arial" w:cs="Arial" w:eastAsia="Arial" w:hAnsi="Arial"/>
                <w:sz w:val="14"/>
                <w:szCs w:val="14"/>
                <w:color w:val="auto"/>
              </w:rPr>
              <w:t>8,804</w:t>
            </w:r>
          </w:p>
        </w:tc>
        <w:tc>
          <w:tcPr>
            <w:tcW w:w="1040" w:type="dxa"/>
            <w:vAlign w:val="bottom"/>
          </w:tcPr>
          <w:p>
            <w:pPr>
              <w:jc w:val="right"/>
              <w:ind w:right="105"/>
              <w:spacing w:after="0"/>
              <w:rPr>
                <w:sz w:val="20"/>
                <w:szCs w:val="20"/>
                <w:color w:val="auto"/>
              </w:rPr>
            </w:pPr>
            <w:r>
              <w:rPr>
                <w:rFonts w:ascii="Arial" w:cs="Arial" w:eastAsia="Arial" w:hAnsi="Arial"/>
                <w:sz w:val="14"/>
                <w:szCs w:val="14"/>
                <w:color w:val="auto"/>
              </w:rPr>
              <w:t>599,993</w:t>
            </w:r>
          </w:p>
        </w:tc>
        <w:tc>
          <w:tcPr>
            <w:tcW w:w="0" w:type="dxa"/>
            <w:vAlign w:val="bottom"/>
          </w:tcPr>
          <w:p>
            <w:pPr>
              <w:spacing w:after="0"/>
              <w:rPr>
                <w:sz w:val="1"/>
                <w:szCs w:val="1"/>
                <w:color w:val="auto"/>
              </w:rPr>
            </w:pPr>
          </w:p>
        </w:tc>
      </w:tr>
      <w:tr>
        <w:trPr>
          <w:trHeight w:val="176"/>
        </w:trPr>
        <w:tc>
          <w:tcPr>
            <w:tcW w:w="1980" w:type="dxa"/>
            <w:vAlign w:val="bottom"/>
            <w:shd w:val="clear" w:color="auto" w:fill="C3D9EE"/>
          </w:tcPr>
          <w:p>
            <w:pPr>
              <w:ind w:left="80"/>
              <w:spacing w:after="0"/>
              <w:rPr>
                <w:sz w:val="20"/>
                <w:szCs w:val="20"/>
                <w:color w:val="auto"/>
              </w:rPr>
            </w:pPr>
            <w:r>
              <w:rPr>
                <w:rFonts w:ascii="Arial" w:cs="Arial" w:eastAsia="Arial" w:hAnsi="Arial"/>
                <w:sz w:val="14"/>
                <w:szCs w:val="14"/>
                <w:color w:val="auto"/>
              </w:rPr>
              <w:t>Paul J. Fego</w:t>
            </w:r>
          </w:p>
        </w:tc>
        <w:tc>
          <w:tcPr>
            <w:tcW w:w="1100" w:type="dxa"/>
            <w:vAlign w:val="bottom"/>
            <w:shd w:val="clear" w:color="auto" w:fill="C3D9EE"/>
          </w:tcPr>
          <w:p>
            <w:pPr>
              <w:jc w:val="right"/>
              <w:ind w:right="147"/>
              <w:spacing w:after="0"/>
              <w:rPr>
                <w:sz w:val="20"/>
                <w:szCs w:val="20"/>
                <w:color w:val="auto"/>
              </w:rPr>
            </w:pPr>
            <w:r>
              <w:rPr>
                <w:rFonts w:ascii="Arial" w:cs="Arial" w:eastAsia="Arial" w:hAnsi="Arial"/>
                <w:sz w:val="14"/>
                <w:szCs w:val="14"/>
                <w:color w:val="auto"/>
              </w:rPr>
              <w:t>N/A</w:t>
            </w:r>
          </w:p>
        </w:tc>
        <w:tc>
          <w:tcPr>
            <w:tcW w:w="360" w:type="dxa"/>
            <w:vAlign w:val="bottom"/>
            <w:shd w:val="clear" w:color="auto" w:fill="C3D9EE"/>
          </w:tcPr>
          <w:p>
            <w:pPr>
              <w:spacing w:after="0"/>
              <w:rPr>
                <w:sz w:val="15"/>
                <w:szCs w:val="15"/>
                <w:color w:val="auto"/>
              </w:rPr>
            </w:pPr>
          </w:p>
        </w:tc>
        <w:tc>
          <w:tcPr>
            <w:tcW w:w="600" w:type="dxa"/>
            <w:vAlign w:val="bottom"/>
            <w:shd w:val="clear" w:color="auto" w:fill="C3D9EE"/>
          </w:tcPr>
          <w:p>
            <w:pPr>
              <w:ind w:left="42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3D9EE"/>
          </w:tcPr>
          <w:p>
            <w:pPr>
              <w:jc w:val="right"/>
              <w:ind w:right="204"/>
              <w:spacing w:after="0"/>
              <w:rPr>
                <w:sz w:val="20"/>
                <w:szCs w:val="20"/>
                <w:color w:val="auto"/>
              </w:rPr>
            </w:pPr>
            <w:r>
              <w:rPr>
                <w:rFonts w:ascii="Arial" w:cs="Arial" w:eastAsia="Arial" w:hAnsi="Arial"/>
                <w:sz w:val="14"/>
                <w:szCs w:val="14"/>
                <w:color w:val="auto"/>
              </w:rPr>
              <w:t>412,514</w:t>
            </w:r>
          </w:p>
        </w:tc>
        <w:tc>
          <w:tcPr>
            <w:tcW w:w="980" w:type="dxa"/>
            <w:vAlign w:val="bottom"/>
            <w:shd w:val="clear" w:color="auto" w:fill="C3D9EE"/>
          </w:tcPr>
          <w:p>
            <w:pPr>
              <w:jc w:val="right"/>
              <w:ind w:right="105"/>
              <w:spacing w:after="0"/>
              <w:rPr>
                <w:sz w:val="20"/>
                <w:szCs w:val="20"/>
                <w:color w:val="auto"/>
              </w:rPr>
            </w:pPr>
            <w:r>
              <w:rPr>
                <w:rFonts w:ascii="Arial" w:cs="Arial" w:eastAsia="Arial" w:hAnsi="Arial"/>
                <w:sz w:val="14"/>
                <w:szCs w:val="14"/>
                <w:color w:val="auto"/>
              </w:rPr>
              <w:t>825,028</w:t>
            </w:r>
          </w:p>
        </w:tc>
        <w:tc>
          <w:tcPr>
            <w:tcW w:w="340" w:type="dxa"/>
            <w:vAlign w:val="bottom"/>
            <w:shd w:val="clear" w:color="auto" w:fill="C3D9EE"/>
          </w:tcPr>
          <w:p>
            <w:pPr>
              <w:spacing w:after="0"/>
              <w:rPr>
                <w:sz w:val="15"/>
                <w:szCs w:val="15"/>
                <w:color w:val="auto"/>
              </w:rPr>
            </w:pPr>
          </w:p>
        </w:tc>
        <w:tc>
          <w:tcPr>
            <w:tcW w:w="640" w:type="dxa"/>
            <w:vAlign w:val="bottom"/>
            <w:shd w:val="clear" w:color="auto" w:fill="C3D9EE"/>
          </w:tcPr>
          <w:p>
            <w:pPr>
              <w:spacing w:after="0"/>
              <w:rPr>
                <w:sz w:val="15"/>
                <w:szCs w:val="15"/>
                <w:color w:val="auto"/>
              </w:rPr>
            </w:pPr>
          </w:p>
        </w:tc>
        <w:tc>
          <w:tcPr>
            <w:tcW w:w="940" w:type="dxa"/>
            <w:vAlign w:val="bottom"/>
            <w:shd w:val="clear" w:color="auto" w:fill="C3D9EE"/>
          </w:tcPr>
          <w:p>
            <w:pPr>
              <w:spacing w:after="0"/>
              <w:rPr>
                <w:sz w:val="15"/>
                <w:szCs w:val="15"/>
                <w:color w:val="auto"/>
              </w:rPr>
            </w:pPr>
          </w:p>
        </w:tc>
        <w:tc>
          <w:tcPr>
            <w:tcW w:w="900" w:type="dxa"/>
            <w:vAlign w:val="bottom"/>
            <w:shd w:val="clear" w:color="auto" w:fill="C3D9EE"/>
          </w:tcPr>
          <w:p>
            <w:pPr>
              <w:spacing w:after="0"/>
              <w:rPr>
                <w:sz w:val="15"/>
                <w:szCs w:val="15"/>
                <w:color w:val="auto"/>
              </w:rPr>
            </w:pPr>
          </w:p>
        </w:tc>
        <w:tc>
          <w:tcPr>
            <w:tcW w:w="880" w:type="dxa"/>
            <w:vAlign w:val="bottom"/>
            <w:shd w:val="clear" w:color="auto" w:fill="C3D9EE"/>
          </w:tcPr>
          <w:p>
            <w:pPr>
              <w:spacing w:after="0"/>
              <w:rPr>
                <w:sz w:val="15"/>
                <w:szCs w:val="15"/>
                <w:color w:val="auto"/>
              </w:rPr>
            </w:pPr>
          </w:p>
        </w:tc>
        <w:tc>
          <w:tcPr>
            <w:tcW w:w="1040" w:type="dxa"/>
            <w:vAlign w:val="bottom"/>
            <w:shd w:val="clear" w:color="auto" w:fill="C3D9E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80" w:type="dxa"/>
            <w:vAlign w:val="bottom"/>
            <w:shd w:val="clear" w:color="auto" w:fill="C3D9EE"/>
          </w:tcPr>
          <w:p>
            <w:pPr>
              <w:spacing w:after="0"/>
              <w:rPr>
                <w:sz w:val="15"/>
                <w:szCs w:val="15"/>
                <w:color w:val="auto"/>
              </w:rPr>
            </w:pPr>
          </w:p>
        </w:tc>
        <w:tc>
          <w:tcPr>
            <w:tcW w:w="1100" w:type="dxa"/>
            <w:vAlign w:val="bottom"/>
            <w:shd w:val="clear" w:color="auto" w:fill="C3D9EE"/>
          </w:tcPr>
          <w:p>
            <w:pPr>
              <w:jc w:val="right"/>
              <w:spacing w:after="0"/>
              <w:rPr>
                <w:sz w:val="20"/>
                <w:szCs w:val="20"/>
                <w:color w:val="auto"/>
              </w:rPr>
            </w:pPr>
            <w:r>
              <w:rPr>
                <w:rFonts w:ascii="Arial" w:cs="Arial" w:eastAsia="Arial" w:hAnsi="Arial"/>
                <w:sz w:val="14"/>
                <w:szCs w:val="14"/>
                <w:color w:val="auto"/>
              </w:rPr>
              <w:t>5/10/2019 (3)</w:t>
            </w:r>
          </w:p>
        </w:tc>
        <w:tc>
          <w:tcPr>
            <w:tcW w:w="360" w:type="dxa"/>
            <w:vAlign w:val="bottom"/>
            <w:shd w:val="clear" w:color="auto" w:fill="C3D9EE"/>
          </w:tcPr>
          <w:p>
            <w:pPr>
              <w:spacing w:after="0"/>
              <w:rPr>
                <w:sz w:val="15"/>
                <w:szCs w:val="15"/>
                <w:color w:val="auto"/>
              </w:rPr>
            </w:pPr>
          </w:p>
        </w:tc>
        <w:tc>
          <w:tcPr>
            <w:tcW w:w="600" w:type="dxa"/>
            <w:vAlign w:val="bottom"/>
            <w:shd w:val="clear" w:color="auto" w:fill="C3D9EE"/>
          </w:tcPr>
          <w:p>
            <w:pPr>
              <w:spacing w:after="0"/>
              <w:rPr>
                <w:sz w:val="15"/>
                <w:szCs w:val="15"/>
                <w:color w:val="auto"/>
              </w:rPr>
            </w:pPr>
          </w:p>
        </w:tc>
        <w:tc>
          <w:tcPr>
            <w:tcW w:w="1260" w:type="dxa"/>
            <w:vAlign w:val="bottom"/>
            <w:shd w:val="clear" w:color="auto" w:fill="C3D9EE"/>
          </w:tcPr>
          <w:p>
            <w:pPr>
              <w:spacing w:after="0"/>
              <w:rPr>
                <w:sz w:val="15"/>
                <w:szCs w:val="15"/>
                <w:color w:val="auto"/>
              </w:rPr>
            </w:pPr>
          </w:p>
        </w:tc>
        <w:tc>
          <w:tcPr>
            <w:tcW w:w="980" w:type="dxa"/>
            <w:vAlign w:val="bottom"/>
            <w:shd w:val="clear" w:color="auto" w:fill="C3D9EE"/>
          </w:tcPr>
          <w:p>
            <w:pPr>
              <w:spacing w:after="0"/>
              <w:rPr>
                <w:sz w:val="15"/>
                <w:szCs w:val="15"/>
                <w:color w:val="auto"/>
              </w:rPr>
            </w:pPr>
          </w:p>
        </w:tc>
        <w:tc>
          <w:tcPr>
            <w:tcW w:w="340" w:type="dxa"/>
            <w:vAlign w:val="bottom"/>
            <w:shd w:val="clear" w:color="auto" w:fill="C3D9EE"/>
          </w:tcPr>
          <w:p>
            <w:pPr>
              <w:spacing w:after="0"/>
              <w:rPr>
                <w:sz w:val="15"/>
                <w:szCs w:val="15"/>
                <w:color w:val="auto"/>
              </w:rPr>
            </w:pPr>
          </w:p>
        </w:tc>
        <w:tc>
          <w:tcPr>
            <w:tcW w:w="640" w:type="dxa"/>
            <w:vAlign w:val="bottom"/>
            <w:shd w:val="clear" w:color="auto" w:fill="C3D9EE"/>
          </w:tcPr>
          <w:p>
            <w:pPr>
              <w:jc w:val="right"/>
              <w:spacing w:after="0"/>
              <w:rPr>
                <w:sz w:val="20"/>
                <w:szCs w:val="20"/>
                <w:color w:val="auto"/>
              </w:rPr>
            </w:pPr>
            <w:r>
              <w:rPr>
                <w:rFonts w:ascii="Arial" w:cs="Arial" w:eastAsia="Arial" w:hAnsi="Arial"/>
                <w:sz w:val="14"/>
                <w:szCs w:val="14"/>
                <w:color w:val="auto"/>
              </w:rPr>
              <w:t>200</w:t>
            </w:r>
          </w:p>
        </w:tc>
        <w:tc>
          <w:tcPr>
            <w:tcW w:w="940" w:type="dxa"/>
            <w:vAlign w:val="bottom"/>
            <w:shd w:val="clear" w:color="auto" w:fill="C3D9EE"/>
          </w:tcPr>
          <w:p>
            <w:pPr>
              <w:jc w:val="right"/>
              <w:ind w:right="45"/>
              <w:spacing w:after="0"/>
              <w:rPr>
                <w:sz w:val="20"/>
                <w:szCs w:val="20"/>
                <w:color w:val="auto"/>
              </w:rPr>
            </w:pPr>
            <w:r>
              <w:rPr>
                <w:rFonts w:ascii="Arial" w:cs="Arial" w:eastAsia="Arial" w:hAnsi="Arial"/>
                <w:sz w:val="14"/>
                <w:szCs w:val="14"/>
                <w:color w:val="auto"/>
              </w:rPr>
              <w:t>7,984</w:t>
            </w:r>
          </w:p>
        </w:tc>
        <w:tc>
          <w:tcPr>
            <w:tcW w:w="900" w:type="dxa"/>
            <w:vAlign w:val="bottom"/>
            <w:shd w:val="clear" w:color="auto" w:fill="C3D9EE"/>
          </w:tcPr>
          <w:p>
            <w:pPr>
              <w:jc w:val="right"/>
              <w:ind w:right="105"/>
              <w:spacing w:after="0"/>
              <w:rPr>
                <w:sz w:val="20"/>
                <w:szCs w:val="20"/>
                <w:color w:val="auto"/>
              </w:rPr>
            </w:pPr>
            <w:r>
              <w:rPr>
                <w:rFonts w:ascii="Arial" w:cs="Arial" w:eastAsia="Arial" w:hAnsi="Arial"/>
                <w:sz w:val="14"/>
                <w:szCs w:val="14"/>
                <w:color w:val="auto"/>
              </w:rPr>
              <w:t>11,976</w:t>
            </w:r>
          </w:p>
        </w:tc>
        <w:tc>
          <w:tcPr>
            <w:tcW w:w="880" w:type="dxa"/>
            <w:vAlign w:val="bottom"/>
            <w:shd w:val="clear" w:color="auto" w:fill="C3D9EE"/>
          </w:tcPr>
          <w:p>
            <w:pPr>
              <w:spacing w:after="0"/>
              <w:rPr>
                <w:sz w:val="15"/>
                <w:szCs w:val="15"/>
                <w:color w:val="auto"/>
              </w:rPr>
            </w:pPr>
          </w:p>
        </w:tc>
        <w:tc>
          <w:tcPr>
            <w:tcW w:w="1040" w:type="dxa"/>
            <w:vAlign w:val="bottom"/>
            <w:shd w:val="clear" w:color="auto" w:fill="C3D9EE"/>
          </w:tcPr>
          <w:p>
            <w:pPr>
              <w:jc w:val="right"/>
              <w:ind w:right="105"/>
              <w:spacing w:after="0"/>
              <w:rPr>
                <w:sz w:val="20"/>
                <w:szCs w:val="20"/>
                <w:color w:val="auto"/>
              </w:rPr>
            </w:pPr>
            <w:r>
              <w:rPr>
                <w:rFonts w:ascii="Arial" w:cs="Arial" w:eastAsia="Arial" w:hAnsi="Arial"/>
                <w:sz w:val="14"/>
                <w:szCs w:val="14"/>
                <w:color w:val="auto"/>
              </w:rPr>
              <w:t>599,998</w:t>
            </w:r>
          </w:p>
        </w:tc>
        <w:tc>
          <w:tcPr>
            <w:tcW w:w="0" w:type="dxa"/>
            <w:vAlign w:val="bottom"/>
          </w:tcPr>
          <w:p>
            <w:pPr>
              <w:spacing w:after="0"/>
              <w:rPr>
                <w:sz w:val="1"/>
                <w:szCs w:val="1"/>
                <w:color w:val="auto"/>
              </w:rPr>
            </w:pPr>
          </w:p>
        </w:tc>
      </w:tr>
      <w:tr>
        <w:trPr>
          <w:trHeight w:val="175"/>
        </w:trPr>
        <w:tc>
          <w:tcPr>
            <w:tcW w:w="1980" w:type="dxa"/>
            <w:vAlign w:val="bottom"/>
            <w:tcBorders>
              <w:bottom w:val="single" w:sz="8" w:color="1269BC"/>
            </w:tcBorders>
            <w:shd w:val="clear" w:color="auto" w:fill="C3D9EE"/>
          </w:tcPr>
          <w:p>
            <w:pPr>
              <w:spacing w:after="0"/>
              <w:rPr>
                <w:sz w:val="15"/>
                <w:szCs w:val="15"/>
                <w:color w:val="auto"/>
              </w:rPr>
            </w:pPr>
          </w:p>
        </w:tc>
        <w:tc>
          <w:tcPr>
            <w:tcW w:w="1100" w:type="dxa"/>
            <w:vAlign w:val="bottom"/>
            <w:tcBorders>
              <w:bottom w:val="single" w:sz="8" w:color="1269BC"/>
            </w:tcBorders>
            <w:shd w:val="clear" w:color="auto" w:fill="C3D9EE"/>
          </w:tcPr>
          <w:p>
            <w:pPr>
              <w:jc w:val="right"/>
              <w:spacing w:after="0"/>
              <w:rPr>
                <w:sz w:val="20"/>
                <w:szCs w:val="20"/>
                <w:color w:val="auto"/>
              </w:rPr>
            </w:pPr>
            <w:r>
              <w:rPr>
                <w:rFonts w:ascii="Arial" w:cs="Arial" w:eastAsia="Arial" w:hAnsi="Arial"/>
                <w:sz w:val="14"/>
                <w:szCs w:val="14"/>
                <w:color w:val="auto"/>
              </w:rPr>
              <w:t>8/6/2019 (4)</w:t>
            </w:r>
          </w:p>
        </w:tc>
        <w:tc>
          <w:tcPr>
            <w:tcW w:w="360" w:type="dxa"/>
            <w:vAlign w:val="bottom"/>
            <w:tcBorders>
              <w:bottom w:val="single" w:sz="8" w:color="1269BC"/>
            </w:tcBorders>
            <w:shd w:val="clear" w:color="auto" w:fill="C3D9EE"/>
          </w:tcPr>
          <w:p>
            <w:pPr>
              <w:spacing w:after="0"/>
              <w:rPr>
                <w:sz w:val="15"/>
                <w:szCs w:val="15"/>
                <w:color w:val="auto"/>
              </w:rPr>
            </w:pPr>
          </w:p>
        </w:tc>
        <w:tc>
          <w:tcPr>
            <w:tcW w:w="600" w:type="dxa"/>
            <w:vAlign w:val="bottom"/>
            <w:tcBorders>
              <w:bottom w:val="single" w:sz="8" w:color="1269BC"/>
            </w:tcBorders>
            <w:shd w:val="clear" w:color="auto" w:fill="C3D9EE"/>
          </w:tcPr>
          <w:p>
            <w:pPr>
              <w:spacing w:after="0"/>
              <w:rPr>
                <w:sz w:val="15"/>
                <w:szCs w:val="15"/>
                <w:color w:val="auto"/>
              </w:rPr>
            </w:pPr>
          </w:p>
        </w:tc>
        <w:tc>
          <w:tcPr>
            <w:tcW w:w="1260" w:type="dxa"/>
            <w:vAlign w:val="bottom"/>
            <w:tcBorders>
              <w:bottom w:val="single" w:sz="8" w:color="1269BC"/>
            </w:tcBorders>
            <w:shd w:val="clear" w:color="auto" w:fill="C3D9EE"/>
          </w:tcPr>
          <w:p>
            <w:pPr>
              <w:spacing w:after="0"/>
              <w:rPr>
                <w:sz w:val="15"/>
                <w:szCs w:val="15"/>
                <w:color w:val="auto"/>
              </w:rPr>
            </w:pPr>
          </w:p>
        </w:tc>
        <w:tc>
          <w:tcPr>
            <w:tcW w:w="980" w:type="dxa"/>
            <w:vAlign w:val="bottom"/>
            <w:tcBorders>
              <w:bottom w:val="single" w:sz="8" w:color="1269BC"/>
            </w:tcBorders>
            <w:shd w:val="clear" w:color="auto" w:fill="C3D9EE"/>
          </w:tcPr>
          <w:p>
            <w:pPr>
              <w:spacing w:after="0"/>
              <w:rPr>
                <w:sz w:val="15"/>
                <w:szCs w:val="15"/>
                <w:color w:val="auto"/>
              </w:rPr>
            </w:pPr>
          </w:p>
        </w:tc>
        <w:tc>
          <w:tcPr>
            <w:tcW w:w="340" w:type="dxa"/>
            <w:vAlign w:val="bottom"/>
            <w:tcBorders>
              <w:bottom w:val="single" w:sz="8" w:color="1269BC"/>
            </w:tcBorders>
            <w:shd w:val="clear" w:color="auto" w:fill="C3D9EE"/>
          </w:tcPr>
          <w:p>
            <w:pPr>
              <w:spacing w:after="0"/>
              <w:rPr>
                <w:sz w:val="15"/>
                <w:szCs w:val="15"/>
                <w:color w:val="auto"/>
              </w:rPr>
            </w:pPr>
          </w:p>
        </w:tc>
        <w:tc>
          <w:tcPr>
            <w:tcW w:w="640" w:type="dxa"/>
            <w:vAlign w:val="bottom"/>
            <w:tcBorders>
              <w:bottom w:val="single" w:sz="8" w:color="1269BC"/>
            </w:tcBorders>
            <w:shd w:val="clear" w:color="auto" w:fill="C3D9EE"/>
          </w:tcPr>
          <w:p>
            <w:pPr>
              <w:spacing w:after="0"/>
              <w:rPr>
                <w:sz w:val="15"/>
                <w:szCs w:val="15"/>
                <w:color w:val="auto"/>
              </w:rPr>
            </w:pPr>
          </w:p>
        </w:tc>
        <w:tc>
          <w:tcPr>
            <w:tcW w:w="940" w:type="dxa"/>
            <w:vAlign w:val="bottom"/>
            <w:tcBorders>
              <w:bottom w:val="single" w:sz="8" w:color="1269BC"/>
            </w:tcBorders>
            <w:shd w:val="clear" w:color="auto" w:fill="C3D9EE"/>
          </w:tcPr>
          <w:p>
            <w:pPr>
              <w:spacing w:after="0"/>
              <w:rPr>
                <w:sz w:val="15"/>
                <w:szCs w:val="15"/>
                <w:color w:val="auto"/>
              </w:rPr>
            </w:pPr>
          </w:p>
        </w:tc>
        <w:tc>
          <w:tcPr>
            <w:tcW w:w="900" w:type="dxa"/>
            <w:vAlign w:val="bottom"/>
            <w:tcBorders>
              <w:bottom w:val="single" w:sz="8" w:color="1269BC"/>
            </w:tcBorders>
            <w:shd w:val="clear" w:color="auto" w:fill="C3D9EE"/>
          </w:tcPr>
          <w:p>
            <w:pPr>
              <w:spacing w:after="0"/>
              <w:rPr>
                <w:sz w:val="15"/>
                <w:szCs w:val="15"/>
                <w:color w:val="auto"/>
              </w:rPr>
            </w:pPr>
          </w:p>
        </w:tc>
        <w:tc>
          <w:tcPr>
            <w:tcW w:w="880" w:type="dxa"/>
            <w:vAlign w:val="bottom"/>
            <w:tcBorders>
              <w:bottom w:val="single" w:sz="8" w:color="1269BC"/>
            </w:tcBorders>
            <w:shd w:val="clear" w:color="auto" w:fill="C3D9EE"/>
          </w:tcPr>
          <w:p>
            <w:pPr>
              <w:jc w:val="right"/>
              <w:ind w:right="142"/>
              <w:spacing w:after="0"/>
              <w:rPr>
                <w:sz w:val="20"/>
                <w:szCs w:val="20"/>
                <w:color w:val="auto"/>
              </w:rPr>
            </w:pPr>
            <w:r>
              <w:rPr>
                <w:rFonts w:ascii="Arial" w:cs="Arial" w:eastAsia="Arial" w:hAnsi="Arial"/>
                <w:sz w:val="14"/>
                <w:szCs w:val="14"/>
                <w:color w:val="auto"/>
              </w:rPr>
              <w:t>13,206</w:t>
            </w:r>
          </w:p>
        </w:tc>
        <w:tc>
          <w:tcPr>
            <w:tcW w:w="1040" w:type="dxa"/>
            <w:vAlign w:val="bottom"/>
            <w:tcBorders>
              <w:bottom w:val="single" w:sz="8" w:color="1269BC"/>
            </w:tcBorders>
            <w:shd w:val="clear" w:color="auto" w:fill="C3D9EE"/>
          </w:tcPr>
          <w:p>
            <w:pPr>
              <w:jc w:val="right"/>
              <w:ind w:right="105"/>
              <w:spacing w:after="0"/>
              <w:rPr>
                <w:sz w:val="20"/>
                <w:szCs w:val="20"/>
                <w:color w:val="auto"/>
              </w:rPr>
            </w:pPr>
            <w:r>
              <w:rPr>
                <w:rFonts w:ascii="Arial" w:cs="Arial" w:eastAsia="Arial" w:hAnsi="Arial"/>
                <w:sz w:val="14"/>
                <w:szCs w:val="14"/>
                <w:color w:val="auto"/>
              </w:rPr>
              <w:t>899,989</w:t>
            </w:r>
          </w:p>
        </w:tc>
        <w:tc>
          <w:tcPr>
            <w:tcW w:w="0" w:type="dxa"/>
            <w:vAlign w:val="bottom"/>
          </w:tcPr>
          <w:p>
            <w:pPr>
              <w:spacing w:after="0"/>
              <w:rPr>
                <w:sz w:val="1"/>
                <w:szCs w:val="1"/>
                <w:color w:val="auto"/>
              </w:rPr>
            </w:pPr>
          </w:p>
        </w:tc>
      </w:tr>
    </w:tbl>
    <w:p>
      <w:pPr>
        <w:spacing w:after="0" w:line="245" w:lineRule="exact"/>
        <w:rPr>
          <w:sz w:val="20"/>
          <w:szCs w:val="20"/>
          <w:color w:val="auto"/>
        </w:rPr>
      </w:pPr>
    </w:p>
    <w:p>
      <w:pPr>
        <w:jc w:val="both"/>
        <w:ind w:left="980" w:right="420" w:hanging="432"/>
        <w:spacing w:after="0" w:line="260"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Equity awards granted to the Named Executive Officers were made pursuant to our 2012 Plan. See “Equity Compensation Plans – 2012 Stock Incentive Plan – Qorvo, Inc.,” below for more information. The grant date above is determined in accordance with ASC Topic 718.</w:t>
      </w:r>
    </w:p>
    <w:p>
      <w:pPr>
        <w:spacing w:after="0" w:line="222" w:lineRule="exact"/>
        <w:rPr>
          <w:rFonts w:ascii="Arial" w:cs="Arial" w:eastAsia="Arial" w:hAnsi="Arial"/>
          <w:sz w:val="16"/>
          <w:szCs w:val="16"/>
          <w:color w:val="auto"/>
        </w:rPr>
      </w:pPr>
    </w:p>
    <w:p>
      <w:pPr>
        <w:ind w:left="980" w:right="60" w:hanging="432"/>
        <w:spacing w:after="0" w:line="250"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Each Named Executive Officer participates in our Short-Term Incentive Plan. The short-term incentive award earned by each Named Executive Officer is shown in the Summary Compensation Table under the column captioned “Non-Equity Incentive Plan Compensation.” Short-term incentive awards are earned based on attainment of Company operating performance goals based on two six-month performance periods. The short-term incentive opportunities available under the Short-Term Incentive Plan are described in greater detail under “Compensation Discussion and Analysis – Elements of Compensation – Short-term Incentive Opportunities.”</w:t>
      </w:r>
    </w:p>
    <w:p>
      <w:pPr>
        <w:spacing w:after="0" w:line="229" w:lineRule="exact"/>
        <w:rPr>
          <w:rFonts w:ascii="Arial" w:cs="Arial" w:eastAsia="Arial" w:hAnsi="Arial"/>
          <w:sz w:val="16"/>
          <w:szCs w:val="16"/>
          <w:color w:val="auto"/>
        </w:rPr>
      </w:pPr>
    </w:p>
    <w:p>
      <w:pPr>
        <w:ind w:left="980" w:right="40" w:hanging="432"/>
        <w:spacing w:after="0" w:line="248"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Information in this row reflects the Objectives-based RSU awards granted under our 2012 Plan. Objectives-based RSUs are earned, if at all, at the end of a specified performance period based on achievement of pre-established performance goals, with 50% vesting at the end of the performance period and the remaining 50% vesting in equal installments over the following two years. In the event of termination of employment other than for cause, these performance-based RSU awards granted to a Named Executive Officer will continue to be capable of being earned and vest over the original vesting term as if the Named Executive Officer had remained an employee of Qorvo subject to the Named Executive Officer’s compliance with certain restrictive covenants and other conditions. For a detailed discussion of the performance-based RSU awards, see “Compensation Discussion and Analysis – Elements of Compensation – Performance-Based Restricted Stock Unit Awards,” above.</w:t>
      </w:r>
    </w:p>
    <w:p>
      <w:pPr>
        <w:spacing w:after="0" w:line="234" w:lineRule="exact"/>
        <w:rPr>
          <w:rFonts w:ascii="Arial" w:cs="Arial" w:eastAsia="Arial" w:hAnsi="Arial"/>
          <w:sz w:val="16"/>
          <w:szCs w:val="16"/>
          <w:color w:val="auto"/>
        </w:rPr>
      </w:pPr>
    </w:p>
    <w:p>
      <w:pPr>
        <w:ind w:left="980" w:right="100" w:hanging="432"/>
        <w:spacing w:after="0" w:line="250"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These service-based RSU awards were granted under our 2012 Plan and vest in increments of 25% per year over a period of four years. In the event of termination of employment other than for cause, the service-based RSU awards granted to a Named Executive Officer generally will continue to vest over the original vesting term as if the Named Executive Officer had remained an employee of Qorvo subject to the Named Executive Officer’s compliance with certain restrictive covenants and other conditions. For a detailed discussion of the service-based RSU awards, see “Compensation Discussion and Analysis – Elements of Compensation – Service-Based Restricted Stock Unit Awards.”</w:t>
      </w:r>
    </w:p>
    <w:p>
      <w:pPr>
        <w:spacing w:after="0" w:line="229" w:lineRule="exact"/>
        <w:rPr>
          <w:rFonts w:ascii="Arial" w:cs="Arial" w:eastAsia="Arial" w:hAnsi="Arial"/>
          <w:sz w:val="16"/>
          <w:szCs w:val="16"/>
          <w:color w:val="auto"/>
        </w:rPr>
      </w:pPr>
    </w:p>
    <w:p>
      <w:pPr>
        <w:ind w:left="980" w:right="180" w:hanging="432"/>
        <w:spacing w:after="0" w:line="250"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These amounts do not reflect compensation actually received by the Named Executive Officer. Amounts presented represent the aggregate grant date fair value calculated in accordance with ASC Topic 718 of our common stock awards granted during the fiscal year. See “Stock-Based Compensation” in Note 15 of the Notes to the Consolidated Financial Statements set forth in the 10-K for the assumptions used to calculate the grant date fair value of the awards. The actual amount of the stock award ultimately realized upon vesting may differ from the aggregate grant date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84455</wp:posOffset>
            </wp:positionV>
            <wp:extent cx="58293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pacing w:after="0" w:line="14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i w:val="1"/>
          <w:iCs w:val="1"/>
          <w:color w:val="1269BC"/>
        </w:rPr>
        <w:t>2020 Proxy Statement</w:t>
      </w:r>
      <w:r>
        <w:rPr>
          <w:sz w:val="20"/>
          <w:szCs w:val="20"/>
          <w:color w:val="auto"/>
        </w:rPr>
        <w:tab/>
      </w:r>
      <w:r>
        <w:rPr>
          <w:rFonts w:ascii="Arial" w:cs="Arial" w:eastAsia="Arial" w:hAnsi="Arial"/>
          <w:sz w:val="17"/>
          <w:szCs w:val="17"/>
          <w:color w:val="auto"/>
        </w:rPr>
        <w:t>35</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Equity Compensation Plans</w:t>
      </w:r>
    </w:p>
    <w:p>
      <w:pPr>
        <w:spacing w:after="0" w:line="128" w:lineRule="exact"/>
        <w:rPr>
          <w:sz w:val="20"/>
          <w:szCs w:val="20"/>
          <w:color w:val="auto"/>
        </w:rPr>
      </w:pPr>
    </w:p>
    <w:p>
      <w:pPr>
        <w:ind w:left="120" w:right="180"/>
        <w:spacing w:after="0" w:line="250" w:lineRule="auto"/>
        <w:rPr>
          <w:sz w:val="20"/>
          <w:szCs w:val="20"/>
          <w:color w:val="auto"/>
        </w:rPr>
      </w:pPr>
      <w:r>
        <w:rPr>
          <w:rFonts w:ascii="Arial" w:cs="Arial" w:eastAsia="Arial" w:hAnsi="Arial"/>
          <w:sz w:val="16"/>
          <w:szCs w:val="16"/>
          <w:color w:val="auto"/>
        </w:rPr>
        <w:t>The discussion that follows describes the material terms of our principal equity compensation plans in which the Named Executive Officers participate. The material terms of the employment agreement entered into by RFMD and Mr. Bruggeworth and assumed by Qorvo in connection with the Business Combination and the offer letter agreement entered into by TriQuint and Mr. Klein and assumed by Qorvo in connection with the Business Combination, and the change in control arrangements applicable to our Named Executive Officers are described under “Potential Payments Upon Termination or Change-in-Control” below.</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2012 Stock Incentive Plan – Qorvo, Inc.</w:t>
      </w:r>
    </w:p>
    <w:p>
      <w:pPr>
        <w:spacing w:after="0" w:line="129" w:lineRule="exact"/>
        <w:rPr>
          <w:sz w:val="20"/>
          <w:szCs w:val="20"/>
          <w:color w:val="auto"/>
        </w:rPr>
      </w:pPr>
    </w:p>
    <w:p>
      <w:pPr>
        <w:ind w:left="120" w:right="100"/>
        <w:spacing w:after="0" w:line="248" w:lineRule="auto"/>
        <w:rPr>
          <w:sz w:val="20"/>
          <w:szCs w:val="20"/>
          <w:color w:val="auto"/>
        </w:rPr>
      </w:pPr>
      <w:r>
        <w:rPr>
          <w:rFonts w:ascii="Arial" w:cs="Arial" w:eastAsia="Arial" w:hAnsi="Arial"/>
          <w:sz w:val="16"/>
          <w:szCs w:val="16"/>
          <w:color w:val="auto"/>
        </w:rPr>
        <w:t>The Company currently grants equity awards to eligible employees, directors and independent contractors under the 2012 Stock Incentive Plan (the “2012 Plan”), which was approved by RFMD’s shareholders on August 16, 2012 and assumed by the Company in connection with the Business Combination. Under the 2012 Plan, the Company is permitted to grant stock options and other types of equity incentive awards, such as stock appreciation rights, restricted stock awards, performance shares and performance units. The maximum number of shares issuable under the 2012 Plan may not exceed the sum of (a) 4.3 million shares, plus (b) any shares of common stock (i) remaining available for issuance as of the effective date of the 2012 Plan under the Company’s prior plans and (ii) subject to an award granted under a prior plan, which awards are forfeited, canceled, terminated, expire or lapse for any reason. As of March 28, 2020, approximately 2.9 million shares were available for issuance under the 2012 Plan.</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2009 and 2012 Incentive Plans – TriQuint Semiconductor, Inc.</w:t>
      </w:r>
    </w:p>
    <w:p>
      <w:pPr>
        <w:spacing w:after="0" w:line="129" w:lineRule="exact"/>
        <w:rPr>
          <w:sz w:val="20"/>
          <w:szCs w:val="20"/>
          <w:color w:val="auto"/>
        </w:rPr>
      </w:pPr>
    </w:p>
    <w:p>
      <w:pPr>
        <w:ind w:left="120" w:right="80"/>
        <w:spacing w:after="0" w:line="249" w:lineRule="auto"/>
        <w:rPr>
          <w:sz w:val="20"/>
          <w:szCs w:val="20"/>
          <w:color w:val="auto"/>
        </w:rPr>
      </w:pPr>
      <w:r>
        <w:rPr>
          <w:rFonts w:ascii="Arial" w:cs="Arial" w:eastAsia="Arial" w:hAnsi="Arial"/>
          <w:sz w:val="16"/>
          <w:szCs w:val="16"/>
          <w:color w:val="auto"/>
        </w:rPr>
        <w:t>Effective upon the closing of the Business Combination, the Company assumed the TriQuint Semiconductor, Inc. 2009 Incentive Plan and the TriQuint Semiconductor, Inc. 2012 Incentive Plan (together, the “TriQuint Incentive Plans”), originally adopted by TriQuint. The TriQuint Incentive Plans provided for the grant of stock options, restricted stock units, stock appreciation rights and other stock or cash awards to employees, officers, directors, consultants, agents, advisors and independent contractors of TriQuint and its subsidiaries and affiliates. The options granted thereunder were required to have an exercise price per share no less than 100% of the fair market value per share on the date of grant. The terms of each grant under the TriQuint Incentive Plans could not exceed ten years. No further awards can be granted under these plans.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2013 Incentive Plan – Qorvo, Inc.</w:t>
      </w:r>
    </w:p>
    <w:p>
      <w:pPr>
        <w:spacing w:after="0" w:line="129"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Effective upon the closing of the Business Combination, the Company assumed the TriQuint Semiconductor, Inc. 2013 Incentive Plan (the “2013 Incentive Plan”), originally adopted by TriQuint, allowing Qorvo to issue awards under this plan. The 2013 Incentive Plan replaces the TriQuint 2012 Incentive Plan and provides for the grant of stock options, restricted stock units, stock appreciation rights and other stock or cash awards to employees, officers, directors, consultants, agents, advisors and independent contractors of TriQuint and its subsidiaries and affiliates who were such prior to the Business Combination or who become employed by the Company or its affiliates after the closing of the Business Combination. Former employees, officers and directors of RFMD are not eligible for awards under the 2013 Incentive Plan. The options granted thereunder must have an exercise price per share no less than 100% of the fair market value per share on the date of grant. The terms of each grant under the 2013 Incentive Plan may not exceed ten years. As of March 28, 2020, approximately 1.3 million shares were available for issuance under the 2013 Incentive Plan.</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Employee Stock Purchase Plan – Qorvo, Inc.</w:t>
      </w:r>
    </w:p>
    <w:p>
      <w:pPr>
        <w:spacing w:after="0" w:line="129" w:lineRule="exact"/>
        <w:rPr>
          <w:sz w:val="20"/>
          <w:szCs w:val="20"/>
          <w:color w:val="auto"/>
        </w:rPr>
      </w:pPr>
    </w:p>
    <w:p>
      <w:pPr>
        <w:ind w:left="120" w:right="140"/>
        <w:spacing w:after="0" w:line="249" w:lineRule="auto"/>
        <w:rPr>
          <w:sz w:val="20"/>
          <w:szCs w:val="20"/>
          <w:color w:val="auto"/>
        </w:rPr>
      </w:pPr>
      <w:r>
        <w:rPr>
          <w:rFonts w:ascii="Arial" w:cs="Arial" w:eastAsia="Arial" w:hAnsi="Arial"/>
          <w:sz w:val="16"/>
          <w:szCs w:val="16"/>
          <w:color w:val="auto"/>
        </w:rPr>
        <w:t>Effective upon closing of the Business Combination, the Company assumed the TriQuint Employee Stock Purchase Plan (“ESPP”), which is intended to qualify as an “employee stock purchase plan” under Section 423 of the Code. All regular full-time employees of the Company (including officers) and all other employees who meet the eligibility requirements of the plan may participate in the ESPP. The ESPP provides eligible employees an opportunity to acquire the Company’s common stock at 85% of the lower of the closing price per share of the Company’s common stock on the first or last day of each six-month purchase period. As of March 28, 2020, approximately 3.7 million shares were available for future issuance under this plan. The Company makes no cash contributions to the ESPP, but bears the expenses of its administration.</w:t>
      </w:r>
    </w:p>
    <w:p>
      <w:pPr>
        <w:spacing w:after="0" w:line="205" w:lineRule="exact"/>
        <w:rPr>
          <w:sz w:val="20"/>
          <w:szCs w:val="20"/>
          <w:color w:val="auto"/>
        </w:rPr>
      </w:pPr>
    </w:p>
    <w:p>
      <w:pPr>
        <w:ind w:left="120" w:right="140"/>
        <w:spacing w:after="0" w:line="249" w:lineRule="auto"/>
        <w:rPr>
          <w:sz w:val="20"/>
          <w:szCs w:val="20"/>
          <w:color w:val="auto"/>
        </w:rPr>
      </w:pPr>
      <w:r>
        <w:rPr>
          <w:rFonts w:ascii="Arial" w:cs="Arial" w:eastAsia="Arial" w:hAnsi="Arial"/>
          <w:sz w:val="16"/>
          <w:szCs w:val="16"/>
          <w:color w:val="auto"/>
        </w:rPr>
        <w:t>For a discussion of the May 2020 grants of performance-based RSU awards, which are capable of being earned based on objective performance goals, see “Compensation Discussion and Analysis – Elements of Compensation – Performance-Based Restricted Stock Unit Awards.” For a discussion of the methodology with respect to the grants of service-based RSU awards, see “Compensation Discussion and Analysis – Elements of Compensation – Service-Based Restricted Stock Unit Awards.” For a discussion of our Named Executive Officers’ equity award compensation in proportion to their total compensation, see “Compensation Discussion and Analysis – Executive Compensation Program – Fiscal 2020 Executive Compensation Program Design.”</w:t>
      </w:r>
    </w:p>
    <w:p>
      <w:pPr>
        <w:spacing w:after="0" w:line="135" w:lineRule="exact"/>
        <w:rPr>
          <w:sz w:val="20"/>
          <w:szCs w:val="20"/>
          <w:color w:val="auto"/>
        </w:rPr>
      </w:pPr>
    </w:p>
    <w:p>
      <w:pPr>
        <w:ind w:left="120"/>
        <w:spacing w:after="0"/>
        <w:tabs>
          <w:tab w:leader="none" w:pos="541" w:val="left"/>
        </w:tabs>
        <w:rPr>
          <w:sz w:val="20"/>
          <w:szCs w:val="20"/>
          <w:color w:val="auto"/>
        </w:rPr>
      </w:pPr>
      <w:r>
        <w:rPr>
          <w:rFonts w:ascii="Arial" w:cs="Arial" w:eastAsia="Arial" w:hAnsi="Arial"/>
          <w:sz w:val="18"/>
          <w:szCs w:val="18"/>
          <w:color w:val="auto"/>
        </w:rPr>
        <w:t>36</w:t>
      </w:r>
      <w:r>
        <w:rPr>
          <w:sz w:val="20"/>
          <w:szCs w:val="20"/>
          <w:color w:val="auto"/>
        </w:rPr>
        <w:tab/>
      </w:r>
      <w:r>
        <w:rPr>
          <w:sz w:val="1"/>
          <w:szCs w:val="1"/>
          <w:color w:val="auto"/>
        </w:rPr>
        <w:drawing>
          <wp:inline distT="0" distB="0" distL="0" distR="0">
            <wp:extent cx="582930" cy="13716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i w:val="1"/>
          <w:iCs w:val="1"/>
          <w:color w:val="1269BC"/>
        </w:rPr>
        <w:t xml:space="preserve">   2020 Proxy Statement</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14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Outstanding Equity Awards at Fiscal 2020 Year-End Table</w:t>
      </w:r>
    </w:p>
    <w:p>
      <w:pPr>
        <w:spacing w:after="0" w:line="132" w:lineRule="exact"/>
        <w:rPr>
          <w:sz w:val="20"/>
          <w:szCs w:val="20"/>
          <w:color w:val="auto"/>
        </w:rPr>
      </w:pPr>
    </w:p>
    <w:p>
      <w:pPr>
        <w:ind w:left="120" w:right="260"/>
        <w:spacing w:after="0" w:line="260" w:lineRule="auto"/>
        <w:rPr>
          <w:sz w:val="20"/>
          <w:szCs w:val="20"/>
          <w:color w:val="auto"/>
        </w:rPr>
      </w:pPr>
      <w:r>
        <w:rPr>
          <w:rFonts w:ascii="Arial" w:cs="Arial" w:eastAsia="Arial" w:hAnsi="Arial"/>
          <w:sz w:val="16"/>
          <w:szCs w:val="16"/>
          <w:color w:val="auto"/>
        </w:rPr>
        <w:t>The following table shows the number of shares of our common stock covered by exercisable and unexercisable options and unvested restricted stock unit awards held by our Named Executive Officers on March 28, 2020.</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bottom w:val="single" w:sz="8" w:color="1269BC"/>
            </w:tcBorders>
          </w:tcPr>
          <w:p>
            <w:pPr>
              <w:spacing w:after="0"/>
              <w:rPr>
                <w:sz w:val="18"/>
                <w:szCs w:val="18"/>
                <w:color w:val="auto"/>
              </w:rPr>
            </w:pPr>
          </w:p>
        </w:tc>
        <w:tc>
          <w:tcPr>
            <w:tcW w:w="1660" w:type="dxa"/>
            <w:vAlign w:val="bottom"/>
            <w:tcBorders>
              <w:bottom w:val="single" w:sz="8" w:color="1269BC"/>
            </w:tcBorders>
            <w:gridSpan w:val="2"/>
          </w:tcPr>
          <w:p>
            <w:pPr>
              <w:jc w:val="right"/>
              <w:ind w:right="21"/>
              <w:spacing w:after="0"/>
              <w:rPr>
                <w:sz w:val="20"/>
                <w:szCs w:val="20"/>
                <w:color w:val="auto"/>
              </w:rPr>
            </w:pPr>
            <w:r>
              <w:rPr>
                <w:rFonts w:ascii="Arial" w:cs="Arial" w:eastAsia="Arial" w:hAnsi="Arial"/>
                <w:sz w:val="16"/>
                <w:szCs w:val="16"/>
                <w:b w:val="1"/>
                <w:bCs w:val="1"/>
                <w:color w:val="1269BC"/>
              </w:rPr>
              <w:t>Option Awards</w:t>
            </w:r>
          </w:p>
        </w:tc>
        <w:tc>
          <w:tcPr>
            <w:tcW w:w="500" w:type="dxa"/>
            <w:vAlign w:val="bottom"/>
            <w:tcBorders>
              <w:bottom w:val="single" w:sz="8" w:color="1269BC"/>
            </w:tcBorders>
          </w:tcPr>
          <w:p>
            <w:pPr>
              <w:spacing w:after="0"/>
              <w:rPr>
                <w:sz w:val="18"/>
                <w:szCs w:val="18"/>
                <w:color w:val="auto"/>
              </w:rPr>
            </w:pPr>
          </w:p>
        </w:tc>
        <w:tc>
          <w:tcPr>
            <w:tcW w:w="940" w:type="dxa"/>
            <w:vAlign w:val="bottom"/>
            <w:tcBorders>
              <w:bottom w:val="single" w:sz="8" w:color="1269BC"/>
            </w:tcBorders>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tcBorders>
              <w:bottom w:val="single" w:sz="8" w:color="1269BC"/>
            </w:tcBorders>
            <w:gridSpan w:val="2"/>
          </w:tcPr>
          <w:p>
            <w:pPr>
              <w:jc w:val="right"/>
              <w:ind w:right="507"/>
              <w:spacing w:after="0"/>
              <w:rPr>
                <w:sz w:val="20"/>
                <w:szCs w:val="20"/>
                <w:color w:val="auto"/>
              </w:rPr>
            </w:pPr>
            <w:r>
              <w:rPr>
                <w:rFonts w:ascii="Arial" w:cs="Arial" w:eastAsia="Arial" w:hAnsi="Arial"/>
                <w:sz w:val="16"/>
                <w:szCs w:val="16"/>
                <w:b w:val="1"/>
                <w:bCs w:val="1"/>
                <w:color w:val="1269BC"/>
              </w:rPr>
              <w:t>Stock Awards</w:t>
            </w:r>
          </w:p>
        </w:tc>
      </w:tr>
      <w:tr>
        <w:trPr>
          <w:trHeight w:val="164"/>
        </w:trPr>
        <w:tc>
          <w:tcPr>
            <w:tcW w:w="3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line="165" w:lineRule="exact"/>
              <w:rPr>
                <w:sz w:val="20"/>
                <w:szCs w:val="20"/>
                <w:color w:val="auto"/>
              </w:rPr>
            </w:pPr>
            <w:r>
              <w:rPr>
                <w:rFonts w:ascii="Arial" w:cs="Arial" w:eastAsia="Arial" w:hAnsi="Arial"/>
                <w:sz w:val="16"/>
                <w:szCs w:val="16"/>
                <w:b w:val="1"/>
                <w:bCs w:val="1"/>
                <w:color w:val="1269BC"/>
                <w:w w:val="99"/>
              </w:rPr>
              <w:t>Number of</w:t>
            </w:r>
          </w:p>
        </w:tc>
        <w:tc>
          <w:tcPr>
            <w:tcW w:w="1300" w:type="dxa"/>
            <w:vAlign w:val="bottom"/>
          </w:tcPr>
          <w:p>
            <w:pPr>
              <w:jc w:val="center"/>
              <w:spacing w:after="0" w:line="165" w:lineRule="exact"/>
              <w:rPr>
                <w:sz w:val="20"/>
                <w:szCs w:val="20"/>
                <w:color w:val="auto"/>
              </w:rPr>
            </w:pPr>
            <w:r>
              <w:rPr>
                <w:rFonts w:ascii="Arial" w:cs="Arial" w:eastAsia="Arial" w:hAnsi="Arial"/>
                <w:sz w:val="16"/>
                <w:szCs w:val="16"/>
                <w:b w:val="1"/>
                <w:bCs w:val="1"/>
                <w:color w:val="1269BC"/>
              </w:rPr>
              <w:t>Number of</w:t>
            </w: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spacing w:after="0" w:line="165" w:lineRule="exact"/>
              <w:rPr>
                <w:sz w:val="20"/>
                <w:szCs w:val="20"/>
                <w:color w:val="auto"/>
              </w:rPr>
            </w:pPr>
            <w:r>
              <w:rPr>
                <w:rFonts w:ascii="Arial" w:cs="Arial" w:eastAsia="Arial" w:hAnsi="Arial"/>
                <w:sz w:val="16"/>
                <w:szCs w:val="16"/>
                <w:b w:val="1"/>
                <w:bCs w:val="1"/>
                <w:color w:val="1269BC"/>
                <w:w w:val="99"/>
              </w:rPr>
              <w:t>Number of</w:t>
            </w:r>
          </w:p>
        </w:tc>
        <w:tc>
          <w:tcPr>
            <w:tcW w:w="1240" w:type="dxa"/>
            <w:vAlign w:val="bottom"/>
          </w:tcPr>
          <w:p>
            <w:pPr>
              <w:spacing w:after="0"/>
              <w:rPr>
                <w:sz w:val="14"/>
                <w:szCs w:val="14"/>
                <w:color w:val="auto"/>
              </w:rPr>
            </w:pPr>
          </w:p>
        </w:tc>
      </w:tr>
      <w:tr>
        <w:trPr>
          <w:trHeight w:val="189"/>
        </w:trPr>
        <w:tc>
          <w:tcPr>
            <w:tcW w:w="3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1269BC"/>
                <w:w w:val="99"/>
              </w:rPr>
              <w:t>Securities</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1269BC"/>
              </w:rPr>
              <w:t>Securities</w:t>
            </w: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1269BC"/>
              </w:rPr>
              <w:t>Shares of</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1269BC"/>
                <w:w w:val="99"/>
              </w:rPr>
              <w:t>Market Value</w:t>
            </w:r>
          </w:p>
        </w:tc>
      </w:tr>
      <w:tr>
        <w:trPr>
          <w:trHeight w:val="189"/>
        </w:trPr>
        <w:tc>
          <w:tcPr>
            <w:tcW w:w="3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1269BC"/>
              </w:rPr>
              <w:t>Underlying</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1269BC"/>
              </w:rPr>
              <w:t>Underlying</w:t>
            </w: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1269BC"/>
              </w:rPr>
              <w:t>Units of</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1269BC"/>
              </w:rPr>
              <w:t>of Shares or</w:t>
            </w:r>
          </w:p>
        </w:tc>
      </w:tr>
      <w:tr>
        <w:trPr>
          <w:trHeight w:val="189"/>
        </w:trPr>
        <w:tc>
          <w:tcPr>
            <w:tcW w:w="3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1269BC"/>
              </w:rPr>
              <w:t>Unexercised</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1269BC"/>
              </w:rPr>
              <w:t>Unexercised</w:t>
            </w:r>
          </w:p>
        </w:tc>
        <w:tc>
          <w:tcPr>
            <w:tcW w:w="860" w:type="dxa"/>
            <w:vAlign w:val="bottom"/>
            <w:gridSpan w:val="2"/>
          </w:tcPr>
          <w:p>
            <w:pPr>
              <w:jc w:val="center"/>
              <w:spacing w:after="0"/>
              <w:rPr>
                <w:sz w:val="20"/>
                <w:szCs w:val="20"/>
                <w:color w:val="auto"/>
              </w:rPr>
            </w:pPr>
            <w:r>
              <w:rPr>
                <w:rFonts w:ascii="Arial" w:cs="Arial" w:eastAsia="Arial" w:hAnsi="Arial"/>
                <w:sz w:val="16"/>
                <w:szCs w:val="16"/>
                <w:b w:val="1"/>
                <w:bCs w:val="1"/>
                <w:color w:val="1269BC"/>
              </w:rPr>
              <w:t>Option</w:t>
            </w: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1269BC"/>
              </w:rPr>
              <w:t>Option</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1269BC"/>
              </w:rPr>
              <w:t>Stock That</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1269BC"/>
              </w:rPr>
              <w:t>Units of Stock</w:t>
            </w:r>
          </w:p>
        </w:tc>
      </w:tr>
      <w:tr>
        <w:trPr>
          <w:trHeight w:val="189"/>
        </w:trPr>
        <w:tc>
          <w:tcPr>
            <w:tcW w:w="3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1269BC"/>
                <w:w w:val="99"/>
              </w:rPr>
              <w:t>Options</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1269BC"/>
              </w:rPr>
              <w:t>Options</w:t>
            </w:r>
          </w:p>
        </w:tc>
        <w:tc>
          <w:tcPr>
            <w:tcW w:w="860" w:type="dxa"/>
            <w:vAlign w:val="bottom"/>
            <w:gridSpan w:val="2"/>
          </w:tcPr>
          <w:p>
            <w:pPr>
              <w:jc w:val="center"/>
              <w:spacing w:after="0"/>
              <w:rPr>
                <w:sz w:val="20"/>
                <w:szCs w:val="20"/>
                <w:color w:val="auto"/>
              </w:rPr>
            </w:pPr>
            <w:r>
              <w:rPr>
                <w:rFonts w:ascii="Arial" w:cs="Arial" w:eastAsia="Arial" w:hAnsi="Arial"/>
                <w:sz w:val="16"/>
                <w:szCs w:val="16"/>
                <w:b w:val="1"/>
                <w:bCs w:val="1"/>
                <w:color w:val="1269BC"/>
              </w:rPr>
              <w:t>Exercise</w:t>
            </w: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1269BC"/>
              </w:rPr>
              <w:t>Expiration</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1269BC"/>
              </w:rPr>
              <w:t>Have Not</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1269BC"/>
              </w:rPr>
              <w:t>That Have Not</w:t>
            </w:r>
          </w:p>
        </w:tc>
      </w:tr>
      <w:tr>
        <w:trPr>
          <w:trHeight w:val="189"/>
        </w:trPr>
        <w:tc>
          <w:tcPr>
            <w:tcW w:w="3000" w:type="dxa"/>
            <w:vAlign w:val="bottom"/>
          </w:tcPr>
          <w:p>
            <w:pPr>
              <w:spacing w:after="0"/>
              <w:rPr>
                <w:sz w:val="16"/>
                <w:szCs w:val="16"/>
                <w:color w:val="auto"/>
              </w:rPr>
            </w:pPr>
          </w:p>
        </w:tc>
        <w:tc>
          <w:tcPr>
            <w:tcW w:w="1140" w:type="dxa"/>
            <w:vAlign w:val="bottom"/>
            <w:gridSpan w:val="2"/>
          </w:tcPr>
          <w:p>
            <w:pPr>
              <w:jc w:val="right"/>
              <w:ind w:right="148"/>
              <w:spacing w:after="0"/>
              <w:rPr>
                <w:sz w:val="20"/>
                <w:szCs w:val="20"/>
                <w:color w:val="auto"/>
              </w:rPr>
            </w:pPr>
            <w:r>
              <w:rPr>
                <w:rFonts w:ascii="Arial" w:cs="Arial" w:eastAsia="Arial" w:hAnsi="Arial"/>
                <w:sz w:val="16"/>
                <w:szCs w:val="16"/>
                <w:b w:val="1"/>
                <w:bCs w:val="1"/>
                <w:color w:val="1269BC"/>
              </w:rPr>
              <w:t>Grant Date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1269BC"/>
              </w:rPr>
              <w:t>Exercisable</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1269BC"/>
              </w:rPr>
              <w:t>Unexercisable</w:t>
            </w:r>
          </w:p>
        </w:tc>
        <w:tc>
          <w:tcPr>
            <w:tcW w:w="860" w:type="dxa"/>
            <w:vAlign w:val="bottom"/>
            <w:gridSpan w:val="2"/>
          </w:tcPr>
          <w:p>
            <w:pPr>
              <w:jc w:val="center"/>
              <w:spacing w:after="0"/>
              <w:rPr>
                <w:sz w:val="20"/>
                <w:szCs w:val="20"/>
                <w:color w:val="auto"/>
              </w:rPr>
            </w:pPr>
            <w:r>
              <w:rPr>
                <w:rFonts w:ascii="Arial" w:cs="Arial" w:eastAsia="Arial" w:hAnsi="Arial"/>
                <w:sz w:val="16"/>
                <w:szCs w:val="16"/>
                <w:b w:val="1"/>
                <w:bCs w:val="1"/>
                <w:color w:val="1269BC"/>
                <w:w w:val="96"/>
              </w:rPr>
              <w:t>Price</w:t>
            </w: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1269BC"/>
              </w:rPr>
              <w:t>Date</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1269BC"/>
                <w:w w:val="99"/>
              </w:rPr>
              <w:t>Vested</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1269BC"/>
                <w:w w:val="99"/>
              </w:rPr>
              <w:t>Vested</w:t>
            </w:r>
          </w:p>
        </w:tc>
      </w:tr>
      <w:tr>
        <w:trPr>
          <w:trHeight w:val="221"/>
        </w:trPr>
        <w:tc>
          <w:tcPr>
            <w:tcW w:w="3000" w:type="dxa"/>
            <w:vAlign w:val="bottom"/>
            <w:tcBorders>
              <w:bottom w:val="single" w:sz="8" w:color="1269BC"/>
            </w:tcBorders>
          </w:tcPr>
          <w:p>
            <w:pPr>
              <w:ind w:left="80"/>
              <w:spacing w:after="0"/>
              <w:rPr>
                <w:sz w:val="20"/>
                <w:szCs w:val="20"/>
                <w:color w:val="auto"/>
              </w:rPr>
            </w:pPr>
            <w:r>
              <w:rPr>
                <w:rFonts w:ascii="Arial" w:cs="Arial" w:eastAsia="Arial" w:hAnsi="Arial"/>
                <w:sz w:val="16"/>
                <w:szCs w:val="16"/>
                <w:b w:val="1"/>
                <w:bCs w:val="1"/>
                <w:color w:val="1269BC"/>
              </w:rPr>
              <w:t>Name</w:t>
            </w:r>
          </w:p>
        </w:tc>
        <w:tc>
          <w:tcPr>
            <w:tcW w:w="920" w:type="dxa"/>
            <w:vAlign w:val="bottom"/>
            <w:tcBorders>
              <w:bottom w:val="single" w:sz="8" w:color="1269BC"/>
            </w:tcBorders>
          </w:tcPr>
          <w:p>
            <w:pPr>
              <w:jc w:val="right"/>
              <w:ind w:right="248"/>
              <w:spacing w:after="0"/>
              <w:rPr>
                <w:sz w:val="20"/>
                <w:szCs w:val="20"/>
                <w:color w:val="auto"/>
              </w:rPr>
            </w:pPr>
            <w:r>
              <w:rPr>
                <w:rFonts w:ascii="Arial" w:cs="Arial" w:eastAsia="Arial" w:hAnsi="Arial"/>
                <w:sz w:val="16"/>
                <w:szCs w:val="16"/>
                <w:b w:val="1"/>
                <w:bCs w:val="1"/>
                <w:color w:val="1269BC"/>
              </w:rPr>
              <w:t>(1)</w:t>
            </w:r>
          </w:p>
        </w:tc>
        <w:tc>
          <w:tcPr>
            <w:tcW w:w="220" w:type="dxa"/>
            <w:vAlign w:val="bottom"/>
            <w:tcBorders>
              <w:bottom w:val="single" w:sz="8" w:color="1269BC"/>
            </w:tcBorders>
          </w:tcPr>
          <w:p>
            <w:pPr>
              <w:spacing w:after="0"/>
              <w:rPr>
                <w:sz w:val="19"/>
                <w:szCs w:val="19"/>
                <w:color w:val="auto"/>
              </w:rPr>
            </w:pPr>
          </w:p>
        </w:tc>
        <w:tc>
          <w:tcPr>
            <w:tcW w:w="120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w:t>
            </w:r>
          </w:p>
        </w:tc>
        <w:tc>
          <w:tcPr>
            <w:tcW w:w="130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w w:val="91"/>
              </w:rPr>
              <w:t>(#)</w:t>
            </w:r>
          </w:p>
        </w:tc>
        <w:tc>
          <w:tcPr>
            <w:tcW w:w="360" w:type="dxa"/>
            <w:vAlign w:val="bottom"/>
            <w:tcBorders>
              <w:bottom w:val="single" w:sz="8" w:color="1269BC"/>
            </w:tcBorders>
          </w:tcPr>
          <w:p>
            <w:pPr>
              <w:jc w:val="right"/>
              <w:spacing w:after="0"/>
              <w:rPr>
                <w:sz w:val="20"/>
                <w:szCs w:val="20"/>
                <w:color w:val="auto"/>
              </w:rPr>
            </w:pPr>
            <w:r>
              <w:rPr>
                <w:rFonts w:ascii="Arial" w:cs="Arial" w:eastAsia="Arial" w:hAnsi="Arial"/>
                <w:sz w:val="16"/>
                <w:szCs w:val="16"/>
                <w:b w:val="1"/>
                <w:bCs w:val="1"/>
                <w:color w:val="1269BC"/>
              </w:rPr>
              <w:t>($</w:t>
            </w:r>
          </w:p>
        </w:tc>
        <w:tc>
          <w:tcPr>
            <w:tcW w:w="500" w:type="dxa"/>
            <w:vAlign w:val="bottom"/>
            <w:tcBorders>
              <w:bottom w:val="single" w:sz="8" w:color="1269BC"/>
            </w:tcBorders>
          </w:tcPr>
          <w:p>
            <w:pPr>
              <w:jc w:val="right"/>
              <w:ind w:right="124"/>
              <w:spacing w:after="0"/>
              <w:rPr>
                <w:sz w:val="20"/>
                <w:szCs w:val="20"/>
                <w:color w:val="auto"/>
              </w:rPr>
            </w:pPr>
            <w:r>
              <w:rPr>
                <w:rFonts w:ascii="Arial" w:cs="Arial" w:eastAsia="Arial" w:hAnsi="Arial"/>
                <w:sz w:val="16"/>
                <w:szCs w:val="16"/>
                <w:b w:val="1"/>
                <w:bCs w:val="1"/>
                <w:color w:val="1269BC"/>
                <w:w w:val="95"/>
              </w:rPr>
              <w:t>) (2)</w:t>
            </w:r>
          </w:p>
        </w:tc>
        <w:tc>
          <w:tcPr>
            <w:tcW w:w="94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(3)</w:t>
            </w:r>
          </w:p>
        </w:tc>
        <w:tc>
          <w:tcPr>
            <w:tcW w:w="260" w:type="dxa"/>
            <w:vAlign w:val="bottom"/>
            <w:tcBorders>
              <w:bottom w:val="single" w:sz="8" w:color="1269BC"/>
            </w:tcBorders>
          </w:tcPr>
          <w:p>
            <w:pPr>
              <w:spacing w:after="0"/>
              <w:rPr>
                <w:sz w:val="19"/>
                <w:szCs w:val="19"/>
                <w:color w:val="auto"/>
              </w:rPr>
            </w:pPr>
          </w:p>
        </w:tc>
        <w:tc>
          <w:tcPr>
            <w:tcW w:w="108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w:t>
            </w:r>
          </w:p>
        </w:tc>
        <w:tc>
          <w:tcPr>
            <w:tcW w:w="124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 (4)</w:t>
            </w:r>
          </w:p>
        </w:tc>
      </w:tr>
      <w:tr>
        <w:trPr>
          <w:trHeight w:val="169"/>
        </w:trPr>
        <w:tc>
          <w:tcPr>
            <w:tcW w:w="3000" w:type="dxa"/>
            <w:vAlign w:val="bottom"/>
            <w:shd w:val="clear" w:color="auto" w:fill="C3D9EE"/>
          </w:tcPr>
          <w:p>
            <w:pPr>
              <w:ind w:left="80"/>
              <w:spacing w:after="0"/>
              <w:rPr>
                <w:sz w:val="20"/>
                <w:szCs w:val="20"/>
                <w:color w:val="auto"/>
              </w:rPr>
            </w:pPr>
            <w:r>
              <w:rPr>
                <w:rFonts w:ascii="Arial" w:cs="Arial" w:eastAsia="Arial" w:hAnsi="Arial"/>
                <w:sz w:val="14"/>
                <w:szCs w:val="14"/>
                <w:color w:val="auto"/>
              </w:rPr>
              <w:t>Robert A. Bruggeworth</w:t>
            </w:r>
          </w:p>
        </w:tc>
        <w:tc>
          <w:tcPr>
            <w:tcW w:w="1140" w:type="dxa"/>
            <w:vAlign w:val="bottom"/>
            <w:gridSpan w:val="2"/>
            <w:shd w:val="clear" w:color="auto" w:fill="C3D9EE"/>
          </w:tcPr>
          <w:p>
            <w:pPr>
              <w:jc w:val="right"/>
              <w:spacing w:after="0"/>
              <w:rPr>
                <w:sz w:val="20"/>
                <w:szCs w:val="20"/>
                <w:color w:val="auto"/>
              </w:rPr>
            </w:pPr>
            <w:r>
              <w:rPr>
                <w:rFonts w:ascii="Arial" w:cs="Arial" w:eastAsia="Arial" w:hAnsi="Arial"/>
                <w:sz w:val="14"/>
                <w:szCs w:val="14"/>
                <w:color w:val="auto"/>
              </w:rPr>
              <w:t>8/6/2019 (5)</w:t>
            </w:r>
          </w:p>
        </w:tc>
        <w:tc>
          <w:tcPr>
            <w:tcW w:w="1200" w:type="dxa"/>
            <w:vAlign w:val="bottom"/>
            <w:shd w:val="clear" w:color="auto" w:fill="C3D9EE"/>
          </w:tcPr>
          <w:p>
            <w:pPr>
              <w:spacing w:after="0"/>
              <w:rPr>
                <w:sz w:val="14"/>
                <w:szCs w:val="14"/>
                <w:color w:val="auto"/>
              </w:rPr>
            </w:pPr>
          </w:p>
        </w:tc>
        <w:tc>
          <w:tcPr>
            <w:tcW w:w="1300" w:type="dxa"/>
            <w:vAlign w:val="bottom"/>
            <w:shd w:val="clear" w:color="auto" w:fill="C3D9EE"/>
          </w:tcPr>
          <w:p>
            <w:pPr>
              <w:spacing w:after="0"/>
              <w:rPr>
                <w:sz w:val="14"/>
                <w:szCs w:val="14"/>
                <w:color w:val="auto"/>
              </w:rPr>
            </w:pPr>
          </w:p>
        </w:tc>
        <w:tc>
          <w:tcPr>
            <w:tcW w:w="360" w:type="dxa"/>
            <w:vAlign w:val="bottom"/>
            <w:shd w:val="clear" w:color="auto" w:fill="C3D9EE"/>
          </w:tcPr>
          <w:p>
            <w:pPr>
              <w:spacing w:after="0"/>
              <w:rPr>
                <w:sz w:val="14"/>
                <w:szCs w:val="14"/>
                <w:color w:val="auto"/>
              </w:rPr>
            </w:pPr>
          </w:p>
        </w:tc>
        <w:tc>
          <w:tcPr>
            <w:tcW w:w="500" w:type="dxa"/>
            <w:vAlign w:val="bottom"/>
            <w:shd w:val="clear" w:color="auto" w:fill="C3D9EE"/>
          </w:tcPr>
          <w:p>
            <w:pPr>
              <w:spacing w:after="0"/>
              <w:rPr>
                <w:sz w:val="14"/>
                <w:szCs w:val="14"/>
                <w:color w:val="auto"/>
              </w:rPr>
            </w:pPr>
          </w:p>
        </w:tc>
        <w:tc>
          <w:tcPr>
            <w:tcW w:w="940" w:type="dxa"/>
            <w:vAlign w:val="bottom"/>
            <w:shd w:val="clear" w:color="auto" w:fill="C3D9EE"/>
          </w:tcPr>
          <w:p>
            <w:pPr>
              <w:spacing w:after="0"/>
              <w:rPr>
                <w:sz w:val="14"/>
                <w:szCs w:val="14"/>
                <w:color w:val="auto"/>
              </w:rPr>
            </w:pPr>
          </w:p>
        </w:tc>
        <w:tc>
          <w:tcPr>
            <w:tcW w:w="260" w:type="dxa"/>
            <w:vAlign w:val="bottom"/>
            <w:shd w:val="clear" w:color="auto" w:fill="C3D9EE"/>
          </w:tcPr>
          <w:p>
            <w:pPr>
              <w:spacing w:after="0"/>
              <w:rPr>
                <w:sz w:val="14"/>
                <w:szCs w:val="14"/>
                <w:color w:val="auto"/>
              </w:rPr>
            </w:pPr>
          </w:p>
        </w:tc>
        <w:tc>
          <w:tcPr>
            <w:tcW w:w="1080" w:type="dxa"/>
            <w:vAlign w:val="bottom"/>
            <w:shd w:val="clear" w:color="auto" w:fill="C3D9EE"/>
          </w:tcPr>
          <w:p>
            <w:pPr>
              <w:jc w:val="right"/>
              <w:ind w:right="26"/>
              <w:spacing w:after="0"/>
              <w:rPr>
                <w:sz w:val="20"/>
                <w:szCs w:val="20"/>
                <w:color w:val="auto"/>
              </w:rPr>
            </w:pPr>
            <w:r>
              <w:rPr>
                <w:rFonts w:ascii="Arial" w:cs="Arial" w:eastAsia="Arial" w:hAnsi="Arial"/>
                <w:sz w:val="14"/>
                <w:szCs w:val="14"/>
                <w:color w:val="auto"/>
              </w:rPr>
              <w:t>35,216</w:t>
            </w:r>
          </w:p>
        </w:tc>
        <w:tc>
          <w:tcPr>
            <w:tcW w:w="1240" w:type="dxa"/>
            <w:vAlign w:val="bottom"/>
            <w:shd w:val="clear" w:color="auto" w:fill="C3D9EE"/>
          </w:tcPr>
          <w:p>
            <w:pPr>
              <w:jc w:val="right"/>
              <w:spacing w:after="0"/>
              <w:rPr>
                <w:sz w:val="20"/>
                <w:szCs w:val="20"/>
                <w:color w:val="auto"/>
              </w:rPr>
            </w:pPr>
            <w:r>
              <w:rPr>
                <w:rFonts w:ascii="Arial" w:cs="Arial" w:eastAsia="Arial" w:hAnsi="Arial"/>
                <w:sz w:val="14"/>
                <w:szCs w:val="14"/>
                <w:color w:val="auto"/>
              </w:rPr>
              <w:t>$2,841,579</w:t>
            </w:r>
          </w:p>
        </w:tc>
      </w:tr>
      <w:tr>
        <w:trPr>
          <w:trHeight w:val="176"/>
        </w:trPr>
        <w:tc>
          <w:tcPr>
            <w:tcW w:w="3000" w:type="dxa"/>
            <w:vAlign w:val="bottom"/>
            <w:shd w:val="clear" w:color="auto" w:fill="C3D9EE"/>
          </w:tcPr>
          <w:p>
            <w:pPr>
              <w:spacing w:after="0"/>
              <w:rPr>
                <w:sz w:val="15"/>
                <w:szCs w:val="15"/>
                <w:color w:val="auto"/>
              </w:rPr>
            </w:pPr>
          </w:p>
        </w:tc>
        <w:tc>
          <w:tcPr>
            <w:tcW w:w="1140" w:type="dxa"/>
            <w:vAlign w:val="bottom"/>
            <w:gridSpan w:val="2"/>
            <w:shd w:val="clear" w:color="auto" w:fill="C3D9EE"/>
          </w:tcPr>
          <w:p>
            <w:pPr>
              <w:jc w:val="right"/>
              <w:spacing w:after="0"/>
              <w:rPr>
                <w:sz w:val="20"/>
                <w:szCs w:val="20"/>
                <w:color w:val="auto"/>
              </w:rPr>
            </w:pPr>
            <w:r>
              <w:rPr>
                <w:rFonts w:ascii="Arial" w:cs="Arial" w:eastAsia="Arial" w:hAnsi="Arial"/>
                <w:sz w:val="14"/>
                <w:szCs w:val="14"/>
                <w:color w:val="auto"/>
              </w:rPr>
              <w:t>5/10/2019 (5)</w:t>
            </w:r>
          </w:p>
        </w:tc>
        <w:tc>
          <w:tcPr>
            <w:tcW w:w="1200" w:type="dxa"/>
            <w:vAlign w:val="bottom"/>
            <w:shd w:val="clear" w:color="auto" w:fill="C3D9EE"/>
          </w:tcPr>
          <w:p>
            <w:pPr>
              <w:spacing w:after="0"/>
              <w:rPr>
                <w:sz w:val="15"/>
                <w:szCs w:val="15"/>
                <w:color w:val="auto"/>
              </w:rPr>
            </w:pPr>
          </w:p>
        </w:tc>
        <w:tc>
          <w:tcPr>
            <w:tcW w:w="1300" w:type="dxa"/>
            <w:vAlign w:val="bottom"/>
            <w:shd w:val="clear" w:color="auto" w:fill="C3D9EE"/>
          </w:tcPr>
          <w:p>
            <w:pPr>
              <w:spacing w:after="0"/>
              <w:rPr>
                <w:sz w:val="15"/>
                <w:szCs w:val="15"/>
                <w:color w:val="auto"/>
              </w:rPr>
            </w:pPr>
          </w:p>
        </w:tc>
        <w:tc>
          <w:tcPr>
            <w:tcW w:w="360" w:type="dxa"/>
            <w:vAlign w:val="bottom"/>
            <w:shd w:val="clear" w:color="auto" w:fill="C3D9EE"/>
          </w:tcPr>
          <w:p>
            <w:pPr>
              <w:spacing w:after="0"/>
              <w:rPr>
                <w:sz w:val="15"/>
                <w:szCs w:val="15"/>
                <w:color w:val="auto"/>
              </w:rPr>
            </w:pPr>
          </w:p>
        </w:tc>
        <w:tc>
          <w:tcPr>
            <w:tcW w:w="500" w:type="dxa"/>
            <w:vAlign w:val="bottom"/>
            <w:shd w:val="clear" w:color="auto" w:fill="C3D9EE"/>
          </w:tcPr>
          <w:p>
            <w:pPr>
              <w:spacing w:after="0"/>
              <w:rPr>
                <w:sz w:val="15"/>
                <w:szCs w:val="15"/>
                <w:color w:val="auto"/>
              </w:rPr>
            </w:pPr>
          </w:p>
        </w:tc>
        <w:tc>
          <w:tcPr>
            <w:tcW w:w="940" w:type="dxa"/>
            <w:vAlign w:val="bottom"/>
            <w:shd w:val="clear" w:color="auto" w:fill="C3D9EE"/>
          </w:tcPr>
          <w:p>
            <w:pPr>
              <w:spacing w:after="0"/>
              <w:rPr>
                <w:sz w:val="15"/>
                <w:szCs w:val="15"/>
                <w:color w:val="auto"/>
              </w:rPr>
            </w:pPr>
          </w:p>
        </w:tc>
        <w:tc>
          <w:tcPr>
            <w:tcW w:w="260" w:type="dxa"/>
            <w:vAlign w:val="bottom"/>
            <w:shd w:val="clear" w:color="auto" w:fill="C3D9EE"/>
          </w:tcPr>
          <w:p>
            <w:pPr>
              <w:spacing w:after="0"/>
              <w:rPr>
                <w:sz w:val="15"/>
                <w:szCs w:val="15"/>
                <w:color w:val="auto"/>
              </w:rPr>
            </w:pPr>
          </w:p>
        </w:tc>
        <w:tc>
          <w:tcPr>
            <w:tcW w:w="1080" w:type="dxa"/>
            <w:vAlign w:val="bottom"/>
            <w:shd w:val="clear" w:color="auto" w:fill="C3D9EE"/>
          </w:tcPr>
          <w:p>
            <w:pPr>
              <w:jc w:val="right"/>
              <w:ind w:right="26"/>
              <w:spacing w:after="0"/>
              <w:rPr>
                <w:sz w:val="20"/>
                <w:szCs w:val="20"/>
                <w:color w:val="auto"/>
              </w:rPr>
            </w:pPr>
            <w:r>
              <w:rPr>
                <w:rFonts w:ascii="Arial" w:cs="Arial" w:eastAsia="Arial" w:hAnsi="Arial"/>
                <w:sz w:val="14"/>
                <w:szCs w:val="14"/>
                <w:color w:val="auto"/>
              </w:rPr>
              <w:t>47,904</w:t>
            </w:r>
          </w:p>
        </w:tc>
        <w:tc>
          <w:tcPr>
            <w:tcW w:w="1240" w:type="dxa"/>
            <w:vAlign w:val="bottom"/>
            <w:shd w:val="clear" w:color="auto" w:fill="C3D9EE"/>
          </w:tcPr>
          <w:p>
            <w:pPr>
              <w:jc w:val="right"/>
              <w:spacing w:after="0"/>
              <w:rPr>
                <w:sz w:val="20"/>
                <w:szCs w:val="20"/>
                <w:color w:val="auto"/>
              </w:rPr>
            </w:pPr>
            <w:r>
              <w:rPr>
                <w:rFonts w:ascii="Arial" w:cs="Arial" w:eastAsia="Arial" w:hAnsi="Arial"/>
                <w:sz w:val="14"/>
                <w:szCs w:val="14"/>
                <w:color w:val="auto"/>
              </w:rPr>
              <w:t>3,865,374</w:t>
            </w:r>
          </w:p>
        </w:tc>
      </w:tr>
      <w:tr>
        <w:trPr>
          <w:trHeight w:val="176"/>
        </w:trPr>
        <w:tc>
          <w:tcPr>
            <w:tcW w:w="3000" w:type="dxa"/>
            <w:vAlign w:val="bottom"/>
            <w:shd w:val="clear" w:color="auto" w:fill="C3D9EE"/>
          </w:tcPr>
          <w:p>
            <w:pPr>
              <w:spacing w:after="0"/>
              <w:rPr>
                <w:sz w:val="15"/>
                <w:szCs w:val="15"/>
                <w:color w:val="auto"/>
              </w:rPr>
            </w:pPr>
          </w:p>
        </w:tc>
        <w:tc>
          <w:tcPr>
            <w:tcW w:w="1140" w:type="dxa"/>
            <w:vAlign w:val="bottom"/>
            <w:gridSpan w:val="2"/>
            <w:shd w:val="clear" w:color="auto" w:fill="C3D9EE"/>
          </w:tcPr>
          <w:p>
            <w:pPr>
              <w:jc w:val="right"/>
              <w:spacing w:after="0"/>
              <w:rPr>
                <w:sz w:val="20"/>
                <w:szCs w:val="20"/>
                <w:color w:val="auto"/>
              </w:rPr>
            </w:pPr>
            <w:r>
              <w:rPr>
                <w:rFonts w:ascii="Arial" w:cs="Arial" w:eastAsia="Arial" w:hAnsi="Arial"/>
                <w:sz w:val="14"/>
                <w:szCs w:val="14"/>
                <w:color w:val="auto"/>
              </w:rPr>
              <w:t>8/7/2018 (5)</w:t>
            </w:r>
          </w:p>
        </w:tc>
        <w:tc>
          <w:tcPr>
            <w:tcW w:w="1200" w:type="dxa"/>
            <w:vAlign w:val="bottom"/>
            <w:shd w:val="clear" w:color="auto" w:fill="C3D9EE"/>
          </w:tcPr>
          <w:p>
            <w:pPr>
              <w:spacing w:after="0"/>
              <w:rPr>
                <w:sz w:val="15"/>
                <w:szCs w:val="15"/>
                <w:color w:val="auto"/>
              </w:rPr>
            </w:pPr>
          </w:p>
        </w:tc>
        <w:tc>
          <w:tcPr>
            <w:tcW w:w="1300" w:type="dxa"/>
            <w:vAlign w:val="bottom"/>
            <w:shd w:val="clear" w:color="auto" w:fill="C3D9EE"/>
          </w:tcPr>
          <w:p>
            <w:pPr>
              <w:spacing w:after="0"/>
              <w:rPr>
                <w:sz w:val="15"/>
                <w:szCs w:val="15"/>
                <w:color w:val="auto"/>
              </w:rPr>
            </w:pPr>
          </w:p>
        </w:tc>
        <w:tc>
          <w:tcPr>
            <w:tcW w:w="360" w:type="dxa"/>
            <w:vAlign w:val="bottom"/>
            <w:shd w:val="clear" w:color="auto" w:fill="C3D9EE"/>
          </w:tcPr>
          <w:p>
            <w:pPr>
              <w:spacing w:after="0"/>
              <w:rPr>
                <w:sz w:val="15"/>
                <w:szCs w:val="15"/>
                <w:color w:val="auto"/>
              </w:rPr>
            </w:pPr>
          </w:p>
        </w:tc>
        <w:tc>
          <w:tcPr>
            <w:tcW w:w="500" w:type="dxa"/>
            <w:vAlign w:val="bottom"/>
            <w:shd w:val="clear" w:color="auto" w:fill="C3D9EE"/>
          </w:tcPr>
          <w:p>
            <w:pPr>
              <w:spacing w:after="0"/>
              <w:rPr>
                <w:sz w:val="15"/>
                <w:szCs w:val="15"/>
                <w:color w:val="auto"/>
              </w:rPr>
            </w:pPr>
          </w:p>
        </w:tc>
        <w:tc>
          <w:tcPr>
            <w:tcW w:w="940" w:type="dxa"/>
            <w:vAlign w:val="bottom"/>
            <w:shd w:val="clear" w:color="auto" w:fill="C3D9EE"/>
          </w:tcPr>
          <w:p>
            <w:pPr>
              <w:spacing w:after="0"/>
              <w:rPr>
                <w:sz w:val="15"/>
                <w:szCs w:val="15"/>
                <w:color w:val="auto"/>
              </w:rPr>
            </w:pPr>
          </w:p>
        </w:tc>
        <w:tc>
          <w:tcPr>
            <w:tcW w:w="260" w:type="dxa"/>
            <w:vAlign w:val="bottom"/>
            <w:shd w:val="clear" w:color="auto" w:fill="C3D9EE"/>
          </w:tcPr>
          <w:p>
            <w:pPr>
              <w:spacing w:after="0"/>
              <w:rPr>
                <w:sz w:val="15"/>
                <w:szCs w:val="15"/>
                <w:color w:val="auto"/>
              </w:rPr>
            </w:pPr>
          </w:p>
        </w:tc>
        <w:tc>
          <w:tcPr>
            <w:tcW w:w="1080" w:type="dxa"/>
            <w:vAlign w:val="bottom"/>
            <w:shd w:val="clear" w:color="auto" w:fill="C3D9EE"/>
          </w:tcPr>
          <w:p>
            <w:pPr>
              <w:jc w:val="right"/>
              <w:ind w:right="26"/>
              <w:spacing w:after="0"/>
              <w:rPr>
                <w:sz w:val="20"/>
                <w:szCs w:val="20"/>
                <w:color w:val="auto"/>
              </w:rPr>
            </w:pPr>
            <w:r>
              <w:rPr>
                <w:rFonts w:ascii="Arial" w:cs="Arial" w:eastAsia="Arial" w:hAnsi="Arial"/>
                <w:sz w:val="14"/>
                <w:szCs w:val="14"/>
                <w:color w:val="auto"/>
              </w:rPr>
              <w:t>21,127</w:t>
            </w:r>
          </w:p>
        </w:tc>
        <w:tc>
          <w:tcPr>
            <w:tcW w:w="1240" w:type="dxa"/>
            <w:vAlign w:val="bottom"/>
            <w:shd w:val="clear" w:color="auto" w:fill="C3D9EE"/>
          </w:tcPr>
          <w:p>
            <w:pPr>
              <w:jc w:val="right"/>
              <w:spacing w:after="0"/>
              <w:rPr>
                <w:sz w:val="20"/>
                <w:szCs w:val="20"/>
                <w:color w:val="auto"/>
              </w:rPr>
            </w:pPr>
            <w:r>
              <w:rPr>
                <w:rFonts w:ascii="Arial" w:cs="Arial" w:eastAsia="Arial" w:hAnsi="Arial"/>
                <w:sz w:val="14"/>
                <w:szCs w:val="14"/>
                <w:color w:val="auto"/>
              </w:rPr>
              <w:t>1,704,738</w:t>
            </w:r>
          </w:p>
        </w:tc>
      </w:tr>
      <w:tr>
        <w:trPr>
          <w:trHeight w:val="175"/>
        </w:trPr>
        <w:tc>
          <w:tcPr>
            <w:tcW w:w="3000" w:type="dxa"/>
            <w:vAlign w:val="bottom"/>
            <w:shd w:val="clear" w:color="auto" w:fill="C3D9EE"/>
          </w:tcPr>
          <w:p>
            <w:pPr>
              <w:spacing w:after="0"/>
              <w:rPr>
                <w:sz w:val="15"/>
                <w:szCs w:val="15"/>
                <w:color w:val="auto"/>
              </w:rPr>
            </w:pPr>
          </w:p>
        </w:tc>
        <w:tc>
          <w:tcPr>
            <w:tcW w:w="920" w:type="dxa"/>
            <w:vAlign w:val="bottom"/>
            <w:shd w:val="clear" w:color="auto" w:fill="C3D9EE"/>
          </w:tcPr>
          <w:p>
            <w:pPr>
              <w:jc w:val="right"/>
              <w:spacing w:after="0"/>
              <w:rPr>
                <w:sz w:val="20"/>
                <w:szCs w:val="20"/>
                <w:color w:val="auto"/>
              </w:rPr>
            </w:pPr>
            <w:r>
              <w:rPr>
                <w:rFonts w:ascii="Arial" w:cs="Arial" w:eastAsia="Arial" w:hAnsi="Arial"/>
                <w:sz w:val="14"/>
                <w:szCs w:val="14"/>
                <w:color w:val="auto"/>
              </w:rPr>
              <w:t>5/10/2018</w:t>
            </w:r>
          </w:p>
        </w:tc>
        <w:tc>
          <w:tcPr>
            <w:tcW w:w="220" w:type="dxa"/>
            <w:vAlign w:val="bottom"/>
            <w:shd w:val="clear" w:color="auto" w:fill="C3D9EE"/>
          </w:tcPr>
          <w:p>
            <w:pPr>
              <w:jc w:val="right"/>
              <w:spacing w:after="0"/>
              <w:rPr>
                <w:sz w:val="20"/>
                <w:szCs w:val="20"/>
                <w:color w:val="auto"/>
              </w:rPr>
            </w:pPr>
            <w:r>
              <w:rPr>
                <w:rFonts w:ascii="Arial" w:cs="Arial" w:eastAsia="Arial" w:hAnsi="Arial"/>
                <w:sz w:val="14"/>
                <w:szCs w:val="14"/>
                <w:color w:val="auto"/>
                <w:w w:val="93"/>
              </w:rPr>
              <w:t>(5)</w:t>
            </w:r>
          </w:p>
        </w:tc>
        <w:tc>
          <w:tcPr>
            <w:tcW w:w="1200" w:type="dxa"/>
            <w:vAlign w:val="bottom"/>
            <w:shd w:val="clear" w:color="auto" w:fill="C3D9EE"/>
          </w:tcPr>
          <w:p>
            <w:pPr>
              <w:spacing w:after="0"/>
              <w:rPr>
                <w:sz w:val="15"/>
                <w:szCs w:val="15"/>
                <w:color w:val="auto"/>
              </w:rPr>
            </w:pPr>
          </w:p>
        </w:tc>
        <w:tc>
          <w:tcPr>
            <w:tcW w:w="1300" w:type="dxa"/>
            <w:vAlign w:val="bottom"/>
            <w:shd w:val="clear" w:color="auto" w:fill="C3D9EE"/>
          </w:tcPr>
          <w:p>
            <w:pPr>
              <w:spacing w:after="0"/>
              <w:rPr>
                <w:sz w:val="15"/>
                <w:szCs w:val="15"/>
                <w:color w:val="auto"/>
              </w:rPr>
            </w:pPr>
          </w:p>
        </w:tc>
        <w:tc>
          <w:tcPr>
            <w:tcW w:w="360" w:type="dxa"/>
            <w:vAlign w:val="bottom"/>
            <w:shd w:val="clear" w:color="auto" w:fill="C3D9EE"/>
          </w:tcPr>
          <w:p>
            <w:pPr>
              <w:spacing w:after="0"/>
              <w:rPr>
                <w:sz w:val="15"/>
                <w:szCs w:val="15"/>
                <w:color w:val="auto"/>
              </w:rPr>
            </w:pPr>
          </w:p>
        </w:tc>
        <w:tc>
          <w:tcPr>
            <w:tcW w:w="500" w:type="dxa"/>
            <w:vAlign w:val="bottom"/>
            <w:shd w:val="clear" w:color="auto" w:fill="C3D9EE"/>
          </w:tcPr>
          <w:p>
            <w:pPr>
              <w:spacing w:after="0"/>
              <w:rPr>
                <w:sz w:val="15"/>
                <w:szCs w:val="15"/>
                <w:color w:val="auto"/>
              </w:rPr>
            </w:pPr>
          </w:p>
        </w:tc>
        <w:tc>
          <w:tcPr>
            <w:tcW w:w="940" w:type="dxa"/>
            <w:vAlign w:val="bottom"/>
            <w:shd w:val="clear" w:color="auto" w:fill="C3D9EE"/>
          </w:tcPr>
          <w:p>
            <w:pPr>
              <w:spacing w:after="0"/>
              <w:rPr>
                <w:sz w:val="15"/>
                <w:szCs w:val="15"/>
                <w:color w:val="auto"/>
              </w:rPr>
            </w:pPr>
          </w:p>
        </w:tc>
        <w:tc>
          <w:tcPr>
            <w:tcW w:w="260" w:type="dxa"/>
            <w:vAlign w:val="bottom"/>
            <w:shd w:val="clear" w:color="auto" w:fill="C3D9EE"/>
          </w:tcPr>
          <w:p>
            <w:pPr>
              <w:spacing w:after="0"/>
              <w:rPr>
                <w:sz w:val="15"/>
                <w:szCs w:val="15"/>
                <w:color w:val="auto"/>
              </w:rPr>
            </w:pPr>
          </w:p>
        </w:tc>
        <w:tc>
          <w:tcPr>
            <w:tcW w:w="1080" w:type="dxa"/>
            <w:vAlign w:val="bottom"/>
            <w:shd w:val="clear" w:color="auto" w:fill="C3D9EE"/>
          </w:tcPr>
          <w:p>
            <w:pPr>
              <w:jc w:val="right"/>
              <w:ind w:right="26"/>
              <w:spacing w:after="0"/>
              <w:rPr>
                <w:sz w:val="20"/>
                <w:szCs w:val="20"/>
                <w:color w:val="auto"/>
              </w:rPr>
            </w:pPr>
            <w:r>
              <w:rPr>
                <w:rFonts w:ascii="Arial" w:cs="Arial" w:eastAsia="Arial" w:hAnsi="Arial"/>
                <w:sz w:val="14"/>
                <w:szCs w:val="14"/>
                <w:color w:val="auto"/>
              </w:rPr>
              <w:t>25,807</w:t>
            </w:r>
          </w:p>
        </w:tc>
        <w:tc>
          <w:tcPr>
            <w:tcW w:w="1240" w:type="dxa"/>
            <w:vAlign w:val="bottom"/>
            <w:shd w:val="clear" w:color="auto" w:fill="C3D9EE"/>
          </w:tcPr>
          <w:p>
            <w:pPr>
              <w:jc w:val="right"/>
              <w:spacing w:after="0"/>
              <w:rPr>
                <w:sz w:val="20"/>
                <w:szCs w:val="20"/>
                <w:color w:val="auto"/>
              </w:rPr>
            </w:pPr>
            <w:r>
              <w:rPr>
                <w:rFonts w:ascii="Arial" w:cs="Arial" w:eastAsia="Arial" w:hAnsi="Arial"/>
                <w:sz w:val="14"/>
                <w:szCs w:val="14"/>
                <w:color w:val="auto"/>
              </w:rPr>
              <w:t>2,082,367</w:t>
            </w:r>
          </w:p>
        </w:tc>
      </w:tr>
      <w:tr>
        <w:trPr>
          <w:trHeight w:val="176"/>
        </w:trPr>
        <w:tc>
          <w:tcPr>
            <w:tcW w:w="3000" w:type="dxa"/>
            <w:vAlign w:val="bottom"/>
            <w:shd w:val="clear" w:color="auto" w:fill="C3D9EE"/>
          </w:tcPr>
          <w:p>
            <w:pPr>
              <w:spacing w:after="0"/>
              <w:rPr>
                <w:sz w:val="15"/>
                <w:szCs w:val="15"/>
                <w:color w:val="auto"/>
              </w:rPr>
            </w:pPr>
          </w:p>
        </w:tc>
        <w:tc>
          <w:tcPr>
            <w:tcW w:w="920" w:type="dxa"/>
            <w:vAlign w:val="bottom"/>
            <w:shd w:val="clear" w:color="auto" w:fill="C3D9EE"/>
          </w:tcPr>
          <w:p>
            <w:pPr>
              <w:jc w:val="right"/>
              <w:spacing w:after="0"/>
              <w:rPr>
                <w:sz w:val="20"/>
                <w:szCs w:val="20"/>
                <w:color w:val="auto"/>
              </w:rPr>
            </w:pPr>
            <w:r>
              <w:rPr>
                <w:rFonts w:ascii="Arial" w:cs="Arial" w:eastAsia="Arial" w:hAnsi="Arial"/>
                <w:sz w:val="14"/>
                <w:szCs w:val="14"/>
                <w:color w:val="auto"/>
              </w:rPr>
              <w:t>8/8/2017</w:t>
            </w:r>
          </w:p>
        </w:tc>
        <w:tc>
          <w:tcPr>
            <w:tcW w:w="220" w:type="dxa"/>
            <w:vAlign w:val="bottom"/>
            <w:shd w:val="clear" w:color="auto" w:fill="C3D9EE"/>
          </w:tcPr>
          <w:p>
            <w:pPr>
              <w:jc w:val="right"/>
              <w:spacing w:after="0"/>
              <w:rPr>
                <w:sz w:val="20"/>
                <w:szCs w:val="20"/>
                <w:color w:val="auto"/>
              </w:rPr>
            </w:pPr>
            <w:r>
              <w:rPr>
                <w:rFonts w:ascii="Arial" w:cs="Arial" w:eastAsia="Arial" w:hAnsi="Arial"/>
                <w:sz w:val="14"/>
                <w:szCs w:val="14"/>
                <w:color w:val="auto"/>
                <w:w w:val="93"/>
              </w:rPr>
              <w:t>(5)</w:t>
            </w:r>
          </w:p>
        </w:tc>
        <w:tc>
          <w:tcPr>
            <w:tcW w:w="1200" w:type="dxa"/>
            <w:vAlign w:val="bottom"/>
            <w:shd w:val="clear" w:color="auto" w:fill="C3D9EE"/>
          </w:tcPr>
          <w:p>
            <w:pPr>
              <w:spacing w:after="0"/>
              <w:rPr>
                <w:sz w:val="15"/>
                <w:szCs w:val="15"/>
                <w:color w:val="auto"/>
              </w:rPr>
            </w:pPr>
          </w:p>
        </w:tc>
        <w:tc>
          <w:tcPr>
            <w:tcW w:w="1300" w:type="dxa"/>
            <w:vAlign w:val="bottom"/>
            <w:shd w:val="clear" w:color="auto" w:fill="C3D9EE"/>
          </w:tcPr>
          <w:p>
            <w:pPr>
              <w:spacing w:after="0"/>
              <w:rPr>
                <w:sz w:val="15"/>
                <w:szCs w:val="15"/>
                <w:color w:val="auto"/>
              </w:rPr>
            </w:pPr>
          </w:p>
        </w:tc>
        <w:tc>
          <w:tcPr>
            <w:tcW w:w="360" w:type="dxa"/>
            <w:vAlign w:val="bottom"/>
            <w:shd w:val="clear" w:color="auto" w:fill="C3D9EE"/>
          </w:tcPr>
          <w:p>
            <w:pPr>
              <w:spacing w:after="0"/>
              <w:rPr>
                <w:sz w:val="15"/>
                <w:szCs w:val="15"/>
                <w:color w:val="auto"/>
              </w:rPr>
            </w:pPr>
          </w:p>
        </w:tc>
        <w:tc>
          <w:tcPr>
            <w:tcW w:w="500" w:type="dxa"/>
            <w:vAlign w:val="bottom"/>
            <w:shd w:val="clear" w:color="auto" w:fill="C3D9EE"/>
          </w:tcPr>
          <w:p>
            <w:pPr>
              <w:spacing w:after="0"/>
              <w:rPr>
                <w:sz w:val="15"/>
                <w:szCs w:val="15"/>
                <w:color w:val="auto"/>
              </w:rPr>
            </w:pPr>
          </w:p>
        </w:tc>
        <w:tc>
          <w:tcPr>
            <w:tcW w:w="940" w:type="dxa"/>
            <w:vAlign w:val="bottom"/>
            <w:shd w:val="clear" w:color="auto" w:fill="C3D9EE"/>
          </w:tcPr>
          <w:p>
            <w:pPr>
              <w:spacing w:after="0"/>
              <w:rPr>
                <w:sz w:val="15"/>
                <w:szCs w:val="15"/>
                <w:color w:val="auto"/>
              </w:rPr>
            </w:pPr>
          </w:p>
        </w:tc>
        <w:tc>
          <w:tcPr>
            <w:tcW w:w="260" w:type="dxa"/>
            <w:vAlign w:val="bottom"/>
            <w:shd w:val="clear" w:color="auto" w:fill="C3D9EE"/>
          </w:tcPr>
          <w:p>
            <w:pPr>
              <w:spacing w:after="0"/>
              <w:rPr>
                <w:sz w:val="15"/>
                <w:szCs w:val="15"/>
                <w:color w:val="auto"/>
              </w:rPr>
            </w:pPr>
          </w:p>
        </w:tc>
        <w:tc>
          <w:tcPr>
            <w:tcW w:w="1080" w:type="dxa"/>
            <w:vAlign w:val="bottom"/>
            <w:shd w:val="clear" w:color="auto" w:fill="C3D9EE"/>
          </w:tcPr>
          <w:p>
            <w:pPr>
              <w:jc w:val="right"/>
              <w:ind w:right="26"/>
              <w:spacing w:after="0"/>
              <w:rPr>
                <w:sz w:val="20"/>
                <w:szCs w:val="20"/>
                <w:color w:val="auto"/>
              </w:rPr>
            </w:pPr>
            <w:r>
              <w:rPr>
                <w:rFonts w:ascii="Arial" w:cs="Arial" w:eastAsia="Arial" w:hAnsi="Arial"/>
                <w:sz w:val="14"/>
                <w:szCs w:val="14"/>
                <w:color w:val="auto"/>
              </w:rPr>
              <w:t>15,698</w:t>
            </w:r>
          </w:p>
        </w:tc>
        <w:tc>
          <w:tcPr>
            <w:tcW w:w="1240" w:type="dxa"/>
            <w:vAlign w:val="bottom"/>
            <w:shd w:val="clear" w:color="auto" w:fill="C3D9EE"/>
          </w:tcPr>
          <w:p>
            <w:pPr>
              <w:jc w:val="right"/>
              <w:spacing w:after="0"/>
              <w:rPr>
                <w:sz w:val="20"/>
                <w:szCs w:val="20"/>
                <w:color w:val="auto"/>
              </w:rPr>
            </w:pPr>
            <w:r>
              <w:rPr>
                <w:rFonts w:ascii="Arial" w:cs="Arial" w:eastAsia="Arial" w:hAnsi="Arial"/>
                <w:sz w:val="14"/>
                <w:szCs w:val="14"/>
                <w:color w:val="auto"/>
              </w:rPr>
              <w:t>1,266,672</w:t>
            </w:r>
          </w:p>
        </w:tc>
      </w:tr>
      <w:tr>
        <w:trPr>
          <w:trHeight w:val="175"/>
        </w:trPr>
        <w:tc>
          <w:tcPr>
            <w:tcW w:w="3000" w:type="dxa"/>
            <w:vAlign w:val="bottom"/>
            <w:shd w:val="clear" w:color="auto" w:fill="C3D9EE"/>
          </w:tcPr>
          <w:p>
            <w:pPr>
              <w:spacing w:after="0"/>
              <w:rPr>
                <w:sz w:val="15"/>
                <w:szCs w:val="15"/>
                <w:color w:val="auto"/>
              </w:rPr>
            </w:pPr>
          </w:p>
        </w:tc>
        <w:tc>
          <w:tcPr>
            <w:tcW w:w="920" w:type="dxa"/>
            <w:vAlign w:val="bottom"/>
            <w:shd w:val="clear" w:color="auto" w:fill="C3D9EE"/>
          </w:tcPr>
          <w:p>
            <w:pPr>
              <w:jc w:val="right"/>
              <w:spacing w:after="0"/>
              <w:rPr>
                <w:sz w:val="20"/>
                <w:szCs w:val="20"/>
                <w:color w:val="auto"/>
              </w:rPr>
            </w:pPr>
            <w:r>
              <w:rPr>
                <w:rFonts w:ascii="Arial" w:cs="Arial" w:eastAsia="Arial" w:hAnsi="Arial"/>
                <w:sz w:val="14"/>
                <w:szCs w:val="14"/>
                <w:color w:val="auto"/>
              </w:rPr>
              <w:t>5/11/2017</w:t>
            </w:r>
          </w:p>
        </w:tc>
        <w:tc>
          <w:tcPr>
            <w:tcW w:w="220" w:type="dxa"/>
            <w:vAlign w:val="bottom"/>
            <w:shd w:val="clear" w:color="auto" w:fill="C3D9EE"/>
          </w:tcPr>
          <w:p>
            <w:pPr>
              <w:jc w:val="right"/>
              <w:spacing w:after="0"/>
              <w:rPr>
                <w:sz w:val="20"/>
                <w:szCs w:val="20"/>
                <w:color w:val="auto"/>
              </w:rPr>
            </w:pPr>
            <w:r>
              <w:rPr>
                <w:rFonts w:ascii="Arial" w:cs="Arial" w:eastAsia="Arial" w:hAnsi="Arial"/>
                <w:sz w:val="14"/>
                <w:szCs w:val="14"/>
                <w:color w:val="auto"/>
                <w:w w:val="93"/>
              </w:rPr>
              <w:t>(5)</w:t>
            </w:r>
          </w:p>
        </w:tc>
        <w:tc>
          <w:tcPr>
            <w:tcW w:w="1200" w:type="dxa"/>
            <w:vAlign w:val="bottom"/>
            <w:shd w:val="clear" w:color="auto" w:fill="C3D9EE"/>
          </w:tcPr>
          <w:p>
            <w:pPr>
              <w:spacing w:after="0"/>
              <w:rPr>
                <w:sz w:val="15"/>
                <w:szCs w:val="15"/>
                <w:color w:val="auto"/>
              </w:rPr>
            </w:pPr>
          </w:p>
        </w:tc>
        <w:tc>
          <w:tcPr>
            <w:tcW w:w="1300" w:type="dxa"/>
            <w:vAlign w:val="bottom"/>
            <w:shd w:val="clear" w:color="auto" w:fill="C3D9EE"/>
          </w:tcPr>
          <w:p>
            <w:pPr>
              <w:spacing w:after="0"/>
              <w:rPr>
                <w:sz w:val="15"/>
                <w:szCs w:val="15"/>
                <w:color w:val="auto"/>
              </w:rPr>
            </w:pPr>
          </w:p>
        </w:tc>
        <w:tc>
          <w:tcPr>
            <w:tcW w:w="360" w:type="dxa"/>
            <w:vAlign w:val="bottom"/>
            <w:shd w:val="clear" w:color="auto" w:fill="C3D9EE"/>
          </w:tcPr>
          <w:p>
            <w:pPr>
              <w:spacing w:after="0"/>
              <w:rPr>
                <w:sz w:val="15"/>
                <w:szCs w:val="15"/>
                <w:color w:val="auto"/>
              </w:rPr>
            </w:pPr>
          </w:p>
        </w:tc>
        <w:tc>
          <w:tcPr>
            <w:tcW w:w="500" w:type="dxa"/>
            <w:vAlign w:val="bottom"/>
            <w:shd w:val="clear" w:color="auto" w:fill="C3D9EE"/>
          </w:tcPr>
          <w:p>
            <w:pPr>
              <w:spacing w:after="0"/>
              <w:rPr>
                <w:sz w:val="15"/>
                <w:szCs w:val="15"/>
                <w:color w:val="auto"/>
              </w:rPr>
            </w:pPr>
          </w:p>
        </w:tc>
        <w:tc>
          <w:tcPr>
            <w:tcW w:w="940" w:type="dxa"/>
            <w:vAlign w:val="bottom"/>
            <w:shd w:val="clear" w:color="auto" w:fill="C3D9EE"/>
          </w:tcPr>
          <w:p>
            <w:pPr>
              <w:spacing w:after="0"/>
              <w:rPr>
                <w:sz w:val="15"/>
                <w:szCs w:val="15"/>
                <w:color w:val="auto"/>
              </w:rPr>
            </w:pPr>
          </w:p>
        </w:tc>
        <w:tc>
          <w:tcPr>
            <w:tcW w:w="260" w:type="dxa"/>
            <w:vAlign w:val="bottom"/>
            <w:shd w:val="clear" w:color="auto" w:fill="C3D9EE"/>
          </w:tcPr>
          <w:p>
            <w:pPr>
              <w:spacing w:after="0"/>
              <w:rPr>
                <w:sz w:val="15"/>
                <w:szCs w:val="15"/>
                <w:color w:val="auto"/>
              </w:rPr>
            </w:pPr>
          </w:p>
        </w:tc>
        <w:tc>
          <w:tcPr>
            <w:tcW w:w="1080" w:type="dxa"/>
            <w:vAlign w:val="bottom"/>
            <w:shd w:val="clear" w:color="auto" w:fill="C3D9EE"/>
          </w:tcPr>
          <w:p>
            <w:pPr>
              <w:jc w:val="right"/>
              <w:ind w:right="26"/>
              <w:spacing w:after="0"/>
              <w:rPr>
                <w:sz w:val="20"/>
                <w:szCs w:val="20"/>
                <w:color w:val="auto"/>
              </w:rPr>
            </w:pPr>
            <w:r>
              <w:rPr>
                <w:rFonts w:ascii="Arial" w:cs="Arial" w:eastAsia="Arial" w:hAnsi="Arial"/>
                <w:sz w:val="14"/>
                <w:szCs w:val="14"/>
                <w:color w:val="auto"/>
              </w:rPr>
              <w:t>13,282</w:t>
            </w:r>
          </w:p>
        </w:tc>
        <w:tc>
          <w:tcPr>
            <w:tcW w:w="1240" w:type="dxa"/>
            <w:vAlign w:val="bottom"/>
            <w:shd w:val="clear" w:color="auto" w:fill="C3D9EE"/>
          </w:tcPr>
          <w:p>
            <w:pPr>
              <w:jc w:val="right"/>
              <w:spacing w:after="0"/>
              <w:rPr>
                <w:sz w:val="20"/>
                <w:szCs w:val="20"/>
                <w:color w:val="auto"/>
              </w:rPr>
            </w:pPr>
            <w:r>
              <w:rPr>
                <w:rFonts w:ascii="Arial" w:cs="Arial" w:eastAsia="Arial" w:hAnsi="Arial"/>
                <w:sz w:val="14"/>
                <w:szCs w:val="14"/>
                <w:color w:val="auto"/>
              </w:rPr>
              <w:t>1,071,725</w:t>
            </w:r>
          </w:p>
        </w:tc>
      </w:tr>
      <w:tr>
        <w:trPr>
          <w:trHeight w:val="210"/>
        </w:trPr>
        <w:tc>
          <w:tcPr>
            <w:tcW w:w="3000" w:type="dxa"/>
            <w:vAlign w:val="bottom"/>
            <w:tcBorders>
              <w:bottom w:val="single" w:sz="8" w:color="C3D9EE"/>
            </w:tcBorders>
            <w:shd w:val="clear" w:color="auto" w:fill="C3D9EE"/>
          </w:tcPr>
          <w:p>
            <w:pPr>
              <w:spacing w:after="0"/>
              <w:rPr>
                <w:sz w:val="18"/>
                <w:szCs w:val="18"/>
                <w:color w:val="auto"/>
              </w:rPr>
            </w:pPr>
          </w:p>
        </w:tc>
        <w:tc>
          <w:tcPr>
            <w:tcW w:w="92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4"/>
                <w:szCs w:val="14"/>
                <w:color w:val="auto"/>
              </w:rPr>
              <w:t>8/5/2016</w:t>
            </w:r>
          </w:p>
        </w:tc>
        <w:tc>
          <w:tcPr>
            <w:tcW w:w="22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4"/>
                <w:szCs w:val="14"/>
                <w:color w:val="auto"/>
                <w:w w:val="93"/>
              </w:rPr>
              <w:t>(5)</w:t>
            </w:r>
          </w:p>
        </w:tc>
        <w:tc>
          <w:tcPr>
            <w:tcW w:w="1200" w:type="dxa"/>
            <w:vAlign w:val="bottom"/>
            <w:tcBorders>
              <w:bottom w:val="single" w:sz="8" w:color="C3D9EE"/>
            </w:tcBorders>
            <w:shd w:val="clear" w:color="auto" w:fill="C3D9EE"/>
          </w:tcPr>
          <w:p>
            <w:pPr>
              <w:spacing w:after="0"/>
              <w:rPr>
                <w:sz w:val="18"/>
                <w:szCs w:val="18"/>
                <w:color w:val="auto"/>
              </w:rPr>
            </w:pPr>
          </w:p>
        </w:tc>
        <w:tc>
          <w:tcPr>
            <w:tcW w:w="1300" w:type="dxa"/>
            <w:vAlign w:val="bottom"/>
            <w:tcBorders>
              <w:bottom w:val="single" w:sz="8" w:color="C3D9EE"/>
            </w:tcBorders>
            <w:shd w:val="clear" w:color="auto" w:fill="C3D9EE"/>
          </w:tcPr>
          <w:p>
            <w:pPr>
              <w:spacing w:after="0"/>
              <w:rPr>
                <w:sz w:val="18"/>
                <w:szCs w:val="18"/>
                <w:color w:val="auto"/>
              </w:rPr>
            </w:pPr>
          </w:p>
        </w:tc>
        <w:tc>
          <w:tcPr>
            <w:tcW w:w="360" w:type="dxa"/>
            <w:vAlign w:val="bottom"/>
            <w:tcBorders>
              <w:bottom w:val="single" w:sz="8" w:color="C3D9EE"/>
            </w:tcBorders>
            <w:shd w:val="clear" w:color="auto" w:fill="C3D9EE"/>
          </w:tcPr>
          <w:p>
            <w:pPr>
              <w:spacing w:after="0"/>
              <w:rPr>
                <w:sz w:val="18"/>
                <w:szCs w:val="18"/>
                <w:color w:val="auto"/>
              </w:rPr>
            </w:pPr>
          </w:p>
        </w:tc>
        <w:tc>
          <w:tcPr>
            <w:tcW w:w="500" w:type="dxa"/>
            <w:vAlign w:val="bottom"/>
            <w:tcBorders>
              <w:bottom w:val="single" w:sz="8" w:color="C3D9EE"/>
            </w:tcBorders>
            <w:shd w:val="clear" w:color="auto" w:fill="C3D9EE"/>
          </w:tcPr>
          <w:p>
            <w:pPr>
              <w:spacing w:after="0"/>
              <w:rPr>
                <w:sz w:val="18"/>
                <w:szCs w:val="18"/>
                <w:color w:val="auto"/>
              </w:rPr>
            </w:pPr>
          </w:p>
        </w:tc>
        <w:tc>
          <w:tcPr>
            <w:tcW w:w="940" w:type="dxa"/>
            <w:vAlign w:val="bottom"/>
            <w:tcBorders>
              <w:bottom w:val="single" w:sz="8" w:color="C3D9EE"/>
            </w:tcBorders>
            <w:shd w:val="clear" w:color="auto" w:fill="C3D9EE"/>
          </w:tcPr>
          <w:p>
            <w:pPr>
              <w:spacing w:after="0"/>
              <w:rPr>
                <w:sz w:val="18"/>
                <w:szCs w:val="18"/>
                <w:color w:val="auto"/>
              </w:rPr>
            </w:pPr>
          </w:p>
        </w:tc>
        <w:tc>
          <w:tcPr>
            <w:tcW w:w="260" w:type="dxa"/>
            <w:vAlign w:val="bottom"/>
            <w:tcBorders>
              <w:bottom w:val="single" w:sz="8" w:color="C3D9EE"/>
            </w:tcBorders>
            <w:shd w:val="clear" w:color="auto" w:fill="C3D9EE"/>
          </w:tcPr>
          <w:p>
            <w:pPr>
              <w:spacing w:after="0"/>
              <w:rPr>
                <w:sz w:val="18"/>
                <w:szCs w:val="18"/>
                <w:color w:val="auto"/>
              </w:rPr>
            </w:pPr>
          </w:p>
        </w:tc>
        <w:tc>
          <w:tcPr>
            <w:tcW w:w="1080" w:type="dxa"/>
            <w:vAlign w:val="bottom"/>
            <w:tcBorders>
              <w:bottom w:val="single" w:sz="8" w:color="C3D9EE"/>
            </w:tcBorders>
            <w:shd w:val="clear" w:color="auto" w:fill="C3D9EE"/>
          </w:tcPr>
          <w:p>
            <w:pPr>
              <w:jc w:val="right"/>
              <w:ind w:right="26"/>
              <w:spacing w:after="0"/>
              <w:rPr>
                <w:sz w:val="20"/>
                <w:szCs w:val="20"/>
                <w:color w:val="auto"/>
              </w:rPr>
            </w:pPr>
            <w:r>
              <w:rPr>
                <w:rFonts w:ascii="Arial" w:cs="Arial" w:eastAsia="Arial" w:hAnsi="Arial"/>
                <w:sz w:val="14"/>
                <w:szCs w:val="14"/>
                <w:color w:val="auto"/>
              </w:rPr>
              <w:t>8,238</w:t>
            </w:r>
          </w:p>
        </w:tc>
        <w:tc>
          <w:tcPr>
            <w:tcW w:w="124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4"/>
                <w:szCs w:val="14"/>
                <w:color w:val="auto"/>
              </w:rPr>
              <w:t>664,724</w:t>
            </w:r>
          </w:p>
        </w:tc>
      </w:tr>
      <w:tr>
        <w:trPr>
          <w:trHeight w:val="177"/>
        </w:trPr>
        <w:tc>
          <w:tcPr>
            <w:tcW w:w="3000" w:type="dxa"/>
            <w:vAlign w:val="bottom"/>
          </w:tcPr>
          <w:p>
            <w:pPr>
              <w:ind w:left="80"/>
              <w:spacing w:after="0"/>
              <w:rPr>
                <w:sz w:val="20"/>
                <w:szCs w:val="20"/>
                <w:color w:val="auto"/>
              </w:rPr>
            </w:pPr>
            <w:r>
              <w:rPr>
                <w:rFonts w:ascii="Arial" w:cs="Arial" w:eastAsia="Arial" w:hAnsi="Arial"/>
                <w:sz w:val="14"/>
                <w:szCs w:val="14"/>
                <w:color w:val="auto"/>
              </w:rPr>
              <w:t>Mark J. Murphy</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8/6/2019 (5)</w:t>
            </w: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26"/>
              <w:spacing w:after="0"/>
              <w:rPr>
                <w:sz w:val="20"/>
                <w:szCs w:val="20"/>
                <w:color w:val="auto"/>
              </w:rPr>
            </w:pPr>
            <w:r>
              <w:rPr>
                <w:rFonts w:ascii="Arial" w:cs="Arial" w:eastAsia="Arial" w:hAnsi="Arial"/>
                <w:sz w:val="14"/>
                <w:szCs w:val="14"/>
                <w:color w:val="auto"/>
              </w:rPr>
              <w:t>9,685</w:t>
            </w:r>
          </w:p>
        </w:tc>
        <w:tc>
          <w:tcPr>
            <w:tcW w:w="1240" w:type="dxa"/>
            <w:vAlign w:val="bottom"/>
          </w:tcPr>
          <w:p>
            <w:pPr>
              <w:jc w:val="right"/>
              <w:spacing w:after="0"/>
              <w:rPr>
                <w:sz w:val="20"/>
                <w:szCs w:val="20"/>
                <w:color w:val="auto"/>
              </w:rPr>
            </w:pPr>
            <w:r>
              <w:rPr>
                <w:rFonts w:ascii="Arial" w:cs="Arial" w:eastAsia="Arial" w:hAnsi="Arial"/>
                <w:sz w:val="14"/>
                <w:szCs w:val="14"/>
                <w:color w:val="auto"/>
              </w:rPr>
              <w:t>781,483</w:t>
            </w:r>
          </w:p>
        </w:tc>
      </w:tr>
      <w:tr>
        <w:trPr>
          <w:trHeight w:val="175"/>
        </w:trPr>
        <w:tc>
          <w:tcPr>
            <w:tcW w:w="30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5/10/2019 (5)</w:t>
            </w: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26"/>
              <w:spacing w:after="0"/>
              <w:rPr>
                <w:sz w:val="20"/>
                <w:szCs w:val="20"/>
                <w:color w:val="auto"/>
              </w:rPr>
            </w:pPr>
            <w:r>
              <w:rPr>
                <w:rFonts w:ascii="Arial" w:cs="Arial" w:eastAsia="Arial" w:hAnsi="Arial"/>
                <w:sz w:val="14"/>
                <w:szCs w:val="14"/>
                <w:color w:val="auto"/>
              </w:rPr>
              <w:t>13,174</w:t>
            </w:r>
          </w:p>
        </w:tc>
        <w:tc>
          <w:tcPr>
            <w:tcW w:w="1240" w:type="dxa"/>
            <w:vAlign w:val="bottom"/>
          </w:tcPr>
          <w:p>
            <w:pPr>
              <w:jc w:val="right"/>
              <w:spacing w:after="0"/>
              <w:rPr>
                <w:sz w:val="20"/>
                <w:szCs w:val="20"/>
                <w:color w:val="auto"/>
              </w:rPr>
            </w:pPr>
            <w:r>
              <w:rPr>
                <w:rFonts w:ascii="Arial" w:cs="Arial" w:eastAsia="Arial" w:hAnsi="Arial"/>
                <w:sz w:val="14"/>
                <w:szCs w:val="14"/>
                <w:color w:val="auto"/>
              </w:rPr>
              <w:t>1,063,010</w:t>
            </w:r>
          </w:p>
        </w:tc>
      </w:tr>
      <w:tr>
        <w:trPr>
          <w:trHeight w:val="176"/>
        </w:trPr>
        <w:tc>
          <w:tcPr>
            <w:tcW w:w="30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8/7/2018 (5)</w:t>
            </w: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26"/>
              <w:spacing w:after="0"/>
              <w:rPr>
                <w:sz w:val="20"/>
                <w:szCs w:val="20"/>
                <w:color w:val="auto"/>
              </w:rPr>
            </w:pPr>
            <w:r>
              <w:rPr>
                <w:rFonts w:ascii="Arial" w:cs="Arial" w:eastAsia="Arial" w:hAnsi="Arial"/>
                <w:sz w:val="14"/>
                <w:szCs w:val="14"/>
                <w:color w:val="auto"/>
              </w:rPr>
              <w:t>5,810</w:t>
            </w:r>
          </w:p>
        </w:tc>
        <w:tc>
          <w:tcPr>
            <w:tcW w:w="1240" w:type="dxa"/>
            <w:vAlign w:val="bottom"/>
          </w:tcPr>
          <w:p>
            <w:pPr>
              <w:jc w:val="right"/>
              <w:spacing w:after="0"/>
              <w:rPr>
                <w:sz w:val="20"/>
                <w:szCs w:val="20"/>
                <w:color w:val="auto"/>
              </w:rPr>
            </w:pPr>
            <w:r>
              <w:rPr>
                <w:rFonts w:ascii="Arial" w:cs="Arial" w:eastAsia="Arial" w:hAnsi="Arial"/>
                <w:sz w:val="14"/>
                <w:szCs w:val="14"/>
                <w:color w:val="auto"/>
              </w:rPr>
              <w:t>468,809</w:t>
            </w:r>
          </w:p>
        </w:tc>
      </w:tr>
      <w:tr>
        <w:trPr>
          <w:trHeight w:val="176"/>
        </w:trPr>
        <w:tc>
          <w:tcPr>
            <w:tcW w:w="30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5/10/2018 (5)</w:t>
            </w: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26"/>
              <w:spacing w:after="0"/>
              <w:rPr>
                <w:sz w:val="20"/>
                <w:szCs w:val="20"/>
                <w:color w:val="auto"/>
              </w:rPr>
            </w:pPr>
            <w:r>
              <w:rPr>
                <w:rFonts w:ascii="Arial" w:cs="Arial" w:eastAsia="Arial" w:hAnsi="Arial"/>
                <w:sz w:val="14"/>
                <w:szCs w:val="14"/>
                <w:color w:val="auto"/>
              </w:rPr>
              <w:t>7,099</w:t>
            </w:r>
          </w:p>
        </w:tc>
        <w:tc>
          <w:tcPr>
            <w:tcW w:w="1240" w:type="dxa"/>
            <w:vAlign w:val="bottom"/>
          </w:tcPr>
          <w:p>
            <w:pPr>
              <w:jc w:val="right"/>
              <w:spacing w:after="0"/>
              <w:rPr>
                <w:sz w:val="20"/>
                <w:szCs w:val="20"/>
                <w:color w:val="auto"/>
              </w:rPr>
            </w:pPr>
            <w:r>
              <w:rPr>
                <w:rFonts w:ascii="Arial" w:cs="Arial" w:eastAsia="Arial" w:hAnsi="Arial"/>
                <w:sz w:val="14"/>
                <w:szCs w:val="14"/>
                <w:color w:val="auto"/>
              </w:rPr>
              <w:t>572,818</w:t>
            </w:r>
          </w:p>
        </w:tc>
      </w:tr>
      <w:tr>
        <w:trPr>
          <w:trHeight w:val="175"/>
        </w:trPr>
        <w:tc>
          <w:tcPr>
            <w:tcW w:w="30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8/8/2017 (5)</w:t>
            </w: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26"/>
              <w:spacing w:after="0"/>
              <w:rPr>
                <w:sz w:val="20"/>
                <w:szCs w:val="20"/>
                <w:color w:val="auto"/>
              </w:rPr>
            </w:pPr>
            <w:r>
              <w:rPr>
                <w:rFonts w:ascii="Arial" w:cs="Arial" w:eastAsia="Arial" w:hAnsi="Arial"/>
                <w:sz w:val="14"/>
                <w:szCs w:val="14"/>
                <w:color w:val="auto"/>
              </w:rPr>
              <w:t>4,651</w:t>
            </w:r>
          </w:p>
        </w:tc>
        <w:tc>
          <w:tcPr>
            <w:tcW w:w="1240" w:type="dxa"/>
            <w:vAlign w:val="bottom"/>
          </w:tcPr>
          <w:p>
            <w:pPr>
              <w:jc w:val="right"/>
              <w:spacing w:after="0"/>
              <w:rPr>
                <w:sz w:val="20"/>
                <w:szCs w:val="20"/>
                <w:color w:val="auto"/>
              </w:rPr>
            </w:pPr>
            <w:r>
              <w:rPr>
                <w:rFonts w:ascii="Arial" w:cs="Arial" w:eastAsia="Arial" w:hAnsi="Arial"/>
                <w:sz w:val="14"/>
                <w:szCs w:val="14"/>
                <w:color w:val="auto"/>
              </w:rPr>
              <w:t>375,289</w:t>
            </w:r>
          </w:p>
        </w:tc>
      </w:tr>
      <w:tr>
        <w:trPr>
          <w:trHeight w:val="176"/>
        </w:trPr>
        <w:tc>
          <w:tcPr>
            <w:tcW w:w="30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5/11/2017 (5)</w:t>
            </w: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26"/>
              <w:spacing w:after="0"/>
              <w:rPr>
                <w:sz w:val="20"/>
                <w:szCs w:val="20"/>
                <w:color w:val="auto"/>
              </w:rPr>
            </w:pPr>
            <w:r>
              <w:rPr>
                <w:rFonts w:ascii="Arial" w:cs="Arial" w:eastAsia="Arial" w:hAnsi="Arial"/>
                <w:sz w:val="14"/>
                <w:szCs w:val="14"/>
                <w:color w:val="auto"/>
              </w:rPr>
              <w:t>3,936</w:t>
            </w:r>
          </w:p>
        </w:tc>
        <w:tc>
          <w:tcPr>
            <w:tcW w:w="1240" w:type="dxa"/>
            <w:vAlign w:val="bottom"/>
          </w:tcPr>
          <w:p>
            <w:pPr>
              <w:jc w:val="right"/>
              <w:spacing w:after="0"/>
              <w:rPr>
                <w:sz w:val="20"/>
                <w:szCs w:val="20"/>
                <w:color w:val="auto"/>
              </w:rPr>
            </w:pPr>
            <w:r>
              <w:rPr>
                <w:rFonts w:ascii="Arial" w:cs="Arial" w:eastAsia="Arial" w:hAnsi="Arial"/>
                <w:sz w:val="14"/>
                <w:szCs w:val="14"/>
                <w:color w:val="auto"/>
              </w:rPr>
              <w:t>317,596</w:t>
            </w:r>
          </w:p>
        </w:tc>
      </w:tr>
      <w:tr>
        <w:trPr>
          <w:trHeight w:val="175"/>
        </w:trPr>
        <w:tc>
          <w:tcPr>
            <w:tcW w:w="30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8/5/2016 (5)</w:t>
            </w: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26"/>
              <w:spacing w:after="0"/>
              <w:rPr>
                <w:sz w:val="20"/>
                <w:szCs w:val="20"/>
                <w:color w:val="auto"/>
              </w:rPr>
            </w:pPr>
            <w:r>
              <w:rPr>
                <w:rFonts w:ascii="Arial" w:cs="Arial" w:eastAsia="Arial" w:hAnsi="Arial"/>
                <w:sz w:val="14"/>
                <w:szCs w:val="14"/>
                <w:color w:val="auto"/>
              </w:rPr>
              <w:t>2,808</w:t>
            </w:r>
          </w:p>
        </w:tc>
        <w:tc>
          <w:tcPr>
            <w:tcW w:w="1240" w:type="dxa"/>
            <w:vAlign w:val="bottom"/>
          </w:tcPr>
          <w:p>
            <w:pPr>
              <w:jc w:val="right"/>
              <w:spacing w:after="0"/>
              <w:rPr>
                <w:sz w:val="20"/>
                <w:szCs w:val="20"/>
                <w:color w:val="auto"/>
              </w:rPr>
            </w:pPr>
            <w:r>
              <w:rPr>
                <w:rFonts w:ascii="Arial" w:cs="Arial" w:eastAsia="Arial" w:hAnsi="Arial"/>
                <w:sz w:val="14"/>
                <w:szCs w:val="14"/>
                <w:color w:val="auto"/>
              </w:rPr>
              <w:t>226,578</w:t>
            </w:r>
          </w:p>
        </w:tc>
      </w:tr>
      <w:tr>
        <w:trPr>
          <w:trHeight w:val="176"/>
        </w:trPr>
        <w:tc>
          <w:tcPr>
            <w:tcW w:w="30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7/5/2016 (5)</w:t>
            </w: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26"/>
              <w:spacing w:after="0"/>
              <w:rPr>
                <w:sz w:val="20"/>
                <w:szCs w:val="20"/>
                <w:color w:val="auto"/>
              </w:rPr>
            </w:pPr>
            <w:r>
              <w:rPr>
                <w:rFonts w:ascii="Arial" w:cs="Arial" w:eastAsia="Arial" w:hAnsi="Arial"/>
                <w:sz w:val="14"/>
                <w:szCs w:val="14"/>
                <w:color w:val="auto"/>
              </w:rPr>
              <w:t>17,616</w:t>
            </w:r>
          </w:p>
        </w:tc>
        <w:tc>
          <w:tcPr>
            <w:tcW w:w="1240" w:type="dxa"/>
            <w:vAlign w:val="bottom"/>
          </w:tcPr>
          <w:p>
            <w:pPr>
              <w:jc w:val="right"/>
              <w:spacing w:after="0"/>
              <w:rPr>
                <w:sz w:val="20"/>
                <w:szCs w:val="20"/>
                <w:color w:val="auto"/>
              </w:rPr>
            </w:pPr>
            <w:r>
              <w:rPr>
                <w:rFonts w:ascii="Arial" w:cs="Arial" w:eastAsia="Arial" w:hAnsi="Arial"/>
                <w:sz w:val="14"/>
                <w:szCs w:val="14"/>
                <w:color w:val="auto"/>
              </w:rPr>
              <w:t>1,421,435</w:t>
            </w:r>
          </w:p>
        </w:tc>
      </w:tr>
      <w:tr>
        <w:trPr>
          <w:trHeight w:val="53"/>
        </w:trPr>
        <w:tc>
          <w:tcPr>
            <w:tcW w:w="3000" w:type="dxa"/>
            <w:vAlign w:val="bottom"/>
          </w:tcPr>
          <w:p>
            <w:pPr>
              <w:spacing w:after="0"/>
              <w:rPr>
                <w:sz w:val="4"/>
                <w:szCs w:val="4"/>
                <w:color w:val="auto"/>
              </w:rPr>
            </w:pPr>
          </w:p>
        </w:tc>
        <w:tc>
          <w:tcPr>
            <w:tcW w:w="1140" w:type="dxa"/>
            <w:vAlign w:val="bottom"/>
            <w:gridSpan w:val="2"/>
          </w:tcPr>
          <w:p>
            <w:pPr>
              <w:spacing w:after="0"/>
              <w:rPr>
                <w:sz w:val="4"/>
                <w:szCs w:val="4"/>
                <w:color w:val="auto"/>
              </w:rPr>
            </w:pPr>
          </w:p>
        </w:tc>
        <w:tc>
          <w:tcPr>
            <w:tcW w:w="1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175"/>
        </w:trPr>
        <w:tc>
          <w:tcPr>
            <w:tcW w:w="3000" w:type="dxa"/>
            <w:vAlign w:val="bottom"/>
            <w:shd w:val="clear" w:color="auto" w:fill="C3D9EE"/>
          </w:tcPr>
          <w:p>
            <w:pPr>
              <w:ind w:left="80"/>
              <w:spacing w:after="0"/>
              <w:rPr>
                <w:sz w:val="20"/>
                <w:szCs w:val="20"/>
                <w:color w:val="auto"/>
              </w:rPr>
            </w:pPr>
            <w:r>
              <w:rPr>
                <w:rFonts w:ascii="Arial" w:cs="Arial" w:eastAsia="Arial" w:hAnsi="Arial"/>
                <w:sz w:val="14"/>
                <w:szCs w:val="14"/>
                <w:color w:val="auto"/>
              </w:rPr>
              <w:t>Steven E. Creviston</w:t>
            </w:r>
          </w:p>
        </w:tc>
        <w:tc>
          <w:tcPr>
            <w:tcW w:w="1140" w:type="dxa"/>
            <w:vAlign w:val="bottom"/>
            <w:gridSpan w:val="2"/>
            <w:shd w:val="clear" w:color="auto" w:fill="C3D9EE"/>
          </w:tcPr>
          <w:p>
            <w:pPr>
              <w:jc w:val="right"/>
              <w:spacing w:after="0"/>
              <w:rPr>
                <w:sz w:val="20"/>
                <w:szCs w:val="20"/>
                <w:color w:val="auto"/>
              </w:rPr>
            </w:pPr>
            <w:r>
              <w:rPr>
                <w:rFonts w:ascii="Arial" w:cs="Arial" w:eastAsia="Arial" w:hAnsi="Arial"/>
                <w:sz w:val="14"/>
                <w:szCs w:val="14"/>
                <w:color w:val="auto"/>
              </w:rPr>
              <w:t>8/6/2019 (5)</w:t>
            </w:r>
          </w:p>
        </w:tc>
        <w:tc>
          <w:tcPr>
            <w:tcW w:w="1200" w:type="dxa"/>
            <w:vAlign w:val="bottom"/>
            <w:shd w:val="clear" w:color="auto" w:fill="C3D9EE"/>
          </w:tcPr>
          <w:p>
            <w:pPr>
              <w:spacing w:after="0"/>
              <w:rPr>
                <w:sz w:val="15"/>
                <w:szCs w:val="15"/>
                <w:color w:val="auto"/>
              </w:rPr>
            </w:pPr>
          </w:p>
        </w:tc>
        <w:tc>
          <w:tcPr>
            <w:tcW w:w="1300" w:type="dxa"/>
            <w:vAlign w:val="bottom"/>
            <w:shd w:val="clear" w:color="auto" w:fill="C3D9EE"/>
          </w:tcPr>
          <w:p>
            <w:pPr>
              <w:spacing w:after="0"/>
              <w:rPr>
                <w:sz w:val="15"/>
                <w:szCs w:val="15"/>
                <w:color w:val="auto"/>
              </w:rPr>
            </w:pPr>
          </w:p>
        </w:tc>
        <w:tc>
          <w:tcPr>
            <w:tcW w:w="360" w:type="dxa"/>
            <w:vAlign w:val="bottom"/>
            <w:shd w:val="clear" w:color="auto" w:fill="C3D9EE"/>
          </w:tcPr>
          <w:p>
            <w:pPr>
              <w:spacing w:after="0"/>
              <w:rPr>
                <w:sz w:val="15"/>
                <w:szCs w:val="15"/>
                <w:color w:val="auto"/>
              </w:rPr>
            </w:pPr>
          </w:p>
        </w:tc>
        <w:tc>
          <w:tcPr>
            <w:tcW w:w="500" w:type="dxa"/>
            <w:vAlign w:val="bottom"/>
            <w:shd w:val="clear" w:color="auto" w:fill="C3D9EE"/>
          </w:tcPr>
          <w:p>
            <w:pPr>
              <w:spacing w:after="0"/>
              <w:rPr>
                <w:sz w:val="15"/>
                <w:szCs w:val="15"/>
                <w:color w:val="auto"/>
              </w:rPr>
            </w:pPr>
          </w:p>
        </w:tc>
        <w:tc>
          <w:tcPr>
            <w:tcW w:w="940" w:type="dxa"/>
            <w:vAlign w:val="bottom"/>
            <w:shd w:val="clear" w:color="auto" w:fill="C3D9EE"/>
          </w:tcPr>
          <w:p>
            <w:pPr>
              <w:spacing w:after="0"/>
              <w:rPr>
                <w:sz w:val="15"/>
                <w:szCs w:val="15"/>
                <w:color w:val="auto"/>
              </w:rPr>
            </w:pPr>
          </w:p>
        </w:tc>
        <w:tc>
          <w:tcPr>
            <w:tcW w:w="260" w:type="dxa"/>
            <w:vAlign w:val="bottom"/>
            <w:shd w:val="clear" w:color="auto" w:fill="C3D9EE"/>
          </w:tcPr>
          <w:p>
            <w:pPr>
              <w:spacing w:after="0"/>
              <w:rPr>
                <w:sz w:val="15"/>
                <w:szCs w:val="15"/>
                <w:color w:val="auto"/>
              </w:rPr>
            </w:pPr>
          </w:p>
        </w:tc>
        <w:tc>
          <w:tcPr>
            <w:tcW w:w="1080" w:type="dxa"/>
            <w:vAlign w:val="bottom"/>
            <w:shd w:val="clear" w:color="auto" w:fill="C3D9EE"/>
          </w:tcPr>
          <w:p>
            <w:pPr>
              <w:jc w:val="right"/>
              <w:ind w:right="26"/>
              <w:spacing w:after="0"/>
              <w:rPr>
                <w:sz w:val="20"/>
                <w:szCs w:val="20"/>
                <w:color w:val="auto"/>
              </w:rPr>
            </w:pPr>
            <w:r>
              <w:rPr>
                <w:rFonts w:ascii="Arial" w:cs="Arial" w:eastAsia="Arial" w:hAnsi="Arial"/>
                <w:sz w:val="14"/>
                <w:szCs w:val="14"/>
                <w:color w:val="auto"/>
              </w:rPr>
              <w:t>11,739</w:t>
            </w:r>
          </w:p>
        </w:tc>
        <w:tc>
          <w:tcPr>
            <w:tcW w:w="1240" w:type="dxa"/>
            <w:vAlign w:val="bottom"/>
            <w:shd w:val="clear" w:color="auto" w:fill="C3D9EE"/>
          </w:tcPr>
          <w:p>
            <w:pPr>
              <w:jc w:val="right"/>
              <w:spacing w:after="0"/>
              <w:rPr>
                <w:sz w:val="20"/>
                <w:szCs w:val="20"/>
                <w:color w:val="auto"/>
              </w:rPr>
            </w:pPr>
            <w:r>
              <w:rPr>
                <w:rFonts w:ascii="Arial" w:cs="Arial" w:eastAsia="Arial" w:hAnsi="Arial"/>
                <w:sz w:val="14"/>
                <w:szCs w:val="14"/>
                <w:color w:val="auto"/>
              </w:rPr>
              <w:t>947,220</w:t>
            </w:r>
          </w:p>
        </w:tc>
      </w:tr>
      <w:tr>
        <w:trPr>
          <w:trHeight w:val="175"/>
        </w:trPr>
        <w:tc>
          <w:tcPr>
            <w:tcW w:w="3000" w:type="dxa"/>
            <w:vAlign w:val="bottom"/>
            <w:shd w:val="clear" w:color="auto" w:fill="C3D9EE"/>
          </w:tcPr>
          <w:p>
            <w:pPr>
              <w:spacing w:after="0"/>
              <w:rPr>
                <w:sz w:val="15"/>
                <w:szCs w:val="15"/>
                <w:color w:val="auto"/>
              </w:rPr>
            </w:pPr>
          </w:p>
        </w:tc>
        <w:tc>
          <w:tcPr>
            <w:tcW w:w="1140" w:type="dxa"/>
            <w:vAlign w:val="bottom"/>
            <w:gridSpan w:val="2"/>
            <w:shd w:val="clear" w:color="auto" w:fill="C3D9EE"/>
          </w:tcPr>
          <w:p>
            <w:pPr>
              <w:jc w:val="right"/>
              <w:spacing w:after="0"/>
              <w:rPr>
                <w:sz w:val="20"/>
                <w:szCs w:val="20"/>
                <w:color w:val="auto"/>
              </w:rPr>
            </w:pPr>
            <w:r>
              <w:rPr>
                <w:rFonts w:ascii="Arial" w:cs="Arial" w:eastAsia="Arial" w:hAnsi="Arial"/>
                <w:sz w:val="14"/>
                <w:szCs w:val="14"/>
                <w:color w:val="auto"/>
              </w:rPr>
              <w:t>5/10/2019 (5)</w:t>
            </w:r>
          </w:p>
        </w:tc>
        <w:tc>
          <w:tcPr>
            <w:tcW w:w="1200" w:type="dxa"/>
            <w:vAlign w:val="bottom"/>
            <w:shd w:val="clear" w:color="auto" w:fill="C3D9EE"/>
          </w:tcPr>
          <w:p>
            <w:pPr>
              <w:spacing w:after="0"/>
              <w:rPr>
                <w:sz w:val="15"/>
                <w:szCs w:val="15"/>
                <w:color w:val="auto"/>
              </w:rPr>
            </w:pPr>
          </w:p>
        </w:tc>
        <w:tc>
          <w:tcPr>
            <w:tcW w:w="1300" w:type="dxa"/>
            <w:vAlign w:val="bottom"/>
            <w:shd w:val="clear" w:color="auto" w:fill="C3D9EE"/>
          </w:tcPr>
          <w:p>
            <w:pPr>
              <w:spacing w:after="0"/>
              <w:rPr>
                <w:sz w:val="15"/>
                <w:szCs w:val="15"/>
                <w:color w:val="auto"/>
              </w:rPr>
            </w:pPr>
          </w:p>
        </w:tc>
        <w:tc>
          <w:tcPr>
            <w:tcW w:w="360" w:type="dxa"/>
            <w:vAlign w:val="bottom"/>
            <w:shd w:val="clear" w:color="auto" w:fill="C3D9EE"/>
          </w:tcPr>
          <w:p>
            <w:pPr>
              <w:spacing w:after="0"/>
              <w:rPr>
                <w:sz w:val="15"/>
                <w:szCs w:val="15"/>
                <w:color w:val="auto"/>
              </w:rPr>
            </w:pPr>
          </w:p>
        </w:tc>
        <w:tc>
          <w:tcPr>
            <w:tcW w:w="500" w:type="dxa"/>
            <w:vAlign w:val="bottom"/>
            <w:shd w:val="clear" w:color="auto" w:fill="C3D9EE"/>
          </w:tcPr>
          <w:p>
            <w:pPr>
              <w:spacing w:after="0"/>
              <w:rPr>
                <w:sz w:val="15"/>
                <w:szCs w:val="15"/>
                <w:color w:val="auto"/>
              </w:rPr>
            </w:pPr>
          </w:p>
        </w:tc>
        <w:tc>
          <w:tcPr>
            <w:tcW w:w="940" w:type="dxa"/>
            <w:vAlign w:val="bottom"/>
            <w:shd w:val="clear" w:color="auto" w:fill="C3D9EE"/>
          </w:tcPr>
          <w:p>
            <w:pPr>
              <w:spacing w:after="0"/>
              <w:rPr>
                <w:sz w:val="15"/>
                <w:szCs w:val="15"/>
                <w:color w:val="auto"/>
              </w:rPr>
            </w:pPr>
          </w:p>
        </w:tc>
        <w:tc>
          <w:tcPr>
            <w:tcW w:w="260" w:type="dxa"/>
            <w:vAlign w:val="bottom"/>
            <w:shd w:val="clear" w:color="auto" w:fill="C3D9EE"/>
          </w:tcPr>
          <w:p>
            <w:pPr>
              <w:spacing w:after="0"/>
              <w:rPr>
                <w:sz w:val="15"/>
                <w:szCs w:val="15"/>
                <w:color w:val="auto"/>
              </w:rPr>
            </w:pPr>
          </w:p>
        </w:tc>
        <w:tc>
          <w:tcPr>
            <w:tcW w:w="1080" w:type="dxa"/>
            <w:vAlign w:val="bottom"/>
            <w:shd w:val="clear" w:color="auto" w:fill="C3D9EE"/>
          </w:tcPr>
          <w:p>
            <w:pPr>
              <w:jc w:val="right"/>
              <w:ind w:right="26"/>
              <w:spacing w:after="0"/>
              <w:rPr>
                <w:sz w:val="20"/>
                <w:szCs w:val="20"/>
                <w:color w:val="auto"/>
              </w:rPr>
            </w:pPr>
            <w:r>
              <w:rPr>
                <w:rFonts w:ascii="Arial" w:cs="Arial" w:eastAsia="Arial" w:hAnsi="Arial"/>
                <w:sz w:val="14"/>
                <w:szCs w:val="14"/>
                <w:color w:val="auto"/>
              </w:rPr>
              <w:t>15,968</w:t>
            </w:r>
          </w:p>
        </w:tc>
        <w:tc>
          <w:tcPr>
            <w:tcW w:w="1240" w:type="dxa"/>
            <w:vAlign w:val="bottom"/>
            <w:shd w:val="clear" w:color="auto" w:fill="C3D9EE"/>
          </w:tcPr>
          <w:p>
            <w:pPr>
              <w:jc w:val="right"/>
              <w:spacing w:after="0"/>
              <w:rPr>
                <w:sz w:val="20"/>
                <w:szCs w:val="20"/>
                <w:color w:val="auto"/>
              </w:rPr>
            </w:pPr>
            <w:r>
              <w:rPr>
                <w:rFonts w:ascii="Arial" w:cs="Arial" w:eastAsia="Arial" w:hAnsi="Arial"/>
                <w:sz w:val="14"/>
                <w:szCs w:val="14"/>
                <w:color w:val="auto"/>
              </w:rPr>
              <w:t>1,288,458</w:t>
            </w:r>
          </w:p>
        </w:tc>
      </w:tr>
      <w:tr>
        <w:trPr>
          <w:trHeight w:val="175"/>
        </w:trPr>
        <w:tc>
          <w:tcPr>
            <w:tcW w:w="3000" w:type="dxa"/>
            <w:vAlign w:val="bottom"/>
            <w:shd w:val="clear" w:color="auto" w:fill="C3D9EE"/>
          </w:tcPr>
          <w:p>
            <w:pPr>
              <w:spacing w:after="0"/>
              <w:rPr>
                <w:sz w:val="15"/>
                <w:szCs w:val="15"/>
                <w:color w:val="auto"/>
              </w:rPr>
            </w:pPr>
          </w:p>
        </w:tc>
        <w:tc>
          <w:tcPr>
            <w:tcW w:w="1140" w:type="dxa"/>
            <w:vAlign w:val="bottom"/>
            <w:gridSpan w:val="2"/>
            <w:shd w:val="clear" w:color="auto" w:fill="C3D9EE"/>
          </w:tcPr>
          <w:p>
            <w:pPr>
              <w:jc w:val="right"/>
              <w:spacing w:after="0"/>
              <w:rPr>
                <w:sz w:val="20"/>
                <w:szCs w:val="20"/>
                <w:color w:val="auto"/>
              </w:rPr>
            </w:pPr>
            <w:r>
              <w:rPr>
                <w:rFonts w:ascii="Arial" w:cs="Arial" w:eastAsia="Arial" w:hAnsi="Arial"/>
                <w:sz w:val="14"/>
                <w:szCs w:val="14"/>
                <w:color w:val="auto"/>
              </w:rPr>
              <w:t>8/7/2018 (5)</w:t>
            </w:r>
          </w:p>
        </w:tc>
        <w:tc>
          <w:tcPr>
            <w:tcW w:w="1200" w:type="dxa"/>
            <w:vAlign w:val="bottom"/>
            <w:shd w:val="clear" w:color="auto" w:fill="C3D9EE"/>
          </w:tcPr>
          <w:p>
            <w:pPr>
              <w:spacing w:after="0"/>
              <w:rPr>
                <w:sz w:val="15"/>
                <w:szCs w:val="15"/>
                <w:color w:val="auto"/>
              </w:rPr>
            </w:pPr>
          </w:p>
        </w:tc>
        <w:tc>
          <w:tcPr>
            <w:tcW w:w="1300" w:type="dxa"/>
            <w:vAlign w:val="bottom"/>
            <w:shd w:val="clear" w:color="auto" w:fill="C3D9EE"/>
          </w:tcPr>
          <w:p>
            <w:pPr>
              <w:spacing w:after="0"/>
              <w:rPr>
                <w:sz w:val="15"/>
                <w:szCs w:val="15"/>
                <w:color w:val="auto"/>
              </w:rPr>
            </w:pPr>
          </w:p>
        </w:tc>
        <w:tc>
          <w:tcPr>
            <w:tcW w:w="360" w:type="dxa"/>
            <w:vAlign w:val="bottom"/>
            <w:shd w:val="clear" w:color="auto" w:fill="C3D9EE"/>
          </w:tcPr>
          <w:p>
            <w:pPr>
              <w:spacing w:after="0"/>
              <w:rPr>
                <w:sz w:val="15"/>
                <w:szCs w:val="15"/>
                <w:color w:val="auto"/>
              </w:rPr>
            </w:pPr>
          </w:p>
        </w:tc>
        <w:tc>
          <w:tcPr>
            <w:tcW w:w="500" w:type="dxa"/>
            <w:vAlign w:val="bottom"/>
            <w:shd w:val="clear" w:color="auto" w:fill="C3D9EE"/>
          </w:tcPr>
          <w:p>
            <w:pPr>
              <w:spacing w:after="0"/>
              <w:rPr>
                <w:sz w:val="15"/>
                <w:szCs w:val="15"/>
                <w:color w:val="auto"/>
              </w:rPr>
            </w:pPr>
          </w:p>
        </w:tc>
        <w:tc>
          <w:tcPr>
            <w:tcW w:w="940" w:type="dxa"/>
            <w:vAlign w:val="bottom"/>
            <w:shd w:val="clear" w:color="auto" w:fill="C3D9EE"/>
          </w:tcPr>
          <w:p>
            <w:pPr>
              <w:spacing w:after="0"/>
              <w:rPr>
                <w:sz w:val="15"/>
                <w:szCs w:val="15"/>
                <w:color w:val="auto"/>
              </w:rPr>
            </w:pPr>
          </w:p>
        </w:tc>
        <w:tc>
          <w:tcPr>
            <w:tcW w:w="260" w:type="dxa"/>
            <w:vAlign w:val="bottom"/>
            <w:shd w:val="clear" w:color="auto" w:fill="C3D9EE"/>
          </w:tcPr>
          <w:p>
            <w:pPr>
              <w:spacing w:after="0"/>
              <w:rPr>
                <w:sz w:val="15"/>
                <w:szCs w:val="15"/>
                <w:color w:val="auto"/>
              </w:rPr>
            </w:pPr>
          </w:p>
        </w:tc>
        <w:tc>
          <w:tcPr>
            <w:tcW w:w="1080" w:type="dxa"/>
            <w:vAlign w:val="bottom"/>
            <w:shd w:val="clear" w:color="auto" w:fill="C3D9EE"/>
          </w:tcPr>
          <w:p>
            <w:pPr>
              <w:jc w:val="right"/>
              <w:ind w:right="26"/>
              <w:spacing w:after="0"/>
              <w:rPr>
                <w:sz w:val="20"/>
                <w:szCs w:val="20"/>
                <w:color w:val="auto"/>
              </w:rPr>
            </w:pPr>
            <w:r>
              <w:rPr>
                <w:rFonts w:ascii="Arial" w:cs="Arial" w:eastAsia="Arial" w:hAnsi="Arial"/>
                <w:sz w:val="14"/>
                <w:szCs w:val="14"/>
                <w:color w:val="auto"/>
              </w:rPr>
              <w:t>7,043</w:t>
            </w:r>
          </w:p>
        </w:tc>
        <w:tc>
          <w:tcPr>
            <w:tcW w:w="1240" w:type="dxa"/>
            <w:vAlign w:val="bottom"/>
            <w:shd w:val="clear" w:color="auto" w:fill="C3D9EE"/>
          </w:tcPr>
          <w:p>
            <w:pPr>
              <w:jc w:val="right"/>
              <w:spacing w:after="0"/>
              <w:rPr>
                <w:sz w:val="20"/>
                <w:szCs w:val="20"/>
                <w:color w:val="auto"/>
              </w:rPr>
            </w:pPr>
            <w:r>
              <w:rPr>
                <w:rFonts w:ascii="Arial" w:cs="Arial" w:eastAsia="Arial" w:hAnsi="Arial"/>
                <w:sz w:val="14"/>
                <w:szCs w:val="14"/>
                <w:color w:val="auto"/>
              </w:rPr>
              <w:t>568,300</w:t>
            </w:r>
          </w:p>
        </w:tc>
      </w:tr>
      <w:tr>
        <w:trPr>
          <w:trHeight w:val="175"/>
        </w:trPr>
        <w:tc>
          <w:tcPr>
            <w:tcW w:w="3000" w:type="dxa"/>
            <w:vAlign w:val="bottom"/>
            <w:shd w:val="clear" w:color="auto" w:fill="C3D9EE"/>
          </w:tcPr>
          <w:p>
            <w:pPr>
              <w:spacing w:after="0"/>
              <w:rPr>
                <w:sz w:val="15"/>
                <w:szCs w:val="15"/>
                <w:color w:val="auto"/>
              </w:rPr>
            </w:pPr>
          </w:p>
        </w:tc>
        <w:tc>
          <w:tcPr>
            <w:tcW w:w="920" w:type="dxa"/>
            <w:vAlign w:val="bottom"/>
            <w:shd w:val="clear" w:color="auto" w:fill="C3D9EE"/>
          </w:tcPr>
          <w:p>
            <w:pPr>
              <w:jc w:val="right"/>
              <w:spacing w:after="0"/>
              <w:rPr>
                <w:sz w:val="20"/>
                <w:szCs w:val="20"/>
                <w:color w:val="auto"/>
              </w:rPr>
            </w:pPr>
            <w:r>
              <w:rPr>
                <w:rFonts w:ascii="Arial" w:cs="Arial" w:eastAsia="Arial" w:hAnsi="Arial"/>
                <w:sz w:val="14"/>
                <w:szCs w:val="14"/>
                <w:color w:val="auto"/>
              </w:rPr>
              <w:t>5/10/2018</w:t>
            </w:r>
          </w:p>
        </w:tc>
        <w:tc>
          <w:tcPr>
            <w:tcW w:w="220" w:type="dxa"/>
            <w:vAlign w:val="bottom"/>
            <w:shd w:val="clear" w:color="auto" w:fill="C3D9EE"/>
          </w:tcPr>
          <w:p>
            <w:pPr>
              <w:jc w:val="right"/>
              <w:spacing w:after="0"/>
              <w:rPr>
                <w:sz w:val="20"/>
                <w:szCs w:val="20"/>
                <w:color w:val="auto"/>
              </w:rPr>
            </w:pPr>
            <w:r>
              <w:rPr>
                <w:rFonts w:ascii="Arial" w:cs="Arial" w:eastAsia="Arial" w:hAnsi="Arial"/>
                <w:sz w:val="14"/>
                <w:szCs w:val="14"/>
                <w:color w:val="auto"/>
                <w:w w:val="93"/>
              </w:rPr>
              <w:t>(5)</w:t>
            </w:r>
          </w:p>
        </w:tc>
        <w:tc>
          <w:tcPr>
            <w:tcW w:w="1200" w:type="dxa"/>
            <w:vAlign w:val="bottom"/>
            <w:shd w:val="clear" w:color="auto" w:fill="C3D9EE"/>
          </w:tcPr>
          <w:p>
            <w:pPr>
              <w:spacing w:after="0"/>
              <w:rPr>
                <w:sz w:val="15"/>
                <w:szCs w:val="15"/>
                <w:color w:val="auto"/>
              </w:rPr>
            </w:pPr>
          </w:p>
        </w:tc>
        <w:tc>
          <w:tcPr>
            <w:tcW w:w="1300" w:type="dxa"/>
            <w:vAlign w:val="bottom"/>
            <w:shd w:val="clear" w:color="auto" w:fill="C3D9EE"/>
          </w:tcPr>
          <w:p>
            <w:pPr>
              <w:spacing w:after="0"/>
              <w:rPr>
                <w:sz w:val="15"/>
                <w:szCs w:val="15"/>
                <w:color w:val="auto"/>
              </w:rPr>
            </w:pPr>
          </w:p>
        </w:tc>
        <w:tc>
          <w:tcPr>
            <w:tcW w:w="360" w:type="dxa"/>
            <w:vAlign w:val="bottom"/>
            <w:shd w:val="clear" w:color="auto" w:fill="C3D9EE"/>
          </w:tcPr>
          <w:p>
            <w:pPr>
              <w:spacing w:after="0"/>
              <w:rPr>
                <w:sz w:val="15"/>
                <w:szCs w:val="15"/>
                <w:color w:val="auto"/>
              </w:rPr>
            </w:pPr>
          </w:p>
        </w:tc>
        <w:tc>
          <w:tcPr>
            <w:tcW w:w="500" w:type="dxa"/>
            <w:vAlign w:val="bottom"/>
            <w:shd w:val="clear" w:color="auto" w:fill="C3D9EE"/>
          </w:tcPr>
          <w:p>
            <w:pPr>
              <w:spacing w:after="0"/>
              <w:rPr>
                <w:sz w:val="15"/>
                <w:szCs w:val="15"/>
                <w:color w:val="auto"/>
              </w:rPr>
            </w:pPr>
          </w:p>
        </w:tc>
        <w:tc>
          <w:tcPr>
            <w:tcW w:w="940" w:type="dxa"/>
            <w:vAlign w:val="bottom"/>
            <w:shd w:val="clear" w:color="auto" w:fill="C3D9EE"/>
          </w:tcPr>
          <w:p>
            <w:pPr>
              <w:spacing w:after="0"/>
              <w:rPr>
                <w:sz w:val="15"/>
                <w:szCs w:val="15"/>
                <w:color w:val="auto"/>
              </w:rPr>
            </w:pPr>
          </w:p>
        </w:tc>
        <w:tc>
          <w:tcPr>
            <w:tcW w:w="260" w:type="dxa"/>
            <w:vAlign w:val="bottom"/>
            <w:shd w:val="clear" w:color="auto" w:fill="C3D9EE"/>
          </w:tcPr>
          <w:p>
            <w:pPr>
              <w:spacing w:after="0"/>
              <w:rPr>
                <w:sz w:val="15"/>
                <w:szCs w:val="15"/>
                <w:color w:val="auto"/>
              </w:rPr>
            </w:pPr>
          </w:p>
        </w:tc>
        <w:tc>
          <w:tcPr>
            <w:tcW w:w="1080" w:type="dxa"/>
            <w:vAlign w:val="bottom"/>
            <w:shd w:val="clear" w:color="auto" w:fill="C3D9EE"/>
          </w:tcPr>
          <w:p>
            <w:pPr>
              <w:jc w:val="right"/>
              <w:ind w:right="26"/>
              <w:spacing w:after="0"/>
              <w:rPr>
                <w:sz w:val="20"/>
                <w:szCs w:val="20"/>
                <w:color w:val="auto"/>
              </w:rPr>
            </w:pPr>
            <w:r>
              <w:rPr>
                <w:rFonts w:ascii="Arial" w:cs="Arial" w:eastAsia="Arial" w:hAnsi="Arial"/>
                <w:sz w:val="14"/>
                <w:szCs w:val="14"/>
                <w:color w:val="auto"/>
              </w:rPr>
              <w:t>8,604</w:t>
            </w:r>
          </w:p>
        </w:tc>
        <w:tc>
          <w:tcPr>
            <w:tcW w:w="1240" w:type="dxa"/>
            <w:vAlign w:val="bottom"/>
            <w:shd w:val="clear" w:color="auto" w:fill="C3D9EE"/>
          </w:tcPr>
          <w:p>
            <w:pPr>
              <w:jc w:val="right"/>
              <w:spacing w:after="0"/>
              <w:rPr>
                <w:sz w:val="20"/>
                <w:szCs w:val="20"/>
                <w:color w:val="auto"/>
              </w:rPr>
            </w:pPr>
            <w:r>
              <w:rPr>
                <w:rFonts w:ascii="Arial" w:cs="Arial" w:eastAsia="Arial" w:hAnsi="Arial"/>
                <w:sz w:val="14"/>
                <w:szCs w:val="14"/>
                <w:color w:val="auto"/>
              </w:rPr>
              <w:t>694,257</w:t>
            </w:r>
          </w:p>
        </w:tc>
      </w:tr>
      <w:tr>
        <w:trPr>
          <w:trHeight w:val="175"/>
        </w:trPr>
        <w:tc>
          <w:tcPr>
            <w:tcW w:w="3000" w:type="dxa"/>
            <w:vAlign w:val="bottom"/>
            <w:shd w:val="clear" w:color="auto" w:fill="C3D9EE"/>
          </w:tcPr>
          <w:p>
            <w:pPr>
              <w:spacing w:after="0"/>
              <w:rPr>
                <w:sz w:val="15"/>
                <w:szCs w:val="15"/>
                <w:color w:val="auto"/>
              </w:rPr>
            </w:pPr>
          </w:p>
        </w:tc>
        <w:tc>
          <w:tcPr>
            <w:tcW w:w="920" w:type="dxa"/>
            <w:vAlign w:val="bottom"/>
            <w:shd w:val="clear" w:color="auto" w:fill="C3D9EE"/>
          </w:tcPr>
          <w:p>
            <w:pPr>
              <w:jc w:val="right"/>
              <w:spacing w:after="0"/>
              <w:rPr>
                <w:sz w:val="20"/>
                <w:szCs w:val="20"/>
                <w:color w:val="auto"/>
              </w:rPr>
            </w:pPr>
            <w:r>
              <w:rPr>
                <w:rFonts w:ascii="Arial" w:cs="Arial" w:eastAsia="Arial" w:hAnsi="Arial"/>
                <w:sz w:val="14"/>
                <w:szCs w:val="14"/>
                <w:color w:val="auto"/>
              </w:rPr>
              <w:t>8/8/2017</w:t>
            </w:r>
          </w:p>
        </w:tc>
        <w:tc>
          <w:tcPr>
            <w:tcW w:w="220" w:type="dxa"/>
            <w:vAlign w:val="bottom"/>
            <w:shd w:val="clear" w:color="auto" w:fill="C3D9EE"/>
          </w:tcPr>
          <w:p>
            <w:pPr>
              <w:jc w:val="right"/>
              <w:spacing w:after="0"/>
              <w:rPr>
                <w:sz w:val="20"/>
                <w:szCs w:val="20"/>
                <w:color w:val="auto"/>
              </w:rPr>
            </w:pPr>
            <w:r>
              <w:rPr>
                <w:rFonts w:ascii="Arial" w:cs="Arial" w:eastAsia="Arial" w:hAnsi="Arial"/>
                <w:sz w:val="14"/>
                <w:szCs w:val="14"/>
                <w:color w:val="auto"/>
                <w:w w:val="93"/>
              </w:rPr>
              <w:t>(5)</w:t>
            </w:r>
          </w:p>
        </w:tc>
        <w:tc>
          <w:tcPr>
            <w:tcW w:w="1200" w:type="dxa"/>
            <w:vAlign w:val="bottom"/>
            <w:shd w:val="clear" w:color="auto" w:fill="C3D9EE"/>
          </w:tcPr>
          <w:p>
            <w:pPr>
              <w:spacing w:after="0"/>
              <w:rPr>
                <w:sz w:val="15"/>
                <w:szCs w:val="15"/>
                <w:color w:val="auto"/>
              </w:rPr>
            </w:pPr>
          </w:p>
        </w:tc>
        <w:tc>
          <w:tcPr>
            <w:tcW w:w="1300" w:type="dxa"/>
            <w:vAlign w:val="bottom"/>
            <w:shd w:val="clear" w:color="auto" w:fill="C3D9EE"/>
          </w:tcPr>
          <w:p>
            <w:pPr>
              <w:spacing w:after="0"/>
              <w:rPr>
                <w:sz w:val="15"/>
                <w:szCs w:val="15"/>
                <w:color w:val="auto"/>
              </w:rPr>
            </w:pPr>
          </w:p>
        </w:tc>
        <w:tc>
          <w:tcPr>
            <w:tcW w:w="360" w:type="dxa"/>
            <w:vAlign w:val="bottom"/>
            <w:shd w:val="clear" w:color="auto" w:fill="C3D9EE"/>
          </w:tcPr>
          <w:p>
            <w:pPr>
              <w:spacing w:after="0"/>
              <w:rPr>
                <w:sz w:val="15"/>
                <w:szCs w:val="15"/>
                <w:color w:val="auto"/>
              </w:rPr>
            </w:pPr>
          </w:p>
        </w:tc>
        <w:tc>
          <w:tcPr>
            <w:tcW w:w="500" w:type="dxa"/>
            <w:vAlign w:val="bottom"/>
            <w:shd w:val="clear" w:color="auto" w:fill="C3D9EE"/>
          </w:tcPr>
          <w:p>
            <w:pPr>
              <w:spacing w:after="0"/>
              <w:rPr>
                <w:sz w:val="15"/>
                <w:szCs w:val="15"/>
                <w:color w:val="auto"/>
              </w:rPr>
            </w:pPr>
          </w:p>
        </w:tc>
        <w:tc>
          <w:tcPr>
            <w:tcW w:w="940" w:type="dxa"/>
            <w:vAlign w:val="bottom"/>
            <w:shd w:val="clear" w:color="auto" w:fill="C3D9EE"/>
          </w:tcPr>
          <w:p>
            <w:pPr>
              <w:spacing w:after="0"/>
              <w:rPr>
                <w:sz w:val="15"/>
                <w:szCs w:val="15"/>
                <w:color w:val="auto"/>
              </w:rPr>
            </w:pPr>
          </w:p>
        </w:tc>
        <w:tc>
          <w:tcPr>
            <w:tcW w:w="260" w:type="dxa"/>
            <w:vAlign w:val="bottom"/>
            <w:shd w:val="clear" w:color="auto" w:fill="C3D9EE"/>
          </w:tcPr>
          <w:p>
            <w:pPr>
              <w:spacing w:after="0"/>
              <w:rPr>
                <w:sz w:val="15"/>
                <w:szCs w:val="15"/>
                <w:color w:val="auto"/>
              </w:rPr>
            </w:pPr>
          </w:p>
        </w:tc>
        <w:tc>
          <w:tcPr>
            <w:tcW w:w="1080" w:type="dxa"/>
            <w:vAlign w:val="bottom"/>
            <w:shd w:val="clear" w:color="auto" w:fill="C3D9EE"/>
          </w:tcPr>
          <w:p>
            <w:pPr>
              <w:jc w:val="right"/>
              <w:ind w:right="26"/>
              <w:spacing w:after="0"/>
              <w:rPr>
                <w:sz w:val="20"/>
                <w:szCs w:val="20"/>
                <w:color w:val="auto"/>
              </w:rPr>
            </w:pPr>
            <w:r>
              <w:rPr>
                <w:rFonts w:ascii="Arial" w:cs="Arial" w:eastAsia="Arial" w:hAnsi="Arial"/>
                <w:sz w:val="14"/>
                <w:szCs w:val="14"/>
                <w:color w:val="auto"/>
              </w:rPr>
              <w:t>5,814</w:t>
            </w:r>
          </w:p>
        </w:tc>
        <w:tc>
          <w:tcPr>
            <w:tcW w:w="1240" w:type="dxa"/>
            <w:vAlign w:val="bottom"/>
            <w:shd w:val="clear" w:color="auto" w:fill="C3D9EE"/>
          </w:tcPr>
          <w:p>
            <w:pPr>
              <w:jc w:val="right"/>
              <w:spacing w:after="0"/>
              <w:rPr>
                <w:sz w:val="20"/>
                <w:szCs w:val="20"/>
                <w:color w:val="auto"/>
              </w:rPr>
            </w:pPr>
            <w:r>
              <w:rPr>
                <w:rFonts w:ascii="Arial" w:cs="Arial" w:eastAsia="Arial" w:hAnsi="Arial"/>
                <w:sz w:val="14"/>
                <w:szCs w:val="14"/>
                <w:color w:val="auto"/>
              </w:rPr>
              <w:t>469,132</w:t>
            </w:r>
          </w:p>
        </w:tc>
      </w:tr>
      <w:tr>
        <w:trPr>
          <w:trHeight w:val="176"/>
        </w:trPr>
        <w:tc>
          <w:tcPr>
            <w:tcW w:w="3000" w:type="dxa"/>
            <w:vAlign w:val="bottom"/>
            <w:shd w:val="clear" w:color="auto" w:fill="C3D9EE"/>
          </w:tcPr>
          <w:p>
            <w:pPr>
              <w:spacing w:after="0"/>
              <w:rPr>
                <w:sz w:val="15"/>
                <w:szCs w:val="15"/>
                <w:color w:val="auto"/>
              </w:rPr>
            </w:pPr>
          </w:p>
        </w:tc>
        <w:tc>
          <w:tcPr>
            <w:tcW w:w="920" w:type="dxa"/>
            <w:vAlign w:val="bottom"/>
            <w:shd w:val="clear" w:color="auto" w:fill="C3D9EE"/>
          </w:tcPr>
          <w:p>
            <w:pPr>
              <w:jc w:val="right"/>
              <w:spacing w:after="0"/>
              <w:rPr>
                <w:sz w:val="20"/>
                <w:szCs w:val="20"/>
                <w:color w:val="auto"/>
              </w:rPr>
            </w:pPr>
            <w:r>
              <w:rPr>
                <w:rFonts w:ascii="Arial" w:cs="Arial" w:eastAsia="Arial" w:hAnsi="Arial"/>
                <w:sz w:val="14"/>
                <w:szCs w:val="14"/>
                <w:color w:val="auto"/>
              </w:rPr>
              <w:t>5/11/2017</w:t>
            </w:r>
          </w:p>
        </w:tc>
        <w:tc>
          <w:tcPr>
            <w:tcW w:w="220" w:type="dxa"/>
            <w:vAlign w:val="bottom"/>
            <w:shd w:val="clear" w:color="auto" w:fill="C3D9EE"/>
          </w:tcPr>
          <w:p>
            <w:pPr>
              <w:jc w:val="right"/>
              <w:spacing w:after="0"/>
              <w:rPr>
                <w:sz w:val="20"/>
                <w:szCs w:val="20"/>
                <w:color w:val="auto"/>
              </w:rPr>
            </w:pPr>
            <w:r>
              <w:rPr>
                <w:rFonts w:ascii="Arial" w:cs="Arial" w:eastAsia="Arial" w:hAnsi="Arial"/>
                <w:sz w:val="14"/>
                <w:szCs w:val="14"/>
                <w:color w:val="auto"/>
                <w:w w:val="93"/>
              </w:rPr>
              <w:t>(5)</w:t>
            </w:r>
          </w:p>
        </w:tc>
        <w:tc>
          <w:tcPr>
            <w:tcW w:w="1200" w:type="dxa"/>
            <w:vAlign w:val="bottom"/>
            <w:shd w:val="clear" w:color="auto" w:fill="C3D9EE"/>
          </w:tcPr>
          <w:p>
            <w:pPr>
              <w:spacing w:after="0"/>
              <w:rPr>
                <w:sz w:val="15"/>
                <w:szCs w:val="15"/>
                <w:color w:val="auto"/>
              </w:rPr>
            </w:pPr>
          </w:p>
        </w:tc>
        <w:tc>
          <w:tcPr>
            <w:tcW w:w="1300" w:type="dxa"/>
            <w:vAlign w:val="bottom"/>
            <w:shd w:val="clear" w:color="auto" w:fill="C3D9EE"/>
          </w:tcPr>
          <w:p>
            <w:pPr>
              <w:spacing w:after="0"/>
              <w:rPr>
                <w:sz w:val="15"/>
                <w:szCs w:val="15"/>
                <w:color w:val="auto"/>
              </w:rPr>
            </w:pPr>
          </w:p>
        </w:tc>
        <w:tc>
          <w:tcPr>
            <w:tcW w:w="360" w:type="dxa"/>
            <w:vAlign w:val="bottom"/>
            <w:shd w:val="clear" w:color="auto" w:fill="C3D9EE"/>
          </w:tcPr>
          <w:p>
            <w:pPr>
              <w:spacing w:after="0"/>
              <w:rPr>
                <w:sz w:val="15"/>
                <w:szCs w:val="15"/>
                <w:color w:val="auto"/>
              </w:rPr>
            </w:pPr>
          </w:p>
        </w:tc>
        <w:tc>
          <w:tcPr>
            <w:tcW w:w="500" w:type="dxa"/>
            <w:vAlign w:val="bottom"/>
            <w:shd w:val="clear" w:color="auto" w:fill="C3D9EE"/>
          </w:tcPr>
          <w:p>
            <w:pPr>
              <w:spacing w:after="0"/>
              <w:rPr>
                <w:sz w:val="15"/>
                <w:szCs w:val="15"/>
                <w:color w:val="auto"/>
              </w:rPr>
            </w:pPr>
          </w:p>
        </w:tc>
        <w:tc>
          <w:tcPr>
            <w:tcW w:w="940" w:type="dxa"/>
            <w:vAlign w:val="bottom"/>
            <w:shd w:val="clear" w:color="auto" w:fill="C3D9EE"/>
          </w:tcPr>
          <w:p>
            <w:pPr>
              <w:spacing w:after="0"/>
              <w:rPr>
                <w:sz w:val="15"/>
                <w:szCs w:val="15"/>
                <w:color w:val="auto"/>
              </w:rPr>
            </w:pPr>
          </w:p>
        </w:tc>
        <w:tc>
          <w:tcPr>
            <w:tcW w:w="260" w:type="dxa"/>
            <w:vAlign w:val="bottom"/>
            <w:shd w:val="clear" w:color="auto" w:fill="C3D9EE"/>
          </w:tcPr>
          <w:p>
            <w:pPr>
              <w:spacing w:after="0"/>
              <w:rPr>
                <w:sz w:val="15"/>
                <w:szCs w:val="15"/>
                <w:color w:val="auto"/>
              </w:rPr>
            </w:pPr>
          </w:p>
        </w:tc>
        <w:tc>
          <w:tcPr>
            <w:tcW w:w="1080" w:type="dxa"/>
            <w:vAlign w:val="bottom"/>
            <w:shd w:val="clear" w:color="auto" w:fill="C3D9EE"/>
          </w:tcPr>
          <w:p>
            <w:pPr>
              <w:jc w:val="right"/>
              <w:ind w:right="26"/>
              <w:spacing w:after="0"/>
              <w:rPr>
                <w:sz w:val="20"/>
                <w:szCs w:val="20"/>
                <w:color w:val="auto"/>
              </w:rPr>
            </w:pPr>
            <w:r>
              <w:rPr>
                <w:rFonts w:ascii="Arial" w:cs="Arial" w:eastAsia="Arial" w:hAnsi="Arial"/>
                <w:sz w:val="14"/>
                <w:szCs w:val="14"/>
                <w:color w:val="auto"/>
              </w:rPr>
              <w:t>4,919</w:t>
            </w:r>
          </w:p>
        </w:tc>
        <w:tc>
          <w:tcPr>
            <w:tcW w:w="1240" w:type="dxa"/>
            <w:vAlign w:val="bottom"/>
            <w:shd w:val="clear" w:color="auto" w:fill="C3D9EE"/>
          </w:tcPr>
          <w:p>
            <w:pPr>
              <w:jc w:val="right"/>
              <w:spacing w:after="0"/>
              <w:rPr>
                <w:sz w:val="20"/>
                <w:szCs w:val="20"/>
                <w:color w:val="auto"/>
              </w:rPr>
            </w:pPr>
            <w:r>
              <w:rPr>
                <w:rFonts w:ascii="Arial" w:cs="Arial" w:eastAsia="Arial" w:hAnsi="Arial"/>
                <w:sz w:val="14"/>
                <w:szCs w:val="14"/>
                <w:color w:val="auto"/>
              </w:rPr>
              <w:t>396,914</w:t>
            </w:r>
          </w:p>
        </w:tc>
      </w:tr>
      <w:tr>
        <w:trPr>
          <w:trHeight w:val="209"/>
        </w:trPr>
        <w:tc>
          <w:tcPr>
            <w:tcW w:w="3000" w:type="dxa"/>
            <w:vAlign w:val="bottom"/>
            <w:tcBorders>
              <w:bottom w:val="single" w:sz="8" w:color="C3D9EE"/>
            </w:tcBorders>
            <w:shd w:val="clear" w:color="auto" w:fill="C3D9EE"/>
          </w:tcPr>
          <w:p>
            <w:pPr>
              <w:spacing w:after="0"/>
              <w:rPr>
                <w:sz w:val="18"/>
                <w:szCs w:val="18"/>
                <w:color w:val="auto"/>
              </w:rPr>
            </w:pPr>
          </w:p>
        </w:tc>
        <w:tc>
          <w:tcPr>
            <w:tcW w:w="92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4"/>
                <w:szCs w:val="14"/>
                <w:color w:val="auto"/>
              </w:rPr>
              <w:t>8/5/2016</w:t>
            </w:r>
          </w:p>
        </w:tc>
        <w:tc>
          <w:tcPr>
            <w:tcW w:w="22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4"/>
                <w:szCs w:val="14"/>
                <w:color w:val="auto"/>
                <w:w w:val="93"/>
              </w:rPr>
              <w:t>(5)</w:t>
            </w:r>
          </w:p>
        </w:tc>
        <w:tc>
          <w:tcPr>
            <w:tcW w:w="1200" w:type="dxa"/>
            <w:vAlign w:val="bottom"/>
            <w:tcBorders>
              <w:bottom w:val="single" w:sz="8" w:color="C3D9EE"/>
            </w:tcBorders>
            <w:shd w:val="clear" w:color="auto" w:fill="C3D9EE"/>
          </w:tcPr>
          <w:p>
            <w:pPr>
              <w:spacing w:after="0"/>
              <w:rPr>
                <w:sz w:val="18"/>
                <w:szCs w:val="18"/>
                <w:color w:val="auto"/>
              </w:rPr>
            </w:pPr>
          </w:p>
        </w:tc>
        <w:tc>
          <w:tcPr>
            <w:tcW w:w="1300" w:type="dxa"/>
            <w:vAlign w:val="bottom"/>
            <w:tcBorders>
              <w:bottom w:val="single" w:sz="8" w:color="C3D9EE"/>
            </w:tcBorders>
            <w:shd w:val="clear" w:color="auto" w:fill="C3D9EE"/>
          </w:tcPr>
          <w:p>
            <w:pPr>
              <w:spacing w:after="0"/>
              <w:rPr>
                <w:sz w:val="18"/>
                <w:szCs w:val="18"/>
                <w:color w:val="auto"/>
              </w:rPr>
            </w:pPr>
          </w:p>
        </w:tc>
        <w:tc>
          <w:tcPr>
            <w:tcW w:w="360" w:type="dxa"/>
            <w:vAlign w:val="bottom"/>
            <w:tcBorders>
              <w:bottom w:val="single" w:sz="8" w:color="C3D9EE"/>
            </w:tcBorders>
            <w:shd w:val="clear" w:color="auto" w:fill="C3D9EE"/>
          </w:tcPr>
          <w:p>
            <w:pPr>
              <w:spacing w:after="0"/>
              <w:rPr>
                <w:sz w:val="18"/>
                <w:szCs w:val="18"/>
                <w:color w:val="auto"/>
              </w:rPr>
            </w:pPr>
          </w:p>
        </w:tc>
        <w:tc>
          <w:tcPr>
            <w:tcW w:w="500" w:type="dxa"/>
            <w:vAlign w:val="bottom"/>
            <w:tcBorders>
              <w:bottom w:val="single" w:sz="8" w:color="C3D9EE"/>
            </w:tcBorders>
            <w:shd w:val="clear" w:color="auto" w:fill="C3D9EE"/>
          </w:tcPr>
          <w:p>
            <w:pPr>
              <w:spacing w:after="0"/>
              <w:rPr>
                <w:sz w:val="18"/>
                <w:szCs w:val="18"/>
                <w:color w:val="auto"/>
              </w:rPr>
            </w:pPr>
          </w:p>
        </w:tc>
        <w:tc>
          <w:tcPr>
            <w:tcW w:w="940" w:type="dxa"/>
            <w:vAlign w:val="bottom"/>
            <w:tcBorders>
              <w:bottom w:val="single" w:sz="8" w:color="C3D9EE"/>
            </w:tcBorders>
            <w:shd w:val="clear" w:color="auto" w:fill="C3D9EE"/>
          </w:tcPr>
          <w:p>
            <w:pPr>
              <w:spacing w:after="0"/>
              <w:rPr>
                <w:sz w:val="18"/>
                <w:szCs w:val="18"/>
                <w:color w:val="auto"/>
              </w:rPr>
            </w:pPr>
          </w:p>
        </w:tc>
        <w:tc>
          <w:tcPr>
            <w:tcW w:w="260" w:type="dxa"/>
            <w:vAlign w:val="bottom"/>
            <w:tcBorders>
              <w:bottom w:val="single" w:sz="8" w:color="C3D9EE"/>
            </w:tcBorders>
            <w:shd w:val="clear" w:color="auto" w:fill="C3D9EE"/>
          </w:tcPr>
          <w:p>
            <w:pPr>
              <w:spacing w:after="0"/>
              <w:rPr>
                <w:sz w:val="18"/>
                <w:szCs w:val="18"/>
                <w:color w:val="auto"/>
              </w:rPr>
            </w:pPr>
          </w:p>
        </w:tc>
        <w:tc>
          <w:tcPr>
            <w:tcW w:w="1080" w:type="dxa"/>
            <w:vAlign w:val="bottom"/>
            <w:tcBorders>
              <w:bottom w:val="single" w:sz="8" w:color="C3D9EE"/>
            </w:tcBorders>
            <w:shd w:val="clear" w:color="auto" w:fill="C3D9EE"/>
          </w:tcPr>
          <w:p>
            <w:pPr>
              <w:jc w:val="right"/>
              <w:ind w:right="26"/>
              <w:spacing w:after="0"/>
              <w:rPr>
                <w:sz w:val="20"/>
                <w:szCs w:val="20"/>
                <w:color w:val="auto"/>
              </w:rPr>
            </w:pPr>
            <w:r>
              <w:rPr>
                <w:rFonts w:ascii="Arial" w:cs="Arial" w:eastAsia="Arial" w:hAnsi="Arial"/>
                <w:sz w:val="14"/>
                <w:szCs w:val="14"/>
                <w:color w:val="auto"/>
              </w:rPr>
              <w:t>3,370</w:t>
            </w:r>
          </w:p>
        </w:tc>
        <w:tc>
          <w:tcPr>
            <w:tcW w:w="124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4"/>
                <w:szCs w:val="14"/>
                <w:color w:val="auto"/>
              </w:rPr>
              <w:t>271,925</w:t>
            </w:r>
          </w:p>
        </w:tc>
      </w:tr>
      <w:tr>
        <w:trPr>
          <w:trHeight w:val="177"/>
        </w:trPr>
        <w:tc>
          <w:tcPr>
            <w:tcW w:w="3000" w:type="dxa"/>
            <w:vAlign w:val="bottom"/>
          </w:tcPr>
          <w:p>
            <w:pPr>
              <w:ind w:left="80"/>
              <w:spacing w:after="0"/>
              <w:rPr>
                <w:sz w:val="20"/>
                <w:szCs w:val="20"/>
                <w:color w:val="auto"/>
              </w:rPr>
            </w:pPr>
            <w:r>
              <w:rPr>
                <w:rFonts w:ascii="Arial" w:cs="Arial" w:eastAsia="Arial" w:hAnsi="Arial"/>
                <w:sz w:val="14"/>
                <w:szCs w:val="14"/>
                <w:color w:val="auto"/>
              </w:rPr>
              <w:t>James L. Klein</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8/6/2019 (5)</w:t>
            </w: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26"/>
              <w:spacing w:after="0"/>
              <w:rPr>
                <w:sz w:val="20"/>
                <w:szCs w:val="20"/>
                <w:color w:val="auto"/>
              </w:rPr>
            </w:pPr>
            <w:r>
              <w:rPr>
                <w:rFonts w:ascii="Arial" w:cs="Arial" w:eastAsia="Arial" w:hAnsi="Arial"/>
                <w:sz w:val="14"/>
                <w:szCs w:val="14"/>
                <w:color w:val="auto"/>
              </w:rPr>
              <w:t>8,804</w:t>
            </w:r>
          </w:p>
        </w:tc>
        <w:tc>
          <w:tcPr>
            <w:tcW w:w="1240" w:type="dxa"/>
            <w:vAlign w:val="bottom"/>
          </w:tcPr>
          <w:p>
            <w:pPr>
              <w:jc w:val="right"/>
              <w:spacing w:after="0"/>
              <w:rPr>
                <w:sz w:val="20"/>
                <w:szCs w:val="20"/>
                <w:color w:val="auto"/>
              </w:rPr>
            </w:pPr>
            <w:r>
              <w:rPr>
                <w:rFonts w:ascii="Arial" w:cs="Arial" w:eastAsia="Arial" w:hAnsi="Arial"/>
                <w:sz w:val="14"/>
                <w:szCs w:val="14"/>
                <w:color w:val="auto"/>
              </w:rPr>
              <w:t>710,395</w:t>
            </w:r>
          </w:p>
        </w:tc>
      </w:tr>
      <w:tr>
        <w:trPr>
          <w:trHeight w:val="175"/>
        </w:trPr>
        <w:tc>
          <w:tcPr>
            <w:tcW w:w="30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5/10/2019 (5)</w:t>
            </w: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26"/>
              <w:spacing w:after="0"/>
              <w:rPr>
                <w:sz w:val="20"/>
                <w:szCs w:val="20"/>
                <w:color w:val="auto"/>
              </w:rPr>
            </w:pPr>
            <w:r>
              <w:rPr>
                <w:rFonts w:ascii="Arial" w:cs="Arial" w:eastAsia="Arial" w:hAnsi="Arial"/>
                <w:sz w:val="14"/>
                <w:szCs w:val="14"/>
                <w:color w:val="auto"/>
              </w:rPr>
              <w:t>11,976</w:t>
            </w:r>
          </w:p>
        </w:tc>
        <w:tc>
          <w:tcPr>
            <w:tcW w:w="1240" w:type="dxa"/>
            <w:vAlign w:val="bottom"/>
          </w:tcPr>
          <w:p>
            <w:pPr>
              <w:jc w:val="right"/>
              <w:spacing w:after="0"/>
              <w:rPr>
                <w:sz w:val="20"/>
                <w:szCs w:val="20"/>
                <w:color w:val="auto"/>
              </w:rPr>
            </w:pPr>
            <w:r>
              <w:rPr>
                <w:rFonts w:ascii="Arial" w:cs="Arial" w:eastAsia="Arial" w:hAnsi="Arial"/>
                <w:sz w:val="14"/>
                <w:szCs w:val="14"/>
                <w:color w:val="auto"/>
              </w:rPr>
              <w:t>966,343</w:t>
            </w:r>
          </w:p>
        </w:tc>
      </w:tr>
      <w:tr>
        <w:trPr>
          <w:trHeight w:val="176"/>
        </w:trPr>
        <w:tc>
          <w:tcPr>
            <w:tcW w:w="30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8/7/2018 (5)</w:t>
            </w: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26"/>
              <w:spacing w:after="0"/>
              <w:rPr>
                <w:sz w:val="20"/>
                <w:szCs w:val="20"/>
                <w:color w:val="auto"/>
              </w:rPr>
            </w:pPr>
            <w:r>
              <w:rPr>
                <w:rFonts w:ascii="Arial" w:cs="Arial" w:eastAsia="Arial" w:hAnsi="Arial"/>
                <w:sz w:val="14"/>
                <w:szCs w:val="14"/>
                <w:color w:val="auto"/>
              </w:rPr>
              <w:t>5,282</w:t>
            </w:r>
          </w:p>
        </w:tc>
        <w:tc>
          <w:tcPr>
            <w:tcW w:w="1240" w:type="dxa"/>
            <w:vAlign w:val="bottom"/>
          </w:tcPr>
          <w:p>
            <w:pPr>
              <w:jc w:val="right"/>
              <w:spacing w:after="0"/>
              <w:rPr>
                <w:sz w:val="20"/>
                <w:szCs w:val="20"/>
                <w:color w:val="auto"/>
              </w:rPr>
            </w:pPr>
            <w:r>
              <w:rPr>
                <w:rFonts w:ascii="Arial" w:cs="Arial" w:eastAsia="Arial" w:hAnsi="Arial"/>
                <w:sz w:val="14"/>
                <w:szCs w:val="14"/>
                <w:color w:val="auto"/>
              </w:rPr>
              <w:t>426,205</w:t>
            </w:r>
          </w:p>
        </w:tc>
      </w:tr>
      <w:tr>
        <w:trPr>
          <w:trHeight w:val="175"/>
        </w:trPr>
        <w:tc>
          <w:tcPr>
            <w:tcW w:w="30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5/10/2018 (5)</w:t>
            </w: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26"/>
              <w:spacing w:after="0"/>
              <w:rPr>
                <w:sz w:val="20"/>
                <w:szCs w:val="20"/>
                <w:color w:val="auto"/>
              </w:rPr>
            </w:pPr>
            <w:r>
              <w:rPr>
                <w:rFonts w:ascii="Arial" w:cs="Arial" w:eastAsia="Arial" w:hAnsi="Arial"/>
                <w:sz w:val="14"/>
                <w:szCs w:val="14"/>
                <w:color w:val="auto"/>
              </w:rPr>
              <w:t>6,453</w:t>
            </w:r>
          </w:p>
        </w:tc>
        <w:tc>
          <w:tcPr>
            <w:tcW w:w="1240" w:type="dxa"/>
            <w:vAlign w:val="bottom"/>
          </w:tcPr>
          <w:p>
            <w:pPr>
              <w:jc w:val="right"/>
              <w:spacing w:after="0"/>
              <w:rPr>
                <w:sz w:val="20"/>
                <w:szCs w:val="20"/>
                <w:color w:val="auto"/>
              </w:rPr>
            </w:pPr>
            <w:r>
              <w:rPr>
                <w:rFonts w:ascii="Arial" w:cs="Arial" w:eastAsia="Arial" w:hAnsi="Arial"/>
                <w:sz w:val="14"/>
                <w:szCs w:val="14"/>
                <w:color w:val="auto"/>
              </w:rPr>
              <w:t>520,693</w:t>
            </w:r>
          </w:p>
        </w:tc>
      </w:tr>
      <w:tr>
        <w:trPr>
          <w:trHeight w:val="175"/>
        </w:trPr>
        <w:tc>
          <w:tcPr>
            <w:tcW w:w="30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8/8/2017 (5)</w:t>
            </w: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26"/>
              <w:spacing w:after="0"/>
              <w:rPr>
                <w:sz w:val="20"/>
                <w:szCs w:val="20"/>
                <w:color w:val="auto"/>
              </w:rPr>
            </w:pPr>
            <w:r>
              <w:rPr>
                <w:rFonts w:ascii="Arial" w:cs="Arial" w:eastAsia="Arial" w:hAnsi="Arial"/>
                <w:sz w:val="14"/>
                <w:szCs w:val="14"/>
                <w:color w:val="auto"/>
              </w:rPr>
              <w:t>4,070</w:t>
            </w:r>
          </w:p>
        </w:tc>
        <w:tc>
          <w:tcPr>
            <w:tcW w:w="1240" w:type="dxa"/>
            <w:vAlign w:val="bottom"/>
          </w:tcPr>
          <w:p>
            <w:pPr>
              <w:jc w:val="right"/>
              <w:spacing w:after="0"/>
              <w:rPr>
                <w:sz w:val="20"/>
                <w:szCs w:val="20"/>
                <w:color w:val="auto"/>
              </w:rPr>
            </w:pPr>
            <w:r>
              <w:rPr>
                <w:rFonts w:ascii="Arial" w:cs="Arial" w:eastAsia="Arial" w:hAnsi="Arial"/>
                <w:sz w:val="14"/>
                <w:szCs w:val="14"/>
                <w:color w:val="auto"/>
              </w:rPr>
              <w:t>328,408</w:t>
            </w:r>
          </w:p>
        </w:tc>
      </w:tr>
      <w:tr>
        <w:trPr>
          <w:trHeight w:val="175"/>
        </w:trPr>
        <w:tc>
          <w:tcPr>
            <w:tcW w:w="30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5/11/2017 (5)</w:t>
            </w: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26"/>
              <w:spacing w:after="0"/>
              <w:rPr>
                <w:sz w:val="20"/>
                <w:szCs w:val="20"/>
                <w:color w:val="auto"/>
              </w:rPr>
            </w:pPr>
            <w:r>
              <w:rPr>
                <w:rFonts w:ascii="Arial" w:cs="Arial" w:eastAsia="Arial" w:hAnsi="Arial"/>
                <w:sz w:val="14"/>
                <w:szCs w:val="14"/>
                <w:color w:val="auto"/>
              </w:rPr>
              <w:t>3,446</w:t>
            </w:r>
          </w:p>
        </w:tc>
        <w:tc>
          <w:tcPr>
            <w:tcW w:w="1240" w:type="dxa"/>
            <w:vAlign w:val="bottom"/>
          </w:tcPr>
          <w:p>
            <w:pPr>
              <w:jc w:val="right"/>
              <w:spacing w:after="0"/>
              <w:rPr>
                <w:sz w:val="20"/>
                <w:szCs w:val="20"/>
                <w:color w:val="auto"/>
              </w:rPr>
            </w:pPr>
            <w:r>
              <w:rPr>
                <w:rFonts w:ascii="Arial" w:cs="Arial" w:eastAsia="Arial" w:hAnsi="Arial"/>
                <w:sz w:val="14"/>
                <w:szCs w:val="14"/>
                <w:color w:val="auto"/>
              </w:rPr>
              <w:t>278,058</w:t>
            </w:r>
          </w:p>
        </w:tc>
      </w:tr>
      <w:tr>
        <w:trPr>
          <w:trHeight w:val="175"/>
        </w:trPr>
        <w:tc>
          <w:tcPr>
            <w:tcW w:w="30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8/5/2016 (5)</w:t>
            </w: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26"/>
              <w:spacing w:after="0"/>
              <w:rPr>
                <w:sz w:val="20"/>
                <w:szCs w:val="20"/>
                <w:color w:val="auto"/>
              </w:rPr>
            </w:pPr>
            <w:r>
              <w:rPr>
                <w:rFonts w:ascii="Arial" w:cs="Arial" w:eastAsia="Arial" w:hAnsi="Arial"/>
                <w:sz w:val="14"/>
                <w:szCs w:val="14"/>
                <w:color w:val="auto"/>
              </w:rPr>
              <w:t>2,620</w:t>
            </w:r>
          </w:p>
        </w:tc>
        <w:tc>
          <w:tcPr>
            <w:tcW w:w="1240" w:type="dxa"/>
            <w:vAlign w:val="bottom"/>
          </w:tcPr>
          <w:p>
            <w:pPr>
              <w:jc w:val="right"/>
              <w:spacing w:after="0"/>
              <w:rPr>
                <w:sz w:val="20"/>
                <w:szCs w:val="20"/>
                <w:color w:val="auto"/>
              </w:rPr>
            </w:pPr>
            <w:r>
              <w:rPr>
                <w:rFonts w:ascii="Arial" w:cs="Arial" w:eastAsia="Arial" w:hAnsi="Arial"/>
                <w:sz w:val="14"/>
                <w:szCs w:val="14"/>
                <w:color w:val="auto"/>
              </w:rPr>
              <w:t>211,408</w:t>
            </w:r>
          </w:p>
        </w:tc>
      </w:tr>
      <w:tr>
        <w:trPr>
          <w:trHeight w:val="175"/>
        </w:trPr>
        <w:tc>
          <w:tcPr>
            <w:tcW w:w="30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4/7/2014 (6)</w:t>
            </w:r>
          </w:p>
        </w:tc>
        <w:tc>
          <w:tcPr>
            <w:tcW w:w="1200" w:type="dxa"/>
            <w:vAlign w:val="bottom"/>
          </w:tcPr>
          <w:p>
            <w:pPr>
              <w:jc w:val="right"/>
              <w:ind w:right="20"/>
              <w:spacing w:after="0"/>
              <w:rPr>
                <w:sz w:val="20"/>
                <w:szCs w:val="20"/>
                <w:color w:val="auto"/>
              </w:rPr>
            </w:pPr>
            <w:r>
              <w:rPr>
                <w:rFonts w:ascii="Arial" w:cs="Arial" w:eastAsia="Arial" w:hAnsi="Arial"/>
                <w:sz w:val="14"/>
                <w:szCs w:val="14"/>
                <w:color w:val="auto"/>
              </w:rPr>
              <w:t>1</w:t>
            </w:r>
          </w:p>
        </w:tc>
        <w:tc>
          <w:tcPr>
            <w:tcW w:w="1300" w:type="dxa"/>
            <w:vAlign w:val="bottom"/>
          </w:tcPr>
          <w:p>
            <w:pPr>
              <w:spacing w:after="0"/>
              <w:rPr>
                <w:sz w:val="15"/>
                <w:szCs w:val="15"/>
                <w:color w:val="auto"/>
              </w:rPr>
            </w:pPr>
          </w:p>
        </w:tc>
        <w:tc>
          <w:tcPr>
            <w:tcW w:w="360" w:type="dxa"/>
            <w:vAlign w:val="bottom"/>
          </w:tcPr>
          <w:p>
            <w:pPr>
              <w:jc w:val="right"/>
              <w:ind w:right="101"/>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4"/>
              <w:spacing w:after="0"/>
              <w:rPr>
                <w:sz w:val="20"/>
                <w:szCs w:val="20"/>
                <w:color w:val="auto"/>
              </w:rPr>
            </w:pPr>
            <w:r>
              <w:rPr>
                <w:rFonts w:ascii="Arial" w:cs="Arial" w:eastAsia="Arial" w:hAnsi="Arial"/>
                <w:sz w:val="14"/>
                <w:szCs w:val="14"/>
                <w:color w:val="auto"/>
              </w:rPr>
              <w:t>31.08</w:t>
            </w:r>
          </w:p>
        </w:tc>
        <w:tc>
          <w:tcPr>
            <w:tcW w:w="940" w:type="dxa"/>
            <w:vAlign w:val="bottom"/>
          </w:tcPr>
          <w:p>
            <w:pPr>
              <w:jc w:val="right"/>
              <w:spacing w:after="0"/>
              <w:rPr>
                <w:sz w:val="20"/>
                <w:szCs w:val="20"/>
                <w:color w:val="auto"/>
              </w:rPr>
            </w:pPr>
            <w:r>
              <w:rPr>
                <w:rFonts w:ascii="Arial" w:cs="Arial" w:eastAsia="Arial" w:hAnsi="Arial"/>
                <w:sz w:val="14"/>
                <w:szCs w:val="14"/>
                <w:color w:val="auto"/>
              </w:rPr>
              <w:t>4/7/2021</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53"/>
        </w:trPr>
        <w:tc>
          <w:tcPr>
            <w:tcW w:w="3000" w:type="dxa"/>
            <w:vAlign w:val="bottom"/>
          </w:tcPr>
          <w:p>
            <w:pPr>
              <w:spacing w:after="0"/>
              <w:rPr>
                <w:sz w:val="4"/>
                <w:szCs w:val="4"/>
                <w:color w:val="auto"/>
              </w:rPr>
            </w:pPr>
          </w:p>
        </w:tc>
        <w:tc>
          <w:tcPr>
            <w:tcW w:w="1140" w:type="dxa"/>
            <w:vAlign w:val="bottom"/>
            <w:gridSpan w:val="2"/>
          </w:tcPr>
          <w:p>
            <w:pPr>
              <w:spacing w:after="0"/>
              <w:rPr>
                <w:sz w:val="4"/>
                <w:szCs w:val="4"/>
                <w:color w:val="auto"/>
              </w:rPr>
            </w:pPr>
          </w:p>
        </w:tc>
        <w:tc>
          <w:tcPr>
            <w:tcW w:w="1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175"/>
        </w:trPr>
        <w:tc>
          <w:tcPr>
            <w:tcW w:w="3000" w:type="dxa"/>
            <w:vAlign w:val="bottom"/>
            <w:shd w:val="clear" w:color="auto" w:fill="C3D9EE"/>
          </w:tcPr>
          <w:p>
            <w:pPr>
              <w:ind w:left="80"/>
              <w:spacing w:after="0"/>
              <w:rPr>
                <w:sz w:val="20"/>
                <w:szCs w:val="20"/>
                <w:color w:val="auto"/>
              </w:rPr>
            </w:pPr>
            <w:r>
              <w:rPr>
                <w:rFonts w:ascii="Arial" w:cs="Arial" w:eastAsia="Arial" w:hAnsi="Arial"/>
                <w:sz w:val="14"/>
                <w:szCs w:val="14"/>
                <w:color w:val="auto"/>
              </w:rPr>
              <w:t>Paul J. Fego</w:t>
            </w:r>
          </w:p>
        </w:tc>
        <w:tc>
          <w:tcPr>
            <w:tcW w:w="1140" w:type="dxa"/>
            <w:vAlign w:val="bottom"/>
            <w:gridSpan w:val="2"/>
            <w:shd w:val="clear" w:color="auto" w:fill="C3D9EE"/>
          </w:tcPr>
          <w:p>
            <w:pPr>
              <w:jc w:val="right"/>
              <w:spacing w:after="0"/>
              <w:rPr>
                <w:sz w:val="20"/>
                <w:szCs w:val="20"/>
                <w:color w:val="auto"/>
              </w:rPr>
            </w:pPr>
            <w:r>
              <w:rPr>
                <w:rFonts w:ascii="Arial" w:cs="Arial" w:eastAsia="Arial" w:hAnsi="Arial"/>
                <w:sz w:val="14"/>
                <w:szCs w:val="14"/>
                <w:color w:val="auto"/>
              </w:rPr>
              <w:t>8/6/2019 (5)</w:t>
            </w:r>
          </w:p>
        </w:tc>
        <w:tc>
          <w:tcPr>
            <w:tcW w:w="1200" w:type="dxa"/>
            <w:vAlign w:val="bottom"/>
            <w:shd w:val="clear" w:color="auto" w:fill="C3D9EE"/>
          </w:tcPr>
          <w:p>
            <w:pPr>
              <w:spacing w:after="0"/>
              <w:rPr>
                <w:sz w:val="15"/>
                <w:szCs w:val="15"/>
                <w:color w:val="auto"/>
              </w:rPr>
            </w:pPr>
          </w:p>
        </w:tc>
        <w:tc>
          <w:tcPr>
            <w:tcW w:w="1300" w:type="dxa"/>
            <w:vAlign w:val="bottom"/>
            <w:shd w:val="clear" w:color="auto" w:fill="C3D9EE"/>
          </w:tcPr>
          <w:p>
            <w:pPr>
              <w:spacing w:after="0"/>
              <w:rPr>
                <w:sz w:val="15"/>
                <w:szCs w:val="15"/>
                <w:color w:val="auto"/>
              </w:rPr>
            </w:pPr>
          </w:p>
        </w:tc>
        <w:tc>
          <w:tcPr>
            <w:tcW w:w="360" w:type="dxa"/>
            <w:vAlign w:val="bottom"/>
            <w:shd w:val="clear" w:color="auto" w:fill="C3D9EE"/>
          </w:tcPr>
          <w:p>
            <w:pPr>
              <w:spacing w:after="0"/>
              <w:rPr>
                <w:sz w:val="15"/>
                <w:szCs w:val="15"/>
                <w:color w:val="auto"/>
              </w:rPr>
            </w:pPr>
          </w:p>
        </w:tc>
        <w:tc>
          <w:tcPr>
            <w:tcW w:w="500" w:type="dxa"/>
            <w:vAlign w:val="bottom"/>
            <w:shd w:val="clear" w:color="auto" w:fill="C3D9EE"/>
          </w:tcPr>
          <w:p>
            <w:pPr>
              <w:spacing w:after="0"/>
              <w:rPr>
                <w:sz w:val="15"/>
                <w:szCs w:val="15"/>
                <w:color w:val="auto"/>
              </w:rPr>
            </w:pPr>
          </w:p>
        </w:tc>
        <w:tc>
          <w:tcPr>
            <w:tcW w:w="940" w:type="dxa"/>
            <w:vAlign w:val="bottom"/>
            <w:shd w:val="clear" w:color="auto" w:fill="C3D9EE"/>
          </w:tcPr>
          <w:p>
            <w:pPr>
              <w:spacing w:after="0"/>
              <w:rPr>
                <w:sz w:val="15"/>
                <w:szCs w:val="15"/>
                <w:color w:val="auto"/>
              </w:rPr>
            </w:pPr>
          </w:p>
        </w:tc>
        <w:tc>
          <w:tcPr>
            <w:tcW w:w="260" w:type="dxa"/>
            <w:vAlign w:val="bottom"/>
            <w:shd w:val="clear" w:color="auto" w:fill="C3D9EE"/>
          </w:tcPr>
          <w:p>
            <w:pPr>
              <w:spacing w:after="0"/>
              <w:rPr>
                <w:sz w:val="15"/>
                <w:szCs w:val="15"/>
                <w:color w:val="auto"/>
              </w:rPr>
            </w:pPr>
          </w:p>
        </w:tc>
        <w:tc>
          <w:tcPr>
            <w:tcW w:w="1080" w:type="dxa"/>
            <w:vAlign w:val="bottom"/>
            <w:shd w:val="clear" w:color="auto" w:fill="C3D9EE"/>
          </w:tcPr>
          <w:p>
            <w:pPr>
              <w:jc w:val="right"/>
              <w:ind w:right="26"/>
              <w:spacing w:after="0"/>
              <w:rPr>
                <w:sz w:val="20"/>
                <w:szCs w:val="20"/>
                <w:color w:val="auto"/>
              </w:rPr>
            </w:pPr>
            <w:r>
              <w:rPr>
                <w:rFonts w:ascii="Arial" w:cs="Arial" w:eastAsia="Arial" w:hAnsi="Arial"/>
                <w:sz w:val="14"/>
                <w:szCs w:val="14"/>
                <w:color w:val="auto"/>
              </w:rPr>
              <w:t>13,206</w:t>
            </w:r>
          </w:p>
        </w:tc>
        <w:tc>
          <w:tcPr>
            <w:tcW w:w="1240" w:type="dxa"/>
            <w:vAlign w:val="bottom"/>
            <w:shd w:val="clear" w:color="auto" w:fill="C3D9EE"/>
          </w:tcPr>
          <w:p>
            <w:pPr>
              <w:jc w:val="right"/>
              <w:spacing w:after="0"/>
              <w:rPr>
                <w:sz w:val="20"/>
                <w:szCs w:val="20"/>
                <w:color w:val="auto"/>
              </w:rPr>
            </w:pPr>
            <w:r>
              <w:rPr>
                <w:rFonts w:ascii="Arial" w:cs="Arial" w:eastAsia="Arial" w:hAnsi="Arial"/>
                <w:sz w:val="14"/>
                <w:szCs w:val="14"/>
                <w:color w:val="auto"/>
              </w:rPr>
              <w:t>1,065,592</w:t>
            </w:r>
          </w:p>
        </w:tc>
      </w:tr>
      <w:tr>
        <w:trPr>
          <w:trHeight w:val="176"/>
        </w:trPr>
        <w:tc>
          <w:tcPr>
            <w:tcW w:w="3000" w:type="dxa"/>
            <w:vAlign w:val="bottom"/>
            <w:shd w:val="clear" w:color="auto" w:fill="C3D9EE"/>
          </w:tcPr>
          <w:p>
            <w:pPr>
              <w:spacing w:after="0"/>
              <w:rPr>
                <w:sz w:val="15"/>
                <w:szCs w:val="15"/>
                <w:color w:val="auto"/>
              </w:rPr>
            </w:pPr>
          </w:p>
        </w:tc>
        <w:tc>
          <w:tcPr>
            <w:tcW w:w="1140" w:type="dxa"/>
            <w:vAlign w:val="bottom"/>
            <w:gridSpan w:val="2"/>
            <w:shd w:val="clear" w:color="auto" w:fill="C3D9EE"/>
          </w:tcPr>
          <w:p>
            <w:pPr>
              <w:jc w:val="right"/>
              <w:spacing w:after="0"/>
              <w:rPr>
                <w:sz w:val="20"/>
                <w:szCs w:val="20"/>
                <w:color w:val="auto"/>
              </w:rPr>
            </w:pPr>
            <w:r>
              <w:rPr>
                <w:rFonts w:ascii="Arial" w:cs="Arial" w:eastAsia="Arial" w:hAnsi="Arial"/>
                <w:sz w:val="14"/>
                <w:szCs w:val="14"/>
                <w:color w:val="auto"/>
              </w:rPr>
              <w:t>5/10/2019 (5)</w:t>
            </w:r>
          </w:p>
        </w:tc>
        <w:tc>
          <w:tcPr>
            <w:tcW w:w="1200" w:type="dxa"/>
            <w:vAlign w:val="bottom"/>
            <w:shd w:val="clear" w:color="auto" w:fill="C3D9EE"/>
          </w:tcPr>
          <w:p>
            <w:pPr>
              <w:spacing w:after="0"/>
              <w:rPr>
                <w:sz w:val="15"/>
                <w:szCs w:val="15"/>
                <w:color w:val="auto"/>
              </w:rPr>
            </w:pPr>
          </w:p>
        </w:tc>
        <w:tc>
          <w:tcPr>
            <w:tcW w:w="1300" w:type="dxa"/>
            <w:vAlign w:val="bottom"/>
            <w:shd w:val="clear" w:color="auto" w:fill="C3D9EE"/>
          </w:tcPr>
          <w:p>
            <w:pPr>
              <w:spacing w:after="0"/>
              <w:rPr>
                <w:sz w:val="15"/>
                <w:szCs w:val="15"/>
                <w:color w:val="auto"/>
              </w:rPr>
            </w:pPr>
          </w:p>
        </w:tc>
        <w:tc>
          <w:tcPr>
            <w:tcW w:w="360" w:type="dxa"/>
            <w:vAlign w:val="bottom"/>
            <w:shd w:val="clear" w:color="auto" w:fill="C3D9EE"/>
          </w:tcPr>
          <w:p>
            <w:pPr>
              <w:spacing w:after="0"/>
              <w:rPr>
                <w:sz w:val="15"/>
                <w:szCs w:val="15"/>
                <w:color w:val="auto"/>
              </w:rPr>
            </w:pPr>
          </w:p>
        </w:tc>
        <w:tc>
          <w:tcPr>
            <w:tcW w:w="500" w:type="dxa"/>
            <w:vAlign w:val="bottom"/>
            <w:shd w:val="clear" w:color="auto" w:fill="C3D9EE"/>
          </w:tcPr>
          <w:p>
            <w:pPr>
              <w:spacing w:after="0"/>
              <w:rPr>
                <w:sz w:val="15"/>
                <w:szCs w:val="15"/>
                <w:color w:val="auto"/>
              </w:rPr>
            </w:pPr>
          </w:p>
        </w:tc>
        <w:tc>
          <w:tcPr>
            <w:tcW w:w="940" w:type="dxa"/>
            <w:vAlign w:val="bottom"/>
            <w:shd w:val="clear" w:color="auto" w:fill="C3D9EE"/>
          </w:tcPr>
          <w:p>
            <w:pPr>
              <w:spacing w:after="0"/>
              <w:rPr>
                <w:sz w:val="15"/>
                <w:szCs w:val="15"/>
                <w:color w:val="auto"/>
              </w:rPr>
            </w:pPr>
          </w:p>
        </w:tc>
        <w:tc>
          <w:tcPr>
            <w:tcW w:w="260" w:type="dxa"/>
            <w:vAlign w:val="bottom"/>
            <w:shd w:val="clear" w:color="auto" w:fill="C3D9EE"/>
          </w:tcPr>
          <w:p>
            <w:pPr>
              <w:spacing w:after="0"/>
              <w:rPr>
                <w:sz w:val="15"/>
                <w:szCs w:val="15"/>
                <w:color w:val="auto"/>
              </w:rPr>
            </w:pPr>
          </w:p>
        </w:tc>
        <w:tc>
          <w:tcPr>
            <w:tcW w:w="1080" w:type="dxa"/>
            <w:vAlign w:val="bottom"/>
            <w:shd w:val="clear" w:color="auto" w:fill="C3D9EE"/>
          </w:tcPr>
          <w:p>
            <w:pPr>
              <w:jc w:val="right"/>
              <w:ind w:right="26"/>
              <w:spacing w:after="0"/>
              <w:rPr>
                <w:sz w:val="20"/>
                <w:szCs w:val="20"/>
                <w:color w:val="auto"/>
              </w:rPr>
            </w:pPr>
            <w:r>
              <w:rPr>
                <w:rFonts w:ascii="Arial" w:cs="Arial" w:eastAsia="Arial" w:hAnsi="Arial"/>
                <w:sz w:val="14"/>
                <w:szCs w:val="14"/>
                <w:color w:val="auto"/>
              </w:rPr>
              <w:t>7,984</w:t>
            </w:r>
          </w:p>
        </w:tc>
        <w:tc>
          <w:tcPr>
            <w:tcW w:w="1240" w:type="dxa"/>
            <w:vAlign w:val="bottom"/>
            <w:shd w:val="clear" w:color="auto" w:fill="C3D9EE"/>
          </w:tcPr>
          <w:p>
            <w:pPr>
              <w:jc w:val="right"/>
              <w:spacing w:after="0"/>
              <w:rPr>
                <w:sz w:val="20"/>
                <w:szCs w:val="20"/>
                <w:color w:val="auto"/>
              </w:rPr>
            </w:pPr>
            <w:r>
              <w:rPr>
                <w:rFonts w:ascii="Arial" w:cs="Arial" w:eastAsia="Arial" w:hAnsi="Arial"/>
                <w:sz w:val="14"/>
                <w:szCs w:val="14"/>
                <w:color w:val="auto"/>
              </w:rPr>
              <w:t>644,229</w:t>
            </w:r>
          </w:p>
        </w:tc>
      </w:tr>
      <w:tr>
        <w:trPr>
          <w:trHeight w:val="175"/>
        </w:trPr>
        <w:tc>
          <w:tcPr>
            <w:tcW w:w="3000" w:type="dxa"/>
            <w:vAlign w:val="bottom"/>
            <w:shd w:val="clear" w:color="auto" w:fill="C3D9EE"/>
          </w:tcPr>
          <w:p>
            <w:pPr>
              <w:spacing w:after="0"/>
              <w:rPr>
                <w:sz w:val="15"/>
                <w:szCs w:val="15"/>
                <w:color w:val="auto"/>
              </w:rPr>
            </w:pPr>
          </w:p>
        </w:tc>
        <w:tc>
          <w:tcPr>
            <w:tcW w:w="1140" w:type="dxa"/>
            <w:vAlign w:val="bottom"/>
            <w:gridSpan w:val="2"/>
            <w:shd w:val="clear" w:color="auto" w:fill="C3D9EE"/>
          </w:tcPr>
          <w:p>
            <w:pPr>
              <w:jc w:val="right"/>
              <w:spacing w:after="0"/>
              <w:rPr>
                <w:sz w:val="20"/>
                <w:szCs w:val="20"/>
                <w:color w:val="auto"/>
              </w:rPr>
            </w:pPr>
            <w:r>
              <w:rPr>
                <w:rFonts w:ascii="Arial" w:cs="Arial" w:eastAsia="Arial" w:hAnsi="Arial"/>
                <w:sz w:val="14"/>
                <w:szCs w:val="14"/>
                <w:color w:val="auto"/>
              </w:rPr>
              <w:t>8/7/2018 (5)</w:t>
            </w:r>
          </w:p>
        </w:tc>
        <w:tc>
          <w:tcPr>
            <w:tcW w:w="1200" w:type="dxa"/>
            <w:vAlign w:val="bottom"/>
            <w:shd w:val="clear" w:color="auto" w:fill="C3D9EE"/>
          </w:tcPr>
          <w:p>
            <w:pPr>
              <w:spacing w:after="0"/>
              <w:rPr>
                <w:sz w:val="15"/>
                <w:szCs w:val="15"/>
                <w:color w:val="auto"/>
              </w:rPr>
            </w:pPr>
          </w:p>
        </w:tc>
        <w:tc>
          <w:tcPr>
            <w:tcW w:w="1300" w:type="dxa"/>
            <w:vAlign w:val="bottom"/>
            <w:shd w:val="clear" w:color="auto" w:fill="C3D9EE"/>
          </w:tcPr>
          <w:p>
            <w:pPr>
              <w:spacing w:after="0"/>
              <w:rPr>
                <w:sz w:val="15"/>
                <w:szCs w:val="15"/>
                <w:color w:val="auto"/>
              </w:rPr>
            </w:pPr>
          </w:p>
        </w:tc>
        <w:tc>
          <w:tcPr>
            <w:tcW w:w="360" w:type="dxa"/>
            <w:vAlign w:val="bottom"/>
            <w:shd w:val="clear" w:color="auto" w:fill="C3D9EE"/>
          </w:tcPr>
          <w:p>
            <w:pPr>
              <w:spacing w:after="0"/>
              <w:rPr>
                <w:sz w:val="15"/>
                <w:szCs w:val="15"/>
                <w:color w:val="auto"/>
              </w:rPr>
            </w:pPr>
          </w:p>
        </w:tc>
        <w:tc>
          <w:tcPr>
            <w:tcW w:w="500" w:type="dxa"/>
            <w:vAlign w:val="bottom"/>
            <w:shd w:val="clear" w:color="auto" w:fill="C3D9EE"/>
          </w:tcPr>
          <w:p>
            <w:pPr>
              <w:spacing w:after="0"/>
              <w:rPr>
                <w:sz w:val="15"/>
                <w:szCs w:val="15"/>
                <w:color w:val="auto"/>
              </w:rPr>
            </w:pPr>
          </w:p>
        </w:tc>
        <w:tc>
          <w:tcPr>
            <w:tcW w:w="940" w:type="dxa"/>
            <w:vAlign w:val="bottom"/>
            <w:shd w:val="clear" w:color="auto" w:fill="C3D9EE"/>
          </w:tcPr>
          <w:p>
            <w:pPr>
              <w:spacing w:after="0"/>
              <w:rPr>
                <w:sz w:val="15"/>
                <w:szCs w:val="15"/>
                <w:color w:val="auto"/>
              </w:rPr>
            </w:pPr>
          </w:p>
        </w:tc>
        <w:tc>
          <w:tcPr>
            <w:tcW w:w="260" w:type="dxa"/>
            <w:vAlign w:val="bottom"/>
            <w:shd w:val="clear" w:color="auto" w:fill="C3D9EE"/>
          </w:tcPr>
          <w:p>
            <w:pPr>
              <w:spacing w:after="0"/>
              <w:rPr>
                <w:sz w:val="15"/>
                <w:szCs w:val="15"/>
                <w:color w:val="auto"/>
              </w:rPr>
            </w:pPr>
          </w:p>
        </w:tc>
        <w:tc>
          <w:tcPr>
            <w:tcW w:w="1080" w:type="dxa"/>
            <w:vAlign w:val="bottom"/>
            <w:shd w:val="clear" w:color="auto" w:fill="C3D9EE"/>
          </w:tcPr>
          <w:p>
            <w:pPr>
              <w:jc w:val="right"/>
              <w:ind w:right="26"/>
              <w:spacing w:after="0"/>
              <w:rPr>
                <w:sz w:val="20"/>
                <w:szCs w:val="20"/>
                <w:color w:val="auto"/>
              </w:rPr>
            </w:pPr>
            <w:r>
              <w:rPr>
                <w:rFonts w:ascii="Arial" w:cs="Arial" w:eastAsia="Arial" w:hAnsi="Arial"/>
                <w:sz w:val="14"/>
                <w:szCs w:val="14"/>
                <w:color w:val="auto"/>
              </w:rPr>
              <w:t>3,522</w:t>
            </w:r>
          </w:p>
        </w:tc>
        <w:tc>
          <w:tcPr>
            <w:tcW w:w="1240" w:type="dxa"/>
            <w:vAlign w:val="bottom"/>
            <w:shd w:val="clear" w:color="auto" w:fill="C3D9EE"/>
          </w:tcPr>
          <w:p>
            <w:pPr>
              <w:jc w:val="right"/>
              <w:spacing w:after="0"/>
              <w:rPr>
                <w:sz w:val="20"/>
                <w:szCs w:val="20"/>
                <w:color w:val="auto"/>
              </w:rPr>
            </w:pPr>
            <w:r>
              <w:rPr>
                <w:rFonts w:ascii="Arial" w:cs="Arial" w:eastAsia="Arial" w:hAnsi="Arial"/>
                <w:sz w:val="14"/>
                <w:szCs w:val="14"/>
                <w:color w:val="auto"/>
              </w:rPr>
              <w:t>284,190</w:t>
            </w:r>
          </w:p>
        </w:tc>
      </w:tr>
      <w:tr>
        <w:trPr>
          <w:trHeight w:val="209"/>
        </w:trPr>
        <w:tc>
          <w:tcPr>
            <w:tcW w:w="3000" w:type="dxa"/>
            <w:vAlign w:val="bottom"/>
            <w:tcBorders>
              <w:bottom w:val="single" w:sz="8" w:color="C3D9EE"/>
            </w:tcBorders>
            <w:shd w:val="clear" w:color="auto" w:fill="C3D9EE"/>
          </w:tcPr>
          <w:p>
            <w:pPr>
              <w:spacing w:after="0"/>
              <w:rPr>
                <w:sz w:val="18"/>
                <w:szCs w:val="18"/>
                <w:color w:val="auto"/>
              </w:rPr>
            </w:pPr>
          </w:p>
        </w:tc>
        <w:tc>
          <w:tcPr>
            <w:tcW w:w="1140" w:type="dxa"/>
            <w:vAlign w:val="bottom"/>
            <w:tcBorders>
              <w:bottom w:val="single" w:sz="8" w:color="C3D9EE"/>
            </w:tcBorders>
            <w:gridSpan w:val="2"/>
            <w:shd w:val="clear" w:color="auto" w:fill="C3D9EE"/>
          </w:tcPr>
          <w:p>
            <w:pPr>
              <w:jc w:val="right"/>
              <w:spacing w:after="0"/>
              <w:rPr>
                <w:sz w:val="20"/>
                <w:szCs w:val="20"/>
                <w:color w:val="auto"/>
              </w:rPr>
            </w:pPr>
            <w:r>
              <w:rPr>
                <w:rFonts w:ascii="Arial" w:cs="Arial" w:eastAsia="Arial" w:hAnsi="Arial"/>
                <w:sz w:val="14"/>
                <w:szCs w:val="14"/>
                <w:color w:val="auto"/>
              </w:rPr>
              <w:t>8/5/2018 (5)</w:t>
            </w:r>
          </w:p>
        </w:tc>
        <w:tc>
          <w:tcPr>
            <w:tcW w:w="1200" w:type="dxa"/>
            <w:vAlign w:val="bottom"/>
            <w:tcBorders>
              <w:bottom w:val="single" w:sz="8" w:color="C3D9EE"/>
            </w:tcBorders>
            <w:shd w:val="clear" w:color="auto" w:fill="C3D9EE"/>
          </w:tcPr>
          <w:p>
            <w:pPr>
              <w:spacing w:after="0"/>
              <w:rPr>
                <w:sz w:val="18"/>
                <w:szCs w:val="18"/>
                <w:color w:val="auto"/>
              </w:rPr>
            </w:pPr>
          </w:p>
        </w:tc>
        <w:tc>
          <w:tcPr>
            <w:tcW w:w="1300" w:type="dxa"/>
            <w:vAlign w:val="bottom"/>
            <w:tcBorders>
              <w:bottom w:val="single" w:sz="8" w:color="C3D9EE"/>
            </w:tcBorders>
            <w:shd w:val="clear" w:color="auto" w:fill="C3D9EE"/>
          </w:tcPr>
          <w:p>
            <w:pPr>
              <w:spacing w:after="0"/>
              <w:rPr>
                <w:sz w:val="18"/>
                <w:szCs w:val="18"/>
                <w:color w:val="auto"/>
              </w:rPr>
            </w:pPr>
          </w:p>
        </w:tc>
        <w:tc>
          <w:tcPr>
            <w:tcW w:w="360" w:type="dxa"/>
            <w:vAlign w:val="bottom"/>
            <w:tcBorders>
              <w:bottom w:val="single" w:sz="8" w:color="C3D9EE"/>
            </w:tcBorders>
            <w:shd w:val="clear" w:color="auto" w:fill="C3D9EE"/>
          </w:tcPr>
          <w:p>
            <w:pPr>
              <w:spacing w:after="0"/>
              <w:rPr>
                <w:sz w:val="18"/>
                <w:szCs w:val="18"/>
                <w:color w:val="auto"/>
              </w:rPr>
            </w:pPr>
          </w:p>
        </w:tc>
        <w:tc>
          <w:tcPr>
            <w:tcW w:w="500" w:type="dxa"/>
            <w:vAlign w:val="bottom"/>
            <w:tcBorders>
              <w:bottom w:val="single" w:sz="8" w:color="C3D9EE"/>
            </w:tcBorders>
            <w:shd w:val="clear" w:color="auto" w:fill="C3D9EE"/>
          </w:tcPr>
          <w:p>
            <w:pPr>
              <w:spacing w:after="0"/>
              <w:rPr>
                <w:sz w:val="18"/>
                <w:szCs w:val="18"/>
                <w:color w:val="auto"/>
              </w:rPr>
            </w:pPr>
          </w:p>
        </w:tc>
        <w:tc>
          <w:tcPr>
            <w:tcW w:w="940" w:type="dxa"/>
            <w:vAlign w:val="bottom"/>
            <w:tcBorders>
              <w:bottom w:val="single" w:sz="8" w:color="C3D9EE"/>
            </w:tcBorders>
            <w:shd w:val="clear" w:color="auto" w:fill="C3D9EE"/>
          </w:tcPr>
          <w:p>
            <w:pPr>
              <w:spacing w:after="0"/>
              <w:rPr>
                <w:sz w:val="18"/>
                <w:szCs w:val="18"/>
                <w:color w:val="auto"/>
              </w:rPr>
            </w:pPr>
          </w:p>
        </w:tc>
        <w:tc>
          <w:tcPr>
            <w:tcW w:w="260" w:type="dxa"/>
            <w:vAlign w:val="bottom"/>
            <w:tcBorders>
              <w:bottom w:val="single" w:sz="8" w:color="C3D9EE"/>
            </w:tcBorders>
            <w:shd w:val="clear" w:color="auto" w:fill="C3D9EE"/>
          </w:tcPr>
          <w:p>
            <w:pPr>
              <w:spacing w:after="0"/>
              <w:rPr>
                <w:sz w:val="18"/>
                <w:szCs w:val="18"/>
                <w:color w:val="auto"/>
              </w:rPr>
            </w:pPr>
          </w:p>
        </w:tc>
        <w:tc>
          <w:tcPr>
            <w:tcW w:w="1080" w:type="dxa"/>
            <w:vAlign w:val="bottom"/>
            <w:tcBorders>
              <w:bottom w:val="single" w:sz="8" w:color="C3D9EE"/>
            </w:tcBorders>
            <w:shd w:val="clear" w:color="auto" w:fill="C3D9EE"/>
          </w:tcPr>
          <w:p>
            <w:pPr>
              <w:jc w:val="right"/>
              <w:ind w:right="26"/>
              <w:spacing w:after="0"/>
              <w:rPr>
                <w:sz w:val="20"/>
                <w:szCs w:val="20"/>
                <w:color w:val="auto"/>
              </w:rPr>
            </w:pPr>
            <w:r>
              <w:rPr>
                <w:rFonts w:ascii="Arial" w:cs="Arial" w:eastAsia="Arial" w:hAnsi="Arial"/>
                <w:sz w:val="14"/>
                <w:szCs w:val="14"/>
                <w:color w:val="auto"/>
              </w:rPr>
              <w:t>11,583</w:t>
            </w:r>
          </w:p>
        </w:tc>
        <w:tc>
          <w:tcPr>
            <w:tcW w:w="1240" w:type="dxa"/>
            <w:vAlign w:val="bottom"/>
            <w:tcBorders>
              <w:bottom w:val="single" w:sz="8" w:color="C3D9EE"/>
            </w:tcBorders>
            <w:shd w:val="clear" w:color="auto" w:fill="C3D9EE"/>
          </w:tcPr>
          <w:p>
            <w:pPr>
              <w:jc w:val="right"/>
              <w:spacing w:after="0"/>
              <w:rPr>
                <w:sz w:val="20"/>
                <w:szCs w:val="20"/>
                <w:color w:val="auto"/>
              </w:rPr>
            </w:pPr>
            <w:r>
              <w:rPr>
                <w:rFonts w:ascii="Arial" w:cs="Arial" w:eastAsia="Arial" w:hAnsi="Arial"/>
                <w:sz w:val="14"/>
                <w:szCs w:val="14"/>
                <w:color w:val="auto"/>
              </w:rPr>
              <w:t>934,632</w:t>
            </w:r>
          </w:p>
        </w:tc>
      </w:tr>
      <w:tr>
        <w:trPr>
          <w:trHeight w:val="20"/>
        </w:trPr>
        <w:tc>
          <w:tcPr>
            <w:tcW w:w="3000" w:type="dxa"/>
            <w:vAlign w:val="bottom"/>
            <w:shd w:val="clear" w:color="auto" w:fill="1269BC"/>
          </w:tcPr>
          <w:p>
            <w:pPr>
              <w:spacing w:after="0" w:line="20" w:lineRule="exact"/>
              <w:rPr>
                <w:sz w:val="1"/>
                <w:szCs w:val="1"/>
                <w:color w:val="auto"/>
              </w:rPr>
            </w:pPr>
          </w:p>
        </w:tc>
        <w:tc>
          <w:tcPr>
            <w:tcW w:w="920" w:type="dxa"/>
            <w:vAlign w:val="bottom"/>
            <w:shd w:val="clear" w:color="auto" w:fill="1269BC"/>
          </w:tcPr>
          <w:p>
            <w:pPr>
              <w:spacing w:after="0" w:line="20" w:lineRule="exact"/>
              <w:rPr>
                <w:sz w:val="1"/>
                <w:szCs w:val="1"/>
                <w:color w:val="auto"/>
              </w:rPr>
            </w:pPr>
          </w:p>
        </w:tc>
        <w:tc>
          <w:tcPr>
            <w:tcW w:w="220" w:type="dxa"/>
            <w:vAlign w:val="bottom"/>
            <w:shd w:val="clear" w:color="auto" w:fill="1269BC"/>
          </w:tcPr>
          <w:p>
            <w:pPr>
              <w:spacing w:after="0" w:line="20" w:lineRule="exact"/>
              <w:rPr>
                <w:sz w:val="1"/>
                <w:szCs w:val="1"/>
                <w:color w:val="auto"/>
              </w:rPr>
            </w:pPr>
          </w:p>
        </w:tc>
        <w:tc>
          <w:tcPr>
            <w:tcW w:w="1200" w:type="dxa"/>
            <w:vAlign w:val="bottom"/>
            <w:shd w:val="clear" w:color="auto" w:fill="1269BC"/>
          </w:tcPr>
          <w:p>
            <w:pPr>
              <w:spacing w:after="0" w:line="20" w:lineRule="exact"/>
              <w:rPr>
                <w:sz w:val="1"/>
                <w:szCs w:val="1"/>
                <w:color w:val="auto"/>
              </w:rPr>
            </w:pPr>
          </w:p>
        </w:tc>
        <w:tc>
          <w:tcPr>
            <w:tcW w:w="1300" w:type="dxa"/>
            <w:vAlign w:val="bottom"/>
            <w:shd w:val="clear" w:color="auto" w:fill="1269BC"/>
          </w:tcPr>
          <w:p>
            <w:pPr>
              <w:spacing w:after="0" w:line="20" w:lineRule="exact"/>
              <w:rPr>
                <w:sz w:val="1"/>
                <w:szCs w:val="1"/>
                <w:color w:val="auto"/>
              </w:rPr>
            </w:pPr>
          </w:p>
        </w:tc>
        <w:tc>
          <w:tcPr>
            <w:tcW w:w="360" w:type="dxa"/>
            <w:vAlign w:val="bottom"/>
            <w:shd w:val="clear" w:color="auto" w:fill="1269BC"/>
          </w:tcPr>
          <w:p>
            <w:pPr>
              <w:spacing w:after="0" w:line="20" w:lineRule="exact"/>
              <w:rPr>
                <w:sz w:val="1"/>
                <w:szCs w:val="1"/>
                <w:color w:val="auto"/>
              </w:rPr>
            </w:pPr>
          </w:p>
        </w:tc>
        <w:tc>
          <w:tcPr>
            <w:tcW w:w="500" w:type="dxa"/>
            <w:vAlign w:val="bottom"/>
            <w:shd w:val="clear" w:color="auto" w:fill="1269BC"/>
          </w:tcPr>
          <w:p>
            <w:pPr>
              <w:spacing w:after="0" w:line="20" w:lineRule="exact"/>
              <w:rPr>
                <w:sz w:val="1"/>
                <w:szCs w:val="1"/>
                <w:color w:val="auto"/>
              </w:rPr>
            </w:pPr>
          </w:p>
        </w:tc>
        <w:tc>
          <w:tcPr>
            <w:tcW w:w="940" w:type="dxa"/>
            <w:vAlign w:val="bottom"/>
            <w:shd w:val="clear" w:color="auto" w:fill="1269BC"/>
          </w:tcPr>
          <w:p>
            <w:pPr>
              <w:spacing w:after="0" w:line="20" w:lineRule="exact"/>
              <w:rPr>
                <w:sz w:val="1"/>
                <w:szCs w:val="1"/>
                <w:color w:val="auto"/>
              </w:rPr>
            </w:pPr>
          </w:p>
        </w:tc>
        <w:tc>
          <w:tcPr>
            <w:tcW w:w="260" w:type="dxa"/>
            <w:vAlign w:val="bottom"/>
            <w:shd w:val="clear" w:color="auto" w:fill="1269BC"/>
          </w:tcPr>
          <w:p>
            <w:pPr>
              <w:spacing w:after="0" w:line="20" w:lineRule="exact"/>
              <w:rPr>
                <w:sz w:val="1"/>
                <w:szCs w:val="1"/>
                <w:color w:val="auto"/>
              </w:rPr>
            </w:pPr>
          </w:p>
        </w:tc>
        <w:tc>
          <w:tcPr>
            <w:tcW w:w="1080" w:type="dxa"/>
            <w:vAlign w:val="bottom"/>
            <w:shd w:val="clear" w:color="auto" w:fill="1269BC"/>
          </w:tcPr>
          <w:p>
            <w:pPr>
              <w:spacing w:after="0" w:line="20" w:lineRule="exact"/>
              <w:rPr>
                <w:sz w:val="1"/>
                <w:szCs w:val="1"/>
                <w:color w:val="auto"/>
              </w:rPr>
            </w:pPr>
          </w:p>
        </w:tc>
        <w:tc>
          <w:tcPr>
            <w:tcW w:w="1240" w:type="dxa"/>
            <w:vAlign w:val="bottom"/>
            <w:shd w:val="clear" w:color="auto" w:fill="1269BC"/>
          </w:tcPr>
          <w:p>
            <w:pPr>
              <w:spacing w:after="0" w:line="20" w:lineRule="exact"/>
              <w:rPr>
                <w:sz w:val="1"/>
                <w:szCs w:val="1"/>
                <w:color w:val="auto"/>
              </w:rPr>
            </w:pPr>
          </w:p>
        </w:tc>
      </w:tr>
    </w:tbl>
    <w:p>
      <w:pPr>
        <w:spacing w:after="0" w:line="245"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grant date is determined in accordance with ASC Topic 718.</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option price is equal to the closing price of our common stock as reported by Nasdaq on the grant date.</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option expires seven years after the grant date.</w:t>
      </w:r>
    </w:p>
    <w:p>
      <w:pPr>
        <w:spacing w:after="0" w:line="248" w:lineRule="exact"/>
        <w:rPr>
          <w:rFonts w:ascii="Arial" w:cs="Arial" w:eastAsia="Arial" w:hAnsi="Arial"/>
          <w:sz w:val="16"/>
          <w:szCs w:val="16"/>
          <w:color w:val="auto"/>
        </w:rPr>
      </w:pPr>
    </w:p>
    <w:p>
      <w:pPr>
        <w:ind w:left="980" w:right="200" w:hanging="324"/>
        <w:spacing w:after="0" w:line="260"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upon $80.69 per share, which was the closing price of our common stock as reported by Nasdaq on March 27, 2020, the last trading day of our last fiscal year, multiplied by the number of shares subject to restricted stock unit awards that had not yet vested.</w:t>
      </w:r>
    </w:p>
    <w:p>
      <w:pPr>
        <w:spacing w:after="0" w:line="222" w:lineRule="exact"/>
        <w:rPr>
          <w:rFonts w:ascii="Arial" w:cs="Arial" w:eastAsia="Arial" w:hAnsi="Arial"/>
          <w:sz w:val="16"/>
          <w:szCs w:val="16"/>
          <w:color w:val="auto"/>
        </w:rPr>
      </w:pPr>
    </w:p>
    <w:p>
      <w:pPr>
        <w:ind w:left="980" w:right="320" w:hanging="324"/>
        <w:spacing w:after="0" w:line="260"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Performance-based restricted stock unit awards, if earned, generally vest over a period of three years. Service-based restricted stock unit awards generally vest over a period of four years, except for Mr. Murphy’s award granted on July 5, 2016, which vests over five years.</w:t>
      </w:r>
    </w:p>
    <w:p>
      <w:pPr>
        <w:spacing w:after="0" w:line="222" w:lineRule="exact"/>
        <w:rPr>
          <w:rFonts w:ascii="Arial" w:cs="Arial" w:eastAsia="Arial" w:hAnsi="Arial"/>
          <w:sz w:val="16"/>
          <w:szCs w:val="16"/>
          <w:color w:val="auto"/>
        </w:rPr>
      </w:pPr>
    </w:p>
    <w:p>
      <w:pPr>
        <w:ind w:left="980" w:hanging="324"/>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option vested in four quarterly installments commencing the ninth quarter after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96520</wp:posOffset>
            </wp:positionV>
            <wp:extent cx="58293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187" w:lineRule="exact"/>
        <w:rPr>
          <w:sz w:val="20"/>
          <w:szCs w:val="20"/>
          <w:color w:val="auto"/>
        </w:rPr>
      </w:pPr>
    </w:p>
    <w:p>
      <w:pPr>
        <w:ind w:left="8960"/>
        <w:spacing w:after="0"/>
        <w:tabs>
          <w:tab w:leader="none" w:pos="10920" w:val="left"/>
        </w:tabs>
        <w:rPr>
          <w:sz w:val="20"/>
          <w:szCs w:val="20"/>
          <w:color w:val="auto"/>
        </w:rPr>
      </w:pPr>
      <w:r>
        <w:rPr>
          <w:rFonts w:ascii="Arial" w:cs="Arial" w:eastAsia="Arial" w:hAnsi="Arial"/>
          <w:sz w:val="18"/>
          <w:szCs w:val="18"/>
          <w:i w:val="1"/>
          <w:iCs w:val="1"/>
          <w:color w:val="1269BC"/>
        </w:rPr>
        <w:t>2020 Proxy Statement</w:t>
      </w:r>
      <w:r>
        <w:rPr>
          <w:sz w:val="20"/>
          <w:szCs w:val="20"/>
          <w:color w:val="auto"/>
        </w:rPr>
        <w:tab/>
      </w:r>
      <w:r>
        <w:rPr>
          <w:rFonts w:ascii="Arial" w:cs="Arial" w:eastAsia="Arial" w:hAnsi="Arial"/>
          <w:sz w:val="17"/>
          <w:szCs w:val="17"/>
          <w:color w:val="auto"/>
        </w:rPr>
        <w:t>37</w:t>
      </w:r>
    </w:p>
    <w:p>
      <w:pPr>
        <w:sectPr>
          <w:pgSz w:w="11900" w:h="16838" w:orient="portrait"/>
          <w:cols w:equalWidth="0" w:num="1">
            <w:col w:w="11140"/>
          </w:cols>
          <w:pgMar w:left="320" w:top="459" w:right="4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2020 Option Exercises and Stock Vested Table</w:t>
      </w:r>
    </w:p>
    <w:p>
      <w:pPr>
        <w:spacing w:after="0" w:line="132" w:lineRule="exact"/>
        <w:rPr>
          <w:sz w:val="20"/>
          <w:szCs w:val="20"/>
          <w:color w:val="auto"/>
        </w:rPr>
      </w:pPr>
    </w:p>
    <w:p>
      <w:pPr>
        <w:ind w:left="120" w:right="180"/>
        <w:spacing w:after="0" w:line="260" w:lineRule="auto"/>
        <w:rPr>
          <w:sz w:val="20"/>
          <w:szCs w:val="20"/>
          <w:color w:val="auto"/>
        </w:rPr>
      </w:pPr>
      <w:r>
        <w:rPr>
          <w:rFonts w:ascii="Arial" w:cs="Arial" w:eastAsia="Arial" w:hAnsi="Arial"/>
          <w:sz w:val="16"/>
          <w:szCs w:val="16"/>
          <w:color w:val="auto"/>
        </w:rPr>
        <w:t>The table below shows the number of shares of our common stock acquired by the Named Executive Officers during fiscal year 2020 upon the exercise of stock options and the vesting of restricted stock unit awards.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880" w:type="dxa"/>
            <w:vAlign w:val="bottom"/>
          </w:tcPr>
          <w:p>
            <w:pPr>
              <w:spacing w:after="0"/>
              <w:rPr>
                <w:sz w:val="18"/>
                <w:szCs w:val="18"/>
                <w:color w:val="auto"/>
              </w:rPr>
            </w:pPr>
          </w:p>
        </w:tc>
        <w:tc>
          <w:tcPr>
            <w:tcW w:w="4440" w:type="dxa"/>
            <w:vAlign w:val="bottom"/>
            <w:gridSpan w:val="3"/>
          </w:tcPr>
          <w:p>
            <w:pPr>
              <w:ind w:left="1560"/>
              <w:spacing w:after="0"/>
              <w:rPr>
                <w:sz w:val="20"/>
                <w:szCs w:val="20"/>
                <w:color w:val="auto"/>
              </w:rPr>
            </w:pPr>
            <w:r>
              <w:rPr>
                <w:rFonts w:ascii="Arial" w:cs="Arial" w:eastAsia="Arial" w:hAnsi="Arial"/>
                <w:sz w:val="16"/>
                <w:szCs w:val="16"/>
                <w:b w:val="1"/>
                <w:bCs w:val="1"/>
                <w:color w:val="1269BC"/>
              </w:rPr>
              <w:t>Option Awards</w:t>
            </w:r>
          </w:p>
        </w:tc>
        <w:tc>
          <w:tcPr>
            <w:tcW w:w="3700" w:type="dxa"/>
            <w:vAlign w:val="bottom"/>
            <w:gridSpan w:val="2"/>
          </w:tcPr>
          <w:p>
            <w:pPr>
              <w:jc w:val="right"/>
              <w:ind w:right="993"/>
              <w:spacing w:after="0"/>
              <w:rPr>
                <w:sz w:val="20"/>
                <w:szCs w:val="20"/>
                <w:color w:val="auto"/>
              </w:rPr>
            </w:pPr>
            <w:r>
              <w:rPr>
                <w:rFonts w:ascii="Arial" w:cs="Arial" w:eastAsia="Arial" w:hAnsi="Arial"/>
                <w:sz w:val="16"/>
                <w:szCs w:val="16"/>
                <w:b w:val="1"/>
                <w:bCs w:val="1"/>
                <w:color w:val="1269BC"/>
              </w:rPr>
              <w:t>Stock Awards</w:t>
            </w:r>
          </w:p>
        </w:tc>
      </w:tr>
      <w:tr>
        <w:trPr>
          <w:trHeight w:val="164"/>
        </w:trPr>
        <w:tc>
          <w:tcPr>
            <w:tcW w:w="2880" w:type="dxa"/>
            <w:vAlign w:val="bottom"/>
          </w:tcPr>
          <w:p>
            <w:pPr>
              <w:spacing w:after="0"/>
              <w:rPr>
                <w:sz w:val="14"/>
                <w:szCs w:val="14"/>
                <w:color w:val="auto"/>
              </w:rPr>
            </w:pPr>
          </w:p>
        </w:tc>
        <w:tc>
          <w:tcPr>
            <w:tcW w:w="2140" w:type="dxa"/>
            <w:vAlign w:val="bottom"/>
            <w:tcBorders>
              <w:top w:val="single" w:sz="8" w:color="1269BC"/>
            </w:tcBorders>
          </w:tcPr>
          <w:p>
            <w:pPr>
              <w:jc w:val="center"/>
              <w:ind w:left="175"/>
              <w:spacing w:after="0" w:line="165" w:lineRule="exact"/>
              <w:rPr>
                <w:sz w:val="20"/>
                <w:szCs w:val="20"/>
                <w:color w:val="auto"/>
              </w:rPr>
            </w:pPr>
            <w:r>
              <w:rPr>
                <w:rFonts w:ascii="Arial" w:cs="Arial" w:eastAsia="Arial" w:hAnsi="Arial"/>
                <w:sz w:val="16"/>
                <w:szCs w:val="16"/>
                <w:b w:val="1"/>
                <w:bCs w:val="1"/>
                <w:color w:val="1269BC"/>
              </w:rPr>
              <w:t>Number of Shares</w:t>
            </w:r>
          </w:p>
        </w:tc>
        <w:tc>
          <w:tcPr>
            <w:tcW w:w="1620" w:type="dxa"/>
            <w:vAlign w:val="bottom"/>
            <w:tcBorders>
              <w:top w:val="single" w:sz="8" w:color="1269BC"/>
            </w:tcBorders>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Borders>
              <w:top w:val="single" w:sz="8" w:color="1269BC"/>
            </w:tcBorders>
          </w:tcPr>
          <w:p>
            <w:pPr>
              <w:jc w:val="center"/>
              <w:ind w:left="115"/>
              <w:spacing w:after="0" w:line="165" w:lineRule="exact"/>
              <w:rPr>
                <w:sz w:val="20"/>
                <w:szCs w:val="20"/>
                <w:color w:val="auto"/>
              </w:rPr>
            </w:pPr>
            <w:r>
              <w:rPr>
                <w:rFonts w:ascii="Arial" w:cs="Arial" w:eastAsia="Arial" w:hAnsi="Arial"/>
                <w:sz w:val="16"/>
                <w:szCs w:val="16"/>
                <w:b w:val="1"/>
                <w:bCs w:val="1"/>
                <w:color w:val="1269BC"/>
              </w:rPr>
              <w:t>Number of Shares</w:t>
            </w:r>
          </w:p>
        </w:tc>
        <w:tc>
          <w:tcPr>
            <w:tcW w:w="1540" w:type="dxa"/>
            <w:vAlign w:val="bottom"/>
            <w:tcBorders>
              <w:top w:val="single" w:sz="8" w:color="1269BC"/>
            </w:tcBorders>
          </w:tcPr>
          <w:p>
            <w:pPr>
              <w:spacing w:after="0"/>
              <w:rPr>
                <w:sz w:val="14"/>
                <w:szCs w:val="14"/>
                <w:color w:val="auto"/>
              </w:rPr>
            </w:pPr>
          </w:p>
        </w:tc>
      </w:tr>
      <w:tr>
        <w:trPr>
          <w:trHeight w:val="189"/>
        </w:trPr>
        <w:tc>
          <w:tcPr>
            <w:tcW w:w="2880" w:type="dxa"/>
            <w:vAlign w:val="bottom"/>
          </w:tcPr>
          <w:p>
            <w:pPr>
              <w:spacing w:after="0"/>
              <w:rPr>
                <w:sz w:val="16"/>
                <w:szCs w:val="16"/>
                <w:color w:val="auto"/>
              </w:rPr>
            </w:pPr>
          </w:p>
        </w:tc>
        <w:tc>
          <w:tcPr>
            <w:tcW w:w="2140" w:type="dxa"/>
            <w:vAlign w:val="bottom"/>
          </w:tcPr>
          <w:p>
            <w:pPr>
              <w:jc w:val="center"/>
              <w:ind w:left="155"/>
              <w:spacing w:after="0"/>
              <w:rPr>
                <w:sz w:val="20"/>
                <w:szCs w:val="20"/>
                <w:color w:val="auto"/>
              </w:rPr>
            </w:pPr>
            <w:r>
              <w:rPr>
                <w:rFonts w:ascii="Arial" w:cs="Arial" w:eastAsia="Arial" w:hAnsi="Arial"/>
                <w:sz w:val="16"/>
                <w:szCs w:val="16"/>
                <w:b w:val="1"/>
                <w:bCs w:val="1"/>
                <w:color w:val="1269BC"/>
              </w:rPr>
              <w:t>Acquired on</w:t>
            </w:r>
          </w:p>
        </w:tc>
        <w:tc>
          <w:tcPr>
            <w:tcW w:w="2300" w:type="dxa"/>
            <w:vAlign w:val="bottom"/>
            <w:gridSpan w:val="2"/>
          </w:tcPr>
          <w:p>
            <w:pPr>
              <w:ind w:left="240"/>
              <w:spacing w:after="0"/>
              <w:rPr>
                <w:sz w:val="20"/>
                <w:szCs w:val="20"/>
                <w:color w:val="auto"/>
              </w:rPr>
            </w:pPr>
            <w:r>
              <w:rPr>
                <w:rFonts w:ascii="Arial" w:cs="Arial" w:eastAsia="Arial" w:hAnsi="Arial"/>
                <w:sz w:val="16"/>
                <w:szCs w:val="16"/>
                <w:b w:val="1"/>
                <w:bCs w:val="1"/>
                <w:color w:val="1269BC"/>
              </w:rPr>
              <w:t>Value Realized on</w:t>
            </w:r>
          </w:p>
        </w:tc>
        <w:tc>
          <w:tcPr>
            <w:tcW w:w="2160" w:type="dxa"/>
            <w:vAlign w:val="bottom"/>
          </w:tcPr>
          <w:p>
            <w:pPr>
              <w:jc w:val="center"/>
              <w:ind w:left="115"/>
              <w:spacing w:after="0"/>
              <w:rPr>
                <w:sz w:val="20"/>
                <w:szCs w:val="20"/>
                <w:color w:val="auto"/>
              </w:rPr>
            </w:pPr>
            <w:r>
              <w:rPr>
                <w:rFonts w:ascii="Arial" w:cs="Arial" w:eastAsia="Arial" w:hAnsi="Arial"/>
                <w:sz w:val="16"/>
                <w:szCs w:val="16"/>
                <w:b w:val="1"/>
                <w:bCs w:val="1"/>
                <w:color w:val="1269BC"/>
              </w:rPr>
              <w:t>Acquired on</w:t>
            </w:r>
          </w:p>
        </w:tc>
        <w:tc>
          <w:tcPr>
            <w:tcW w:w="1540" w:type="dxa"/>
            <w:vAlign w:val="bottom"/>
          </w:tcPr>
          <w:p>
            <w:pPr>
              <w:jc w:val="center"/>
              <w:ind w:left="113"/>
              <w:spacing w:after="0"/>
              <w:rPr>
                <w:sz w:val="20"/>
                <w:szCs w:val="20"/>
                <w:color w:val="auto"/>
              </w:rPr>
            </w:pPr>
            <w:r>
              <w:rPr>
                <w:rFonts w:ascii="Arial" w:cs="Arial" w:eastAsia="Arial" w:hAnsi="Arial"/>
                <w:sz w:val="16"/>
                <w:szCs w:val="16"/>
                <w:b w:val="1"/>
                <w:bCs w:val="1"/>
                <w:color w:val="1269BC"/>
              </w:rPr>
              <w:t>Value Realized</w:t>
            </w:r>
          </w:p>
        </w:tc>
      </w:tr>
      <w:tr>
        <w:trPr>
          <w:trHeight w:val="189"/>
        </w:trPr>
        <w:tc>
          <w:tcPr>
            <w:tcW w:w="2880" w:type="dxa"/>
            <w:vAlign w:val="bottom"/>
          </w:tcPr>
          <w:p>
            <w:pPr>
              <w:spacing w:after="0"/>
              <w:rPr>
                <w:sz w:val="16"/>
                <w:szCs w:val="16"/>
                <w:color w:val="auto"/>
              </w:rPr>
            </w:pPr>
          </w:p>
        </w:tc>
        <w:tc>
          <w:tcPr>
            <w:tcW w:w="2140" w:type="dxa"/>
            <w:vAlign w:val="bottom"/>
          </w:tcPr>
          <w:p>
            <w:pPr>
              <w:jc w:val="center"/>
              <w:ind w:left="155"/>
              <w:spacing w:after="0"/>
              <w:rPr>
                <w:sz w:val="20"/>
                <w:szCs w:val="20"/>
                <w:color w:val="auto"/>
              </w:rPr>
            </w:pPr>
            <w:r>
              <w:rPr>
                <w:rFonts w:ascii="Arial" w:cs="Arial" w:eastAsia="Arial" w:hAnsi="Arial"/>
                <w:sz w:val="16"/>
                <w:szCs w:val="16"/>
                <w:b w:val="1"/>
                <w:bCs w:val="1"/>
                <w:color w:val="1269BC"/>
              </w:rPr>
              <w:t>Exercise</w:t>
            </w:r>
          </w:p>
        </w:tc>
        <w:tc>
          <w:tcPr>
            <w:tcW w:w="2300" w:type="dxa"/>
            <w:vAlign w:val="bottom"/>
            <w:gridSpan w:val="2"/>
          </w:tcPr>
          <w:p>
            <w:pPr>
              <w:ind w:left="600"/>
              <w:spacing w:after="0"/>
              <w:rPr>
                <w:sz w:val="20"/>
                <w:szCs w:val="20"/>
                <w:color w:val="auto"/>
              </w:rPr>
            </w:pPr>
            <w:r>
              <w:rPr>
                <w:rFonts w:ascii="Arial" w:cs="Arial" w:eastAsia="Arial" w:hAnsi="Arial"/>
                <w:sz w:val="16"/>
                <w:szCs w:val="16"/>
                <w:b w:val="1"/>
                <w:bCs w:val="1"/>
                <w:color w:val="1269BC"/>
              </w:rPr>
              <w:t>Exercise</w:t>
            </w:r>
          </w:p>
        </w:tc>
        <w:tc>
          <w:tcPr>
            <w:tcW w:w="2160" w:type="dxa"/>
            <w:vAlign w:val="bottom"/>
          </w:tcPr>
          <w:p>
            <w:pPr>
              <w:jc w:val="center"/>
              <w:ind w:left="115"/>
              <w:spacing w:after="0"/>
              <w:rPr>
                <w:sz w:val="20"/>
                <w:szCs w:val="20"/>
                <w:color w:val="auto"/>
              </w:rPr>
            </w:pPr>
            <w:r>
              <w:rPr>
                <w:rFonts w:ascii="Arial" w:cs="Arial" w:eastAsia="Arial" w:hAnsi="Arial"/>
                <w:sz w:val="16"/>
                <w:szCs w:val="16"/>
                <w:b w:val="1"/>
                <w:bCs w:val="1"/>
                <w:color w:val="1269BC"/>
                <w:w w:val="96"/>
              </w:rPr>
              <w:t>Vesting</w:t>
            </w:r>
          </w:p>
        </w:tc>
        <w:tc>
          <w:tcPr>
            <w:tcW w:w="1540" w:type="dxa"/>
            <w:vAlign w:val="bottom"/>
          </w:tcPr>
          <w:p>
            <w:pPr>
              <w:jc w:val="center"/>
              <w:ind w:left="113"/>
              <w:spacing w:after="0"/>
              <w:rPr>
                <w:sz w:val="20"/>
                <w:szCs w:val="20"/>
                <w:color w:val="auto"/>
              </w:rPr>
            </w:pPr>
            <w:r>
              <w:rPr>
                <w:rFonts w:ascii="Arial" w:cs="Arial" w:eastAsia="Arial" w:hAnsi="Arial"/>
                <w:sz w:val="16"/>
                <w:szCs w:val="16"/>
                <w:b w:val="1"/>
                <w:bCs w:val="1"/>
                <w:color w:val="1269BC"/>
              </w:rPr>
              <w:t>on Vesting</w:t>
            </w:r>
          </w:p>
        </w:tc>
      </w:tr>
      <w:tr>
        <w:trPr>
          <w:trHeight w:val="207"/>
        </w:trPr>
        <w:tc>
          <w:tcPr>
            <w:tcW w:w="2880" w:type="dxa"/>
            <w:vAlign w:val="bottom"/>
            <w:tcBorders>
              <w:bottom w:val="single" w:sz="8" w:color="1269BC"/>
            </w:tcBorders>
          </w:tcPr>
          <w:p>
            <w:pPr>
              <w:ind w:left="80"/>
              <w:spacing w:after="0"/>
              <w:rPr>
                <w:sz w:val="20"/>
                <w:szCs w:val="20"/>
                <w:color w:val="auto"/>
              </w:rPr>
            </w:pPr>
            <w:r>
              <w:rPr>
                <w:rFonts w:ascii="Arial" w:cs="Arial" w:eastAsia="Arial" w:hAnsi="Arial"/>
                <w:sz w:val="16"/>
                <w:szCs w:val="16"/>
                <w:b w:val="1"/>
                <w:bCs w:val="1"/>
                <w:color w:val="1269BC"/>
              </w:rPr>
              <w:t>Name</w:t>
            </w:r>
          </w:p>
        </w:tc>
        <w:tc>
          <w:tcPr>
            <w:tcW w:w="2140" w:type="dxa"/>
            <w:vAlign w:val="bottom"/>
            <w:tcBorders>
              <w:bottom w:val="single" w:sz="8" w:color="1269BC"/>
            </w:tcBorders>
          </w:tcPr>
          <w:p>
            <w:pPr>
              <w:jc w:val="center"/>
              <w:ind w:left="175"/>
              <w:spacing w:after="0"/>
              <w:rPr>
                <w:sz w:val="20"/>
                <w:szCs w:val="20"/>
                <w:color w:val="auto"/>
              </w:rPr>
            </w:pPr>
            <w:r>
              <w:rPr>
                <w:rFonts w:ascii="Arial" w:cs="Arial" w:eastAsia="Arial" w:hAnsi="Arial"/>
                <w:sz w:val="16"/>
                <w:szCs w:val="16"/>
                <w:b w:val="1"/>
                <w:bCs w:val="1"/>
                <w:color w:val="1269BC"/>
              </w:rPr>
              <w:t>(#)</w:t>
            </w:r>
          </w:p>
        </w:tc>
        <w:tc>
          <w:tcPr>
            <w:tcW w:w="1620" w:type="dxa"/>
            <w:vAlign w:val="bottom"/>
            <w:tcBorders>
              <w:bottom w:val="single" w:sz="8" w:color="1269BC"/>
            </w:tcBorders>
          </w:tcPr>
          <w:p>
            <w:pPr>
              <w:ind w:left="840"/>
              <w:spacing w:after="0"/>
              <w:rPr>
                <w:sz w:val="20"/>
                <w:szCs w:val="20"/>
                <w:color w:val="auto"/>
              </w:rPr>
            </w:pPr>
            <w:r>
              <w:rPr>
                <w:rFonts w:ascii="Arial" w:cs="Arial" w:eastAsia="Arial" w:hAnsi="Arial"/>
                <w:sz w:val="16"/>
                <w:szCs w:val="16"/>
                <w:b w:val="1"/>
                <w:bCs w:val="1"/>
                <w:color w:val="1269BC"/>
              </w:rPr>
              <w:t>($)</w:t>
            </w:r>
          </w:p>
        </w:tc>
        <w:tc>
          <w:tcPr>
            <w:tcW w:w="680" w:type="dxa"/>
            <w:vAlign w:val="bottom"/>
            <w:tcBorders>
              <w:bottom w:val="single" w:sz="8" w:color="1269BC"/>
            </w:tcBorders>
          </w:tcPr>
          <w:p>
            <w:pPr>
              <w:spacing w:after="0"/>
              <w:rPr>
                <w:sz w:val="18"/>
                <w:szCs w:val="18"/>
                <w:color w:val="auto"/>
              </w:rPr>
            </w:pPr>
          </w:p>
        </w:tc>
        <w:tc>
          <w:tcPr>
            <w:tcW w:w="2160" w:type="dxa"/>
            <w:vAlign w:val="bottom"/>
            <w:tcBorders>
              <w:bottom w:val="single" w:sz="8" w:color="1269BC"/>
            </w:tcBorders>
          </w:tcPr>
          <w:p>
            <w:pPr>
              <w:jc w:val="center"/>
              <w:ind w:left="115"/>
              <w:spacing w:after="0"/>
              <w:rPr>
                <w:sz w:val="20"/>
                <w:szCs w:val="20"/>
                <w:color w:val="auto"/>
              </w:rPr>
            </w:pPr>
            <w:r>
              <w:rPr>
                <w:rFonts w:ascii="Arial" w:cs="Arial" w:eastAsia="Arial" w:hAnsi="Arial"/>
                <w:sz w:val="16"/>
                <w:szCs w:val="16"/>
                <w:b w:val="1"/>
                <w:bCs w:val="1"/>
                <w:color w:val="1269BC"/>
              </w:rPr>
              <w:t>(#) (1)</w:t>
            </w:r>
          </w:p>
        </w:tc>
        <w:tc>
          <w:tcPr>
            <w:tcW w:w="1540" w:type="dxa"/>
            <w:vAlign w:val="bottom"/>
            <w:tcBorders>
              <w:bottom w:val="single" w:sz="8" w:color="1269BC"/>
            </w:tcBorders>
          </w:tcPr>
          <w:p>
            <w:pPr>
              <w:jc w:val="center"/>
              <w:ind w:left="133"/>
              <w:spacing w:after="0"/>
              <w:rPr>
                <w:sz w:val="20"/>
                <w:szCs w:val="20"/>
                <w:color w:val="auto"/>
              </w:rPr>
            </w:pPr>
            <w:r>
              <w:rPr>
                <w:rFonts w:ascii="Arial" w:cs="Arial" w:eastAsia="Arial" w:hAnsi="Arial"/>
                <w:sz w:val="16"/>
                <w:szCs w:val="16"/>
                <w:b w:val="1"/>
                <w:bCs w:val="1"/>
                <w:color w:val="1269BC"/>
              </w:rPr>
              <w:t>($) (2)</w:t>
            </w:r>
          </w:p>
        </w:tc>
      </w:tr>
      <w:tr>
        <w:trPr>
          <w:trHeight w:val="298"/>
        </w:trPr>
        <w:tc>
          <w:tcPr>
            <w:tcW w:w="288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8"/>
                <w:szCs w:val="18"/>
                <w:color w:val="auto"/>
              </w:rPr>
              <w:t>Robert A. Bruggeworth</w:t>
            </w:r>
          </w:p>
        </w:tc>
        <w:tc>
          <w:tcPr>
            <w:tcW w:w="2140" w:type="dxa"/>
            <w:vAlign w:val="bottom"/>
            <w:tcBorders>
              <w:bottom w:val="single" w:sz="8" w:color="C3D9EE"/>
            </w:tcBorders>
            <w:shd w:val="clear" w:color="auto" w:fill="C3D9EE"/>
          </w:tcPr>
          <w:p>
            <w:pPr>
              <w:jc w:val="center"/>
              <w:ind w:left="155"/>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C3D9EE"/>
            </w:tcBorders>
            <w:gridSpan w:val="2"/>
            <w:shd w:val="clear" w:color="auto" w:fill="C3D9EE"/>
          </w:tcPr>
          <w:p>
            <w:pPr>
              <w:ind w:left="84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3D9EE"/>
            </w:tcBorders>
            <w:shd w:val="clear" w:color="auto" w:fill="C3D9EE"/>
          </w:tcPr>
          <w:p>
            <w:pPr>
              <w:jc w:val="right"/>
              <w:ind w:right="535"/>
              <w:spacing w:after="0"/>
              <w:rPr>
                <w:sz w:val="20"/>
                <w:szCs w:val="20"/>
                <w:color w:val="auto"/>
              </w:rPr>
            </w:pPr>
            <w:r>
              <w:rPr>
                <w:rFonts w:ascii="Arial" w:cs="Arial" w:eastAsia="Arial" w:hAnsi="Arial"/>
                <w:sz w:val="18"/>
                <w:szCs w:val="18"/>
                <w:color w:val="auto"/>
              </w:rPr>
              <w:t>78,653</w:t>
            </w:r>
          </w:p>
        </w:tc>
        <w:tc>
          <w:tcPr>
            <w:tcW w:w="1540" w:type="dxa"/>
            <w:vAlign w:val="bottom"/>
            <w:tcBorders>
              <w:bottom w:val="single" w:sz="8" w:color="C3D9EE"/>
            </w:tcBorders>
            <w:shd w:val="clear" w:color="auto" w:fill="C3D9EE"/>
          </w:tcPr>
          <w:p>
            <w:pPr>
              <w:jc w:val="right"/>
              <w:ind w:right="273"/>
              <w:spacing w:after="0"/>
              <w:rPr>
                <w:sz w:val="20"/>
                <w:szCs w:val="20"/>
                <w:color w:val="auto"/>
              </w:rPr>
            </w:pPr>
            <w:r>
              <w:rPr>
                <w:rFonts w:ascii="Arial" w:cs="Arial" w:eastAsia="Arial" w:hAnsi="Arial"/>
                <w:sz w:val="18"/>
                <w:szCs w:val="18"/>
                <w:color w:val="auto"/>
              </w:rPr>
              <w:t>$5,760,709</w:t>
            </w:r>
          </w:p>
        </w:tc>
      </w:tr>
      <w:tr>
        <w:trPr>
          <w:trHeight w:val="311"/>
        </w:trPr>
        <w:tc>
          <w:tcPr>
            <w:tcW w:w="2880" w:type="dxa"/>
            <w:vAlign w:val="bottom"/>
          </w:tcPr>
          <w:p>
            <w:pPr>
              <w:ind w:left="100"/>
              <w:spacing w:after="0"/>
              <w:rPr>
                <w:sz w:val="20"/>
                <w:szCs w:val="20"/>
                <w:color w:val="auto"/>
              </w:rPr>
            </w:pPr>
            <w:r>
              <w:rPr>
                <w:rFonts w:ascii="Arial" w:cs="Arial" w:eastAsia="Arial" w:hAnsi="Arial"/>
                <w:sz w:val="18"/>
                <w:szCs w:val="18"/>
                <w:color w:val="auto"/>
              </w:rPr>
              <w:t>Mark J. Murphy</w:t>
            </w:r>
          </w:p>
        </w:tc>
        <w:tc>
          <w:tcPr>
            <w:tcW w:w="2140" w:type="dxa"/>
            <w:vAlign w:val="bottom"/>
          </w:tcPr>
          <w:p>
            <w:pPr>
              <w:jc w:val="center"/>
              <w:ind w:left="155"/>
              <w:spacing w:after="0"/>
              <w:rPr>
                <w:sz w:val="20"/>
                <w:szCs w:val="20"/>
                <w:color w:val="auto"/>
              </w:rPr>
            </w:pPr>
            <w:r>
              <w:rPr>
                <w:rFonts w:ascii="Arial" w:cs="Arial" w:eastAsia="Arial" w:hAnsi="Arial"/>
                <w:sz w:val="18"/>
                <w:szCs w:val="18"/>
                <w:color w:val="auto"/>
                <w:w w:val="99"/>
              </w:rPr>
              <w:t>–</w:t>
            </w:r>
          </w:p>
        </w:tc>
        <w:tc>
          <w:tcPr>
            <w:tcW w:w="23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535"/>
              <w:spacing w:after="0"/>
              <w:rPr>
                <w:sz w:val="20"/>
                <w:szCs w:val="20"/>
                <w:color w:val="auto"/>
              </w:rPr>
            </w:pPr>
            <w:r>
              <w:rPr>
                <w:rFonts w:ascii="Arial" w:cs="Arial" w:eastAsia="Arial" w:hAnsi="Arial"/>
                <w:sz w:val="18"/>
                <w:szCs w:val="18"/>
                <w:color w:val="auto"/>
              </w:rPr>
              <w:t>29,767</w:t>
            </w:r>
          </w:p>
        </w:tc>
        <w:tc>
          <w:tcPr>
            <w:tcW w:w="1540" w:type="dxa"/>
            <w:vAlign w:val="bottom"/>
          </w:tcPr>
          <w:p>
            <w:pPr>
              <w:jc w:val="right"/>
              <w:ind w:right="273"/>
              <w:spacing w:after="0"/>
              <w:rPr>
                <w:sz w:val="20"/>
                <w:szCs w:val="20"/>
                <w:color w:val="auto"/>
              </w:rPr>
            </w:pPr>
            <w:r>
              <w:rPr>
                <w:rFonts w:ascii="Arial" w:cs="Arial" w:eastAsia="Arial" w:hAnsi="Arial"/>
                <w:sz w:val="18"/>
                <w:szCs w:val="18"/>
                <w:color w:val="auto"/>
              </w:rPr>
              <w:t>2,151,526</w:t>
            </w:r>
          </w:p>
        </w:tc>
      </w:tr>
      <w:tr>
        <w:trPr>
          <w:trHeight w:val="27"/>
        </w:trPr>
        <w:tc>
          <w:tcPr>
            <w:tcW w:w="2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318"/>
        </w:trPr>
        <w:tc>
          <w:tcPr>
            <w:tcW w:w="288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8"/>
                <w:szCs w:val="18"/>
                <w:color w:val="auto"/>
              </w:rPr>
              <w:t>Steven E. Creviston</w:t>
            </w:r>
          </w:p>
        </w:tc>
        <w:tc>
          <w:tcPr>
            <w:tcW w:w="2140" w:type="dxa"/>
            <w:vAlign w:val="bottom"/>
            <w:tcBorders>
              <w:bottom w:val="single" w:sz="8" w:color="C3D9EE"/>
            </w:tcBorders>
            <w:shd w:val="clear" w:color="auto" w:fill="C3D9EE"/>
          </w:tcPr>
          <w:p>
            <w:pPr>
              <w:jc w:val="center"/>
              <w:ind w:left="155"/>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C3D9EE"/>
            </w:tcBorders>
            <w:gridSpan w:val="2"/>
            <w:shd w:val="clear" w:color="auto" w:fill="C3D9EE"/>
          </w:tcPr>
          <w:p>
            <w:pPr>
              <w:ind w:left="84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3D9EE"/>
            </w:tcBorders>
            <w:shd w:val="clear" w:color="auto" w:fill="C3D9EE"/>
          </w:tcPr>
          <w:p>
            <w:pPr>
              <w:jc w:val="right"/>
              <w:ind w:right="535"/>
              <w:spacing w:after="0"/>
              <w:rPr>
                <w:sz w:val="20"/>
                <w:szCs w:val="20"/>
                <w:color w:val="auto"/>
              </w:rPr>
            </w:pPr>
            <w:r>
              <w:rPr>
                <w:rFonts w:ascii="Arial" w:cs="Arial" w:eastAsia="Arial" w:hAnsi="Arial"/>
                <w:sz w:val="18"/>
                <w:szCs w:val="18"/>
                <w:color w:val="auto"/>
              </w:rPr>
              <w:t>28,532</w:t>
            </w:r>
          </w:p>
        </w:tc>
        <w:tc>
          <w:tcPr>
            <w:tcW w:w="1540" w:type="dxa"/>
            <w:vAlign w:val="bottom"/>
            <w:tcBorders>
              <w:bottom w:val="single" w:sz="8" w:color="C3D9EE"/>
            </w:tcBorders>
            <w:shd w:val="clear" w:color="auto" w:fill="C3D9EE"/>
          </w:tcPr>
          <w:p>
            <w:pPr>
              <w:jc w:val="right"/>
              <w:ind w:right="273"/>
              <w:spacing w:after="0"/>
              <w:rPr>
                <w:sz w:val="20"/>
                <w:szCs w:val="20"/>
                <w:color w:val="auto"/>
              </w:rPr>
            </w:pPr>
            <w:r>
              <w:rPr>
                <w:rFonts w:ascii="Arial" w:cs="Arial" w:eastAsia="Arial" w:hAnsi="Arial"/>
                <w:sz w:val="18"/>
                <w:szCs w:val="18"/>
                <w:color w:val="auto"/>
              </w:rPr>
              <w:t>2,085,651</w:t>
            </w:r>
          </w:p>
        </w:tc>
      </w:tr>
      <w:tr>
        <w:trPr>
          <w:trHeight w:val="311"/>
        </w:trPr>
        <w:tc>
          <w:tcPr>
            <w:tcW w:w="2880" w:type="dxa"/>
            <w:vAlign w:val="bottom"/>
          </w:tcPr>
          <w:p>
            <w:pPr>
              <w:ind w:left="100"/>
              <w:spacing w:after="0"/>
              <w:rPr>
                <w:sz w:val="20"/>
                <w:szCs w:val="20"/>
                <w:color w:val="auto"/>
              </w:rPr>
            </w:pPr>
            <w:r>
              <w:rPr>
                <w:rFonts w:ascii="Arial" w:cs="Arial" w:eastAsia="Arial" w:hAnsi="Arial"/>
                <w:sz w:val="18"/>
                <w:szCs w:val="18"/>
                <w:color w:val="auto"/>
              </w:rPr>
              <w:t>James L. Klein</w:t>
            </w:r>
          </w:p>
        </w:tc>
        <w:tc>
          <w:tcPr>
            <w:tcW w:w="2140" w:type="dxa"/>
            <w:vAlign w:val="bottom"/>
          </w:tcPr>
          <w:p>
            <w:pPr>
              <w:jc w:val="center"/>
              <w:ind w:left="155"/>
              <w:spacing w:after="0"/>
              <w:rPr>
                <w:sz w:val="20"/>
                <w:szCs w:val="20"/>
                <w:color w:val="auto"/>
              </w:rPr>
            </w:pPr>
            <w:r>
              <w:rPr>
                <w:rFonts w:ascii="Arial" w:cs="Arial" w:eastAsia="Arial" w:hAnsi="Arial"/>
                <w:sz w:val="18"/>
                <w:szCs w:val="18"/>
                <w:color w:val="auto"/>
                <w:w w:val="99"/>
              </w:rPr>
              <w:t>–</w:t>
            </w:r>
          </w:p>
        </w:tc>
        <w:tc>
          <w:tcPr>
            <w:tcW w:w="23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535"/>
              <w:spacing w:after="0"/>
              <w:rPr>
                <w:sz w:val="20"/>
                <w:szCs w:val="20"/>
                <w:color w:val="auto"/>
              </w:rPr>
            </w:pPr>
            <w:r>
              <w:rPr>
                <w:rFonts w:ascii="Arial" w:cs="Arial" w:eastAsia="Arial" w:hAnsi="Arial"/>
                <w:sz w:val="18"/>
                <w:szCs w:val="18"/>
                <w:color w:val="auto"/>
              </w:rPr>
              <w:t>21,543</w:t>
            </w:r>
          </w:p>
        </w:tc>
        <w:tc>
          <w:tcPr>
            <w:tcW w:w="1540" w:type="dxa"/>
            <w:vAlign w:val="bottom"/>
          </w:tcPr>
          <w:p>
            <w:pPr>
              <w:jc w:val="right"/>
              <w:ind w:right="273"/>
              <w:spacing w:after="0"/>
              <w:rPr>
                <w:sz w:val="20"/>
                <w:szCs w:val="20"/>
                <w:color w:val="auto"/>
              </w:rPr>
            </w:pPr>
            <w:r>
              <w:rPr>
                <w:rFonts w:ascii="Arial" w:cs="Arial" w:eastAsia="Arial" w:hAnsi="Arial"/>
                <w:sz w:val="18"/>
                <w:szCs w:val="18"/>
                <w:color w:val="auto"/>
              </w:rPr>
              <w:t>1,575,105</w:t>
            </w:r>
          </w:p>
        </w:tc>
      </w:tr>
      <w:tr>
        <w:trPr>
          <w:trHeight w:val="61"/>
        </w:trPr>
        <w:tc>
          <w:tcPr>
            <w:tcW w:w="2880" w:type="dxa"/>
            <w:vAlign w:val="bottom"/>
            <w:tcBorders>
              <w:bottom w:val="single" w:sz="8" w:color="C3D9EE"/>
            </w:tcBorders>
          </w:tcPr>
          <w:p>
            <w:pPr>
              <w:spacing w:after="0"/>
              <w:rPr>
                <w:sz w:val="5"/>
                <w:szCs w:val="5"/>
                <w:color w:val="auto"/>
              </w:rPr>
            </w:pPr>
          </w:p>
        </w:tc>
        <w:tc>
          <w:tcPr>
            <w:tcW w:w="2140" w:type="dxa"/>
            <w:vAlign w:val="bottom"/>
            <w:tcBorders>
              <w:bottom w:val="single" w:sz="8" w:color="C3D9EE"/>
            </w:tcBorders>
          </w:tcPr>
          <w:p>
            <w:pPr>
              <w:spacing w:after="0"/>
              <w:rPr>
                <w:sz w:val="5"/>
                <w:szCs w:val="5"/>
                <w:color w:val="auto"/>
              </w:rPr>
            </w:pPr>
          </w:p>
        </w:tc>
        <w:tc>
          <w:tcPr>
            <w:tcW w:w="1620" w:type="dxa"/>
            <w:vAlign w:val="bottom"/>
            <w:tcBorders>
              <w:bottom w:val="single" w:sz="8" w:color="C3D9EE"/>
            </w:tcBorders>
          </w:tcPr>
          <w:p>
            <w:pPr>
              <w:spacing w:after="0"/>
              <w:rPr>
                <w:sz w:val="5"/>
                <w:szCs w:val="5"/>
                <w:color w:val="auto"/>
              </w:rPr>
            </w:pPr>
          </w:p>
        </w:tc>
        <w:tc>
          <w:tcPr>
            <w:tcW w:w="680" w:type="dxa"/>
            <w:vAlign w:val="bottom"/>
            <w:tcBorders>
              <w:bottom w:val="single" w:sz="8" w:color="C3D9EE"/>
            </w:tcBorders>
          </w:tcPr>
          <w:p>
            <w:pPr>
              <w:spacing w:after="0"/>
              <w:rPr>
                <w:sz w:val="5"/>
                <w:szCs w:val="5"/>
                <w:color w:val="auto"/>
              </w:rPr>
            </w:pPr>
          </w:p>
        </w:tc>
        <w:tc>
          <w:tcPr>
            <w:tcW w:w="2160" w:type="dxa"/>
            <w:vAlign w:val="bottom"/>
            <w:tcBorders>
              <w:bottom w:val="single" w:sz="8" w:color="C3D9EE"/>
            </w:tcBorders>
          </w:tcPr>
          <w:p>
            <w:pPr>
              <w:spacing w:after="0"/>
              <w:rPr>
                <w:sz w:val="5"/>
                <w:szCs w:val="5"/>
                <w:color w:val="auto"/>
              </w:rPr>
            </w:pPr>
          </w:p>
        </w:tc>
        <w:tc>
          <w:tcPr>
            <w:tcW w:w="1540" w:type="dxa"/>
            <w:vAlign w:val="bottom"/>
            <w:tcBorders>
              <w:bottom w:val="single" w:sz="8" w:color="C3D9EE"/>
            </w:tcBorders>
          </w:tcPr>
          <w:p>
            <w:pPr>
              <w:spacing w:after="0"/>
              <w:rPr>
                <w:sz w:val="5"/>
                <w:szCs w:val="5"/>
                <w:color w:val="auto"/>
              </w:rPr>
            </w:pPr>
          </w:p>
        </w:tc>
      </w:tr>
      <w:tr>
        <w:trPr>
          <w:trHeight w:val="264"/>
        </w:trPr>
        <w:tc>
          <w:tcPr>
            <w:tcW w:w="2880" w:type="dxa"/>
            <w:vAlign w:val="bottom"/>
            <w:tcBorders>
              <w:bottom w:val="single" w:sz="8" w:color="C3D9EE"/>
            </w:tcBorders>
            <w:shd w:val="clear" w:color="auto" w:fill="C3D9EE"/>
          </w:tcPr>
          <w:p>
            <w:pPr>
              <w:ind w:left="100"/>
              <w:spacing w:after="0"/>
              <w:rPr>
                <w:sz w:val="20"/>
                <w:szCs w:val="20"/>
                <w:color w:val="auto"/>
              </w:rPr>
            </w:pPr>
            <w:r>
              <w:rPr>
                <w:rFonts w:ascii="Arial" w:cs="Arial" w:eastAsia="Arial" w:hAnsi="Arial"/>
                <w:sz w:val="18"/>
                <w:szCs w:val="18"/>
                <w:color w:val="auto"/>
              </w:rPr>
              <w:t>Paul J. Fego</w:t>
            </w:r>
          </w:p>
        </w:tc>
        <w:tc>
          <w:tcPr>
            <w:tcW w:w="2140" w:type="dxa"/>
            <w:vAlign w:val="bottom"/>
            <w:tcBorders>
              <w:bottom w:val="single" w:sz="8" w:color="C3D9EE"/>
            </w:tcBorders>
            <w:shd w:val="clear" w:color="auto" w:fill="C3D9EE"/>
          </w:tcPr>
          <w:p>
            <w:pPr>
              <w:jc w:val="center"/>
              <w:ind w:left="155"/>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C3D9EE"/>
            </w:tcBorders>
            <w:gridSpan w:val="2"/>
            <w:shd w:val="clear" w:color="auto" w:fill="C3D9EE"/>
          </w:tcPr>
          <w:p>
            <w:pPr>
              <w:ind w:left="84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3D9EE"/>
            </w:tcBorders>
            <w:shd w:val="clear" w:color="auto" w:fill="C3D9EE"/>
          </w:tcPr>
          <w:p>
            <w:pPr>
              <w:jc w:val="right"/>
              <w:ind w:right="535"/>
              <w:spacing w:after="0"/>
              <w:rPr>
                <w:sz w:val="20"/>
                <w:szCs w:val="20"/>
                <w:color w:val="auto"/>
              </w:rPr>
            </w:pPr>
            <w:r>
              <w:rPr>
                <w:rFonts w:ascii="Arial" w:cs="Arial" w:eastAsia="Arial" w:hAnsi="Arial"/>
                <w:sz w:val="18"/>
                <w:szCs w:val="18"/>
                <w:color w:val="auto"/>
              </w:rPr>
              <w:t>9,696</w:t>
            </w:r>
          </w:p>
        </w:tc>
        <w:tc>
          <w:tcPr>
            <w:tcW w:w="1540" w:type="dxa"/>
            <w:vAlign w:val="bottom"/>
            <w:tcBorders>
              <w:bottom w:val="single" w:sz="8" w:color="C3D9EE"/>
            </w:tcBorders>
            <w:shd w:val="clear" w:color="auto" w:fill="C3D9EE"/>
          </w:tcPr>
          <w:p>
            <w:pPr>
              <w:jc w:val="right"/>
              <w:ind w:right="273"/>
              <w:spacing w:after="0"/>
              <w:rPr>
                <w:sz w:val="20"/>
                <w:szCs w:val="20"/>
                <w:color w:val="auto"/>
              </w:rPr>
            </w:pPr>
            <w:r>
              <w:rPr>
                <w:rFonts w:ascii="Arial" w:cs="Arial" w:eastAsia="Arial" w:hAnsi="Arial"/>
                <w:sz w:val="18"/>
                <w:szCs w:val="18"/>
                <w:color w:val="auto"/>
              </w:rPr>
              <w:t>707,013</w:t>
            </w:r>
          </w:p>
        </w:tc>
      </w:tr>
      <w:tr>
        <w:trPr>
          <w:trHeight w:val="20"/>
        </w:trPr>
        <w:tc>
          <w:tcPr>
            <w:tcW w:w="2880" w:type="dxa"/>
            <w:vAlign w:val="bottom"/>
            <w:shd w:val="clear" w:color="auto" w:fill="1269BC"/>
          </w:tcPr>
          <w:p>
            <w:pPr>
              <w:spacing w:after="0" w:line="20" w:lineRule="exact"/>
              <w:rPr>
                <w:sz w:val="1"/>
                <w:szCs w:val="1"/>
                <w:color w:val="auto"/>
              </w:rPr>
            </w:pPr>
          </w:p>
        </w:tc>
        <w:tc>
          <w:tcPr>
            <w:tcW w:w="2140" w:type="dxa"/>
            <w:vAlign w:val="bottom"/>
            <w:shd w:val="clear" w:color="auto" w:fill="1269BC"/>
          </w:tcPr>
          <w:p>
            <w:pPr>
              <w:spacing w:after="0" w:line="20" w:lineRule="exact"/>
              <w:rPr>
                <w:sz w:val="1"/>
                <w:szCs w:val="1"/>
                <w:color w:val="auto"/>
              </w:rPr>
            </w:pPr>
          </w:p>
        </w:tc>
        <w:tc>
          <w:tcPr>
            <w:tcW w:w="1620" w:type="dxa"/>
            <w:vAlign w:val="bottom"/>
            <w:shd w:val="clear" w:color="auto" w:fill="1269BC"/>
          </w:tcPr>
          <w:p>
            <w:pPr>
              <w:spacing w:after="0" w:line="20" w:lineRule="exact"/>
              <w:rPr>
                <w:sz w:val="1"/>
                <w:szCs w:val="1"/>
                <w:color w:val="auto"/>
              </w:rPr>
            </w:pPr>
          </w:p>
        </w:tc>
        <w:tc>
          <w:tcPr>
            <w:tcW w:w="680" w:type="dxa"/>
            <w:vAlign w:val="bottom"/>
            <w:shd w:val="clear" w:color="auto" w:fill="1269BC"/>
          </w:tcPr>
          <w:p>
            <w:pPr>
              <w:spacing w:after="0" w:line="20" w:lineRule="exact"/>
              <w:rPr>
                <w:sz w:val="1"/>
                <w:szCs w:val="1"/>
                <w:color w:val="auto"/>
              </w:rPr>
            </w:pPr>
          </w:p>
        </w:tc>
        <w:tc>
          <w:tcPr>
            <w:tcW w:w="2160" w:type="dxa"/>
            <w:vAlign w:val="bottom"/>
            <w:shd w:val="clear" w:color="auto" w:fill="1269BC"/>
          </w:tcPr>
          <w:p>
            <w:pPr>
              <w:spacing w:after="0" w:line="20" w:lineRule="exact"/>
              <w:rPr>
                <w:sz w:val="1"/>
                <w:szCs w:val="1"/>
                <w:color w:val="auto"/>
              </w:rPr>
            </w:pPr>
          </w:p>
        </w:tc>
        <w:tc>
          <w:tcPr>
            <w:tcW w:w="1540" w:type="dxa"/>
            <w:vAlign w:val="bottom"/>
            <w:shd w:val="clear" w:color="auto" w:fill="1269BC"/>
          </w:tcPr>
          <w:p>
            <w:pPr>
              <w:spacing w:after="0" w:line="20" w:lineRule="exact"/>
              <w:rPr>
                <w:sz w:val="1"/>
                <w:szCs w:val="1"/>
                <w:color w:val="auto"/>
              </w:rPr>
            </w:pPr>
          </w:p>
        </w:tc>
      </w:tr>
    </w:tbl>
    <w:p>
      <w:pPr>
        <w:spacing w:after="0" w:line="245" w:lineRule="exact"/>
        <w:rPr>
          <w:sz w:val="20"/>
          <w:szCs w:val="20"/>
          <w:color w:val="auto"/>
        </w:rPr>
      </w:pPr>
    </w:p>
    <w:p>
      <w:pPr>
        <w:ind w:left="980" w:right="840" w:hanging="324"/>
        <w:spacing w:after="0" w:line="260"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Share amounts are represented on a pre-tax basis. Our stock plans permit withholding of shares upon vesting to satisfy applicable withholding taxes.</w:t>
      </w:r>
    </w:p>
    <w:p>
      <w:pPr>
        <w:spacing w:after="0" w:line="222" w:lineRule="exact"/>
        <w:rPr>
          <w:rFonts w:ascii="Arial" w:cs="Arial" w:eastAsia="Arial" w:hAnsi="Arial"/>
          <w:sz w:val="16"/>
          <w:szCs w:val="16"/>
          <w:color w:val="auto"/>
        </w:rPr>
      </w:pPr>
    </w:p>
    <w:p>
      <w:pPr>
        <w:ind w:left="980" w:right="560" w:hanging="324"/>
        <w:spacing w:after="0" w:line="260"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Values represent the market value of our common stock on the vesting date multiplied by the number of shares vested, rounded to the nearest dollar.</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Potential Payments upon Termination or Change-In-Control</w:t>
      </w:r>
    </w:p>
    <w:p>
      <w:pPr>
        <w:spacing w:after="0" w:line="132"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As described above under “Executive Compensation – Compensation Discussion and Analysis – Elements of Compensation – Employment Agreement and Offer Letter Agreement,” Mr. Bruggeworth has an employment agreement with Qorvo and Mr. Klein has an employment offer letter agreement that he entered into when he first joined TriQuint (and which has been subsequently assumed by Qorvo). The employment agreement, the offer letter agreement and the change in control agreements between the Named Executive Officers and Qorvo are discussed below under the heading “Individual Agreements.”</w:t>
      </w:r>
    </w:p>
    <w:p>
      <w:pPr>
        <w:spacing w:after="0" w:line="394" w:lineRule="exact"/>
        <w:rPr>
          <w:sz w:val="20"/>
          <w:szCs w:val="20"/>
          <w:color w:val="auto"/>
        </w:rPr>
      </w:pPr>
    </w:p>
    <w:p>
      <w:pPr>
        <w:jc w:val="both"/>
        <w:ind w:left="120" w:right="180"/>
        <w:spacing w:after="0" w:line="250" w:lineRule="auto"/>
        <w:rPr>
          <w:sz w:val="20"/>
          <w:szCs w:val="20"/>
          <w:color w:val="auto"/>
        </w:rPr>
      </w:pPr>
      <w:r>
        <w:rPr>
          <w:rFonts w:ascii="Arial" w:cs="Arial" w:eastAsia="Arial" w:hAnsi="Arial"/>
          <w:sz w:val="16"/>
          <w:szCs w:val="16"/>
          <w:color w:val="auto"/>
        </w:rPr>
        <w:t>The information below describes and quantifies certain compensation that would become payable under existing plans and arrangements if our Named Executive Officers’ employment had terminated on March 28, 2020 and the price per share of our common stock on the date of termination was $80.69, which was the closing price of our common stock on March 27, 2020 (the last business day of our fiscal year). These benefits are in addition to benefits available generally to employees, such as distributions under our 401(k) plan and deferred compensation plan, disability benefits and accrued vacation pay.</w:t>
      </w:r>
    </w:p>
    <w:p>
      <w:pPr>
        <w:spacing w:after="0" w:line="203" w:lineRule="exact"/>
        <w:rPr>
          <w:sz w:val="20"/>
          <w:szCs w:val="20"/>
          <w:color w:val="auto"/>
        </w:rPr>
      </w:pPr>
    </w:p>
    <w:p>
      <w:pPr>
        <w:ind w:left="120" w:right="320"/>
        <w:spacing w:after="0" w:line="260" w:lineRule="auto"/>
        <w:rPr>
          <w:sz w:val="20"/>
          <w:szCs w:val="20"/>
          <w:color w:val="auto"/>
        </w:rPr>
      </w:pPr>
      <w:r>
        <w:rPr>
          <w:rFonts w:ascii="Arial" w:cs="Arial" w:eastAsia="Arial" w:hAnsi="Arial"/>
          <w:sz w:val="16"/>
          <w:szCs w:val="16"/>
          <w:color w:val="auto"/>
        </w:rPr>
        <w:t>Due to the number of factors that affect the nature and amount of any benefits provided upon the events discussed below, any actual amounts paid or distributed may be different. Factors that could affect these amounts include the timing during the year of any such event and our stock price.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Equity Awards</w:t>
      </w:r>
    </w:p>
    <w:p>
      <w:pPr>
        <w:spacing w:after="0" w:line="128" w:lineRule="exact"/>
        <w:rPr>
          <w:sz w:val="20"/>
          <w:szCs w:val="20"/>
          <w:color w:val="auto"/>
        </w:rPr>
      </w:pPr>
    </w:p>
    <w:p>
      <w:pPr>
        <w:ind w:left="120" w:right="120"/>
        <w:spacing w:after="0" w:line="253" w:lineRule="auto"/>
        <w:rPr>
          <w:sz w:val="20"/>
          <w:szCs w:val="20"/>
          <w:color w:val="auto"/>
        </w:rPr>
      </w:pPr>
      <w:r>
        <w:rPr>
          <w:rFonts w:ascii="Arial" w:cs="Arial" w:eastAsia="Arial" w:hAnsi="Arial"/>
          <w:sz w:val="16"/>
          <w:szCs w:val="16"/>
          <w:color w:val="auto"/>
        </w:rPr>
        <w:t>Under our equity incentive plans, the option holder generally has three months to exercise vested options after the date employment ends (other than for death or disability). The option holder or his or her estate in the case of death may exercise the option upon the holder’s respective disability or death (excluding unvested amounts) for a period of one year.</w:t>
      </w:r>
    </w:p>
    <w:p>
      <w:pPr>
        <w:spacing w:after="0" w:line="201" w:lineRule="exact"/>
        <w:rPr>
          <w:sz w:val="20"/>
          <w:szCs w:val="20"/>
          <w:color w:val="auto"/>
        </w:rPr>
      </w:pPr>
    </w:p>
    <w:p>
      <w:pPr>
        <w:ind w:left="120" w:right="320"/>
        <w:spacing w:after="0" w:line="251" w:lineRule="auto"/>
        <w:rPr>
          <w:sz w:val="20"/>
          <w:szCs w:val="20"/>
          <w:color w:val="auto"/>
        </w:rPr>
      </w:pPr>
      <w:r>
        <w:rPr>
          <w:rFonts w:ascii="Arial" w:cs="Arial" w:eastAsia="Arial" w:hAnsi="Arial"/>
          <w:sz w:val="16"/>
          <w:szCs w:val="16"/>
          <w:color w:val="auto"/>
        </w:rPr>
        <w:t>Under our equity incentive plans, unvested restricted stock unit awards are generally forfeited upon termination. However, restricted stock unit awards granted to the Named Executive Officers under the 2012 Plan generally will continue to vest pursuant to the same vesting schedule in the event of termination of employment, other than death or for cause, as if such individual had remained an employee of Qorvo, subject to certain restrictive covenants, clawback provisions and other conditions.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401(k) Savings Plan; Deferred Compensation Plan</w:t>
      </w:r>
    </w:p>
    <w:p>
      <w:pPr>
        <w:spacing w:after="0" w:line="128"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auto"/>
        </w:rPr>
        <w:t>The Company maintains a 401(k) plan and a deferred compensation plan for U.S. employees, including each of our Named Executive Officers. We match 100% of the first 1%, and 50% of the next 5%, of each employee’s eligible earnings contributed to the 401(k) plan, and employees immediately vest in our contributions. Under the deferred compensation plan, employees who are</w:t>
      </w:r>
    </w:p>
    <w:p>
      <w:pPr>
        <w:spacing w:after="0" w:line="132" w:lineRule="exact"/>
        <w:rPr>
          <w:sz w:val="20"/>
          <w:szCs w:val="20"/>
          <w:color w:val="auto"/>
        </w:rPr>
      </w:pPr>
    </w:p>
    <w:p>
      <w:pPr>
        <w:ind w:left="120"/>
        <w:spacing w:after="0"/>
        <w:tabs>
          <w:tab w:leader="none" w:pos="541" w:val="left"/>
        </w:tabs>
        <w:rPr>
          <w:sz w:val="20"/>
          <w:szCs w:val="20"/>
          <w:color w:val="auto"/>
        </w:rPr>
      </w:pPr>
      <w:r>
        <w:rPr>
          <w:rFonts w:ascii="Arial" w:cs="Arial" w:eastAsia="Arial" w:hAnsi="Arial"/>
          <w:sz w:val="18"/>
          <w:szCs w:val="18"/>
          <w:color w:val="auto"/>
        </w:rPr>
        <w:t>38</w:t>
      </w:r>
      <w:r>
        <w:rPr>
          <w:sz w:val="20"/>
          <w:szCs w:val="20"/>
          <w:color w:val="auto"/>
        </w:rPr>
        <w:tab/>
      </w:r>
      <w:r>
        <w:rPr>
          <w:sz w:val="1"/>
          <w:szCs w:val="1"/>
          <w:color w:val="auto"/>
        </w:rPr>
        <w:drawing>
          <wp:inline distT="0" distB="0" distL="0" distR="0">
            <wp:extent cx="582930" cy="13716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i w:val="1"/>
          <w:iCs w:val="1"/>
          <w:color w:val="1269BC"/>
        </w:rPr>
        <w:t xml:space="preserve">   2020 Proxy Statement</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14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5" w:lineRule="exact"/>
        <w:rPr>
          <w:sz w:val="20"/>
          <w:szCs w:val="20"/>
          <w:color w:val="auto"/>
        </w:rPr>
      </w:pPr>
    </w:p>
    <w:p>
      <w:pPr>
        <w:ind w:left="120" w:right="160"/>
        <w:spacing w:after="0" w:line="253" w:lineRule="auto"/>
        <w:rPr>
          <w:sz w:val="20"/>
          <w:szCs w:val="20"/>
          <w:color w:val="auto"/>
        </w:rPr>
      </w:pPr>
      <w:r>
        <w:rPr>
          <w:rFonts w:ascii="Arial" w:cs="Arial" w:eastAsia="Arial" w:hAnsi="Arial"/>
          <w:sz w:val="16"/>
          <w:szCs w:val="16"/>
          <w:color w:val="auto"/>
        </w:rPr>
        <w:t>eligible to participate are provided with the opportunity to defer a specified percentage of their base salary and short-term incentive awards paid in cash, which the Company will be obligated to deliver on a future date. None of our Named Executive Officers has elected to defer compensation under the deferred compensation plan.</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Employee Stock Purchase Plan</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Upon termination of employment, all amounts in a participant’s ESPP account are paid to the participant.</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Medical Benefits</w:t>
      </w:r>
    </w:p>
    <w:p>
      <w:pPr>
        <w:spacing w:after="0" w:line="128"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auto"/>
        </w:rPr>
        <w:t>All medical insurance benefits terminate effective at midnight on the last day of the month in which employment is terminated. Health care continuation coverage rules, commonly referred to as COBRA, require us to provide employees enrolled in our health, dental and vision plans with an opportunity to purchase continued health care coverage at their own expense upon the occurrence of a qualifying event, such as termination of employment for reasons other than gross misconduct, reduction in hours worked, divorce, death or loss of dependency status.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Individual Agreements</w:t>
      </w:r>
    </w:p>
    <w:p>
      <w:pPr>
        <w:spacing w:after="0" w:line="112" w:lineRule="exact"/>
        <w:rPr>
          <w:sz w:val="20"/>
          <w:szCs w:val="20"/>
          <w:color w:val="auto"/>
        </w:rPr>
      </w:pPr>
    </w:p>
    <w:p>
      <w:pPr>
        <w:ind w:left="120" w:right="80"/>
        <w:spacing w:after="0" w:line="252" w:lineRule="auto"/>
        <w:rPr>
          <w:sz w:val="20"/>
          <w:szCs w:val="20"/>
          <w:color w:val="auto"/>
        </w:rPr>
      </w:pPr>
      <w:r>
        <w:rPr>
          <w:rFonts w:ascii="Arial" w:cs="Arial" w:eastAsia="Arial" w:hAnsi="Arial"/>
          <w:sz w:val="16"/>
          <w:szCs w:val="16"/>
          <w:i w:val="1"/>
          <w:iCs w:val="1"/>
          <w:color w:val="auto"/>
        </w:rPr>
        <w:t xml:space="preserve">Employment Agreement with Mr. Bruggeworth. </w:t>
      </w:r>
      <w:r>
        <w:rPr>
          <w:rFonts w:ascii="Arial" w:cs="Arial" w:eastAsia="Arial" w:hAnsi="Arial"/>
          <w:sz w:val="16"/>
          <w:szCs w:val="16"/>
          <w:color w:val="auto"/>
        </w:rPr>
        <w:t>In connection with the Business Combination, Qorvo assumed the November 12, 2008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previously entered into between RFMD and Mr. Bruggeworth, our President and Chief Executive Officer. Pursuant to this assumed employment agreement, the term of the employment agreement continues until the earliest of (a) November 11, 2010 (as extended as described in the following sentence); (b) Mr. Bruggeworth’s death; (c) termination by Qorvo for “Cause,” as defined in the employment agreement or otherwise upon 30 days’ notice; (d) termination by Mr. Bruggeworth for “Good Reason,” as defined in the employment agreement or otherwise on 30 days’ notice; or (e) the end of any 180-day Disability Period, as defined in the employment agreement. The employment agreement is subject to automatic daily extension of the two-year term until notice of non-extension is given in accordance with the terms of the employment agreement.</w:t>
      </w:r>
    </w:p>
    <w:p>
      <w:pPr>
        <w:spacing w:after="0" w:line="203" w:lineRule="exact"/>
        <w:rPr>
          <w:sz w:val="20"/>
          <w:szCs w:val="20"/>
          <w:color w:val="auto"/>
        </w:rPr>
      </w:pPr>
    </w:p>
    <w:p>
      <w:pPr>
        <w:ind w:left="120" w:right="500"/>
        <w:spacing w:after="0" w:line="253" w:lineRule="auto"/>
        <w:rPr>
          <w:sz w:val="20"/>
          <w:szCs w:val="20"/>
          <w:color w:val="auto"/>
        </w:rPr>
      </w:pPr>
      <w:r>
        <w:rPr>
          <w:rFonts w:ascii="Arial" w:cs="Arial" w:eastAsia="Arial" w:hAnsi="Arial"/>
          <w:sz w:val="16"/>
          <w:szCs w:val="16"/>
          <w:color w:val="auto"/>
        </w:rPr>
        <w:t>Under the employment agreement, Mr. Bruggeworth is entitled to a specified annual base salary, which amount is reviewed annually by the Compensation Committee and may be increased or reduced by the Compensation Committee if part of a salary reduction plan for similarly situated officers. Mr. Bruggeworth also is eligible to receive the following compensatory benefits:</w:t>
      </w:r>
    </w:p>
    <w:p>
      <w:pPr>
        <w:spacing w:after="0" w:line="107" w:lineRule="exact"/>
        <w:rPr>
          <w:sz w:val="20"/>
          <w:szCs w:val="20"/>
          <w:color w:val="auto"/>
        </w:rPr>
      </w:pPr>
    </w:p>
    <w:p>
      <w:pPr>
        <w:ind w:left="540" w:right="280" w:hanging="424"/>
        <w:spacing w:after="0" w:line="260" w:lineRule="auto"/>
        <w:tabs>
          <w:tab w:leader="none" w:pos="540" w:val="left"/>
        </w:tabs>
        <w:numPr>
          <w:ilvl w:val="0"/>
          <w:numId w:val="35"/>
        </w:numPr>
        <w:rPr>
          <w:rFonts w:ascii="Arial" w:cs="Arial" w:eastAsia="Arial" w:hAnsi="Arial"/>
          <w:sz w:val="16"/>
          <w:szCs w:val="16"/>
          <w:color w:val="1269BC"/>
        </w:rPr>
      </w:pPr>
      <w:r>
        <w:rPr>
          <w:rFonts w:ascii="Arial" w:cs="Arial" w:eastAsia="Arial" w:hAnsi="Arial"/>
          <w:sz w:val="16"/>
          <w:szCs w:val="16"/>
          <w:color w:val="auto"/>
        </w:rPr>
        <w:t>A bonus opportunity under the Short-Term Incentive Plan for each performance period during the term of the employment agreement. The target annual bonus opportunity in each performance period cannot be less than 100% of Mr. Bruggeworth’s base salary.</w:t>
      </w:r>
    </w:p>
    <w:p>
      <w:pPr>
        <w:spacing w:after="0" w:line="100" w:lineRule="exact"/>
        <w:rPr>
          <w:rFonts w:ascii="Arial" w:cs="Arial" w:eastAsia="Arial" w:hAnsi="Arial"/>
          <w:sz w:val="16"/>
          <w:szCs w:val="16"/>
          <w:color w:val="1269BC"/>
        </w:rPr>
      </w:pPr>
    </w:p>
    <w:p>
      <w:pPr>
        <w:ind w:left="540" w:right="100" w:hanging="424"/>
        <w:spacing w:after="0" w:line="260" w:lineRule="auto"/>
        <w:tabs>
          <w:tab w:leader="none" w:pos="540" w:val="left"/>
        </w:tabs>
        <w:numPr>
          <w:ilvl w:val="0"/>
          <w:numId w:val="35"/>
        </w:numPr>
        <w:rPr>
          <w:rFonts w:ascii="Arial" w:cs="Arial" w:eastAsia="Arial" w:hAnsi="Arial"/>
          <w:sz w:val="16"/>
          <w:szCs w:val="16"/>
          <w:color w:val="1269BC"/>
        </w:rPr>
      </w:pPr>
      <w:r>
        <w:rPr>
          <w:rFonts w:ascii="Arial" w:cs="Arial" w:eastAsia="Arial" w:hAnsi="Arial"/>
          <w:sz w:val="16"/>
          <w:szCs w:val="16"/>
          <w:color w:val="auto"/>
        </w:rPr>
        <w:t>The opportunity to receive periodic grants of equity compensation under the Company’s equity plans, in the Compensation Committee’s discretion, so long as he is treated similarly to other senior executive officers.</w:t>
      </w:r>
    </w:p>
    <w:p>
      <w:pPr>
        <w:spacing w:after="0" w:line="100" w:lineRule="exact"/>
        <w:rPr>
          <w:rFonts w:ascii="Arial" w:cs="Arial" w:eastAsia="Arial" w:hAnsi="Arial"/>
          <w:sz w:val="16"/>
          <w:szCs w:val="16"/>
          <w:color w:val="1269BC"/>
        </w:rPr>
      </w:pPr>
    </w:p>
    <w:p>
      <w:pPr>
        <w:ind w:left="540" w:right="680" w:hanging="424"/>
        <w:spacing w:after="0" w:line="260" w:lineRule="auto"/>
        <w:tabs>
          <w:tab w:leader="none" w:pos="540" w:val="left"/>
        </w:tabs>
        <w:numPr>
          <w:ilvl w:val="0"/>
          <w:numId w:val="35"/>
        </w:numPr>
        <w:rPr>
          <w:rFonts w:ascii="Arial" w:cs="Arial" w:eastAsia="Arial" w:hAnsi="Arial"/>
          <w:sz w:val="16"/>
          <w:szCs w:val="16"/>
          <w:color w:val="1269BC"/>
        </w:rPr>
      </w:pPr>
      <w:r>
        <w:rPr>
          <w:rFonts w:ascii="Arial" w:cs="Arial" w:eastAsia="Arial" w:hAnsi="Arial"/>
          <w:sz w:val="16"/>
          <w:szCs w:val="16"/>
          <w:color w:val="auto"/>
        </w:rPr>
        <w:t>The right to participate in other bonus or incentive plans, paid time off and other retirement plans and welfare benefits in which other senior executive officers may participate in accordance with our policies as in effect from time to time.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the employment agreement is terminated, Mr. Bruggeworth would be entitled to be compensated in the following manner:</w:t>
      </w:r>
    </w:p>
    <w:p>
      <w:pPr>
        <w:spacing w:after="0" w:line="127" w:lineRule="exact"/>
        <w:rPr>
          <w:sz w:val="20"/>
          <w:szCs w:val="20"/>
          <w:color w:val="auto"/>
        </w:rPr>
      </w:pPr>
    </w:p>
    <w:p>
      <w:pPr>
        <w:ind w:left="540" w:right="100" w:hanging="424"/>
        <w:spacing w:after="0" w:line="253" w:lineRule="auto"/>
        <w:tabs>
          <w:tab w:leader="none" w:pos="540" w:val="left"/>
        </w:tabs>
        <w:numPr>
          <w:ilvl w:val="0"/>
          <w:numId w:val="36"/>
        </w:numPr>
        <w:rPr>
          <w:rFonts w:ascii="Arial" w:cs="Arial" w:eastAsia="Arial" w:hAnsi="Arial"/>
          <w:sz w:val="16"/>
          <w:szCs w:val="16"/>
          <w:color w:val="1269BC"/>
        </w:rPr>
      </w:pPr>
      <w:r>
        <w:rPr>
          <w:rFonts w:ascii="Arial" w:cs="Arial" w:eastAsia="Arial" w:hAnsi="Arial"/>
          <w:sz w:val="16"/>
          <w:szCs w:val="16"/>
          <w:color w:val="auto"/>
        </w:rPr>
        <w:t>Termination for any reason: Mr. Bruggeworth would be entitled to receive (a) base salary through the date of termination; (b) any previously earned but unpaid bonus under the Short-Term Incentive Plan for a completed performance period; (c) rights under equity plans, retirement plans and welfare benefit plans, which would be determined based on respective plan terms; and (d) unpaid paid time off per our policy.</w:t>
      </w:r>
    </w:p>
    <w:p>
      <w:pPr>
        <w:spacing w:after="0" w:line="106" w:lineRule="exact"/>
        <w:rPr>
          <w:rFonts w:ascii="Arial" w:cs="Arial" w:eastAsia="Arial" w:hAnsi="Arial"/>
          <w:sz w:val="16"/>
          <w:szCs w:val="16"/>
          <w:color w:val="1269BC"/>
        </w:rPr>
      </w:pPr>
    </w:p>
    <w:p>
      <w:pPr>
        <w:jc w:val="both"/>
        <w:ind w:left="540" w:right="280" w:hanging="424"/>
        <w:spacing w:after="0" w:line="253" w:lineRule="auto"/>
        <w:tabs>
          <w:tab w:leader="none" w:pos="540" w:val="left"/>
        </w:tabs>
        <w:numPr>
          <w:ilvl w:val="0"/>
          <w:numId w:val="36"/>
        </w:numPr>
        <w:rPr>
          <w:rFonts w:ascii="Arial" w:cs="Arial" w:eastAsia="Arial" w:hAnsi="Arial"/>
          <w:sz w:val="16"/>
          <w:szCs w:val="16"/>
          <w:color w:val="1269BC"/>
        </w:rPr>
      </w:pPr>
      <w:r>
        <w:rPr>
          <w:rFonts w:ascii="Arial" w:cs="Arial" w:eastAsia="Arial" w:hAnsi="Arial"/>
          <w:sz w:val="16"/>
          <w:szCs w:val="16"/>
          <w:color w:val="auto"/>
        </w:rPr>
        <w:t>Termination due to death or total disability: Mr. Bruggeworth, or, in the case of his death, his beneficiary, would be entitled to receive the benefits described above under “Termination for any reason” plus the greater of Mr. Bruggeworth’s accrued annual bonus or accrued target bonus for the performance period in which the termination date occurs, in each case pro-rated based on the termination date.</w:t>
      </w:r>
    </w:p>
    <w:p>
      <w:pPr>
        <w:spacing w:after="0" w:line="106" w:lineRule="exact"/>
        <w:rPr>
          <w:rFonts w:ascii="Arial" w:cs="Arial" w:eastAsia="Arial" w:hAnsi="Arial"/>
          <w:sz w:val="16"/>
          <w:szCs w:val="16"/>
          <w:color w:val="1269BC"/>
        </w:rPr>
      </w:pPr>
    </w:p>
    <w:p>
      <w:pPr>
        <w:jc w:val="both"/>
        <w:ind w:left="540" w:right="180" w:hanging="424"/>
        <w:spacing w:after="0" w:line="246" w:lineRule="auto"/>
        <w:tabs>
          <w:tab w:leader="none" w:pos="540" w:val="left"/>
        </w:tabs>
        <w:numPr>
          <w:ilvl w:val="0"/>
          <w:numId w:val="36"/>
        </w:numPr>
        <w:rPr>
          <w:rFonts w:ascii="Arial" w:cs="Arial" w:eastAsia="Arial" w:hAnsi="Arial"/>
          <w:sz w:val="16"/>
          <w:szCs w:val="16"/>
          <w:color w:val="1269BC"/>
        </w:rPr>
      </w:pPr>
      <w:r>
        <w:rPr>
          <w:rFonts w:ascii="Arial" w:cs="Arial" w:eastAsia="Arial" w:hAnsi="Arial"/>
          <w:sz w:val="16"/>
          <w:szCs w:val="16"/>
          <w:color w:val="auto"/>
        </w:rPr>
        <w:t>Termination by Qorvo without cause or by Mr. Bruggeworth with good reason: Mr. Bruggeworth would be entitled to receive the benefits described above under “Termination for any reason” plus (a) salary continuation equal to two times base salary; (b) his accrued annual bonus (payable after end of performance period), pro-rated based on the termination date; (c) a special bonus equal to two times his target annual bonus;</w:t>
      </w:r>
    </w:p>
    <w:p>
      <w:pPr>
        <w:spacing w:after="0" w:line="1" w:lineRule="exact"/>
        <w:rPr>
          <w:rFonts w:ascii="Arial" w:cs="Arial" w:eastAsia="Arial" w:hAnsi="Arial"/>
          <w:sz w:val="16"/>
          <w:szCs w:val="16"/>
          <w:color w:val="1269BC"/>
        </w:rPr>
      </w:pPr>
    </w:p>
    <w:p>
      <w:pPr>
        <w:ind w:left="800" w:hanging="252"/>
        <w:spacing w:after="0"/>
        <w:tabs>
          <w:tab w:leader="none" w:pos="8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continuation coverage of health care benefits (or substantially identical individual coverage, plus special health care benefit) for two years;</w:t>
      </w:r>
    </w:p>
    <w:p>
      <w:pPr>
        <w:spacing w:after="0" w:line="5" w:lineRule="exact"/>
        <w:rPr>
          <w:rFonts w:ascii="Arial" w:cs="Arial" w:eastAsia="Arial" w:hAnsi="Arial"/>
          <w:sz w:val="16"/>
          <w:szCs w:val="16"/>
          <w:color w:val="auto"/>
        </w:rPr>
      </w:pPr>
    </w:p>
    <w:p>
      <w:pPr>
        <w:ind w:left="540" w:right="20" w:firstLine="8"/>
        <w:spacing w:after="0" w:line="246" w:lineRule="auto"/>
        <w:tabs>
          <w:tab w:leader="none" w:pos="783" w:val="left"/>
        </w:tabs>
        <w:numPr>
          <w:ilvl w:val="1"/>
          <w:numId w:val="36"/>
        </w:numPr>
        <w:rPr>
          <w:rFonts w:ascii="Arial" w:cs="Arial" w:eastAsia="Arial" w:hAnsi="Arial"/>
          <w:sz w:val="16"/>
          <w:szCs w:val="16"/>
          <w:color w:val="auto"/>
        </w:rPr>
      </w:pPr>
      <w:r>
        <w:rPr>
          <w:rFonts w:ascii="Arial" w:cs="Arial" w:eastAsia="Arial" w:hAnsi="Arial"/>
          <w:sz w:val="16"/>
          <w:szCs w:val="16"/>
          <w:color w:val="auto"/>
        </w:rPr>
        <w:t>equity awards (other than performance-based equity awards), which will be governed by terms of the respective equity plan and individual equity award agreement (including the right of the Compensation Committee to determine if post-termination vesting and/or exercise rights apply);</w:t>
      </w:r>
    </w:p>
    <w:p>
      <w:pPr>
        <w:ind w:left="540" w:right="60" w:firstLine="8"/>
        <w:spacing w:after="0" w:line="251" w:lineRule="auto"/>
        <w:tabs>
          <w:tab w:leader="none" w:pos="738" w:val="left"/>
        </w:tabs>
        <w:numPr>
          <w:ilvl w:val="1"/>
          <w:numId w:val="36"/>
        </w:numPr>
        <w:rPr>
          <w:rFonts w:ascii="Arial" w:cs="Arial" w:eastAsia="Arial" w:hAnsi="Arial"/>
          <w:sz w:val="16"/>
          <w:szCs w:val="16"/>
          <w:color w:val="auto"/>
        </w:rPr>
      </w:pPr>
      <w:r>
        <w:rPr>
          <w:rFonts w:ascii="Arial" w:cs="Arial" w:eastAsia="Arial" w:hAnsi="Arial"/>
          <w:sz w:val="16"/>
          <w:szCs w:val="16"/>
          <w:color w:val="auto"/>
        </w:rPr>
        <w:t>performance- based equity awards and any previously earned equity-based awards, which will be deemed earned, if at all, on a pro rata basis only if performance goals are met during the performance period, with such earned awards being deemed fully vested at grant or as of the date of termination in the case of previously earned awards; and (g) eligibility to participate in other welfare benefit plans on the same terms and conditions as available to active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84455</wp:posOffset>
            </wp:positionV>
            <wp:extent cx="58293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pacing w:after="0" w:line="14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i w:val="1"/>
          <w:iCs w:val="1"/>
          <w:color w:val="1269BC"/>
        </w:rPr>
        <w:t>2020 Proxy Statement</w:t>
      </w:r>
      <w:r>
        <w:rPr>
          <w:sz w:val="20"/>
          <w:szCs w:val="20"/>
          <w:color w:val="auto"/>
        </w:rPr>
        <w:tab/>
      </w:r>
      <w:r>
        <w:rPr>
          <w:rFonts w:ascii="Arial" w:cs="Arial" w:eastAsia="Arial" w:hAnsi="Arial"/>
          <w:sz w:val="17"/>
          <w:szCs w:val="17"/>
          <w:color w:val="auto"/>
        </w:rPr>
        <w:t>39</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5" w:lineRule="exact"/>
        <w:rPr>
          <w:sz w:val="20"/>
          <w:szCs w:val="20"/>
          <w:color w:val="auto"/>
        </w:rPr>
      </w:pPr>
    </w:p>
    <w:p>
      <w:pPr>
        <w:ind w:left="540" w:right="280" w:hanging="424"/>
        <w:spacing w:after="0" w:line="260" w:lineRule="auto"/>
        <w:tabs>
          <w:tab w:leader="none" w:pos="540" w:val="left"/>
        </w:tabs>
        <w:numPr>
          <w:ilvl w:val="0"/>
          <w:numId w:val="37"/>
        </w:numPr>
        <w:rPr>
          <w:rFonts w:ascii="Arial" w:cs="Arial" w:eastAsia="Arial" w:hAnsi="Arial"/>
          <w:sz w:val="16"/>
          <w:szCs w:val="16"/>
          <w:color w:val="1269BC"/>
        </w:rPr>
      </w:pPr>
      <w:r>
        <w:rPr>
          <w:rFonts w:ascii="Arial" w:cs="Arial" w:eastAsia="Arial" w:hAnsi="Arial"/>
          <w:sz w:val="16"/>
          <w:szCs w:val="16"/>
          <w:color w:val="auto"/>
        </w:rPr>
        <w:t>Termination by Qorvo for cause or by Mr. Bruggeworth without good reason: Mr. Bruggeworth would be entitled to receive the benefits described above under “Termination for any reason.”</w:t>
      </w:r>
    </w:p>
    <w:p>
      <w:pPr>
        <w:spacing w:after="0" w:line="100" w:lineRule="exact"/>
        <w:rPr>
          <w:rFonts w:ascii="Arial" w:cs="Arial" w:eastAsia="Arial" w:hAnsi="Arial"/>
          <w:sz w:val="16"/>
          <w:szCs w:val="16"/>
          <w:color w:val="1269BC"/>
        </w:rPr>
      </w:pPr>
    </w:p>
    <w:p>
      <w:pPr>
        <w:ind w:left="540" w:right="80" w:hanging="424"/>
        <w:spacing w:after="0" w:line="260" w:lineRule="auto"/>
        <w:tabs>
          <w:tab w:leader="none" w:pos="540" w:val="left"/>
        </w:tabs>
        <w:numPr>
          <w:ilvl w:val="0"/>
          <w:numId w:val="37"/>
        </w:numPr>
        <w:rPr>
          <w:rFonts w:ascii="Arial" w:cs="Arial" w:eastAsia="Arial" w:hAnsi="Arial"/>
          <w:sz w:val="16"/>
          <w:szCs w:val="16"/>
          <w:color w:val="1269BC"/>
        </w:rPr>
      </w:pPr>
      <w:r>
        <w:rPr>
          <w:rFonts w:ascii="Arial" w:cs="Arial" w:eastAsia="Arial" w:hAnsi="Arial"/>
          <w:sz w:val="16"/>
          <w:szCs w:val="16"/>
          <w:color w:val="auto"/>
        </w:rPr>
        <w:t>Change of Control: Benefits (if any) paid under Mr. Bruggeworth’s existing change in control agreement would offset benefits (if any) paid under the employment agreement following Mr. Bruggeworth’s termination.</w:t>
      </w:r>
    </w:p>
    <w:p>
      <w:pPr>
        <w:spacing w:after="0" w:line="195" w:lineRule="exact"/>
        <w:rPr>
          <w:sz w:val="20"/>
          <w:szCs w:val="20"/>
          <w:color w:val="auto"/>
        </w:rPr>
      </w:pPr>
    </w:p>
    <w:p>
      <w:pPr>
        <w:ind w:left="120" w:right="160"/>
        <w:spacing w:after="0" w:line="253" w:lineRule="auto"/>
        <w:rPr>
          <w:sz w:val="20"/>
          <w:szCs w:val="20"/>
          <w:color w:val="auto"/>
        </w:rPr>
      </w:pPr>
      <w:r>
        <w:rPr>
          <w:rFonts w:ascii="Arial" w:cs="Arial" w:eastAsia="Arial" w:hAnsi="Arial"/>
          <w:sz w:val="16"/>
          <w:szCs w:val="16"/>
          <w:color w:val="auto"/>
        </w:rPr>
        <w:t>The employment agreement also establishes certain employment and post-termination obligations for Mr. Bruggeworth. He is required to assist in any Qorvo litigation and also is required to comply with certain confidentiality, nondisparagement, noncompetition and nonsolicitation covenants contained in the employment agreement.</w:t>
      </w:r>
    </w:p>
    <w:p>
      <w:pPr>
        <w:spacing w:after="0" w:line="201"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auto"/>
        </w:rPr>
        <w:t>Further, the employment agreement provides that if independent accountants determine that part or all of the payments and benefits to be paid to Mr. Bruggeworth under the employment agreement and all other plans or arrangements of Qorvo (a) constitute “parachute payments” under Code Section 280G, and (b) will more likely than not cause Mr. Bruggeworth to incur an excise tax under Code Section 4999 as a result of such payments or other benefits, Qorvo will pay a gross-up payment so that the net amount Mr. Bruggeworth will receive after payment of any excise tax equals the amount that he would have received if the excise tax had not been imposed. If the excise tax would not apply if the total payments to Mr. Bruggeworth were reduced by an amount less than 5%, then the amounts payable will be so reduced and gross-up payments would not be made to Mr. Bruggeworth.</w:t>
      </w:r>
    </w:p>
    <w:p>
      <w:pPr>
        <w:spacing w:after="0" w:line="205" w:lineRule="exact"/>
        <w:rPr>
          <w:sz w:val="20"/>
          <w:szCs w:val="20"/>
          <w:color w:val="auto"/>
        </w:rPr>
      </w:pPr>
    </w:p>
    <w:p>
      <w:pPr>
        <w:ind w:left="120" w:right="40"/>
        <w:spacing w:after="0" w:line="246" w:lineRule="auto"/>
        <w:rPr>
          <w:sz w:val="20"/>
          <w:szCs w:val="20"/>
          <w:color w:val="auto"/>
        </w:rPr>
      </w:pPr>
      <w:r>
        <w:rPr>
          <w:rFonts w:ascii="Arial" w:cs="Arial" w:eastAsia="Arial" w:hAnsi="Arial"/>
          <w:sz w:val="16"/>
          <w:szCs w:val="16"/>
          <w:color w:val="auto"/>
        </w:rPr>
        <w:t>The employment agreement also contains certain forfeiture and recoupment rights. Generally, during the term of the employment agreement and the 24-month period following the expiration thereof, if Mr. Bruggeworth engages in a “Prohibited Activity,” then (a) any equity awards granted or subject to vesting during the Prohibited Activity Term would be forfeited; (b) any and all shares issued to Mr. Bruggeworth under an equity award granted during the Prohibited Activity Term would be forfeited (without payment of consideration); (c) any gain realized by Mr. Bruggeworth with respect to any shares issued pursuant to an equity award granted during the Prohibited Activity Term would be required to be immediately paid to Qorvo; (d) any cash/incentive payments made during the Prohibited Activity Term would be required to be returned to Qorvo; and (e) any rights to future cash/incentive payments granted during the Prohibited Activity Term would be forfeited. Qorvo also has an offset right to recover such amounts against amounts otherwise due to Mr. Bruggeworth. For purposes of the employment agreement, “Prohibited Activity” includes (a) violation of certain restrictive covenants;</w:t>
      </w:r>
    </w:p>
    <w:p>
      <w:pPr>
        <w:spacing w:after="0" w:line="3" w:lineRule="exact"/>
        <w:rPr>
          <w:sz w:val="20"/>
          <w:szCs w:val="20"/>
          <w:color w:val="auto"/>
        </w:rPr>
      </w:pPr>
    </w:p>
    <w:p>
      <w:pPr>
        <w:ind w:left="360" w:hanging="244"/>
        <w:spacing w:after="0"/>
        <w:tabs>
          <w:tab w:leader="none" w:pos="3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Mr. Bruggeworth’s engaging in willful conduct that results in an obligation to reimburse Qorvo under Section 304 of the Sarbanes-Oxley Act of 2002; or</w:t>
      </w:r>
    </w:p>
    <w:p>
      <w:pPr>
        <w:spacing w:after="0" w:line="5" w:lineRule="exact"/>
        <w:rPr>
          <w:rFonts w:ascii="Arial" w:cs="Arial" w:eastAsia="Arial" w:hAnsi="Arial"/>
          <w:sz w:val="16"/>
          <w:szCs w:val="16"/>
          <w:color w:val="auto"/>
        </w:rPr>
      </w:pPr>
    </w:p>
    <w:p>
      <w:pPr>
        <w:ind w:left="120" w:right="460" w:hanging="4"/>
        <w:spacing w:after="0" w:line="260" w:lineRule="auto"/>
        <w:tabs>
          <w:tab w:leader="none" w:pos="354" w:val="left"/>
        </w:tabs>
        <w:numPr>
          <w:ilvl w:val="0"/>
          <w:numId w:val="38"/>
        </w:numPr>
        <w:rPr>
          <w:rFonts w:ascii="Arial" w:cs="Arial" w:eastAsia="Arial" w:hAnsi="Arial"/>
          <w:sz w:val="16"/>
          <w:szCs w:val="16"/>
          <w:color w:val="auto"/>
        </w:rPr>
      </w:pPr>
      <w:r>
        <w:rPr>
          <w:rFonts w:ascii="Arial" w:cs="Arial" w:eastAsia="Arial" w:hAnsi="Arial"/>
          <w:sz w:val="16"/>
          <w:szCs w:val="16"/>
          <w:color w:val="auto"/>
        </w:rPr>
        <w:t>Mr. Bruggeworth’s engaging in fraud, theft, misappropriation, embezzlement or dishonesty to the material detriment of Qorvo. “Prohibited Activity Term” means the period starting when Mr. Bruggeworth first engaged in Prohibited Activity conduct and without time limitation.</w:t>
      </w:r>
    </w:p>
    <w:p>
      <w:pPr>
        <w:spacing w:after="0" w:line="179" w:lineRule="exact"/>
        <w:rPr>
          <w:sz w:val="20"/>
          <w:szCs w:val="20"/>
          <w:color w:val="auto"/>
        </w:rPr>
      </w:pPr>
    </w:p>
    <w:p>
      <w:pPr>
        <w:ind w:left="120"/>
        <w:spacing w:after="0" w:line="255" w:lineRule="auto"/>
        <w:rPr>
          <w:sz w:val="20"/>
          <w:szCs w:val="20"/>
          <w:color w:val="auto"/>
        </w:rPr>
      </w:pPr>
      <w:r>
        <w:rPr>
          <w:rFonts w:ascii="Arial" w:cs="Arial" w:eastAsia="Arial" w:hAnsi="Arial"/>
          <w:sz w:val="16"/>
          <w:szCs w:val="16"/>
          <w:i w:val="1"/>
          <w:iCs w:val="1"/>
          <w:color w:val="auto"/>
        </w:rPr>
        <w:t xml:space="preserve">Offer Letter Agreement with Mr. Klein. </w:t>
      </w:r>
      <w:r>
        <w:rPr>
          <w:rFonts w:ascii="Arial" w:cs="Arial" w:eastAsia="Arial" w:hAnsi="Arial"/>
          <w:sz w:val="16"/>
          <w:szCs w:val="16"/>
          <w:color w:val="auto"/>
        </w:rPr>
        <w:t>In connection with his initial employment by TriQuint, Mr. Klein entered into an employment offer letter agreement in</w:t>
      </w:r>
      <w:r>
        <w:rPr>
          <w:rFonts w:ascii="Arial" w:cs="Arial" w:eastAsia="Arial" w:hAnsi="Arial"/>
          <w:sz w:val="16"/>
          <w:szCs w:val="16"/>
          <w:i w:val="1"/>
          <w:iCs w:val="1"/>
          <w:color w:val="auto"/>
        </w:rPr>
        <w:t xml:space="preserve"> </w:t>
      </w:r>
      <w:r>
        <w:rPr>
          <w:rFonts w:ascii="Arial" w:cs="Arial" w:eastAsia="Arial" w:hAnsi="Arial"/>
          <w:sz w:val="16"/>
          <w:szCs w:val="16"/>
          <w:color w:val="auto"/>
        </w:rPr>
        <w:t>2011 that specified his initial salary, target bonus and equity awards. This offer letter agreement was subsequently assumed by Qorvo in connection with the Business Combination. Under this offer letter agreement, in the event of a termination of employment without cause or a resignation by Mr. Klein for good reason, Mr. Klein is entitled to a lump sum severance payment equal to one year of base salary and continuation of health and life insurance benefits for 12 months.</w:t>
      </w:r>
    </w:p>
    <w:p>
      <w:pPr>
        <w:spacing w:after="0" w:line="200"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auto"/>
        </w:rPr>
        <w:t>Pursuant to the offer letter agreement, the term “termination for cause” means a termination of employment by the Company for any of the following reasons: (a) intentional failure to perform assigned duties; (b) personal dishonesty; (c) incompetence, as measured against standards generally prevailing in the industry; (d) willful misconduct; (e) any breach of fiduciary duty involving personal profit; (f) willful violation of any domestic or international law, rule, regulation or final cease and desist order; or (g) any sexual or other harassment of others.</w:t>
      </w:r>
    </w:p>
    <w:p>
      <w:pPr>
        <w:spacing w:after="0" w:line="202" w:lineRule="exact"/>
        <w:rPr>
          <w:sz w:val="20"/>
          <w:szCs w:val="20"/>
          <w:color w:val="auto"/>
        </w:rPr>
      </w:pPr>
    </w:p>
    <w:p>
      <w:pPr>
        <w:ind w:left="120" w:right="40"/>
        <w:spacing w:after="0" w:line="246" w:lineRule="auto"/>
        <w:rPr>
          <w:sz w:val="20"/>
          <w:szCs w:val="20"/>
          <w:color w:val="auto"/>
        </w:rPr>
      </w:pPr>
      <w:r>
        <w:rPr>
          <w:rFonts w:ascii="Arial" w:cs="Arial" w:eastAsia="Arial" w:hAnsi="Arial"/>
          <w:sz w:val="16"/>
          <w:szCs w:val="16"/>
          <w:color w:val="auto"/>
        </w:rPr>
        <w:t>Pursuant to the offer letter agreement, a “resignation for good reason” is deemed to occur if Mr. Klein resigns employment within sixty (60) days of the occurrence of any of the following that occur without the officer’s written consent: (a) a loss of the title; (b) a material reduction in duties or responsibilities;</w:t>
      </w:r>
    </w:p>
    <w:p>
      <w:pPr>
        <w:spacing w:after="0" w:line="1" w:lineRule="exact"/>
        <w:rPr>
          <w:sz w:val="20"/>
          <w:szCs w:val="20"/>
          <w:color w:val="auto"/>
        </w:rPr>
      </w:pPr>
    </w:p>
    <w:p>
      <w:pPr>
        <w:ind w:left="360" w:hanging="244"/>
        <w:spacing w:after="0"/>
        <w:tabs>
          <w:tab w:leader="none" w:pos="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reduction in base salary or any target bonus (other than a reduction comparable in percentage to a reduction affecting other officers generally);</w:t>
      </w:r>
    </w:p>
    <w:p>
      <w:pPr>
        <w:spacing w:after="0" w:line="5" w:lineRule="exact"/>
        <w:rPr>
          <w:rFonts w:ascii="Arial" w:cs="Arial" w:eastAsia="Arial" w:hAnsi="Arial"/>
          <w:sz w:val="16"/>
          <w:szCs w:val="16"/>
          <w:color w:val="auto"/>
        </w:rPr>
      </w:pPr>
    </w:p>
    <w:p>
      <w:pPr>
        <w:ind w:left="120" w:right="420" w:hanging="4"/>
        <w:spacing w:after="0" w:line="253" w:lineRule="auto"/>
        <w:tabs>
          <w:tab w:leader="none" w:pos="363"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material reduction in benefits (other than a reduction affecting the Company’s personnel generally); or (e) a company-mandated relocation of Mr. Klein’s principal place of employment or current principal residence by more than 50 miles from its respective location immediately prior to the resignation.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Change in Control Agreements.</w:t>
      </w:r>
    </w:p>
    <w:p>
      <w:pPr>
        <w:spacing w:after="0" w:line="129"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We have entered into change in control agreements with each of our Named Executive Officers. The change in control agreements will end on the earliest of: (a) the first anniversary of the effective date, subject to automatic renewal for additional one-year periods unless we give notice to the officer that we do not wish to extend it; (b) the termination of the officer’s employment with us for any reason during the period from the effective date until the date that is ninety (90) days prior to a change in control; (c) the termination of the officer’s employment with us by the officer without good reason or by us with cause; or (d) the end of a two-year period following a change in control and the fulfillment by us and the officer of all obligations under the agreement.</w:t>
      </w:r>
    </w:p>
    <w:p>
      <w:pPr>
        <w:spacing w:after="0" w:line="203" w:lineRule="exact"/>
        <w:rPr>
          <w:sz w:val="20"/>
          <w:szCs w:val="20"/>
          <w:color w:val="auto"/>
        </w:rPr>
      </w:pPr>
    </w:p>
    <w:p>
      <w:pPr>
        <w:ind w:left="120" w:right="280"/>
        <w:spacing w:after="0" w:line="260" w:lineRule="auto"/>
        <w:rPr>
          <w:sz w:val="20"/>
          <w:szCs w:val="20"/>
          <w:color w:val="auto"/>
        </w:rPr>
      </w:pPr>
      <w:r>
        <w:rPr>
          <w:rFonts w:ascii="Arial" w:cs="Arial" w:eastAsia="Arial" w:hAnsi="Arial"/>
          <w:sz w:val="16"/>
          <w:szCs w:val="16"/>
          <w:color w:val="auto"/>
        </w:rPr>
        <w:t>Under these agreements, if a change in control occurs while the officer is our employee, and a qualifying termination of his employment with us occurs within the two-year period following the change in control (which will include the ninety (90) days prior</w:t>
      </w:r>
    </w:p>
    <w:p>
      <w:pPr>
        <w:spacing w:after="0" w:line="126" w:lineRule="exact"/>
        <w:rPr>
          <w:sz w:val="20"/>
          <w:szCs w:val="20"/>
          <w:color w:val="auto"/>
        </w:rPr>
      </w:pPr>
    </w:p>
    <w:p>
      <w:pPr>
        <w:ind w:left="120"/>
        <w:spacing w:after="0"/>
        <w:tabs>
          <w:tab w:leader="none" w:pos="541" w:val="left"/>
        </w:tabs>
        <w:rPr>
          <w:sz w:val="20"/>
          <w:szCs w:val="20"/>
          <w:color w:val="auto"/>
        </w:rPr>
      </w:pPr>
      <w:r>
        <w:rPr>
          <w:rFonts w:ascii="Arial" w:cs="Arial" w:eastAsia="Arial" w:hAnsi="Arial"/>
          <w:sz w:val="18"/>
          <w:szCs w:val="18"/>
          <w:color w:val="auto"/>
        </w:rPr>
        <w:t>40</w:t>
      </w:r>
      <w:r>
        <w:rPr>
          <w:sz w:val="20"/>
          <w:szCs w:val="20"/>
          <w:color w:val="auto"/>
        </w:rPr>
        <w:tab/>
      </w:r>
      <w:r>
        <w:rPr>
          <w:sz w:val="1"/>
          <w:szCs w:val="1"/>
          <w:color w:val="auto"/>
        </w:rPr>
        <w:drawing>
          <wp:inline distT="0" distB="0" distL="0" distR="0">
            <wp:extent cx="582930" cy="13716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i w:val="1"/>
          <w:iCs w:val="1"/>
          <w:color w:val="1269BC"/>
        </w:rPr>
        <w:t xml:space="preserve">   2020 Proxy Statement</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14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5" w:lineRule="exact"/>
        <w:rPr>
          <w:sz w:val="20"/>
          <w:szCs w:val="20"/>
          <w:color w:val="auto"/>
        </w:rPr>
      </w:pPr>
    </w:p>
    <w:p>
      <w:pPr>
        <w:ind w:left="120" w:right="260"/>
        <w:spacing w:after="0" w:line="250" w:lineRule="auto"/>
        <w:rPr>
          <w:sz w:val="20"/>
          <w:szCs w:val="20"/>
          <w:color w:val="auto"/>
        </w:rPr>
      </w:pPr>
      <w:r>
        <w:rPr>
          <w:rFonts w:ascii="Arial" w:cs="Arial" w:eastAsia="Arial" w:hAnsi="Arial"/>
          <w:sz w:val="16"/>
          <w:szCs w:val="16"/>
          <w:color w:val="auto"/>
        </w:rPr>
        <w:t>to the date of the change in control in the case of a termination by us without cause), then he or she (or his or her legal representative) is entitled to certain compensation payments and benefits provided he or she has executed a general release of claims. A “qualifying termination” means: (a) our termination of the officer’s employment for a reason other than death, disability or cause; (b) the officer’s termination of his or her employment for good reason; or (c) the termination of the officer’s employment due to death following delivery of a notice of good reason by the officer, which condition constituting good reason remains uncured by us.</w:t>
      </w:r>
    </w:p>
    <w:p>
      <w:pPr>
        <w:spacing w:after="0" w:line="203"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auto"/>
        </w:rPr>
        <w:t>A “change in control” is deemed to have occurred under the change in control agreements on the earliest of the following dates: (a) the acquisition by a person or entity of voting control over more than forty percent (40%) of the total voting power of our then outstanding voting stock; (b) a merger, consolidation or reorganization of us, in which holders of our common stock immediately prior to the transaction have voting control over less than sixty percent (60%) of the voting securities of the surviving corporation immediately after the transaction; (c) the sale or disposition of all or substantially all of our assets; or (d) a change in a majority of the Board within a 12-month period unless the nomination for election by our stockholders of each new director was approved by the vote of two-thirds of the members of the Board then still in office who were in office at the beginning of the 12-month period.</w:t>
      </w:r>
    </w:p>
    <w:p>
      <w:pPr>
        <w:spacing w:after="0" w:line="205"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The agreements provide that, upon a qualifying termination after a change in control, we will pay a severance benefit to the officer. The severance benefit is equal to the sum of: (a) one times the highest annual rate of the officer’s base salary during the 12-month period before termination (two times in the case of Messrs. Bruggeworth and Murphy) plus (b) one times the officer’s target annual bonus opportunity based on the officer’s target bonus opportunity for the period in which the termination occurs (two times in the case of Messrs. Bruggeworth and Murphy).</w:t>
      </w:r>
    </w:p>
    <w:p>
      <w:pPr>
        <w:spacing w:after="0" w:line="202" w:lineRule="exact"/>
        <w:rPr>
          <w:sz w:val="20"/>
          <w:szCs w:val="20"/>
          <w:color w:val="auto"/>
        </w:rPr>
      </w:pPr>
    </w:p>
    <w:p>
      <w:pPr>
        <w:ind w:left="120" w:right="20"/>
        <w:spacing w:after="0" w:line="247" w:lineRule="auto"/>
        <w:rPr>
          <w:sz w:val="20"/>
          <w:szCs w:val="20"/>
          <w:color w:val="auto"/>
        </w:rPr>
      </w:pPr>
      <w:r>
        <w:rPr>
          <w:rFonts w:ascii="Arial" w:cs="Arial" w:eastAsia="Arial" w:hAnsi="Arial"/>
          <w:sz w:val="16"/>
          <w:szCs w:val="16"/>
          <w:color w:val="auto"/>
        </w:rPr>
        <w:t>In addition, the agreements provide that upon a qualifying termination after a change in control, all of our stock options, stock appreciation rights or similar stock-based awards held by the officer will be accelerated and exercisable in full, and all restrictions on any restricted stock, performance stock or similar stock-based awards granted by us will be removed and such awards will be fully vested. If the officer receives any payments or benefits under the agreement or under any other arrangement with us that may separately or in the aggregate constitute “parachute payments” within the meaning of Section 280G of the Code and it is determined that any of such payments will be subject to any excise tax pursuant to applicable provisions of the Code, we will pay to the officer either: (i) the full amount of such payments; or (ii) an amount equal to such payments reduced by the minimum amount necessary to prevent any portion of such payments from being an “excess parachute payment” (within the meaning of the Code), whichever amount results in the officer’s receipt, on an after-tax basis, of the greatest amount of payments notwithstanding that all or some portion of the payments may be subject to the excise tax (that is, there is no gross up provision). The agreements also provide that if the officer elects continuation coverage through our health plan, we will reimburse the officer for the difference between the monthly COBRA premium paid by the officer and the monthly premium amount required to be paid by our active employees for the same level of coverage under our health plan for a one-year period following termination (a two-year period in the case of Messrs. Bruggeworth and Murphy). We will also provide an annual payment equal to the amount necessary to pay any taxes imposed on the officer as a result of the officer’s receipt of health care reimbursements from us.</w:t>
      </w:r>
    </w:p>
    <w:p>
      <w:pPr>
        <w:spacing w:after="0" w:line="211"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auto"/>
        </w:rPr>
        <w:t>The agreements also provide that the officer is subject to certain confidentiality, nonsolicitation and noncompetition provisions. In the event the officer fails to comply with any of these provisions, he or she will not be entitled to receive any payment or benefits under the agreement. These payments also are subject to “clawback” restrictions in the event of certain prohibited conduct. The following table sets forth information about potential payments to the Named Executive Officers, assuming that their employment was terminated following a change in control of Qorvo as of March 27, 2020 (the last business day of the fiscal year) and that the price per share of our common stock on that date was $80.69. The table also assumes prior payment of any remaining accrued annual bonus in accordance with the terms of our Short-Term Incentive Plan and any portion of base salary that would have been accrued but not yet paid as of March 28, 2020.</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Potential Payments Upon a Qualifying Termination after a Change in Control</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191"/>
              <w:spacing w:after="0"/>
              <w:rPr>
                <w:sz w:val="20"/>
                <w:szCs w:val="20"/>
                <w:color w:val="auto"/>
              </w:rPr>
            </w:pPr>
            <w:r>
              <w:rPr>
                <w:rFonts w:ascii="Arial" w:cs="Arial" w:eastAsia="Arial" w:hAnsi="Arial"/>
                <w:sz w:val="16"/>
                <w:szCs w:val="16"/>
                <w:b w:val="1"/>
                <w:bCs w:val="1"/>
                <w:color w:val="1269BC"/>
              </w:rPr>
              <w:t>Robert A.</w:t>
            </w:r>
          </w:p>
        </w:tc>
        <w:tc>
          <w:tcPr>
            <w:tcW w:w="1200" w:type="dxa"/>
            <w:vAlign w:val="bottom"/>
          </w:tcPr>
          <w:p>
            <w:pPr>
              <w:jc w:val="right"/>
              <w:ind w:right="232"/>
              <w:spacing w:after="0"/>
              <w:rPr>
                <w:sz w:val="20"/>
                <w:szCs w:val="20"/>
                <w:color w:val="auto"/>
              </w:rPr>
            </w:pPr>
            <w:r>
              <w:rPr>
                <w:rFonts w:ascii="Arial" w:cs="Arial" w:eastAsia="Arial" w:hAnsi="Arial"/>
                <w:sz w:val="16"/>
                <w:szCs w:val="16"/>
                <w:b w:val="1"/>
                <w:bCs w:val="1"/>
                <w:color w:val="1269BC"/>
              </w:rPr>
              <w:t>Mark J.</w:t>
            </w:r>
          </w:p>
        </w:tc>
        <w:tc>
          <w:tcPr>
            <w:tcW w:w="1180" w:type="dxa"/>
            <w:vAlign w:val="bottom"/>
            <w:gridSpan w:val="2"/>
          </w:tcPr>
          <w:p>
            <w:pPr>
              <w:jc w:val="right"/>
              <w:ind w:right="130"/>
              <w:spacing w:after="0"/>
              <w:rPr>
                <w:sz w:val="20"/>
                <w:szCs w:val="20"/>
                <w:color w:val="auto"/>
              </w:rPr>
            </w:pPr>
            <w:r>
              <w:rPr>
                <w:rFonts w:ascii="Arial" w:cs="Arial" w:eastAsia="Arial" w:hAnsi="Arial"/>
                <w:sz w:val="16"/>
                <w:szCs w:val="16"/>
                <w:b w:val="1"/>
                <w:bCs w:val="1"/>
                <w:color w:val="1269BC"/>
              </w:rPr>
              <w:t>Steven E.</w:t>
            </w:r>
          </w:p>
        </w:tc>
        <w:tc>
          <w:tcPr>
            <w:tcW w:w="240" w:type="dxa"/>
            <w:vAlign w:val="bottom"/>
          </w:tcPr>
          <w:p>
            <w:pPr>
              <w:spacing w:after="0"/>
              <w:rPr>
                <w:sz w:val="16"/>
                <w:szCs w:val="16"/>
                <w:color w:val="auto"/>
              </w:rPr>
            </w:pPr>
          </w:p>
        </w:tc>
        <w:tc>
          <w:tcPr>
            <w:tcW w:w="960" w:type="dxa"/>
            <w:vAlign w:val="bottom"/>
          </w:tcPr>
          <w:p>
            <w:pPr>
              <w:jc w:val="right"/>
              <w:ind w:right="172"/>
              <w:spacing w:after="0"/>
              <w:rPr>
                <w:sz w:val="20"/>
                <w:szCs w:val="20"/>
                <w:color w:val="auto"/>
              </w:rPr>
            </w:pPr>
            <w:r>
              <w:rPr>
                <w:rFonts w:ascii="Arial" w:cs="Arial" w:eastAsia="Arial" w:hAnsi="Arial"/>
                <w:sz w:val="16"/>
                <w:szCs w:val="16"/>
                <w:b w:val="1"/>
                <w:bCs w:val="1"/>
                <w:color w:val="1269BC"/>
                <w:w w:val="99"/>
              </w:rPr>
              <w:t>James L.</w:t>
            </w:r>
          </w:p>
        </w:tc>
        <w:tc>
          <w:tcPr>
            <w:tcW w:w="260" w:type="dxa"/>
            <w:vAlign w:val="bottom"/>
          </w:tcPr>
          <w:p>
            <w:pPr>
              <w:spacing w:after="0"/>
              <w:rPr>
                <w:sz w:val="16"/>
                <w:szCs w:val="16"/>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1269BC"/>
              </w:rPr>
              <w:t>Paul J.</w:t>
            </w:r>
          </w:p>
        </w:tc>
      </w:tr>
      <w:tr>
        <w:trPr>
          <w:trHeight w:val="207"/>
        </w:trPr>
        <w:tc>
          <w:tcPr>
            <w:tcW w:w="3180" w:type="dxa"/>
            <w:vAlign w:val="bottom"/>
            <w:tcBorders>
              <w:bottom w:val="single" w:sz="8" w:color="1269BC"/>
            </w:tcBorders>
          </w:tcPr>
          <w:p>
            <w:pPr>
              <w:ind w:left="80"/>
              <w:spacing w:after="0"/>
              <w:rPr>
                <w:sz w:val="20"/>
                <w:szCs w:val="20"/>
                <w:color w:val="auto"/>
              </w:rPr>
            </w:pPr>
            <w:r>
              <w:rPr>
                <w:rFonts w:ascii="Arial" w:cs="Arial" w:eastAsia="Arial" w:hAnsi="Arial"/>
                <w:sz w:val="16"/>
                <w:szCs w:val="16"/>
                <w:b w:val="1"/>
                <w:bCs w:val="1"/>
                <w:color w:val="1269BC"/>
              </w:rPr>
              <w:t>Name</w:t>
            </w:r>
          </w:p>
        </w:tc>
        <w:tc>
          <w:tcPr>
            <w:tcW w:w="1740" w:type="dxa"/>
            <w:vAlign w:val="bottom"/>
            <w:tcBorders>
              <w:bottom w:val="single" w:sz="8" w:color="1269BC"/>
            </w:tcBorders>
          </w:tcPr>
          <w:p>
            <w:pPr>
              <w:spacing w:after="0"/>
              <w:rPr>
                <w:sz w:val="18"/>
                <w:szCs w:val="18"/>
                <w:color w:val="auto"/>
              </w:rPr>
            </w:pPr>
          </w:p>
        </w:tc>
        <w:tc>
          <w:tcPr>
            <w:tcW w:w="1280" w:type="dxa"/>
            <w:vAlign w:val="bottom"/>
            <w:tcBorders>
              <w:bottom w:val="single" w:sz="8" w:color="1269BC"/>
            </w:tcBorders>
            <w:gridSpan w:val="2"/>
          </w:tcPr>
          <w:p>
            <w:pPr>
              <w:ind w:left="140"/>
              <w:spacing w:after="0"/>
              <w:rPr>
                <w:sz w:val="20"/>
                <w:szCs w:val="20"/>
                <w:color w:val="auto"/>
              </w:rPr>
            </w:pPr>
            <w:r>
              <w:rPr>
                <w:rFonts w:ascii="Arial" w:cs="Arial" w:eastAsia="Arial" w:hAnsi="Arial"/>
                <w:sz w:val="16"/>
                <w:szCs w:val="16"/>
                <w:b w:val="1"/>
                <w:bCs w:val="1"/>
                <w:color w:val="1269BC"/>
              </w:rPr>
              <w:t>Bruggeworth</w:t>
            </w:r>
          </w:p>
        </w:tc>
        <w:tc>
          <w:tcPr>
            <w:tcW w:w="1200" w:type="dxa"/>
            <w:vAlign w:val="bottom"/>
            <w:tcBorders>
              <w:bottom w:val="single" w:sz="8" w:color="1269BC"/>
            </w:tcBorders>
          </w:tcPr>
          <w:p>
            <w:pPr>
              <w:jc w:val="right"/>
              <w:ind w:right="212"/>
              <w:spacing w:after="0"/>
              <w:rPr>
                <w:sz w:val="20"/>
                <w:szCs w:val="20"/>
                <w:color w:val="auto"/>
              </w:rPr>
            </w:pPr>
            <w:r>
              <w:rPr>
                <w:rFonts w:ascii="Arial" w:cs="Arial" w:eastAsia="Arial" w:hAnsi="Arial"/>
                <w:sz w:val="16"/>
                <w:szCs w:val="16"/>
                <w:b w:val="1"/>
                <w:bCs w:val="1"/>
                <w:color w:val="1269BC"/>
              </w:rPr>
              <w:t>Murphy</w:t>
            </w:r>
          </w:p>
        </w:tc>
        <w:tc>
          <w:tcPr>
            <w:tcW w:w="1180" w:type="dxa"/>
            <w:vAlign w:val="bottom"/>
            <w:tcBorders>
              <w:bottom w:val="single" w:sz="8" w:color="1269BC"/>
            </w:tcBorders>
            <w:gridSpan w:val="2"/>
          </w:tcPr>
          <w:p>
            <w:pPr>
              <w:jc w:val="right"/>
              <w:ind w:right="130"/>
              <w:spacing w:after="0"/>
              <w:rPr>
                <w:sz w:val="20"/>
                <w:szCs w:val="20"/>
                <w:color w:val="auto"/>
              </w:rPr>
            </w:pPr>
            <w:r>
              <w:rPr>
                <w:rFonts w:ascii="Arial" w:cs="Arial" w:eastAsia="Arial" w:hAnsi="Arial"/>
                <w:sz w:val="16"/>
                <w:szCs w:val="16"/>
                <w:b w:val="1"/>
                <w:bCs w:val="1"/>
                <w:color w:val="1269BC"/>
              </w:rPr>
              <w:t>Creviston</w:t>
            </w:r>
          </w:p>
        </w:tc>
        <w:tc>
          <w:tcPr>
            <w:tcW w:w="240" w:type="dxa"/>
            <w:vAlign w:val="bottom"/>
            <w:tcBorders>
              <w:bottom w:val="single" w:sz="8" w:color="1269BC"/>
            </w:tcBorders>
          </w:tcPr>
          <w:p>
            <w:pPr>
              <w:spacing w:after="0"/>
              <w:rPr>
                <w:sz w:val="18"/>
                <w:szCs w:val="18"/>
                <w:color w:val="auto"/>
              </w:rPr>
            </w:pPr>
          </w:p>
        </w:tc>
        <w:tc>
          <w:tcPr>
            <w:tcW w:w="960" w:type="dxa"/>
            <w:vAlign w:val="bottom"/>
            <w:tcBorders>
              <w:bottom w:val="single" w:sz="8" w:color="1269BC"/>
            </w:tcBorders>
          </w:tcPr>
          <w:p>
            <w:pPr>
              <w:jc w:val="right"/>
              <w:ind w:right="312"/>
              <w:spacing w:after="0"/>
              <w:rPr>
                <w:sz w:val="20"/>
                <w:szCs w:val="20"/>
                <w:color w:val="auto"/>
              </w:rPr>
            </w:pPr>
            <w:r>
              <w:rPr>
                <w:rFonts w:ascii="Arial" w:cs="Arial" w:eastAsia="Arial" w:hAnsi="Arial"/>
                <w:sz w:val="16"/>
                <w:szCs w:val="16"/>
                <w:b w:val="1"/>
                <w:bCs w:val="1"/>
                <w:color w:val="1269BC"/>
              </w:rPr>
              <w:t>Klein</w:t>
            </w:r>
          </w:p>
        </w:tc>
        <w:tc>
          <w:tcPr>
            <w:tcW w:w="260" w:type="dxa"/>
            <w:vAlign w:val="bottom"/>
            <w:tcBorders>
              <w:bottom w:val="single" w:sz="8" w:color="1269BC"/>
            </w:tcBorders>
          </w:tcPr>
          <w:p>
            <w:pPr>
              <w:spacing w:after="0"/>
              <w:rPr>
                <w:sz w:val="18"/>
                <w:szCs w:val="18"/>
                <w:color w:val="auto"/>
              </w:rPr>
            </w:pPr>
          </w:p>
        </w:tc>
        <w:tc>
          <w:tcPr>
            <w:tcW w:w="980" w:type="dxa"/>
            <w:vAlign w:val="bottom"/>
            <w:tcBorders>
              <w:bottom w:val="single" w:sz="8" w:color="1269BC"/>
            </w:tcBorders>
          </w:tcPr>
          <w:p>
            <w:pPr>
              <w:jc w:val="right"/>
              <w:ind w:right="312"/>
              <w:spacing w:after="0"/>
              <w:rPr>
                <w:sz w:val="20"/>
                <w:szCs w:val="20"/>
                <w:color w:val="auto"/>
              </w:rPr>
            </w:pPr>
            <w:r>
              <w:rPr>
                <w:rFonts w:ascii="Arial" w:cs="Arial" w:eastAsia="Arial" w:hAnsi="Arial"/>
                <w:sz w:val="16"/>
                <w:szCs w:val="16"/>
                <w:b w:val="1"/>
                <w:bCs w:val="1"/>
                <w:color w:val="1269BC"/>
              </w:rPr>
              <w:t>Fego</w:t>
            </w:r>
          </w:p>
        </w:tc>
      </w:tr>
      <w:tr>
        <w:trPr>
          <w:trHeight w:val="277"/>
        </w:trPr>
        <w:tc>
          <w:tcPr>
            <w:tcW w:w="3180" w:type="dxa"/>
            <w:vAlign w:val="bottom"/>
            <w:shd w:val="clear" w:color="auto" w:fill="C3D9EE"/>
          </w:tcPr>
          <w:p>
            <w:pPr>
              <w:ind w:left="100"/>
              <w:spacing w:after="0"/>
              <w:rPr>
                <w:sz w:val="20"/>
                <w:szCs w:val="20"/>
                <w:color w:val="auto"/>
              </w:rPr>
            </w:pPr>
            <w:r>
              <w:rPr>
                <w:rFonts w:ascii="Arial" w:cs="Arial" w:eastAsia="Arial" w:hAnsi="Arial"/>
                <w:sz w:val="18"/>
                <w:szCs w:val="18"/>
                <w:color w:val="auto"/>
              </w:rPr>
              <w:t>Base Salary</w:t>
            </w:r>
          </w:p>
        </w:tc>
        <w:tc>
          <w:tcPr>
            <w:tcW w:w="1740" w:type="dxa"/>
            <w:vAlign w:val="bottom"/>
            <w:shd w:val="clear" w:color="auto" w:fill="C3D9EE"/>
          </w:tcPr>
          <w:p>
            <w:pPr>
              <w:jc w:val="right"/>
              <w:ind w:right="5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3D9EE"/>
          </w:tcPr>
          <w:p>
            <w:pPr>
              <w:ind w:left="14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3D9EE"/>
          </w:tcPr>
          <w:p>
            <w:pPr>
              <w:jc w:val="right"/>
              <w:ind w:right="31"/>
              <w:spacing w:after="0"/>
              <w:rPr>
                <w:sz w:val="20"/>
                <w:szCs w:val="20"/>
                <w:color w:val="auto"/>
              </w:rPr>
            </w:pPr>
            <w:r>
              <w:rPr>
                <w:rFonts w:ascii="Arial" w:cs="Arial" w:eastAsia="Arial" w:hAnsi="Arial"/>
                <w:sz w:val="18"/>
                <w:szCs w:val="18"/>
                <w:color w:val="auto"/>
              </w:rPr>
              <w:t>1,704,310</w:t>
            </w:r>
          </w:p>
        </w:tc>
        <w:tc>
          <w:tcPr>
            <w:tcW w:w="1200" w:type="dxa"/>
            <w:vAlign w:val="bottom"/>
            <w:shd w:val="clear" w:color="auto" w:fill="C3D9EE"/>
          </w:tcPr>
          <w:p>
            <w:pPr>
              <w:jc w:val="right"/>
              <w:ind w:right="52"/>
              <w:spacing w:after="0"/>
              <w:rPr>
                <w:sz w:val="20"/>
                <w:szCs w:val="20"/>
                <w:color w:val="auto"/>
              </w:rPr>
            </w:pPr>
            <w:r>
              <w:rPr>
                <w:rFonts w:ascii="Arial" w:cs="Arial" w:eastAsia="Arial" w:hAnsi="Arial"/>
                <w:sz w:val="18"/>
                <w:szCs w:val="18"/>
                <w:color w:val="auto"/>
              </w:rPr>
              <w:t>$1,038,086</w:t>
            </w:r>
          </w:p>
        </w:tc>
        <w:tc>
          <w:tcPr>
            <w:tcW w:w="240" w:type="dxa"/>
            <w:vAlign w:val="bottom"/>
            <w:shd w:val="clear" w:color="auto" w:fill="C3D9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3D9EE"/>
          </w:tcPr>
          <w:p>
            <w:pPr>
              <w:jc w:val="right"/>
              <w:ind w:right="50"/>
              <w:spacing w:after="0"/>
              <w:rPr>
                <w:sz w:val="20"/>
                <w:szCs w:val="20"/>
                <w:color w:val="auto"/>
              </w:rPr>
            </w:pPr>
            <w:r>
              <w:rPr>
                <w:rFonts w:ascii="Arial" w:cs="Arial" w:eastAsia="Arial" w:hAnsi="Arial"/>
                <w:sz w:val="18"/>
                <w:szCs w:val="18"/>
                <w:color w:val="auto"/>
              </w:rPr>
              <w:t>508,726</w:t>
            </w:r>
          </w:p>
        </w:tc>
        <w:tc>
          <w:tcPr>
            <w:tcW w:w="240" w:type="dxa"/>
            <w:vAlign w:val="bottom"/>
            <w:shd w:val="clear" w:color="auto" w:fill="C3D9EE"/>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3D9EE"/>
          </w:tcPr>
          <w:p>
            <w:pPr>
              <w:jc w:val="right"/>
              <w:ind w:right="52"/>
              <w:spacing w:after="0"/>
              <w:rPr>
                <w:sz w:val="20"/>
                <w:szCs w:val="20"/>
                <w:color w:val="auto"/>
              </w:rPr>
            </w:pPr>
            <w:r>
              <w:rPr>
                <w:rFonts w:ascii="Arial" w:cs="Arial" w:eastAsia="Arial" w:hAnsi="Arial"/>
                <w:sz w:val="18"/>
                <w:szCs w:val="18"/>
                <w:color w:val="auto"/>
              </w:rPr>
              <w:t>466,045</w:t>
            </w:r>
          </w:p>
        </w:tc>
        <w:tc>
          <w:tcPr>
            <w:tcW w:w="260" w:type="dxa"/>
            <w:vAlign w:val="bottom"/>
            <w:shd w:val="clear" w:color="auto" w:fill="C3D9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3D9EE"/>
          </w:tcPr>
          <w:p>
            <w:pPr>
              <w:jc w:val="right"/>
              <w:ind w:right="92"/>
              <w:spacing w:after="0"/>
              <w:rPr>
                <w:sz w:val="20"/>
                <w:szCs w:val="20"/>
                <w:color w:val="auto"/>
              </w:rPr>
            </w:pPr>
            <w:r>
              <w:rPr>
                <w:rFonts w:ascii="Arial" w:cs="Arial" w:eastAsia="Arial" w:hAnsi="Arial"/>
                <w:sz w:val="18"/>
                <w:szCs w:val="18"/>
                <w:color w:val="auto"/>
              </w:rPr>
              <w:t>458,349</w:t>
            </w:r>
          </w:p>
        </w:tc>
      </w:tr>
      <w:tr>
        <w:trPr>
          <w:trHeight w:val="67"/>
        </w:trPr>
        <w:tc>
          <w:tcPr>
            <w:tcW w:w="3180" w:type="dxa"/>
            <w:vAlign w:val="bottom"/>
            <w:shd w:val="clear" w:color="auto" w:fill="C3D9EE"/>
          </w:tcPr>
          <w:p>
            <w:pPr>
              <w:spacing w:after="0"/>
              <w:rPr>
                <w:sz w:val="5"/>
                <w:szCs w:val="5"/>
                <w:color w:val="auto"/>
              </w:rPr>
            </w:pPr>
          </w:p>
        </w:tc>
        <w:tc>
          <w:tcPr>
            <w:tcW w:w="1740" w:type="dxa"/>
            <w:vAlign w:val="bottom"/>
            <w:shd w:val="clear" w:color="auto" w:fill="C3D9EE"/>
          </w:tcPr>
          <w:p>
            <w:pPr>
              <w:spacing w:after="0"/>
              <w:rPr>
                <w:sz w:val="5"/>
                <w:szCs w:val="5"/>
                <w:color w:val="auto"/>
              </w:rPr>
            </w:pPr>
          </w:p>
        </w:tc>
        <w:tc>
          <w:tcPr>
            <w:tcW w:w="240" w:type="dxa"/>
            <w:vAlign w:val="bottom"/>
            <w:shd w:val="clear" w:color="auto" w:fill="C3D9EE"/>
          </w:tcPr>
          <w:p>
            <w:pPr>
              <w:spacing w:after="0"/>
              <w:rPr>
                <w:sz w:val="5"/>
                <w:szCs w:val="5"/>
                <w:color w:val="auto"/>
              </w:rPr>
            </w:pPr>
          </w:p>
        </w:tc>
        <w:tc>
          <w:tcPr>
            <w:tcW w:w="1040" w:type="dxa"/>
            <w:vAlign w:val="bottom"/>
            <w:shd w:val="clear" w:color="auto" w:fill="C3D9EE"/>
          </w:tcPr>
          <w:p>
            <w:pPr>
              <w:spacing w:after="0"/>
              <w:rPr>
                <w:sz w:val="5"/>
                <w:szCs w:val="5"/>
                <w:color w:val="auto"/>
              </w:rPr>
            </w:pPr>
          </w:p>
        </w:tc>
        <w:tc>
          <w:tcPr>
            <w:tcW w:w="1200" w:type="dxa"/>
            <w:vAlign w:val="bottom"/>
            <w:shd w:val="clear" w:color="auto" w:fill="C3D9EE"/>
          </w:tcPr>
          <w:p>
            <w:pPr>
              <w:spacing w:after="0"/>
              <w:rPr>
                <w:sz w:val="5"/>
                <w:szCs w:val="5"/>
                <w:color w:val="auto"/>
              </w:rPr>
            </w:pPr>
          </w:p>
        </w:tc>
        <w:tc>
          <w:tcPr>
            <w:tcW w:w="240" w:type="dxa"/>
            <w:vAlign w:val="bottom"/>
            <w:shd w:val="clear" w:color="auto" w:fill="C3D9EE"/>
          </w:tcPr>
          <w:p>
            <w:pPr>
              <w:spacing w:after="0"/>
              <w:rPr>
                <w:sz w:val="5"/>
                <w:szCs w:val="5"/>
                <w:color w:val="auto"/>
              </w:rPr>
            </w:pPr>
          </w:p>
        </w:tc>
        <w:tc>
          <w:tcPr>
            <w:tcW w:w="940" w:type="dxa"/>
            <w:vAlign w:val="bottom"/>
            <w:shd w:val="clear" w:color="auto" w:fill="C3D9EE"/>
          </w:tcPr>
          <w:p>
            <w:pPr>
              <w:spacing w:after="0"/>
              <w:rPr>
                <w:sz w:val="5"/>
                <w:szCs w:val="5"/>
                <w:color w:val="auto"/>
              </w:rPr>
            </w:pPr>
          </w:p>
        </w:tc>
        <w:tc>
          <w:tcPr>
            <w:tcW w:w="240" w:type="dxa"/>
            <w:vAlign w:val="bottom"/>
            <w:shd w:val="clear" w:color="auto" w:fill="C3D9EE"/>
          </w:tcPr>
          <w:p>
            <w:pPr>
              <w:spacing w:after="0"/>
              <w:rPr>
                <w:sz w:val="5"/>
                <w:szCs w:val="5"/>
                <w:color w:val="auto"/>
              </w:rPr>
            </w:pPr>
          </w:p>
        </w:tc>
        <w:tc>
          <w:tcPr>
            <w:tcW w:w="960" w:type="dxa"/>
            <w:vAlign w:val="bottom"/>
            <w:shd w:val="clear" w:color="auto" w:fill="C3D9EE"/>
          </w:tcPr>
          <w:p>
            <w:pPr>
              <w:spacing w:after="0"/>
              <w:rPr>
                <w:sz w:val="5"/>
                <w:szCs w:val="5"/>
                <w:color w:val="auto"/>
              </w:rPr>
            </w:pPr>
          </w:p>
        </w:tc>
        <w:tc>
          <w:tcPr>
            <w:tcW w:w="260" w:type="dxa"/>
            <w:vAlign w:val="bottom"/>
            <w:shd w:val="clear" w:color="auto" w:fill="C3D9EE"/>
          </w:tcPr>
          <w:p>
            <w:pPr>
              <w:spacing w:after="0"/>
              <w:rPr>
                <w:sz w:val="5"/>
                <w:szCs w:val="5"/>
                <w:color w:val="auto"/>
              </w:rPr>
            </w:pPr>
          </w:p>
        </w:tc>
        <w:tc>
          <w:tcPr>
            <w:tcW w:w="980" w:type="dxa"/>
            <w:vAlign w:val="bottom"/>
            <w:shd w:val="clear" w:color="auto" w:fill="C3D9EE"/>
          </w:tcPr>
          <w:p>
            <w:pPr>
              <w:spacing w:after="0"/>
              <w:rPr>
                <w:sz w:val="5"/>
                <w:szCs w:val="5"/>
                <w:color w:val="auto"/>
              </w:rPr>
            </w:pPr>
          </w:p>
        </w:tc>
      </w:tr>
      <w:tr>
        <w:trPr>
          <w:trHeight w:val="284"/>
        </w:trPr>
        <w:tc>
          <w:tcPr>
            <w:tcW w:w="3180" w:type="dxa"/>
            <w:vAlign w:val="bottom"/>
          </w:tcPr>
          <w:p>
            <w:pPr>
              <w:ind w:left="100"/>
              <w:spacing w:after="0"/>
              <w:rPr>
                <w:sz w:val="20"/>
                <w:szCs w:val="20"/>
                <w:color w:val="auto"/>
              </w:rPr>
            </w:pPr>
            <w:r>
              <w:rPr>
                <w:rFonts w:ascii="Arial" w:cs="Arial" w:eastAsia="Arial" w:hAnsi="Arial"/>
                <w:sz w:val="18"/>
                <w:szCs w:val="18"/>
                <w:color w:val="auto"/>
              </w:rPr>
              <w:t>Bonus</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2,556,466</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934,278</w:t>
            </w:r>
          </w:p>
        </w:tc>
        <w:tc>
          <w:tcPr>
            <w:tcW w:w="24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457,854</w:t>
            </w:r>
          </w:p>
        </w:tc>
        <w:tc>
          <w:tcPr>
            <w:tcW w:w="240" w:type="dxa"/>
            <w:vAlign w:val="bottom"/>
          </w:tcPr>
          <w:p>
            <w:pPr>
              <w:spacing w:after="0"/>
              <w:rPr>
                <w:sz w:val="24"/>
                <w:szCs w:val="24"/>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419,440</w:t>
            </w:r>
          </w:p>
        </w:tc>
        <w:tc>
          <w:tcPr>
            <w:tcW w:w="26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412,514</w:t>
            </w:r>
          </w:p>
        </w:tc>
      </w:tr>
      <w:tr>
        <w:trPr>
          <w:trHeight w:val="68"/>
        </w:trPr>
        <w:tc>
          <w:tcPr>
            <w:tcW w:w="31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283"/>
        </w:trPr>
        <w:tc>
          <w:tcPr>
            <w:tcW w:w="3180" w:type="dxa"/>
            <w:vAlign w:val="bottom"/>
            <w:shd w:val="clear" w:color="auto" w:fill="C3D9EE"/>
          </w:tcPr>
          <w:p>
            <w:pPr>
              <w:ind w:left="100"/>
              <w:spacing w:after="0"/>
              <w:rPr>
                <w:sz w:val="20"/>
                <w:szCs w:val="20"/>
                <w:color w:val="auto"/>
              </w:rPr>
            </w:pPr>
            <w:r>
              <w:rPr>
                <w:rFonts w:ascii="Arial" w:cs="Arial" w:eastAsia="Arial" w:hAnsi="Arial"/>
                <w:sz w:val="18"/>
                <w:szCs w:val="18"/>
                <w:color w:val="auto"/>
              </w:rPr>
              <w:t>Stock Awards</w:t>
            </w:r>
          </w:p>
        </w:tc>
        <w:tc>
          <w:tcPr>
            <w:tcW w:w="1740" w:type="dxa"/>
            <w:vAlign w:val="bottom"/>
            <w:shd w:val="clear" w:color="auto" w:fill="C3D9EE"/>
          </w:tcPr>
          <w:p>
            <w:pPr>
              <w:jc w:val="right"/>
              <w:ind w:right="5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3D9EE"/>
          </w:tcPr>
          <w:p>
            <w:pPr>
              <w:spacing w:after="0"/>
              <w:rPr>
                <w:sz w:val="24"/>
                <w:szCs w:val="24"/>
                <w:color w:val="auto"/>
              </w:rPr>
            </w:pPr>
          </w:p>
        </w:tc>
        <w:tc>
          <w:tcPr>
            <w:tcW w:w="1040" w:type="dxa"/>
            <w:vAlign w:val="bottom"/>
            <w:shd w:val="clear" w:color="auto" w:fill="C3D9EE"/>
          </w:tcPr>
          <w:p>
            <w:pPr>
              <w:jc w:val="right"/>
              <w:ind w:right="31"/>
              <w:spacing w:after="0"/>
              <w:rPr>
                <w:sz w:val="20"/>
                <w:szCs w:val="20"/>
                <w:color w:val="auto"/>
              </w:rPr>
            </w:pPr>
            <w:r>
              <w:rPr>
                <w:rFonts w:ascii="Arial" w:cs="Arial" w:eastAsia="Arial" w:hAnsi="Arial"/>
                <w:sz w:val="18"/>
                <w:szCs w:val="18"/>
                <w:color w:val="auto"/>
                <w:w w:val="99"/>
              </w:rPr>
              <w:t>13,497,178</w:t>
            </w:r>
          </w:p>
        </w:tc>
        <w:tc>
          <w:tcPr>
            <w:tcW w:w="1200" w:type="dxa"/>
            <w:vAlign w:val="bottom"/>
            <w:shd w:val="clear" w:color="auto" w:fill="C3D9EE"/>
          </w:tcPr>
          <w:p>
            <w:pPr>
              <w:jc w:val="right"/>
              <w:ind w:right="52"/>
              <w:spacing w:after="0"/>
              <w:rPr>
                <w:sz w:val="20"/>
                <w:szCs w:val="20"/>
                <w:color w:val="auto"/>
              </w:rPr>
            </w:pPr>
            <w:r>
              <w:rPr>
                <w:rFonts w:ascii="Arial" w:cs="Arial" w:eastAsia="Arial" w:hAnsi="Arial"/>
                <w:sz w:val="18"/>
                <w:szCs w:val="18"/>
                <w:color w:val="auto"/>
              </w:rPr>
              <w:t>5,227,018</w:t>
            </w:r>
          </w:p>
        </w:tc>
        <w:tc>
          <w:tcPr>
            <w:tcW w:w="240" w:type="dxa"/>
            <w:vAlign w:val="bottom"/>
            <w:shd w:val="clear" w:color="auto" w:fill="C3D9EE"/>
          </w:tcPr>
          <w:p>
            <w:pPr>
              <w:spacing w:after="0"/>
              <w:rPr>
                <w:sz w:val="24"/>
                <w:szCs w:val="24"/>
                <w:color w:val="auto"/>
              </w:rPr>
            </w:pPr>
          </w:p>
        </w:tc>
        <w:tc>
          <w:tcPr>
            <w:tcW w:w="940" w:type="dxa"/>
            <w:vAlign w:val="bottom"/>
            <w:shd w:val="clear" w:color="auto" w:fill="C3D9EE"/>
          </w:tcPr>
          <w:p>
            <w:pPr>
              <w:jc w:val="right"/>
              <w:ind w:right="50"/>
              <w:spacing w:after="0"/>
              <w:rPr>
                <w:sz w:val="20"/>
                <w:szCs w:val="20"/>
                <w:color w:val="auto"/>
              </w:rPr>
            </w:pPr>
            <w:r>
              <w:rPr>
                <w:rFonts w:ascii="Arial" w:cs="Arial" w:eastAsia="Arial" w:hAnsi="Arial"/>
                <w:sz w:val="18"/>
                <w:szCs w:val="18"/>
                <w:color w:val="auto"/>
                <w:w w:val="97"/>
              </w:rPr>
              <w:t>4,636,205</w:t>
            </w:r>
          </w:p>
        </w:tc>
        <w:tc>
          <w:tcPr>
            <w:tcW w:w="240" w:type="dxa"/>
            <w:vAlign w:val="bottom"/>
            <w:shd w:val="clear" w:color="auto" w:fill="C3D9EE"/>
          </w:tcPr>
          <w:p>
            <w:pPr>
              <w:spacing w:after="0"/>
              <w:rPr>
                <w:sz w:val="24"/>
                <w:szCs w:val="24"/>
                <w:color w:val="auto"/>
              </w:rPr>
            </w:pPr>
          </w:p>
        </w:tc>
        <w:tc>
          <w:tcPr>
            <w:tcW w:w="960" w:type="dxa"/>
            <w:vAlign w:val="bottom"/>
            <w:shd w:val="clear" w:color="auto" w:fill="C3D9EE"/>
          </w:tcPr>
          <w:p>
            <w:pPr>
              <w:jc w:val="right"/>
              <w:ind w:right="52"/>
              <w:spacing w:after="0"/>
              <w:rPr>
                <w:sz w:val="20"/>
                <w:szCs w:val="20"/>
                <w:color w:val="auto"/>
              </w:rPr>
            </w:pPr>
            <w:r>
              <w:rPr>
                <w:rFonts w:ascii="Arial" w:cs="Arial" w:eastAsia="Arial" w:hAnsi="Arial"/>
                <w:sz w:val="18"/>
                <w:szCs w:val="18"/>
                <w:color w:val="auto"/>
                <w:w w:val="99"/>
              </w:rPr>
              <w:t>3,441,509</w:t>
            </w:r>
          </w:p>
        </w:tc>
        <w:tc>
          <w:tcPr>
            <w:tcW w:w="260" w:type="dxa"/>
            <w:vAlign w:val="bottom"/>
            <w:shd w:val="clear" w:color="auto" w:fill="C3D9EE"/>
          </w:tcPr>
          <w:p>
            <w:pPr>
              <w:spacing w:after="0"/>
              <w:rPr>
                <w:sz w:val="24"/>
                <w:szCs w:val="24"/>
                <w:color w:val="auto"/>
              </w:rPr>
            </w:pPr>
          </w:p>
        </w:tc>
        <w:tc>
          <w:tcPr>
            <w:tcW w:w="980" w:type="dxa"/>
            <w:vAlign w:val="bottom"/>
            <w:shd w:val="clear" w:color="auto" w:fill="C3D9EE"/>
          </w:tcPr>
          <w:p>
            <w:pPr>
              <w:jc w:val="right"/>
              <w:ind w:right="92"/>
              <w:spacing w:after="0"/>
              <w:rPr>
                <w:sz w:val="20"/>
                <w:szCs w:val="20"/>
                <w:color w:val="auto"/>
              </w:rPr>
            </w:pPr>
            <w:r>
              <w:rPr>
                <w:rFonts w:ascii="Arial" w:cs="Arial" w:eastAsia="Arial" w:hAnsi="Arial"/>
                <w:sz w:val="18"/>
                <w:szCs w:val="18"/>
                <w:color w:val="auto"/>
                <w:w w:val="97"/>
              </w:rPr>
              <w:t>3,275,772</w:t>
            </w:r>
          </w:p>
        </w:tc>
      </w:tr>
      <w:tr>
        <w:trPr>
          <w:trHeight w:val="68"/>
        </w:trPr>
        <w:tc>
          <w:tcPr>
            <w:tcW w:w="3180" w:type="dxa"/>
            <w:vAlign w:val="bottom"/>
            <w:shd w:val="clear" w:color="auto" w:fill="C3D9EE"/>
          </w:tcPr>
          <w:p>
            <w:pPr>
              <w:spacing w:after="0"/>
              <w:rPr>
                <w:sz w:val="5"/>
                <w:szCs w:val="5"/>
                <w:color w:val="auto"/>
              </w:rPr>
            </w:pPr>
          </w:p>
        </w:tc>
        <w:tc>
          <w:tcPr>
            <w:tcW w:w="1740" w:type="dxa"/>
            <w:vAlign w:val="bottom"/>
            <w:shd w:val="clear" w:color="auto" w:fill="C3D9EE"/>
          </w:tcPr>
          <w:p>
            <w:pPr>
              <w:spacing w:after="0"/>
              <w:rPr>
                <w:sz w:val="5"/>
                <w:szCs w:val="5"/>
                <w:color w:val="auto"/>
              </w:rPr>
            </w:pPr>
          </w:p>
        </w:tc>
        <w:tc>
          <w:tcPr>
            <w:tcW w:w="240" w:type="dxa"/>
            <w:vAlign w:val="bottom"/>
            <w:shd w:val="clear" w:color="auto" w:fill="C3D9EE"/>
          </w:tcPr>
          <w:p>
            <w:pPr>
              <w:spacing w:after="0"/>
              <w:rPr>
                <w:sz w:val="5"/>
                <w:szCs w:val="5"/>
                <w:color w:val="auto"/>
              </w:rPr>
            </w:pPr>
          </w:p>
        </w:tc>
        <w:tc>
          <w:tcPr>
            <w:tcW w:w="1040" w:type="dxa"/>
            <w:vAlign w:val="bottom"/>
            <w:shd w:val="clear" w:color="auto" w:fill="C3D9EE"/>
          </w:tcPr>
          <w:p>
            <w:pPr>
              <w:spacing w:after="0"/>
              <w:rPr>
                <w:sz w:val="5"/>
                <w:szCs w:val="5"/>
                <w:color w:val="auto"/>
              </w:rPr>
            </w:pPr>
          </w:p>
        </w:tc>
        <w:tc>
          <w:tcPr>
            <w:tcW w:w="1200" w:type="dxa"/>
            <w:vAlign w:val="bottom"/>
            <w:shd w:val="clear" w:color="auto" w:fill="C3D9EE"/>
          </w:tcPr>
          <w:p>
            <w:pPr>
              <w:spacing w:after="0"/>
              <w:rPr>
                <w:sz w:val="5"/>
                <w:szCs w:val="5"/>
                <w:color w:val="auto"/>
              </w:rPr>
            </w:pPr>
          </w:p>
        </w:tc>
        <w:tc>
          <w:tcPr>
            <w:tcW w:w="240" w:type="dxa"/>
            <w:vAlign w:val="bottom"/>
            <w:shd w:val="clear" w:color="auto" w:fill="C3D9EE"/>
          </w:tcPr>
          <w:p>
            <w:pPr>
              <w:spacing w:after="0"/>
              <w:rPr>
                <w:sz w:val="5"/>
                <w:szCs w:val="5"/>
                <w:color w:val="auto"/>
              </w:rPr>
            </w:pPr>
          </w:p>
        </w:tc>
        <w:tc>
          <w:tcPr>
            <w:tcW w:w="940" w:type="dxa"/>
            <w:vAlign w:val="bottom"/>
            <w:shd w:val="clear" w:color="auto" w:fill="C3D9EE"/>
          </w:tcPr>
          <w:p>
            <w:pPr>
              <w:spacing w:after="0"/>
              <w:rPr>
                <w:sz w:val="5"/>
                <w:szCs w:val="5"/>
                <w:color w:val="auto"/>
              </w:rPr>
            </w:pPr>
          </w:p>
        </w:tc>
        <w:tc>
          <w:tcPr>
            <w:tcW w:w="240" w:type="dxa"/>
            <w:vAlign w:val="bottom"/>
            <w:shd w:val="clear" w:color="auto" w:fill="C3D9EE"/>
          </w:tcPr>
          <w:p>
            <w:pPr>
              <w:spacing w:after="0"/>
              <w:rPr>
                <w:sz w:val="5"/>
                <w:szCs w:val="5"/>
                <w:color w:val="auto"/>
              </w:rPr>
            </w:pPr>
          </w:p>
        </w:tc>
        <w:tc>
          <w:tcPr>
            <w:tcW w:w="960" w:type="dxa"/>
            <w:vAlign w:val="bottom"/>
            <w:shd w:val="clear" w:color="auto" w:fill="C3D9EE"/>
          </w:tcPr>
          <w:p>
            <w:pPr>
              <w:spacing w:after="0"/>
              <w:rPr>
                <w:sz w:val="5"/>
                <w:szCs w:val="5"/>
                <w:color w:val="auto"/>
              </w:rPr>
            </w:pPr>
          </w:p>
        </w:tc>
        <w:tc>
          <w:tcPr>
            <w:tcW w:w="260" w:type="dxa"/>
            <w:vAlign w:val="bottom"/>
            <w:shd w:val="clear" w:color="auto" w:fill="C3D9EE"/>
          </w:tcPr>
          <w:p>
            <w:pPr>
              <w:spacing w:after="0"/>
              <w:rPr>
                <w:sz w:val="5"/>
                <w:szCs w:val="5"/>
                <w:color w:val="auto"/>
              </w:rPr>
            </w:pPr>
          </w:p>
        </w:tc>
        <w:tc>
          <w:tcPr>
            <w:tcW w:w="980" w:type="dxa"/>
            <w:vAlign w:val="bottom"/>
            <w:shd w:val="clear" w:color="auto" w:fill="C3D9EE"/>
          </w:tcPr>
          <w:p>
            <w:pPr>
              <w:spacing w:after="0"/>
              <w:rPr>
                <w:sz w:val="5"/>
                <w:szCs w:val="5"/>
                <w:color w:val="auto"/>
              </w:rPr>
            </w:pPr>
          </w:p>
        </w:tc>
      </w:tr>
      <w:tr>
        <w:trPr>
          <w:trHeight w:val="284"/>
        </w:trPr>
        <w:tc>
          <w:tcPr>
            <w:tcW w:w="3180" w:type="dxa"/>
            <w:vAlign w:val="bottom"/>
          </w:tcPr>
          <w:p>
            <w:pPr>
              <w:ind w:left="100"/>
              <w:spacing w:after="0"/>
              <w:rPr>
                <w:sz w:val="20"/>
                <w:szCs w:val="20"/>
                <w:color w:val="auto"/>
              </w:rPr>
            </w:pPr>
            <w:r>
              <w:rPr>
                <w:rFonts w:ascii="Arial" w:cs="Arial" w:eastAsia="Arial" w:hAnsi="Arial"/>
                <w:sz w:val="18"/>
                <w:szCs w:val="18"/>
                <w:color w:val="auto"/>
              </w:rPr>
              <w:t>Benefits Continuation</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68,282</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71,081</w:t>
            </w:r>
          </w:p>
        </w:tc>
        <w:tc>
          <w:tcPr>
            <w:tcW w:w="24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29,718</w:t>
            </w:r>
          </w:p>
        </w:tc>
        <w:tc>
          <w:tcPr>
            <w:tcW w:w="240" w:type="dxa"/>
            <w:vAlign w:val="bottom"/>
          </w:tcPr>
          <w:p>
            <w:pPr>
              <w:spacing w:after="0"/>
              <w:rPr>
                <w:sz w:val="24"/>
                <w:szCs w:val="24"/>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22,973</w:t>
            </w:r>
          </w:p>
        </w:tc>
        <w:tc>
          <w:tcPr>
            <w:tcW w:w="26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22,973</w:t>
            </w:r>
          </w:p>
        </w:tc>
      </w:tr>
      <w:tr>
        <w:trPr>
          <w:trHeight w:val="67"/>
        </w:trPr>
        <w:tc>
          <w:tcPr>
            <w:tcW w:w="31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284"/>
        </w:trPr>
        <w:tc>
          <w:tcPr>
            <w:tcW w:w="3180" w:type="dxa"/>
            <w:vAlign w:val="bottom"/>
            <w:shd w:val="clear" w:color="auto" w:fill="C3D9EE"/>
          </w:tcPr>
          <w:p>
            <w:pPr>
              <w:ind w:left="80"/>
              <w:spacing w:after="0"/>
              <w:rPr>
                <w:sz w:val="20"/>
                <w:szCs w:val="20"/>
                <w:color w:val="auto"/>
              </w:rPr>
            </w:pPr>
            <w:r>
              <w:rPr>
                <w:rFonts w:ascii="Arial" w:cs="Arial" w:eastAsia="Arial" w:hAnsi="Arial"/>
                <w:sz w:val="18"/>
                <w:szCs w:val="18"/>
                <w:color w:val="auto"/>
              </w:rPr>
              <w:t>Accrued Vacation</w:t>
            </w:r>
          </w:p>
        </w:tc>
        <w:tc>
          <w:tcPr>
            <w:tcW w:w="1740" w:type="dxa"/>
            <w:vAlign w:val="bottom"/>
            <w:shd w:val="clear" w:color="auto" w:fill="C3D9EE"/>
          </w:tcPr>
          <w:p>
            <w:pPr>
              <w:jc w:val="right"/>
              <w:ind w:right="5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3D9EE"/>
          </w:tcPr>
          <w:p>
            <w:pPr>
              <w:spacing w:after="0"/>
              <w:rPr>
                <w:sz w:val="24"/>
                <w:szCs w:val="24"/>
                <w:color w:val="auto"/>
              </w:rPr>
            </w:pPr>
          </w:p>
        </w:tc>
        <w:tc>
          <w:tcPr>
            <w:tcW w:w="1040" w:type="dxa"/>
            <w:vAlign w:val="bottom"/>
            <w:shd w:val="clear" w:color="auto" w:fill="C3D9EE"/>
          </w:tcPr>
          <w:p>
            <w:pPr>
              <w:jc w:val="right"/>
              <w:ind w:right="31"/>
              <w:spacing w:after="0"/>
              <w:rPr>
                <w:sz w:val="20"/>
                <w:szCs w:val="20"/>
                <w:color w:val="auto"/>
              </w:rPr>
            </w:pPr>
            <w:r>
              <w:rPr>
                <w:rFonts w:ascii="Arial" w:cs="Arial" w:eastAsia="Arial" w:hAnsi="Arial"/>
                <w:sz w:val="18"/>
                <w:szCs w:val="18"/>
                <w:color w:val="auto"/>
              </w:rPr>
              <w:t>81,938</w:t>
            </w:r>
          </w:p>
        </w:tc>
        <w:tc>
          <w:tcPr>
            <w:tcW w:w="1200" w:type="dxa"/>
            <w:vAlign w:val="bottom"/>
            <w:shd w:val="clear" w:color="auto" w:fill="C3D9EE"/>
          </w:tcPr>
          <w:p>
            <w:pPr>
              <w:jc w:val="right"/>
              <w:ind w:right="52"/>
              <w:spacing w:after="0"/>
              <w:rPr>
                <w:sz w:val="20"/>
                <w:szCs w:val="20"/>
                <w:color w:val="auto"/>
              </w:rPr>
            </w:pPr>
            <w:r>
              <w:rPr>
                <w:rFonts w:ascii="Arial" w:cs="Arial" w:eastAsia="Arial" w:hAnsi="Arial"/>
                <w:sz w:val="18"/>
                <w:szCs w:val="18"/>
                <w:color w:val="auto"/>
              </w:rPr>
              <w:t>33,294</w:t>
            </w:r>
          </w:p>
        </w:tc>
        <w:tc>
          <w:tcPr>
            <w:tcW w:w="240" w:type="dxa"/>
            <w:vAlign w:val="bottom"/>
            <w:shd w:val="clear" w:color="auto" w:fill="C3D9EE"/>
          </w:tcPr>
          <w:p>
            <w:pPr>
              <w:spacing w:after="0"/>
              <w:rPr>
                <w:sz w:val="24"/>
                <w:szCs w:val="24"/>
                <w:color w:val="auto"/>
              </w:rPr>
            </w:pPr>
          </w:p>
        </w:tc>
        <w:tc>
          <w:tcPr>
            <w:tcW w:w="940" w:type="dxa"/>
            <w:vAlign w:val="bottom"/>
            <w:shd w:val="clear" w:color="auto" w:fill="C3D9EE"/>
          </w:tcPr>
          <w:p>
            <w:pPr>
              <w:jc w:val="right"/>
              <w:ind w:right="50"/>
              <w:spacing w:after="0"/>
              <w:rPr>
                <w:sz w:val="20"/>
                <w:szCs w:val="20"/>
                <w:color w:val="auto"/>
              </w:rPr>
            </w:pPr>
            <w:r>
              <w:rPr>
                <w:rFonts w:ascii="Arial" w:cs="Arial" w:eastAsia="Arial" w:hAnsi="Arial"/>
                <w:sz w:val="18"/>
                <w:szCs w:val="18"/>
                <w:color w:val="auto"/>
              </w:rPr>
              <w:t>31,453</w:t>
            </w:r>
          </w:p>
        </w:tc>
        <w:tc>
          <w:tcPr>
            <w:tcW w:w="240" w:type="dxa"/>
            <w:vAlign w:val="bottom"/>
            <w:shd w:val="clear" w:color="auto" w:fill="C3D9EE"/>
          </w:tcPr>
          <w:p>
            <w:pPr>
              <w:spacing w:after="0"/>
              <w:rPr>
                <w:sz w:val="24"/>
                <w:szCs w:val="24"/>
                <w:color w:val="auto"/>
              </w:rPr>
            </w:pPr>
          </w:p>
        </w:tc>
        <w:tc>
          <w:tcPr>
            <w:tcW w:w="960" w:type="dxa"/>
            <w:vAlign w:val="bottom"/>
            <w:shd w:val="clear" w:color="auto" w:fill="C3D9EE"/>
          </w:tcPr>
          <w:p>
            <w:pPr>
              <w:jc w:val="right"/>
              <w:ind w:right="52"/>
              <w:spacing w:after="0"/>
              <w:rPr>
                <w:sz w:val="20"/>
                <w:szCs w:val="20"/>
                <w:color w:val="auto"/>
              </w:rPr>
            </w:pPr>
            <w:r>
              <w:rPr>
                <w:rFonts w:ascii="Arial" w:cs="Arial" w:eastAsia="Arial" w:hAnsi="Arial"/>
                <w:sz w:val="18"/>
                <w:szCs w:val="18"/>
                <w:color w:val="auto"/>
              </w:rPr>
              <w:t>2,285</w:t>
            </w:r>
          </w:p>
        </w:tc>
        <w:tc>
          <w:tcPr>
            <w:tcW w:w="260" w:type="dxa"/>
            <w:vAlign w:val="bottom"/>
            <w:shd w:val="clear" w:color="auto" w:fill="C3D9EE"/>
          </w:tcPr>
          <w:p>
            <w:pPr>
              <w:spacing w:after="0"/>
              <w:rPr>
                <w:sz w:val="24"/>
                <w:szCs w:val="24"/>
                <w:color w:val="auto"/>
              </w:rPr>
            </w:pPr>
          </w:p>
        </w:tc>
        <w:tc>
          <w:tcPr>
            <w:tcW w:w="980" w:type="dxa"/>
            <w:vAlign w:val="bottom"/>
            <w:shd w:val="clear" w:color="auto" w:fill="C3D9EE"/>
          </w:tcPr>
          <w:p>
            <w:pPr>
              <w:jc w:val="right"/>
              <w:ind w:right="92"/>
              <w:spacing w:after="0"/>
              <w:rPr>
                <w:sz w:val="20"/>
                <w:szCs w:val="20"/>
                <w:color w:val="auto"/>
              </w:rPr>
            </w:pPr>
            <w:r>
              <w:rPr>
                <w:rFonts w:ascii="Arial" w:cs="Arial" w:eastAsia="Arial" w:hAnsi="Arial"/>
                <w:sz w:val="18"/>
                <w:szCs w:val="18"/>
                <w:color w:val="auto"/>
              </w:rPr>
              <w:t>8,050</w:t>
            </w:r>
          </w:p>
        </w:tc>
      </w:tr>
      <w:tr>
        <w:trPr>
          <w:trHeight w:val="67"/>
        </w:trPr>
        <w:tc>
          <w:tcPr>
            <w:tcW w:w="3180" w:type="dxa"/>
            <w:vAlign w:val="bottom"/>
            <w:shd w:val="clear" w:color="auto" w:fill="C3D9EE"/>
          </w:tcPr>
          <w:p>
            <w:pPr>
              <w:spacing w:after="0"/>
              <w:rPr>
                <w:sz w:val="5"/>
                <w:szCs w:val="5"/>
                <w:color w:val="auto"/>
              </w:rPr>
            </w:pPr>
          </w:p>
        </w:tc>
        <w:tc>
          <w:tcPr>
            <w:tcW w:w="1740" w:type="dxa"/>
            <w:vAlign w:val="bottom"/>
            <w:shd w:val="clear" w:color="auto" w:fill="C3D9EE"/>
          </w:tcPr>
          <w:p>
            <w:pPr>
              <w:spacing w:after="0"/>
              <w:rPr>
                <w:sz w:val="5"/>
                <w:szCs w:val="5"/>
                <w:color w:val="auto"/>
              </w:rPr>
            </w:pPr>
          </w:p>
        </w:tc>
        <w:tc>
          <w:tcPr>
            <w:tcW w:w="240" w:type="dxa"/>
            <w:vAlign w:val="bottom"/>
            <w:shd w:val="clear" w:color="auto" w:fill="C3D9EE"/>
          </w:tcPr>
          <w:p>
            <w:pPr>
              <w:spacing w:after="0"/>
              <w:rPr>
                <w:sz w:val="5"/>
                <w:szCs w:val="5"/>
                <w:color w:val="auto"/>
              </w:rPr>
            </w:pPr>
          </w:p>
        </w:tc>
        <w:tc>
          <w:tcPr>
            <w:tcW w:w="1040" w:type="dxa"/>
            <w:vAlign w:val="bottom"/>
            <w:shd w:val="clear" w:color="auto" w:fill="C3D9EE"/>
          </w:tcPr>
          <w:p>
            <w:pPr>
              <w:spacing w:after="0"/>
              <w:rPr>
                <w:sz w:val="5"/>
                <w:szCs w:val="5"/>
                <w:color w:val="auto"/>
              </w:rPr>
            </w:pPr>
          </w:p>
        </w:tc>
        <w:tc>
          <w:tcPr>
            <w:tcW w:w="1200" w:type="dxa"/>
            <w:vAlign w:val="bottom"/>
            <w:shd w:val="clear" w:color="auto" w:fill="C3D9EE"/>
          </w:tcPr>
          <w:p>
            <w:pPr>
              <w:spacing w:after="0"/>
              <w:rPr>
                <w:sz w:val="5"/>
                <w:szCs w:val="5"/>
                <w:color w:val="auto"/>
              </w:rPr>
            </w:pPr>
          </w:p>
        </w:tc>
        <w:tc>
          <w:tcPr>
            <w:tcW w:w="240" w:type="dxa"/>
            <w:vAlign w:val="bottom"/>
            <w:shd w:val="clear" w:color="auto" w:fill="C3D9EE"/>
          </w:tcPr>
          <w:p>
            <w:pPr>
              <w:spacing w:after="0"/>
              <w:rPr>
                <w:sz w:val="5"/>
                <w:szCs w:val="5"/>
                <w:color w:val="auto"/>
              </w:rPr>
            </w:pPr>
          </w:p>
        </w:tc>
        <w:tc>
          <w:tcPr>
            <w:tcW w:w="940" w:type="dxa"/>
            <w:vAlign w:val="bottom"/>
            <w:shd w:val="clear" w:color="auto" w:fill="C3D9EE"/>
          </w:tcPr>
          <w:p>
            <w:pPr>
              <w:spacing w:after="0"/>
              <w:rPr>
                <w:sz w:val="5"/>
                <w:szCs w:val="5"/>
                <w:color w:val="auto"/>
              </w:rPr>
            </w:pPr>
          </w:p>
        </w:tc>
        <w:tc>
          <w:tcPr>
            <w:tcW w:w="240" w:type="dxa"/>
            <w:vAlign w:val="bottom"/>
            <w:shd w:val="clear" w:color="auto" w:fill="C3D9EE"/>
          </w:tcPr>
          <w:p>
            <w:pPr>
              <w:spacing w:after="0"/>
              <w:rPr>
                <w:sz w:val="5"/>
                <w:szCs w:val="5"/>
                <w:color w:val="auto"/>
              </w:rPr>
            </w:pPr>
          </w:p>
        </w:tc>
        <w:tc>
          <w:tcPr>
            <w:tcW w:w="960" w:type="dxa"/>
            <w:vAlign w:val="bottom"/>
            <w:shd w:val="clear" w:color="auto" w:fill="C3D9EE"/>
          </w:tcPr>
          <w:p>
            <w:pPr>
              <w:spacing w:after="0"/>
              <w:rPr>
                <w:sz w:val="5"/>
                <w:szCs w:val="5"/>
                <w:color w:val="auto"/>
              </w:rPr>
            </w:pPr>
          </w:p>
        </w:tc>
        <w:tc>
          <w:tcPr>
            <w:tcW w:w="260" w:type="dxa"/>
            <w:vAlign w:val="bottom"/>
            <w:shd w:val="clear" w:color="auto" w:fill="C3D9EE"/>
          </w:tcPr>
          <w:p>
            <w:pPr>
              <w:spacing w:after="0"/>
              <w:rPr>
                <w:sz w:val="5"/>
                <w:szCs w:val="5"/>
                <w:color w:val="auto"/>
              </w:rPr>
            </w:pPr>
          </w:p>
        </w:tc>
        <w:tc>
          <w:tcPr>
            <w:tcW w:w="980" w:type="dxa"/>
            <w:vAlign w:val="bottom"/>
            <w:shd w:val="clear" w:color="auto" w:fill="C3D9EE"/>
          </w:tcPr>
          <w:p>
            <w:pPr>
              <w:spacing w:after="0"/>
              <w:rPr>
                <w:sz w:val="5"/>
                <w:szCs w:val="5"/>
                <w:color w:val="auto"/>
              </w:rPr>
            </w:pPr>
          </w:p>
        </w:tc>
      </w:tr>
      <w:tr>
        <w:trPr>
          <w:trHeight w:val="284"/>
        </w:trPr>
        <w:tc>
          <w:tcPr>
            <w:tcW w:w="3180" w:type="dxa"/>
            <w:vAlign w:val="bottom"/>
          </w:tcPr>
          <w:p>
            <w:pPr>
              <w:ind w:left="100"/>
              <w:spacing w:after="0"/>
              <w:rPr>
                <w:sz w:val="20"/>
                <w:szCs w:val="20"/>
                <w:color w:val="auto"/>
              </w:rPr>
            </w:pPr>
            <w:r>
              <w:rPr>
                <w:rFonts w:ascii="Arial" w:cs="Arial" w:eastAsia="Arial" w:hAnsi="Arial"/>
                <w:sz w:val="18"/>
                <w:szCs w:val="18"/>
                <w:color w:val="auto"/>
              </w:rPr>
              <w:t>Total</w:t>
            </w:r>
          </w:p>
        </w:tc>
        <w:tc>
          <w:tcPr>
            <w:tcW w:w="1740" w:type="dxa"/>
            <w:vAlign w:val="bottom"/>
          </w:tcPr>
          <w:p>
            <w:pPr>
              <w:spacing w:after="0"/>
              <w:rPr>
                <w:sz w:val="24"/>
                <w:szCs w:val="24"/>
                <w:color w:val="auto"/>
              </w:rPr>
            </w:pP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w w:val="99"/>
              </w:rPr>
              <w:t>17,908,174</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$7,303,757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w w:val="97"/>
              </w:rPr>
              <w:t>5,663,956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w w:val="99"/>
              </w:rPr>
              <w:t>4,352,252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w w:val="97"/>
              </w:rPr>
              <w:t>4,177,658</w:t>
            </w:r>
          </w:p>
        </w:tc>
      </w:tr>
      <w:tr>
        <w:trPr>
          <w:trHeight w:val="68"/>
        </w:trPr>
        <w:tc>
          <w:tcPr>
            <w:tcW w:w="3180" w:type="dxa"/>
            <w:vAlign w:val="bottom"/>
            <w:tcBorders>
              <w:bottom w:val="single" w:sz="8" w:color="1269BC"/>
            </w:tcBorders>
          </w:tcPr>
          <w:p>
            <w:pPr>
              <w:spacing w:after="0"/>
              <w:rPr>
                <w:sz w:val="5"/>
                <w:szCs w:val="5"/>
                <w:color w:val="auto"/>
              </w:rPr>
            </w:pPr>
          </w:p>
        </w:tc>
        <w:tc>
          <w:tcPr>
            <w:tcW w:w="1740" w:type="dxa"/>
            <w:vAlign w:val="bottom"/>
            <w:tcBorders>
              <w:bottom w:val="single" w:sz="8" w:color="1269BC"/>
            </w:tcBorders>
          </w:tcPr>
          <w:p>
            <w:pPr>
              <w:spacing w:after="0"/>
              <w:rPr>
                <w:sz w:val="5"/>
                <w:szCs w:val="5"/>
                <w:color w:val="auto"/>
              </w:rPr>
            </w:pPr>
          </w:p>
        </w:tc>
        <w:tc>
          <w:tcPr>
            <w:tcW w:w="240" w:type="dxa"/>
            <w:vAlign w:val="bottom"/>
            <w:tcBorders>
              <w:bottom w:val="single" w:sz="8" w:color="1269BC"/>
            </w:tcBorders>
          </w:tcPr>
          <w:p>
            <w:pPr>
              <w:spacing w:after="0"/>
              <w:rPr>
                <w:sz w:val="5"/>
                <w:szCs w:val="5"/>
                <w:color w:val="auto"/>
              </w:rPr>
            </w:pPr>
          </w:p>
        </w:tc>
        <w:tc>
          <w:tcPr>
            <w:tcW w:w="1040" w:type="dxa"/>
            <w:vAlign w:val="bottom"/>
            <w:tcBorders>
              <w:bottom w:val="single" w:sz="8" w:color="1269BC"/>
            </w:tcBorders>
          </w:tcPr>
          <w:p>
            <w:pPr>
              <w:spacing w:after="0"/>
              <w:rPr>
                <w:sz w:val="5"/>
                <w:szCs w:val="5"/>
                <w:color w:val="auto"/>
              </w:rPr>
            </w:pPr>
          </w:p>
        </w:tc>
        <w:tc>
          <w:tcPr>
            <w:tcW w:w="1200" w:type="dxa"/>
            <w:vAlign w:val="bottom"/>
            <w:tcBorders>
              <w:bottom w:val="single" w:sz="8" w:color="1269BC"/>
            </w:tcBorders>
          </w:tcPr>
          <w:p>
            <w:pPr>
              <w:spacing w:after="0"/>
              <w:rPr>
                <w:sz w:val="5"/>
                <w:szCs w:val="5"/>
                <w:color w:val="auto"/>
              </w:rPr>
            </w:pPr>
          </w:p>
        </w:tc>
        <w:tc>
          <w:tcPr>
            <w:tcW w:w="240" w:type="dxa"/>
            <w:vAlign w:val="bottom"/>
            <w:tcBorders>
              <w:bottom w:val="single" w:sz="8" w:color="1269BC"/>
            </w:tcBorders>
          </w:tcPr>
          <w:p>
            <w:pPr>
              <w:spacing w:after="0"/>
              <w:rPr>
                <w:sz w:val="5"/>
                <w:szCs w:val="5"/>
                <w:color w:val="auto"/>
              </w:rPr>
            </w:pPr>
          </w:p>
        </w:tc>
        <w:tc>
          <w:tcPr>
            <w:tcW w:w="940" w:type="dxa"/>
            <w:vAlign w:val="bottom"/>
            <w:tcBorders>
              <w:bottom w:val="single" w:sz="8" w:color="1269BC"/>
            </w:tcBorders>
          </w:tcPr>
          <w:p>
            <w:pPr>
              <w:spacing w:after="0"/>
              <w:rPr>
                <w:sz w:val="5"/>
                <w:szCs w:val="5"/>
                <w:color w:val="auto"/>
              </w:rPr>
            </w:pPr>
          </w:p>
        </w:tc>
        <w:tc>
          <w:tcPr>
            <w:tcW w:w="240" w:type="dxa"/>
            <w:vAlign w:val="bottom"/>
            <w:tcBorders>
              <w:bottom w:val="single" w:sz="8" w:color="1269BC"/>
            </w:tcBorders>
          </w:tcPr>
          <w:p>
            <w:pPr>
              <w:spacing w:after="0"/>
              <w:rPr>
                <w:sz w:val="5"/>
                <w:szCs w:val="5"/>
                <w:color w:val="auto"/>
              </w:rPr>
            </w:pPr>
          </w:p>
        </w:tc>
        <w:tc>
          <w:tcPr>
            <w:tcW w:w="960" w:type="dxa"/>
            <w:vAlign w:val="bottom"/>
            <w:tcBorders>
              <w:bottom w:val="single" w:sz="8" w:color="1269BC"/>
            </w:tcBorders>
          </w:tcPr>
          <w:p>
            <w:pPr>
              <w:spacing w:after="0"/>
              <w:rPr>
                <w:sz w:val="5"/>
                <w:szCs w:val="5"/>
                <w:color w:val="auto"/>
              </w:rPr>
            </w:pPr>
          </w:p>
        </w:tc>
        <w:tc>
          <w:tcPr>
            <w:tcW w:w="260" w:type="dxa"/>
            <w:vAlign w:val="bottom"/>
            <w:tcBorders>
              <w:bottom w:val="single" w:sz="8" w:color="1269BC"/>
            </w:tcBorders>
          </w:tcPr>
          <w:p>
            <w:pPr>
              <w:spacing w:after="0"/>
              <w:rPr>
                <w:sz w:val="5"/>
                <w:szCs w:val="5"/>
                <w:color w:val="auto"/>
              </w:rPr>
            </w:pPr>
          </w:p>
        </w:tc>
        <w:tc>
          <w:tcPr>
            <w:tcW w:w="980" w:type="dxa"/>
            <w:vAlign w:val="bottom"/>
            <w:tcBorders>
              <w:bottom w:val="single" w:sz="8" w:color="1269BC"/>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93980</wp:posOffset>
            </wp:positionV>
            <wp:extent cx="58293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pacing w:after="0" w:line="16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i w:val="1"/>
          <w:iCs w:val="1"/>
          <w:color w:val="1269BC"/>
        </w:rPr>
        <w:t>2020 Proxy Statement</w:t>
      </w:r>
      <w:r>
        <w:rPr>
          <w:sz w:val="20"/>
          <w:szCs w:val="20"/>
          <w:color w:val="auto"/>
        </w:rPr>
        <w:tab/>
      </w:r>
      <w:r>
        <w:rPr>
          <w:rFonts w:ascii="Arial" w:cs="Arial" w:eastAsia="Arial" w:hAnsi="Arial"/>
          <w:sz w:val="17"/>
          <w:szCs w:val="17"/>
          <w:color w:val="auto"/>
        </w:rPr>
        <w:t>41</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5" w:lineRule="exact"/>
        <w:rPr>
          <w:sz w:val="20"/>
          <w:szCs w:val="20"/>
          <w:color w:val="auto"/>
        </w:rPr>
      </w:pPr>
    </w:p>
    <w:p>
      <w:pPr>
        <w:ind w:left="980" w:right="180" w:hanging="324"/>
        <w:spacing w:after="0" w:line="250"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For Messrs. Bruggeworth and Murphy, the amount represents two times the highest annual rate of base salary during the twelve-month period before termination. For the other Named Executive Officers, the amount represents one times the highest annual rate of base salary during the twelve-month period before termination. A portion of these amounts would be payable in a lump sum within 30 days following the date of termination, with the remainder to be paid in periodic installments, in accordance with our normal payroll practices, over a two-year period for Messrs. Bruggeworth and Murphy, and over a one-year period for the other Named Executive Officers.</w:t>
      </w:r>
    </w:p>
    <w:p>
      <w:pPr>
        <w:spacing w:after="0" w:line="229" w:lineRule="exact"/>
        <w:rPr>
          <w:rFonts w:ascii="Arial" w:cs="Arial" w:eastAsia="Arial" w:hAnsi="Arial"/>
          <w:sz w:val="16"/>
          <w:szCs w:val="16"/>
          <w:color w:val="auto"/>
        </w:rPr>
      </w:pPr>
    </w:p>
    <w:p>
      <w:pPr>
        <w:ind w:left="980" w:right="120" w:hanging="324"/>
        <w:spacing w:after="0" w:line="249"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For Messrs. Bruggeworth and Murphy, the amount represents two times the target annual bonus opportunity as defined in our Short-Term Incentive Plan for the year of termination. For the other Named Executive Officers, the amount represents one times the target annual bonus opportunity as defined in our Short-Term Incentive Plan for the year of termination. A portion of these amounts would be payable in a lump sum within 30 days following the date of termination, with the remainder to be paid in periodic installments, in accordance with our normal payroll practices, over a two-year period for Messrs. Bruggeworth and Murphy, and over a one-year period for the other Named Executive Officers.</w:t>
      </w:r>
    </w:p>
    <w:p>
      <w:pPr>
        <w:spacing w:after="0" w:line="231" w:lineRule="exact"/>
        <w:rPr>
          <w:rFonts w:ascii="Arial" w:cs="Arial" w:eastAsia="Arial" w:hAnsi="Arial"/>
          <w:sz w:val="16"/>
          <w:szCs w:val="16"/>
          <w:color w:val="auto"/>
        </w:rPr>
      </w:pPr>
    </w:p>
    <w:p>
      <w:pPr>
        <w:ind w:left="980" w:hanging="324"/>
        <w:spacing w:after="0"/>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the intrinsic value of unvested performance- and service-based restricted stock units as of March 28, 2020.</w:t>
      </w:r>
    </w:p>
    <w:p>
      <w:pPr>
        <w:spacing w:after="0" w:line="248" w:lineRule="exact"/>
        <w:rPr>
          <w:rFonts w:ascii="Arial" w:cs="Arial" w:eastAsia="Arial" w:hAnsi="Arial"/>
          <w:sz w:val="16"/>
          <w:szCs w:val="16"/>
          <w:color w:val="auto"/>
        </w:rPr>
      </w:pPr>
    </w:p>
    <w:p>
      <w:pPr>
        <w:ind w:left="980" w:right="180" w:hanging="324"/>
        <w:spacing w:after="0" w:line="260"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the value of continuing health and welfare based on the monthly premiums paid by Qorvo at March 28, 2020 (for two years with respect to Messrs. Bruggeworth and Murphy, and one year with respect to the other Named Executive Officers).</w:t>
      </w:r>
    </w:p>
    <w:p>
      <w:pPr>
        <w:spacing w:after="0" w:line="222" w:lineRule="exact"/>
        <w:rPr>
          <w:rFonts w:ascii="Arial" w:cs="Arial" w:eastAsia="Arial" w:hAnsi="Arial"/>
          <w:sz w:val="16"/>
          <w:szCs w:val="16"/>
          <w:color w:val="auto"/>
        </w:rPr>
      </w:pPr>
    </w:p>
    <w:p>
      <w:pPr>
        <w:ind w:left="980" w:hanging="324"/>
        <w:spacing w:after="0"/>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accrued vacation earned but not utilized, which would be payable in a lump sum within 30 days following the date of termination.</w:t>
      </w:r>
    </w:p>
    <w:p>
      <w:pPr>
        <w:spacing w:after="0" w:line="196"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b w:val="1"/>
          <w:bCs w:val="1"/>
          <w:color w:val="1269BC"/>
        </w:rPr>
        <w:t>Other Potential Payments Upon Resignation, Termination for Cause, Termination without Cause, Retirement or Constructive Termination</w:t>
      </w:r>
    </w:p>
    <w:p>
      <w:pPr>
        <w:spacing w:after="0" w:line="70" w:lineRule="exact"/>
        <w:rPr>
          <w:sz w:val="20"/>
          <w:szCs w:val="20"/>
          <w:color w:val="auto"/>
        </w:rPr>
      </w:pPr>
    </w:p>
    <w:p>
      <w:pPr>
        <w:ind w:left="120" w:right="220"/>
        <w:spacing w:after="0" w:line="251" w:lineRule="auto"/>
        <w:rPr>
          <w:sz w:val="20"/>
          <w:szCs w:val="20"/>
          <w:color w:val="auto"/>
        </w:rPr>
      </w:pPr>
      <w:r>
        <w:rPr>
          <w:rFonts w:ascii="Arial" w:cs="Arial" w:eastAsia="Arial" w:hAnsi="Arial"/>
          <w:sz w:val="16"/>
          <w:szCs w:val="16"/>
          <w:color w:val="auto"/>
        </w:rPr>
        <w:t>Other than potential receipt of a cash payment worth up to 26 weeks of base salary under our general severance program following an involuntary termination, Messrs. Murphy, Creviston and Fego are not entitled to any cash payments from Qorvo in the event of their resignation, termination with or without cause, retirement or constructive termination without a change in control. However, their unvested restricted stock units listed below may be subject to acceleration or may continue to vest if and as provided in individual agreements.</w:t>
      </w:r>
    </w:p>
    <w:p>
      <w:pPr>
        <w:spacing w:after="0" w:line="209" w:lineRule="exact"/>
        <w:rPr>
          <w:sz w:val="20"/>
          <w:szCs w:val="20"/>
          <w:color w:val="auto"/>
        </w:rPr>
      </w:pPr>
    </w:p>
    <w:tbl>
      <w:tblPr>
        <w:tblLayout w:type="fixed"/>
        <w:tblInd w:w="1000" w:type="dxa"/>
        <w:tblCellMar>
          <w:top w:w="0" w:type="dxa"/>
          <w:left w:w="0" w:type="dxa"/>
          <w:bottom w:w="0" w:type="dxa"/>
          <w:right w:w="0" w:type="dxa"/>
        </w:tblCellMar>
      </w:tblPr>
      <w:tr>
        <w:trPr>
          <w:trHeight w:val="189"/>
        </w:trPr>
        <w:tc>
          <w:tcPr>
            <w:tcW w:w="3460" w:type="dxa"/>
            <w:vAlign w:val="bottom"/>
          </w:tcPr>
          <w:p>
            <w:pPr>
              <w:spacing w:after="0"/>
              <w:rPr>
                <w:sz w:val="16"/>
                <w:szCs w:val="16"/>
                <w:color w:val="auto"/>
              </w:rPr>
            </w:pPr>
          </w:p>
        </w:tc>
        <w:tc>
          <w:tcPr>
            <w:tcW w:w="3180" w:type="dxa"/>
            <w:vAlign w:val="bottom"/>
          </w:tcPr>
          <w:p>
            <w:pPr>
              <w:jc w:val="center"/>
              <w:ind w:left="1696"/>
              <w:spacing w:after="0"/>
              <w:rPr>
                <w:sz w:val="20"/>
                <w:szCs w:val="20"/>
                <w:color w:val="auto"/>
              </w:rPr>
            </w:pPr>
            <w:r>
              <w:rPr>
                <w:rFonts w:ascii="Arial" w:cs="Arial" w:eastAsia="Arial" w:hAnsi="Arial"/>
                <w:sz w:val="16"/>
                <w:szCs w:val="16"/>
                <w:b w:val="1"/>
                <w:bCs w:val="1"/>
                <w:color w:val="1269BC"/>
              </w:rPr>
              <w:t>Mark J.</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1269BC"/>
                <w:w w:val="99"/>
              </w:rPr>
              <w:t>Steven E.</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1269BC"/>
              </w:rPr>
              <w:t>Paul J.</w:t>
            </w:r>
          </w:p>
        </w:tc>
      </w:tr>
      <w:tr>
        <w:trPr>
          <w:trHeight w:val="207"/>
        </w:trPr>
        <w:tc>
          <w:tcPr>
            <w:tcW w:w="3460" w:type="dxa"/>
            <w:vAlign w:val="bottom"/>
            <w:tcBorders>
              <w:bottom w:val="single" w:sz="8" w:color="1269BC"/>
            </w:tcBorders>
          </w:tcPr>
          <w:p>
            <w:pPr>
              <w:ind w:left="100"/>
              <w:spacing w:after="0"/>
              <w:rPr>
                <w:sz w:val="20"/>
                <w:szCs w:val="20"/>
                <w:color w:val="auto"/>
              </w:rPr>
            </w:pPr>
            <w:r>
              <w:rPr>
                <w:rFonts w:ascii="Arial" w:cs="Arial" w:eastAsia="Arial" w:hAnsi="Arial"/>
                <w:sz w:val="16"/>
                <w:szCs w:val="16"/>
                <w:b w:val="1"/>
                <w:bCs w:val="1"/>
                <w:color w:val="1269BC"/>
              </w:rPr>
              <w:t>Name</w:t>
            </w:r>
          </w:p>
        </w:tc>
        <w:tc>
          <w:tcPr>
            <w:tcW w:w="3180" w:type="dxa"/>
            <w:vAlign w:val="bottom"/>
            <w:tcBorders>
              <w:bottom w:val="single" w:sz="8" w:color="1269BC"/>
            </w:tcBorders>
          </w:tcPr>
          <w:p>
            <w:pPr>
              <w:jc w:val="center"/>
              <w:ind w:left="1676"/>
              <w:spacing w:after="0"/>
              <w:rPr>
                <w:sz w:val="20"/>
                <w:szCs w:val="20"/>
                <w:color w:val="auto"/>
              </w:rPr>
            </w:pPr>
            <w:r>
              <w:rPr>
                <w:rFonts w:ascii="Arial" w:cs="Arial" w:eastAsia="Arial" w:hAnsi="Arial"/>
                <w:sz w:val="16"/>
                <w:szCs w:val="16"/>
                <w:b w:val="1"/>
                <w:bCs w:val="1"/>
                <w:color w:val="1269BC"/>
              </w:rPr>
              <w:t>Murphy</w:t>
            </w:r>
          </w:p>
        </w:tc>
        <w:tc>
          <w:tcPr>
            <w:tcW w:w="136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Creviston</w:t>
            </w:r>
          </w:p>
        </w:tc>
        <w:tc>
          <w:tcPr>
            <w:tcW w:w="126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Fego</w:t>
            </w:r>
          </w:p>
        </w:tc>
      </w:tr>
      <w:tr>
        <w:trPr>
          <w:trHeight w:val="277"/>
        </w:trPr>
        <w:tc>
          <w:tcPr>
            <w:tcW w:w="3460" w:type="dxa"/>
            <w:vAlign w:val="bottom"/>
            <w:shd w:val="clear" w:color="auto" w:fill="C3D9EE"/>
          </w:tcPr>
          <w:p>
            <w:pPr>
              <w:ind w:left="100"/>
              <w:spacing w:after="0"/>
              <w:rPr>
                <w:sz w:val="20"/>
                <w:szCs w:val="20"/>
                <w:color w:val="auto"/>
              </w:rPr>
            </w:pPr>
            <w:r>
              <w:rPr>
                <w:rFonts w:ascii="Arial" w:cs="Arial" w:eastAsia="Arial" w:hAnsi="Arial"/>
                <w:sz w:val="18"/>
                <w:szCs w:val="18"/>
                <w:color w:val="auto"/>
              </w:rPr>
              <w:t>Stock Awards (1)</w:t>
            </w:r>
          </w:p>
        </w:tc>
        <w:tc>
          <w:tcPr>
            <w:tcW w:w="3180" w:type="dxa"/>
            <w:vAlign w:val="bottom"/>
            <w:shd w:val="clear" w:color="auto" w:fill="C3D9EE"/>
          </w:tcPr>
          <w:p>
            <w:pPr>
              <w:jc w:val="center"/>
              <w:ind w:left="1676"/>
              <w:spacing w:after="0"/>
              <w:rPr>
                <w:sz w:val="20"/>
                <w:szCs w:val="20"/>
                <w:color w:val="auto"/>
              </w:rPr>
            </w:pPr>
            <w:r>
              <w:rPr>
                <w:rFonts w:ascii="Arial" w:cs="Arial" w:eastAsia="Arial" w:hAnsi="Arial"/>
                <w:sz w:val="18"/>
                <w:szCs w:val="18"/>
                <w:color w:val="auto"/>
              </w:rPr>
              <w:t>$ 5,227,018</w:t>
            </w:r>
          </w:p>
        </w:tc>
        <w:tc>
          <w:tcPr>
            <w:tcW w:w="1360" w:type="dxa"/>
            <w:vAlign w:val="bottom"/>
            <w:shd w:val="clear" w:color="auto" w:fill="C3D9EE"/>
          </w:tcPr>
          <w:p>
            <w:pPr>
              <w:jc w:val="center"/>
              <w:spacing w:after="0"/>
              <w:rPr>
                <w:sz w:val="20"/>
                <w:szCs w:val="20"/>
                <w:color w:val="auto"/>
              </w:rPr>
            </w:pPr>
            <w:r>
              <w:rPr>
                <w:rFonts w:ascii="Arial" w:cs="Arial" w:eastAsia="Arial" w:hAnsi="Arial"/>
                <w:sz w:val="18"/>
                <w:szCs w:val="18"/>
                <w:color w:val="auto"/>
              </w:rPr>
              <w:t>$ 4,636,205</w:t>
            </w:r>
          </w:p>
        </w:tc>
        <w:tc>
          <w:tcPr>
            <w:tcW w:w="1260" w:type="dxa"/>
            <w:vAlign w:val="bottom"/>
            <w:shd w:val="clear" w:color="auto" w:fill="C3D9EE"/>
          </w:tcPr>
          <w:p>
            <w:pPr>
              <w:jc w:val="center"/>
              <w:spacing w:after="0"/>
              <w:rPr>
                <w:sz w:val="20"/>
                <w:szCs w:val="20"/>
                <w:color w:val="auto"/>
              </w:rPr>
            </w:pPr>
            <w:r>
              <w:rPr>
                <w:rFonts w:ascii="Arial" w:cs="Arial" w:eastAsia="Arial" w:hAnsi="Arial"/>
                <w:sz w:val="18"/>
                <w:szCs w:val="18"/>
                <w:color w:val="auto"/>
              </w:rPr>
              <w:t>$ 3,275,772</w:t>
            </w:r>
          </w:p>
        </w:tc>
      </w:tr>
      <w:tr>
        <w:trPr>
          <w:trHeight w:val="68"/>
        </w:trPr>
        <w:tc>
          <w:tcPr>
            <w:tcW w:w="3460" w:type="dxa"/>
            <w:vAlign w:val="bottom"/>
            <w:tcBorders>
              <w:bottom w:val="single" w:sz="8" w:color="1269BC"/>
            </w:tcBorders>
            <w:shd w:val="clear" w:color="auto" w:fill="C3D9EE"/>
          </w:tcPr>
          <w:p>
            <w:pPr>
              <w:spacing w:after="0"/>
              <w:rPr>
                <w:sz w:val="5"/>
                <w:szCs w:val="5"/>
                <w:color w:val="auto"/>
              </w:rPr>
            </w:pPr>
          </w:p>
        </w:tc>
        <w:tc>
          <w:tcPr>
            <w:tcW w:w="3180" w:type="dxa"/>
            <w:vAlign w:val="bottom"/>
            <w:tcBorders>
              <w:bottom w:val="single" w:sz="8" w:color="1269BC"/>
            </w:tcBorders>
            <w:shd w:val="clear" w:color="auto" w:fill="C3D9EE"/>
          </w:tcPr>
          <w:p>
            <w:pPr>
              <w:spacing w:after="0"/>
              <w:rPr>
                <w:sz w:val="5"/>
                <w:szCs w:val="5"/>
                <w:color w:val="auto"/>
              </w:rPr>
            </w:pPr>
          </w:p>
        </w:tc>
        <w:tc>
          <w:tcPr>
            <w:tcW w:w="1360" w:type="dxa"/>
            <w:vAlign w:val="bottom"/>
            <w:tcBorders>
              <w:bottom w:val="single" w:sz="8" w:color="1269BC"/>
            </w:tcBorders>
            <w:shd w:val="clear" w:color="auto" w:fill="C3D9EE"/>
          </w:tcPr>
          <w:p>
            <w:pPr>
              <w:spacing w:after="0"/>
              <w:rPr>
                <w:sz w:val="5"/>
                <w:szCs w:val="5"/>
                <w:color w:val="auto"/>
              </w:rPr>
            </w:pPr>
          </w:p>
        </w:tc>
        <w:tc>
          <w:tcPr>
            <w:tcW w:w="1260" w:type="dxa"/>
            <w:vAlign w:val="bottom"/>
            <w:tcBorders>
              <w:bottom w:val="single" w:sz="8" w:color="1269BC"/>
            </w:tcBorders>
            <w:shd w:val="clear" w:color="auto" w:fill="C3D9EE"/>
          </w:tcPr>
          <w:p>
            <w:pPr>
              <w:spacing w:after="0"/>
              <w:rPr>
                <w:sz w:val="5"/>
                <w:szCs w:val="5"/>
                <w:color w:val="auto"/>
              </w:rPr>
            </w:pPr>
          </w:p>
        </w:tc>
      </w:tr>
    </w:tbl>
    <w:p>
      <w:pPr>
        <w:spacing w:after="0" w:line="24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  Represents the intrinsic value of service-based restricted stock units for these Named Executive Officers at March 28, 2020.</w:t>
      </w:r>
    </w:p>
    <w:p>
      <w:pPr>
        <w:spacing w:after="0" w:line="221"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auto"/>
        </w:rPr>
        <w:t>In accordance with the terms of his employment agreement, Mr. Bruggeworth would have been entitled to the following payments from Qorvo upon the occurrence of any of the termination events described in the table below as of March 28, 2020. The table below assumes prior payment of any portion of base salary that would have been accrued but not yet paid as of March 28, 2020. Although Mr. Bruggeworth is also entitled to change of control benefits under his employment agreement, pursuant to the terms of his employment agreement, any benefits payable under his change in control agreement with Qorvo offset any benefits paid under his employment agreement following his termination. As of March 28, 2020, the benefits payable under his change in control agreement, as set forth in the above table, would have been equal to the change in control benefits payable under his employment agreement.</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1269BC"/>
              </w:rPr>
              <w:t>Termination</w:t>
            </w: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1269BC"/>
              </w:rPr>
              <w:t>Termination</w:t>
            </w: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3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center"/>
              <w:ind w:right="173"/>
              <w:spacing w:after="0"/>
              <w:rPr>
                <w:sz w:val="20"/>
                <w:szCs w:val="20"/>
                <w:color w:val="auto"/>
              </w:rPr>
            </w:pPr>
            <w:r>
              <w:rPr>
                <w:rFonts w:ascii="Arial" w:cs="Arial" w:eastAsia="Arial" w:hAnsi="Arial"/>
                <w:sz w:val="16"/>
                <w:szCs w:val="16"/>
                <w:b w:val="1"/>
                <w:bCs w:val="1"/>
                <w:color w:val="1269BC"/>
              </w:rPr>
              <w:t>Due to</w:t>
            </w:r>
          </w:p>
        </w:tc>
        <w:tc>
          <w:tcPr>
            <w:tcW w:w="240" w:type="dxa"/>
            <w:vAlign w:val="bottom"/>
          </w:tcPr>
          <w:p>
            <w:pPr>
              <w:spacing w:after="0"/>
              <w:rPr>
                <w:sz w:val="16"/>
                <w:szCs w:val="16"/>
                <w:color w:val="auto"/>
              </w:rPr>
            </w:pPr>
          </w:p>
        </w:tc>
        <w:tc>
          <w:tcPr>
            <w:tcW w:w="1040" w:type="dxa"/>
            <w:vAlign w:val="bottom"/>
          </w:tcPr>
          <w:p>
            <w:pPr>
              <w:jc w:val="center"/>
              <w:ind w:right="173"/>
              <w:spacing w:after="0"/>
              <w:rPr>
                <w:sz w:val="20"/>
                <w:szCs w:val="20"/>
                <w:color w:val="auto"/>
              </w:rPr>
            </w:pPr>
            <w:r>
              <w:rPr>
                <w:rFonts w:ascii="Arial" w:cs="Arial" w:eastAsia="Arial" w:hAnsi="Arial"/>
                <w:sz w:val="16"/>
                <w:szCs w:val="16"/>
                <w:b w:val="1"/>
                <w:bCs w:val="1"/>
                <w:color w:val="1269BC"/>
              </w:rPr>
              <w:t>without</w:t>
            </w: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1269BC"/>
              </w:rPr>
              <w:t>Termination</w:t>
            </w:r>
          </w:p>
        </w:tc>
      </w:tr>
      <w:tr>
        <w:trPr>
          <w:trHeight w:val="189"/>
        </w:trPr>
        <w:tc>
          <w:tcPr>
            <w:tcW w:w="3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center"/>
              <w:ind w:right="173"/>
              <w:spacing w:after="0"/>
              <w:rPr>
                <w:sz w:val="20"/>
                <w:szCs w:val="20"/>
                <w:color w:val="auto"/>
              </w:rPr>
            </w:pPr>
            <w:r>
              <w:rPr>
                <w:rFonts w:ascii="Arial" w:cs="Arial" w:eastAsia="Arial" w:hAnsi="Arial"/>
                <w:sz w:val="16"/>
                <w:szCs w:val="16"/>
                <w:b w:val="1"/>
                <w:bCs w:val="1"/>
                <w:color w:val="1269BC"/>
              </w:rPr>
              <w:t>Death or</w:t>
            </w:r>
          </w:p>
        </w:tc>
        <w:tc>
          <w:tcPr>
            <w:tcW w:w="240" w:type="dxa"/>
            <w:vAlign w:val="bottom"/>
          </w:tcPr>
          <w:p>
            <w:pPr>
              <w:spacing w:after="0"/>
              <w:rPr>
                <w:sz w:val="16"/>
                <w:szCs w:val="16"/>
                <w:color w:val="auto"/>
              </w:rPr>
            </w:pPr>
          </w:p>
        </w:tc>
        <w:tc>
          <w:tcPr>
            <w:tcW w:w="1040" w:type="dxa"/>
            <w:vAlign w:val="bottom"/>
          </w:tcPr>
          <w:p>
            <w:pPr>
              <w:jc w:val="center"/>
              <w:ind w:right="173"/>
              <w:spacing w:after="0"/>
              <w:rPr>
                <w:sz w:val="20"/>
                <w:szCs w:val="20"/>
                <w:color w:val="auto"/>
              </w:rPr>
            </w:pPr>
            <w:r>
              <w:rPr>
                <w:rFonts w:ascii="Arial" w:cs="Arial" w:eastAsia="Arial" w:hAnsi="Arial"/>
                <w:sz w:val="16"/>
                <w:szCs w:val="16"/>
                <w:b w:val="1"/>
                <w:bCs w:val="1"/>
                <w:color w:val="1269BC"/>
              </w:rPr>
              <w:t>Cause or</w:t>
            </w: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153"/>
              <w:spacing w:after="0"/>
              <w:rPr>
                <w:sz w:val="20"/>
                <w:szCs w:val="20"/>
                <w:color w:val="auto"/>
              </w:rPr>
            </w:pPr>
            <w:r>
              <w:rPr>
                <w:rFonts w:ascii="Arial" w:cs="Arial" w:eastAsia="Arial" w:hAnsi="Arial"/>
                <w:sz w:val="16"/>
                <w:szCs w:val="16"/>
                <w:b w:val="1"/>
                <w:bCs w:val="1"/>
                <w:color w:val="1269BC"/>
              </w:rPr>
              <w:t>without</w:t>
            </w:r>
          </w:p>
        </w:tc>
      </w:tr>
      <w:tr>
        <w:trPr>
          <w:trHeight w:val="189"/>
        </w:trPr>
        <w:tc>
          <w:tcPr>
            <w:tcW w:w="3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6"/>
                <w:szCs w:val="16"/>
                <w:b w:val="1"/>
                <w:bCs w:val="1"/>
                <w:color w:val="1269BC"/>
              </w:rPr>
              <w:t>Termination for</w:t>
            </w:r>
          </w:p>
        </w:tc>
        <w:tc>
          <w:tcPr>
            <w:tcW w:w="240" w:type="dxa"/>
            <w:vAlign w:val="bottom"/>
          </w:tcPr>
          <w:p>
            <w:pPr>
              <w:spacing w:after="0"/>
              <w:rPr>
                <w:sz w:val="16"/>
                <w:szCs w:val="16"/>
                <w:color w:val="auto"/>
              </w:rPr>
            </w:pPr>
          </w:p>
        </w:tc>
        <w:tc>
          <w:tcPr>
            <w:tcW w:w="1040" w:type="dxa"/>
            <w:vAlign w:val="bottom"/>
          </w:tcPr>
          <w:p>
            <w:pPr>
              <w:jc w:val="center"/>
              <w:ind w:right="173"/>
              <w:spacing w:after="0"/>
              <w:rPr>
                <w:sz w:val="20"/>
                <w:szCs w:val="20"/>
                <w:color w:val="auto"/>
              </w:rPr>
            </w:pPr>
            <w:r>
              <w:rPr>
                <w:rFonts w:ascii="Arial" w:cs="Arial" w:eastAsia="Arial" w:hAnsi="Arial"/>
                <w:sz w:val="16"/>
                <w:szCs w:val="16"/>
                <w:b w:val="1"/>
                <w:bCs w:val="1"/>
                <w:color w:val="1269BC"/>
                <w:w w:val="99"/>
              </w:rPr>
              <w:t>Total</w:t>
            </w:r>
          </w:p>
        </w:tc>
        <w:tc>
          <w:tcPr>
            <w:tcW w:w="240" w:type="dxa"/>
            <w:vAlign w:val="bottom"/>
          </w:tcPr>
          <w:p>
            <w:pPr>
              <w:spacing w:after="0"/>
              <w:rPr>
                <w:sz w:val="16"/>
                <w:szCs w:val="16"/>
                <w:color w:val="auto"/>
              </w:rPr>
            </w:pPr>
          </w:p>
        </w:tc>
        <w:tc>
          <w:tcPr>
            <w:tcW w:w="1040" w:type="dxa"/>
            <w:vAlign w:val="bottom"/>
          </w:tcPr>
          <w:p>
            <w:pPr>
              <w:jc w:val="center"/>
              <w:ind w:right="153"/>
              <w:spacing w:after="0"/>
              <w:rPr>
                <w:sz w:val="20"/>
                <w:szCs w:val="20"/>
                <w:color w:val="auto"/>
              </w:rPr>
            </w:pPr>
            <w:r>
              <w:rPr>
                <w:rFonts w:ascii="Arial" w:cs="Arial" w:eastAsia="Arial" w:hAnsi="Arial"/>
                <w:sz w:val="16"/>
                <w:szCs w:val="16"/>
                <w:b w:val="1"/>
                <w:bCs w:val="1"/>
                <w:color w:val="1269BC"/>
              </w:rPr>
              <w:t>for Good</w:t>
            </w: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1269BC"/>
              </w:rPr>
              <w:t>Termination</w:t>
            </w:r>
          </w:p>
        </w:tc>
        <w:tc>
          <w:tcPr>
            <w:tcW w:w="180" w:type="dxa"/>
            <w:vAlign w:val="bottom"/>
          </w:tcPr>
          <w:p>
            <w:pPr>
              <w:spacing w:after="0"/>
              <w:rPr>
                <w:sz w:val="16"/>
                <w:szCs w:val="16"/>
                <w:color w:val="auto"/>
              </w:rPr>
            </w:pPr>
          </w:p>
        </w:tc>
        <w:tc>
          <w:tcPr>
            <w:tcW w:w="1020" w:type="dxa"/>
            <w:vAlign w:val="bottom"/>
          </w:tcPr>
          <w:p>
            <w:pPr>
              <w:jc w:val="center"/>
              <w:ind w:right="153"/>
              <w:spacing w:after="0"/>
              <w:rPr>
                <w:sz w:val="20"/>
                <w:szCs w:val="20"/>
                <w:color w:val="auto"/>
              </w:rPr>
            </w:pPr>
            <w:r>
              <w:rPr>
                <w:rFonts w:ascii="Arial" w:cs="Arial" w:eastAsia="Arial" w:hAnsi="Arial"/>
                <w:sz w:val="16"/>
                <w:szCs w:val="16"/>
                <w:b w:val="1"/>
                <w:bCs w:val="1"/>
                <w:color w:val="1269BC"/>
              </w:rPr>
              <w:t>Good</w:t>
            </w:r>
          </w:p>
        </w:tc>
      </w:tr>
      <w:tr>
        <w:trPr>
          <w:trHeight w:val="207"/>
        </w:trPr>
        <w:tc>
          <w:tcPr>
            <w:tcW w:w="3120" w:type="dxa"/>
            <w:vAlign w:val="bottom"/>
            <w:tcBorders>
              <w:bottom w:val="single" w:sz="8" w:color="1269BC"/>
            </w:tcBorders>
          </w:tcPr>
          <w:p>
            <w:pPr>
              <w:ind w:left="80"/>
              <w:spacing w:after="0"/>
              <w:rPr>
                <w:sz w:val="20"/>
                <w:szCs w:val="20"/>
                <w:color w:val="auto"/>
              </w:rPr>
            </w:pPr>
            <w:r>
              <w:rPr>
                <w:rFonts w:ascii="Arial" w:cs="Arial" w:eastAsia="Arial" w:hAnsi="Arial"/>
                <w:sz w:val="16"/>
                <w:szCs w:val="16"/>
                <w:b w:val="1"/>
                <w:bCs w:val="1"/>
                <w:color w:val="1269BC"/>
              </w:rPr>
              <w:t>Robert A. Bruggeworth</w:t>
            </w:r>
          </w:p>
        </w:tc>
        <w:tc>
          <w:tcPr>
            <w:tcW w:w="1560" w:type="dxa"/>
            <w:vAlign w:val="bottom"/>
            <w:tcBorders>
              <w:bottom w:val="single" w:sz="8" w:color="1269BC"/>
            </w:tcBorders>
          </w:tcPr>
          <w:p>
            <w:pPr>
              <w:spacing w:after="0"/>
              <w:rPr>
                <w:sz w:val="18"/>
                <w:szCs w:val="18"/>
                <w:color w:val="auto"/>
              </w:rPr>
            </w:pPr>
          </w:p>
        </w:tc>
        <w:tc>
          <w:tcPr>
            <w:tcW w:w="240" w:type="dxa"/>
            <w:vAlign w:val="bottom"/>
            <w:tcBorders>
              <w:bottom w:val="single" w:sz="8" w:color="1269BC"/>
            </w:tcBorders>
          </w:tcPr>
          <w:p>
            <w:pPr>
              <w:spacing w:after="0"/>
              <w:rPr>
                <w:sz w:val="18"/>
                <w:szCs w:val="18"/>
                <w:color w:val="auto"/>
              </w:rPr>
            </w:pPr>
          </w:p>
        </w:tc>
        <w:tc>
          <w:tcPr>
            <w:tcW w:w="1200" w:type="dxa"/>
            <w:vAlign w:val="bottom"/>
            <w:tcBorders>
              <w:bottom w:val="single" w:sz="8" w:color="1269BC"/>
            </w:tcBorders>
          </w:tcPr>
          <w:p>
            <w:pPr>
              <w:jc w:val="right"/>
              <w:ind w:right="171"/>
              <w:spacing w:after="0"/>
              <w:rPr>
                <w:sz w:val="20"/>
                <w:szCs w:val="20"/>
                <w:color w:val="auto"/>
              </w:rPr>
            </w:pPr>
            <w:r>
              <w:rPr>
                <w:rFonts w:ascii="Arial" w:cs="Arial" w:eastAsia="Arial" w:hAnsi="Arial"/>
                <w:sz w:val="16"/>
                <w:szCs w:val="16"/>
                <w:b w:val="1"/>
                <w:bCs w:val="1"/>
                <w:color w:val="1269BC"/>
                <w:w w:val="99"/>
              </w:rPr>
              <w:t>Any Reason</w:t>
            </w:r>
          </w:p>
        </w:tc>
        <w:tc>
          <w:tcPr>
            <w:tcW w:w="240" w:type="dxa"/>
            <w:vAlign w:val="bottom"/>
            <w:tcBorders>
              <w:bottom w:val="single" w:sz="8" w:color="1269BC"/>
            </w:tcBorders>
          </w:tcPr>
          <w:p>
            <w:pPr>
              <w:spacing w:after="0"/>
              <w:rPr>
                <w:sz w:val="18"/>
                <w:szCs w:val="18"/>
                <w:color w:val="auto"/>
              </w:rPr>
            </w:pPr>
          </w:p>
        </w:tc>
        <w:tc>
          <w:tcPr>
            <w:tcW w:w="1040" w:type="dxa"/>
            <w:vAlign w:val="bottom"/>
            <w:tcBorders>
              <w:bottom w:val="single" w:sz="8" w:color="1269BC"/>
            </w:tcBorders>
          </w:tcPr>
          <w:p>
            <w:pPr>
              <w:jc w:val="center"/>
              <w:ind w:right="153"/>
              <w:spacing w:after="0"/>
              <w:rPr>
                <w:sz w:val="20"/>
                <w:szCs w:val="20"/>
                <w:color w:val="auto"/>
              </w:rPr>
            </w:pPr>
            <w:r>
              <w:rPr>
                <w:rFonts w:ascii="Arial" w:cs="Arial" w:eastAsia="Arial" w:hAnsi="Arial"/>
                <w:sz w:val="16"/>
                <w:szCs w:val="16"/>
                <w:b w:val="1"/>
                <w:bCs w:val="1"/>
                <w:color w:val="1269BC"/>
              </w:rPr>
              <w:t>Disability</w:t>
            </w:r>
          </w:p>
        </w:tc>
        <w:tc>
          <w:tcPr>
            <w:tcW w:w="240" w:type="dxa"/>
            <w:vAlign w:val="bottom"/>
            <w:tcBorders>
              <w:bottom w:val="single" w:sz="8" w:color="1269BC"/>
            </w:tcBorders>
          </w:tcPr>
          <w:p>
            <w:pPr>
              <w:spacing w:after="0"/>
              <w:rPr>
                <w:sz w:val="18"/>
                <w:szCs w:val="18"/>
                <w:color w:val="auto"/>
              </w:rPr>
            </w:pPr>
          </w:p>
        </w:tc>
        <w:tc>
          <w:tcPr>
            <w:tcW w:w="1040" w:type="dxa"/>
            <w:vAlign w:val="bottom"/>
            <w:tcBorders>
              <w:bottom w:val="single" w:sz="8" w:color="1269BC"/>
            </w:tcBorders>
          </w:tcPr>
          <w:p>
            <w:pPr>
              <w:jc w:val="center"/>
              <w:ind w:right="173"/>
              <w:spacing w:after="0"/>
              <w:rPr>
                <w:sz w:val="20"/>
                <w:szCs w:val="20"/>
                <w:color w:val="auto"/>
              </w:rPr>
            </w:pPr>
            <w:r>
              <w:rPr>
                <w:rFonts w:ascii="Arial" w:cs="Arial" w:eastAsia="Arial" w:hAnsi="Arial"/>
                <w:sz w:val="16"/>
                <w:szCs w:val="16"/>
                <w:b w:val="1"/>
                <w:bCs w:val="1"/>
                <w:color w:val="1269BC"/>
              </w:rPr>
              <w:t>Reason</w:t>
            </w:r>
          </w:p>
        </w:tc>
        <w:tc>
          <w:tcPr>
            <w:tcW w:w="1140" w:type="dxa"/>
            <w:vAlign w:val="bottom"/>
            <w:tcBorders>
              <w:bottom w:val="single" w:sz="8" w:color="1269BC"/>
            </w:tcBorders>
            <w:gridSpan w:val="2"/>
          </w:tcPr>
          <w:p>
            <w:pPr>
              <w:jc w:val="right"/>
              <w:ind w:right="90"/>
              <w:spacing w:after="0"/>
              <w:rPr>
                <w:sz w:val="20"/>
                <w:szCs w:val="20"/>
                <w:color w:val="auto"/>
              </w:rPr>
            </w:pPr>
            <w:r>
              <w:rPr>
                <w:rFonts w:ascii="Arial" w:cs="Arial" w:eastAsia="Arial" w:hAnsi="Arial"/>
                <w:sz w:val="16"/>
                <w:szCs w:val="16"/>
                <w:b w:val="1"/>
                <w:bCs w:val="1"/>
                <w:color w:val="1269BC"/>
              </w:rPr>
              <w:t>for Cause</w:t>
            </w:r>
          </w:p>
        </w:tc>
        <w:tc>
          <w:tcPr>
            <w:tcW w:w="180" w:type="dxa"/>
            <w:vAlign w:val="bottom"/>
            <w:tcBorders>
              <w:bottom w:val="single" w:sz="8" w:color="1269BC"/>
            </w:tcBorders>
          </w:tcPr>
          <w:p>
            <w:pPr>
              <w:spacing w:after="0"/>
              <w:rPr>
                <w:sz w:val="18"/>
                <w:szCs w:val="18"/>
                <w:color w:val="auto"/>
              </w:rPr>
            </w:pPr>
          </w:p>
        </w:tc>
        <w:tc>
          <w:tcPr>
            <w:tcW w:w="1020" w:type="dxa"/>
            <w:vAlign w:val="bottom"/>
            <w:tcBorders>
              <w:bottom w:val="single" w:sz="8" w:color="1269BC"/>
            </w:tcBorders>
          </w:tcPr>
          <w:p>
            <w:pPr>
              <w:jc w:val="center"/>
              <w:ind w:right="133"/>
              <w:spacing w:after="0"/>
              <w:rPr>
                <w:sz w:val="20"/>
                <w:szCs w:val="20"/>
                <w:color w:val="auto"/>
              </w:rPr>
            </w:pPr>
            <w:r>
              <w:rPr>
                <w:rFonts w:ascii="Arial" w:cs="Arial" w:eastAsia="Arial" w:hAnsi="Arial"/>
                <w:sz w:val="16"/>
                <w:szCs w:val="16"/>
                <w:b w:val="1"/>
                <w:bCs w:val="1"/>
                <w:color w:val="1269BC"/>
              </w:rPr>
              <w:t>Reason</w:t>
            </w:r>
          </w:p>
        </w:tc>
      </w:tr>
      <w:tr>
        <w:trPr>
          <w:trHeight w:val="277"/>
        </w:trPr>
        <w:tc>
          <w:tcPr>
            <w:tcW w:w="3120" w:type="dxa"/>
            <w:vAlign w:val="bottom"/>
            <w:shd w:val="clear" w:color="auto" w:fill="C3D9EE"/>
          </w:tcPr>
          <w:p>
            <w:pPr>
              <w:ind w:left="100"/>
              <w:spacing w:after="0"/>
              <w:rPr>
                <w:sz w:val="20"/>
                <w:szCs w:val="20"/>
                <w:color w:val="auto"/>
              </w:rPr>
            </w:pPr>
            <w:r>
              <w:rPr>
                <w:rFonts w:ascii="Arial" w:cs="Arial" w:eastAsia="Arial" w:hAnsi="Arial"/>
                <w:sz w:val="18"/>
                <w:szCs w:val="18"/>
                <w:color w:val="auto"/>
              </w:rPr>
              <w:t>Base Salary</w:t>
            </w:r>
          </w:p>
        </w:tc>
        <w:tc>
          <w:tcPr>
            <w:tcW w:w="1560" w:type="dxa"/>
            <w:vAlign w:val="bottom"/>
            <w:shd w:val="clear" w:color="auto" w:fill="C3D9EE"/>
          </w:tcPr>
          <w:p>
            <w:pPr>
              <w:jc w:val="right"/>
              <w:ind w:right="5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3D9EE"/>
          </w:tcPr>
          <w:p>
            <w:pPr>
              <w:ind w:left="12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3D9EE"/>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shd w:val="clear" w:color="auto" w:fill="C3D9EE"/>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3D9EE"/>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C3D9EE"/>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3D9EE"/>
          </w:tcPr>
          <w:p>
            <w:pPr>
              <w:jc w:val="right"/>
              <w:ind w:right="53"/>
              <w:spacing w:after="0"/>
              <w:rPr>
                <w:sz w:val="20"/>
                <w:szCs w:val="20"/>
                <w:color w:val="auto"/>
              </w:rPr>
            </w:pPr>
            <w:r>
              <w:rPr>
                <w:rFonts w:ascii="Arial" w:cs="Arial" w:eastAsia="Arial" w:hAnsi="Arial"/>
                <w:sz w:val="18"/>
                <w:szCs w:val="18"/>
                <w:color w:val="auto"/>
              </w:rPr>
              <w:t>1,704,310</w:t>
            </w:r>
          </w:p>
        </w:tc>
        <w:tc>
          <w:tcPr>
            <w:tcW w:w="360" w:type="dxa"/>
            <w:vAlign w:val="bottom"/>
            <w:shd w:val="clear" w:color="auto" w:fill="C3D9EE"/>
          </w:tcPr>
          <w:p>
            <w:pPr>
              <w:ind w:lef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3D9EE"/>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3D9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3D9EE"/>
          </w:tcPr>
          <w:p>
            <w:pPr>
              <w:jc w:val="right"/>
              <w:ind w:right="33"/>
              <w:spacing w:after="0"/>
              <w:rPr>
                <w:sz w:val="20"/>
                <w:szCs w:val="20"/>
                <w:color w:val="auto"/>
              </w:rPr>
            </w:pPr>
            <w:r>
              <w:rPr>
                <w:rFonts w:ascii="Arial" w:cs="Arial" w:eastAsia="Arial" w:hAnsi="Arial"/>
                <w:sz w:val="18"/>
                <w:szCs w:val="18"/>
                <w:color w:val="auto"/>
              </w:rPr>
              <w:t>–</w:t>
            </w:r>
          </w:p>
        </w:tc>
      </w:tr>
      <w:tr>
        <w:trPr>
          <w:trHeight w:val="67"/>
        </w:trPr>
        <w:tc>
          <w:tcPr>
            <w:tcW w:w="3120" w:type="dxa"/>
            <w:vAlign w:val="bottom"/>
            <w:shd w:val="clear" w:color="auto" w:fill="C3D9EE"/>
          </w:tcPr>
          <w:p>
            <w:pPr>
              <w:spacing w:after="0"/>
              <w:rPr>
                <w:sz w:val="5"/>
                <w:szCs w:val="5"/>
                <w:color w:val="auto"/>
              </w:rPr>
            </w:pPr>
          </w:p>
        </w:tc>
        <w:tc>
          <w:tcPr>
            <w:tcW w:w="1560" w:type="dxa"/>
            <w:vAlign w:val="bottom"/>
            <w:shd w:val="clear" w:color="auto" w:fill="C3D9EE"/>
          </w:tcPr>
          <w:p>
            <w:pPr>
              <w:spacing w:after="0"/>
              <w:rPr>
                <w:sz w:val="5"/>
                <w:szCs w:val="5"/>
                <w:color w:val="auto"/>
              </w:rPr>
            </w:pPr>
          </w:p>
        </w:tc>
        <w:tc>
          <w:tcPr>
            <w:tcW w:w="240" w:type="dxa"/>
            <w:vAlign w:val="bottom"/>
            <w:shd w:val="clear" w:color="auto" w:fill="C3D9EE"/>
          </w:tcPr>
          <w:p>
            <w:pPr>
              <w:spacing w:after="0"/>
              <w:rPr>
                <w:sz w:val="5"/>
                <w:szCs w:val="5"/>
                <w:color w:val="auto"/>
              </w:rPr>
            </w:pPr>
          </w:p>
        </w:tc>
        <w:tc>
          <w:tcPr>
            <w:tcW w:w="1200" w:type="dxa"/>
            <w:vAlign w:val="bottom"/>
            <w:shd w:val="clear" w:color="auto" w:fill="C3D9EE"/>
          </w:tcPr>
          <w:p>
            <w:pPr>
              <w:spacing w:after="0"/>
              <w:rPr>
                <w:sz w:val="5"/>
                <w:szCs w:val="5"/>
                <w:color w:val="auto"/>
              </w:rPr>
            </w:pPr>
          </w:p>
        </w:tc>
        <w:tc>
          <w:tcPr>
            <w:tcW w:w="240" w:type="dxa"/>
            <w:vAlign w:val="bottom"/>
            <w:shd w:val="clear" w:color="auto" w:fill="C3D9EE"/>
          </w:tcPr>
          <w:p>
            <w:pPr>
              <w:spacing w:after="0"/>
              <w:rPr>
                <w:sz w:val="5"/>
                <w:szCs w:val="5"/>
                <w:color w:val="auto"/>
              </w:rPr>
            </w:pPr>
          </w:p>
        </w:tc>
        <w:tc>
          <w:tcPr>
            <w:tcW w:w="1040" w:type="dxa"/>
            <w:vAlign w:val="bottom"/>
            <w:shd w:val="clear" w:color="auto" w:fill="C3D9EE"/>
          </w:tcPr>
          <w:p>
            <w:pPr>
              <w:spacing w:after="0"/>
              <w:rPr>
                <w:sz w:val="5"/>
                <w:szCs w:val="5"/>
                <w:color w:val="auto"/>
              </w:rPr>
            </w:pPr>
          </w:p>
        </w:tc>
        <w:tc>
          <w:tcPr>
            <w:tcW w:w="240" w:type="dxa"/>
            <w:vAlign w:val="bottom"/>
            <w:shd w:val="clear" w:color="auto" w:fill="C3D9EE"/>
          </w:tcPr>
          <w:p>
            <w:pPr>
              <w:spacing w:after="0"/>
              <w:rPr>
                <w:sz w:val="5"/>
                <w:szCs w:val="5"/>
                <w:color w:val="auto"/>
              </w:rPr>
            </w:pPr>
          </w:p>
        </w:tc>
        <w:tc>
          <w:tcPr>
            <w:tcW w:w="1040" w:type="dxa"/>
            <w:vAlign w:val="bottom"/>
            <w:shd w:val="clear" w:color="auto" w:fill="C3D9EE"/>
          </w:tcPr>
          <w:p>
            <w:pPr>
              <w:spacing w:after="0"/>
              <w:rPr>
                <w:sz w:val="5"/>
                <w:szCs w:val="5"/>
                <w:color w:val="auto"/>
              </w:rPr>
            </w:pPr>
          </w:p>
        </w:tc>
        <w:tc>
          <w:tcPr>
            <w:tcW w:w="360" w:type="dxa"/>
            <w:vAlign w:val="bottom"/>
            <w:shd w:val="clear" w:color="auto" w:fill="C3D9EE"/>
          </w:tcPr>
          <w:p>
            <w:pPr>
              <w:spacing w:after="0"/>
              <w:rPr>
                <w:sz w:val="5"/>
                <w:szCs w:val="5"/>
                <w:color w:val="auto"/>
              </w:rPr>
            </w:pPr>
          </w:p>
        </w:tc>
        <w:tc>
          <w:tcPr>
            <w:tcW w:w="780" w:type="dxa"/>
            <w:vAlign w:val="bottom"/>
            <w:shd w:val="clear" w:color="auto" w:fill="C3D9EE"/>
          </w:tcPr>
          <w:p>
            <w:pPr>
              <w:spacing w:after="0"/>
              <w:rPr>
                <w:sz w:val="5"/>
                <w:szCs w:val="5"/>
                <w:color w:val="auto"/>
              </w:rPr>
            </w:pPr>
          </w:p>
        </w:tc>
        <w:tc>
          <w:tcPr>
            <w:tcW w:w="180" w:type="dxa"/>
            <w:vAlign w:val="bottom"/>
            <w:shd w:val="clear" w:color="auto" w:fill="C3D9EE"/>
          </w:tcPr>
          <w:p>
            <w:pPr>
              <w:spacing w:after="0"/>
              <w:rPr>
                <w:sz w:val="5"/>
                <w:szCs w:val="5"/>
                <w:color w:val="auto"/>
              </w:rPr>
            </w:pPr>
          </w:p>
        </w:tc>
        <w:tc>
          <w:tcPr>
            <w:tcW w:w="1020" w:type="dxa"/>
            <w:vAlign w:val="bottom"/>
            <w:shd w:val="clear" w:color="auto" w:fill="C3D9EE"/>
          </w:tcPr>
          <w:p>
            <w:pPr>
              <w:spacing w:after="0"/>
              <w:rPr>
                <w:sz w:val="5"/>
                <w:szCs w:val="5"/>
                <w:color w:val="auto"/>
              </w:rPr>
            </w:pPr>
          </w:p>
        </w:tc>
      </w:tr>
      <w:tr>
        <w:trPr>
          <w:trHeight w:val="284"/>
        </w:trPr>
        <w:tc>
          <w:tcPr>
            <w:tcW w:w="3120" w:type="dxa"/>
            <w:vAlign w:val="bottom"/>
          </w:tcPr>
          <w:p>
            <w:pPr>
              <w:ind w:left="80"/>
              <w:spacing w:after="0"/>
              <w:rPr>
                <w:sz w:val="20"/>
                <w:szCs w:val="20"/>
                <w:color w:val="auto"/>
              </w:rPr>
            </w:pPr>
            <w:r>
              <w:rPr>
                <w:rFonts w:ascii="Arial" w:cs="Arial" w:eastAsia="Arial" w:hAnsi="Arial"/>
                <w:sz w:val="18"/>
                <w:szCs w:val="18"/>
                <w:color w:val="auto"/>
              </w:rPr>
              <w:t>Accrued Annual Bonus</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68"/>
        </w:trPr>
        <w:tc>
          <w:tcPr>
            <w:tcW w:w="3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83"/>
        </w:trPr>
        <w:tc>
          <w:tcPr>
            <w:tcW w:w="3120" w:type="dxa"/>
            <w:vAlign w:val="bottom"/>
            <w:shd w:val="clear" w:color="auto" w:fill="C3D9EE"/>
          </w:tcPr>
          <w:p>
            <w:pPr>
              <w:ind w:left="100"/>
              <w:spacing w:after="0"/>
              <w:rPr>
                <w:sz w:val="20"/>
                <w:szCs w:val="20"/>
                <w:color w:val="auto"/>
              </w:rPr>
            </w:pPr>
            <w:r>
              <w:rPr>
                <w:rFonts w:ascii="Arial" w:cs="Arial" w:eastAsia="Arial" w:hAnsi="Arial"/>
                <w:sz w:val="18"/>
                <w:szCs w:val="18"/>
                <w:color w:val="auto"/>
              </w:rPr>
              <w:t>Special Bonus</w:t>
            </w:r>
          </w:p>
        </w:tc>
        <w:tc>
          <w:tcPr>
            <w:tcW w:w="1560" w:type="dxa"/>
            <w:vAlign w:val="bottom"/>
            <w:shd w:val="clear" w:color="auto" w:fill="C3D9EE"/>
          </w:tcPr>
          <w:p>
            <w:pPr>
              <w:jc w:val="right"/>
              <w:ind w:right="5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3D9EE"/>
          </w:tcPr>
          <w:p>
            <w:pPr>
              <w:spacing w:after="0"/>
              <w:rPr>
                <w:sz w:val="24"/>
                <w:szCs w:val="24"/>
                <w:color w:val="auto"/>
              </w:rPr>
            </w:pPr>
          </w:p>
        </w:tc>
        <w:tc>
          <w:tcPr>
            <w:tcW w:w="1200" w:type="dxa"/>
            <w:vAlign w:val="bottom"/>
            <w:shd w:val="clear" w:color="auto" w:fill="C3D9EE"/>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shd w:val="clear" w:color="auto" w:fill="C3D9EE"/>
          </w:tcPr>
          <w:p>
            <w:pPr>
              <w:spacing w:after="0"/>
              <w:rPr>
                <w:sz w:val="24"/>
                <w:szCs w:val="24"/>
                <w:color w:val="auto"/>
              </w:rPr>
            </w:pPr>
          </w:p>
        </w:tc>
        <w:tc>
          <w:tcPr>
            <w:tcW w:w="1040" w:type="dxa"/>
            <w:vAlign w:val="bottom"/>
            <w:shd w:val="clear" w:color="auto" w:fill="C3D9EE"/>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C3D9EE"/>
          </w:tcPr>
          <w:p>
            <w:pPr>
              <w:spacing w:after="0"/>
              <w:rPr>
                <w:sz w:val="24"/>
                <w:szCs w:val="24"/>
                <w:color w:val="auto"/>
              </w:rPr>
            </w:pPr>
          </w:p>
        </w:tc>
        <w:tc>
          <w:tcPr>
            <w:tcW w:w="1040" w:type="dxa"/>
            <w:vAlign w:val="bottom"/>
            <w:shd w:val="clear" w:color="auto" w:fill="C3D9EE"/>
          </w:tcPr>
          <w:p>
            <w:pPr>
              <w:jc w:val="right"/>
              <w:ind w:right="53"/>
              <w:spacing w:after="0"/>
              <w:rPr>
                <w:sz w:val="20"/>
                <w:szCs w:val="20"/>
                <w:color w:val="auto"/>
              </w:rPr>
            </w:pPr>
            <w:r>
              <w:rPr>
                <w:rFonts w:ascii="Arial" w:cs="Arial" w:eastAsia="Arial" w:hAnsi="Arial"/>
                <w:sz w:val="18"/>
                <w:szCs w:val="18"/>
                <w:color w:val="auto"/>
              </w:rPr>
              <w:t>2,556,466</w:t>
            </w:r>
          </w:p>
        </w:tc>
        <w:tc>
          <w:tcPr>
            <w:tcW w:w="360" w:type="dxa"/>
            <w:vAlign w:val="bottom"/>
            <w:shd w:val="clear" w:color="auto" w:fill="C3D9EE"/>
          </w:tcPr>
          <w:p>
            <w:pPr>
              <w:spacing w:after="0"/>
              <w:rPr>
                <w:sz w:val="24"/>
                <w:szCs w:val="24"/>
                <w:color w:val="auto"/>
              </w:rPr>
            </w:pPr>
          </w:p>
        </w:tc>
        <w:tc>
          <w:tcPr>
            <w:tcW w:w="780" w:type="dxa"/>
            <w:vAlign w:val="bottom"/>
            <w:shd w:val="clear" w:color="auto" w:fill="C3D9EE"/>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3D9EE"/>
          </w:tcPr>
          <w:p>
            <w:pPr>
              <w:spacing w:after="0"/>
              <w:rPr>
                <w:sz w:val="24"/>
                <w:szCs w:val="24"/>
                <w:color w:val="auto"/>
              </w:rPr>
            </w:pPr>
          </w:p>
        </w:tc>
        <w:tc>
          <w:tcPr>
            <w:tcW w:w="1020" w:type="dxa"/>
            <w:vAlign w:val="bottom"/>
            <w:shd w:val="clear" w:color="auto" w:fill="C3D9EE"/>
          </w:tcPr>
          <w:p>
            <w:pPr>
              <w:jc w:val="right"/>
              <w:ind w:right="33"/>
              <w:spacing w:after="0"/>
              <w:rPr>
                <w:sz w:val="20"/>
                <w:szCs w:val="20"/>
                <w:color w:val="auto"/>
              </w:rPr>
            </w:pPr>
            <w:r>
              <w:rPr>
                <w:rFonts w:ascii="Arial" w:cs="Arial" w:eastAsia="Arial" w:hAnsi="Arial"/>
                <w:sz w:val="18"/>
                <w:szCs w:val="18"/>
                <w:color w:val="auto"/>
              </w:rPr>
              <w:t>–</w:t>
            </w:r>
          </w:p>
        </w:tc>
      </w:tr>
      <w:tr>
        <w:trPr>
          <w:trHeight w:val="68"/>
        </w:trPr>
        <w:tc>
          <w:tcPr>
            <w:tcW w:w="3120" w:type="dxa"/>
            <w:vAlign w:val="bottom"/>
            <w:shd w:val="clear" w:color="auto" w:fill="C3D9EE"/>
          </w:tcPr>
          <w:p>
            <w:pPr>
              <w:spacing w:after="0"/>
              <w:rPr>
                <w:sz w:val="5"/>
                <w:szCs w:val="5"/>
                <w:color w:val="auto"/>
              </w:rPr>
            </w:pPr>
          </w:p>
        </w:tc>
        <w:tc>
          <w:tcPr>
            <w:tcW w:w="1560" w:type="dxa"/>
            <w:vAlign w:val="bottom"/>
            <w:shd w:val="clear" w:color="auto" w:fill="C3D9EE"/>
          </w:tcPr>
          <w:p>
            <w:pPr>
              <w:spacing w:after="0"/>
              <w:rPr>
                <w:sz w:val="5"/>
                <w:szCs w:val="5"/>
                <w:color w:val="auto"/>
              </w:rPr>
            </w:pPr>
          </w:p>
        </w:tc>
        <w:tc>
          <w:tcPr>
            <w:tcW w:w="240" w:type="dxa"/>
            <w:vAlign w:val="bottom"/>
            <w:shd w:val="clear" w:color="auto" w:fill="C3D9EE"/>
          </w:tcPr>
          <w:p>
            <w:pPr>
              <w:spacing w:after="0"/>
              <w:rPr>
                <w:sz w:val="5"/>
                <w:szCs w:val="5"/>
                <w:color w:val="auto"/>
              </w:rPr>
            </w:pPr>
          </w:p>
        </w:tc>
        <w:tc>
          <w:tcPr>
            <w:tcW w:w="1200" w:type="dxa"/>
            <w:vAlign w:val="bottom"/>
            <w:shd w:val="clear" w:color="auto" w:fill="C3D9EE"/>
          </w:tcPr>
          <w:p>
            <w:pPr>
              <w:spacing w:after="0"/>
              <w:rPr>
                <w:sz w:val="5"/>
                <w:szCs w:val="5"/>
                <w:color w:val="auto"/>
              </w:rPr>
            </w:pPr>
          </w:p>
        </w:tc>
        <w:tc>
          <w:tcPr>
            <w:tcW w:w="240" w:type="dxa"/>
            <w:vAlign w:val="bottom"/>
            <w:shd w:val="clear" w:color="auto" w:fill="C3D9EE"/>
          </w:tcPr>
          <w:p>
            <w:pPr>
              <w:spacing w:after="0"/>
              <w:rPr>
                <w:sz w:val="5"/>
                <w:szCs w:val="5"/>
                <w:color w:val="auto"/>
              </w:rPr>
            </w:pPr>
          </w:p>
        </w:tc>
        <w:tc>
          <w:tcPr>
            <w:tcW w:w="1040" w:type="dxa"/>
            <w:vAlign w:val="bottom"/>
            <w:shd w:val="clear" w:color="auto" w:fill="C3D9EE"/>
          </w:tcPr>
          <w:p>
            <w:pPr>
              <w:spacing w:after="0"/>
              <w:rPr>
                <w:sz w:val="5"/>
                <w:szCs w:val="5"/>
                <w:color w:val="auto"/>
              </w:rPr>
            </w:pPr>
          </w:p>
        </w:tc>
        <w:tc>
          <w:tcPr>
            <w:tcW w:w="240" w:type="dxa"/>
            <w:vAlign w:val="bottom"/>
            <w:shd w:val="clear" w:color="auto" w:fill="C3D9EE"/>
          </w:tcPr>
          <w:p>
            <w:pPr>
              <w:spacing w:after="0"/>
              <w:rPr>
                <w:sz w:val="5"/>
                <w:szCs w:val="5"/>
                <w:color w:val="auto"/>
              </w:rPr>
            </w:pPr>
          </w:p>
        </w:tc>
        <w:tc>
          <w:tcPr>
            <w:tcW w:w="1040" w:type="dxa"/>
            <w:vAlign w:val="bottom"/>
            <w:shd w:val="clear" w:color="auto" w:fill="C3D9EE"/>
          </w:tcPr>
          <w:p>
            <w:pPr>
              <w:spacing w:after="0"/>
              <w:rPr>
                <w:sz w:val="5"/>
                <w:szCs w:val="5"/>
                <w:color w:val="auto"/>
              </w:rPr>
            </w:pPr>
          </w:p>
        </w:tc>
        <w:tc>
          <w:tcPr>
            <w:tcW w:w="360" w:type="dxa"/>
            <w:vAlign w:val="bottom"/>
            <w:shd w:val="clear" w:color="auto" w:fill="C3D9EE"/>
          </w:tcPr>
          <w:p>
            <w:pPr>
              <w:spacing w:after="0"/>
              <w:rPr>
                <w:sz w:val="5"/>
                <w:szCs w:val="5"/>
                <w:color w:val="auto"/>
              </w:rPr>
            </w:pPr>
          </w:p>
        </w:tc>
        <w:tc>
          <w:tcPr>
            <w:tcW w:w="780" w:type="dxa"/>
            <w:vAlign w:val="bottom"/>
            <w:shd w:val="clear" w:color="auto" w:fill="C3D9EE"/>
          </w:tcPr>
          <w:p>
            <w:pPr>
              <w:spacing w:after="0"/>
              <w:rPr>
                <w:sz w:val="5"/>
                <w:szCs w:val="5"/>
                <w:color w:val="auto"/>
              </w:rPr>
            </w:pPr>
          </w:p>
        </w:tc>
        <w:tc>
          <w:tcPr>
            <w:tcW w:w="180" w:type="dxa"/>
            <w:vAlign w:val="bottom"/>
            <w:shd w:val="clear" w:color="auto" w:fill="C3D9EE"/>
          </w:tcPr>
          <w:p>
            <w:pPr>
              <w:spacing w:after="0"/>
              <w:rPr>
                <w:sz w:val="5"/>
                <w:szCs w:val="5"/>
                <w:color w:val="auto"/>
              </w:rPr>
            </w:pPr>
          </w:p>
        </w:tc>
        <w:tc>
          <w:tcPr>
            <w:tcW w:w="1020" w:type="dxa"/>
            <w:vAlign w:val="bottom"/>
            <w:shd w:val="clear" w:color="auto" w:fill="C3D9EE"/>
          </w:tcPr>
          <w:p>
            <w:pPr>
              <w:spacing w:after="0"/>
              <w:rPr>
                <w:sz w:val="5"/>
                <w:szCs w:val="5"/>
                <w:color w:val="auto"/>
              </w:rPr>
            </w:pPr>
          </w:p>
        </w:tc>
      </w:tr>
      <w:tr>
        <w:trPr>
          <w:trHeight w:val="283"/>
        </w:trPr>
        <w:tc>
          <w:tcPr>
            <w:tcW w:w="3120" w:type="dxa"/>
            <w:vAlign w:val="bottom"/>
          </w:tcPr>
          <w:p>
            <w:pPr>
              <w:ind w:left="100"/>
              <w:spacing w:after="0"/>
              <w:rPr>
                <w:sz w:val="20"/>
                <w:szCs w:val="20"/>
                <w:color w:val="auto"/>
              </w:rPr>
            </w:pPr>
            <w:r>
              <w:rPr>
                <w:rFonts w:ascii="Arial" w:cs="Arial" w:eastAsia="Arial" w:hAnsi="Arial"/>
                <w:sz w:val="18"/>
                <w:szCs w:val="18"/>
                <w:color w:val="auto"/>
              </w:rPr>
              <w:t>Stock Awards</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13,497,178</w:t>
            </w:r>
          </w:p>
        </w:tc>
        <w:tc>
          <w:tcPr>
            <w:tcW w:w="240" w:type="dxa"/>
            <w:vAlign w:val="bottom"/>
          </w:tcPr>
          <w:p>
            <w:pPr>
              <w:spacing w:after="0"/>
              <w:rPr>
                <w:sz w:val="24"/>
                <w:szCs w:val="24"/>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w w:val="97"/>
              </w:rPr>
              <w:t>13,497,178</w:t>
            </w:r>
          </w:p>
        </w:tc>
        <w:tc>
          <w:tcPr>
            <w:tcW w:w="240" w:type="dxa"/>
            <w:vAlign w:val="bottom"/>
          </w:tcPr>
          <w:p>
            <w:pPr>
              <w:spacing w:after="0"/>
              <w:rPr>
                <w:sz w:val="24"/>
                <w:szCs w:val="24"/>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w w:val="97"/>
              </w:rPr>
              <w:t>13,497,178</w:t>
            </w:r>
          </w:p>
        </w:tc>
        <w:tc>
          <w:tcPr>
            <w:tcW w:w="36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w w:val="97"/>
              </w:rPr>
              <w:t>13,497,178</w:t>
            </w:r>
          </w:p>
        </w:tc>
      </w:tr>
      <w:tr>
        <w:trPr>
          <w:trHeight w:val="68"/>
        </w:trPr>
        <w:tc>
          <w:tcPr>
            <w:tcW w:w="3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83"/>
        </w:trPr>
        <w:tc>
          <w:tcPr>
            <w:tcW w:w="3120" w:type="dxa"/>
            <w:vAlign w:val="bottom"/>
            <w:shd w:val="clear" w:color="auto" w:fill="C3D9EE"/>
          </w:tcPr>
          <w:p>
            <w:pPr>
              <w:ind w:left="100"/>
              <w:spacing w:after="0"/>
              <w:rPr>
                <w:sz w:val="20"/>
                <w:szCs w:val="20"/>
                <w:color w:val="auto"/>
              </w:rPr>
            </w:pPr>
            <w:r>
              <w:rPr>
                <w:rFonts w:ascii="Arial" w:cs="Arial" w:eastAsia="Arial" w:hAnsi="Arial"/>
                <w:sz w:val="18"/>
                <w:szCs w:val="18"/>
                <w:color w:val="auto"/>
              </w:rPr>
              <w:t>Benefits Continuation</w:t>
            </w:r>
          </w:p>
        </w:tc>
        <w:tc>
          <w:tcPr>
            <w:tcW w:w="1560" w:type="dxa"/>
            <w:vAlign w:val="bottom"/>
            <w:shd w:val="clear" w:color="auto" w:fill="C3D9EE"/>
          </w:tcPr>
          <w:p>
            <w:pPr>
              <w:jc w:val="right"/>
              <w:ind w:right="5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3D9EE"/>
          </w:tcPr>
          <w:p>
            <w:pPr>
              <w:spacing w:after="0"/>
              <w:rPr>
                <w:sz w:val="24"/>
                <w:szCs w:val="24"/>
                <w:color w:val="auto"/>
              </w:rPr>
            </w:pPr>
          </w:p>
        </w:tc>
        <w:tc>
          <w:tcPr>
            <w:tcW w:w="1200" w:type="dxa"/>
            <w:vAlign w:val="bottom"/>
            <w:shd w:val="clear" w:color="auto" w:fill="C3D9EE"/>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shd w:val="clear" w:color="auto" w:fill="C3D9EE"/>
          </w:tcPr>
          <w:p>
            <w:pPr>
              <w:spacing w:after="0"/>
              <w:rPr>
                <w:sz w:val="24"/>
                <w:szCs w:val="24"/>
                <w:color w:val="auto"/>
              </w:rPr>
            </w:pPr>
          </w:p>
        </w:tc>
        <w:tc>
          <w:tcPr>
            <w:tcW w:w="1040" w:type="dxa"/>
            <w:vAlign w:val="bottom"/>
            <w:shd w:val="clear" w:color="auto" w:fill="C3D9EE"/>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C3D9EE"/>
          </w:tcPr>
          <w:p>
            <w:pPr>
              <w:spacing w:after="0"/>
              <w:rPr>
                <w:sz w:val="24"/>
                <w:szCs w:val="24"/>
                <w:color w:val="auto"/>
              </w:rPr>
            </w:pPr>
          </w:p>
        </w:tc>
        <w:tc>
          <w:tcPr>
            <w:tcW w:w="1040" w:type="dxa"/>
            <w:vAlign w:val="bottom"/>
            <w:shd w:val="clear" w:color="auto" w:fill="C3D9EE"/>
          </w:tcPr>
          <w:p>
            <w:pPr>
              <w:jc w:val="right"/>
              <w:ind w:right="53"/>
              <w:spacing w:after="0"/>
              <w:rPr>
                <w:sz w:val="20"/>
                <w:szCs w:val="20"/>
                <w:color w:val="auto"/>
              </w:rPr>
            </w:pPr>
            <w:r>
              <w:rPr>
                <w:rFonts w:ascii="Arial" w:cs="Arial" w:eastAsia="Arial" w:hAnsi="Arial"/>
                <w:sz w:val="18"/>
                <w:szCs w:val="18"/>
                <w:color w:val="auto"/>
              </w:rPr>
              <w:t>68,282</w:t>
            </w:r>
          </w:p>
        </w:tc>
        <w:tc>
          <w:tcPr>
            <w:tcW w:w="360" w:type="dxa"/>
            <w:vAlign w:val="bottom"/>
            <w:shd w:val="clear" w:color="auto" w:fill="C3D9EE"/>
          </w:tcPr>
          <w:p>
            <w:pPr>
              <w:spacing w:after="0"/>
              <w:rPr>
                <w:sz w:val="24"/>
                <w:szCs w:val="24"/>
                <w:color w:val="auto"/>
              </w:rPr>
            </w:pPr>
          </w:p>
        </w:tc>
        <w:tc>
          <w:tcPr>
            <w:tcW w:w="780" w:type="dxa"/>
            <w:vAlign w:val="bottom"/>
            <w:shd w:val="clear" w:color="auto" w:fill="C3D9EE"/>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3D9EE"/>
          </w:tcPr>
          <w:p>
            <w:pPr>
              <w:spacing w:after="0"/>
              <w:rPr>
                <w:sz w:val="24"/>
                <w:szCs w:val="24"/>
                <w:color w:val="auto"/>
              </w:rPr>
            </w:pPr>
          </w:p>
        </w:tc>
        <w:tc>
          <w:tcPr>
            <w:tcW w:w="1020" w:type="dxa"/>
            <w:vAlign w:val="bottom"/>
            <w:shd w:val="clear" w:color="auto" w:fill="C3D9EE"/>
          </w:tcPr>
          <w:p>
            <w:pPr>
              <w:jc w:val="right"/>
              <w:ind w:right="33"/>
              <w:spacing w:after="0"/>
              <w:rPr>
                <w:sz w:val="20"/>
                <w:szCs w:val="20"/>
                <w:color w:val="auto"/>
              </w:rPr>
            </w:pPr>
            <w:r>
              <w:rPr>
                <w:rFonts w:ascii="Arial" w:cs="Arial" w:eastAsia="Arial" w:hAnsi="Arial"/>
                <w:sz w:val="18"/>
                <w:szCs w:val="18"/>
                <w:color w:val="auto"/>
              </w:rPr>
              <w:t>–</w:t>
            </w:r>
          </w:p>
        </w:tc>
      </w:tr>
      <w:tr>
        <w:trPr>
          <w:trHeight w:val="68"/>
        </w:trPr>
        <w:tc>
          <w:tcPr>
            <w:tcW w:w="3120" w:type="dxa"/>
            <w:vAlign w:val="bottom"/>
            <w:shd w:val="clear" w:color="auto" w:fill="C3D9EE"/>
          </w:tcPr>
          <w:p>
            <w:pPr>
              <w:spacing w:after="0"/>
              <w:rPr>
                <w:sz w:val="5"/>
                <w:szCs w:val="5"/>
                <w:color w:val="auto"/>
              </w:rPr>
            </w:pPr>
          </w:p>
        </w:tc>
        <w:tc>
          <w:tcPr>
            <w:tcW w:w="1560" w:type="dxa"/>
            <w:vAlign w:val="bottom"/>
            <w:shd w:val="clear" w:color="auto" w:fill="C3D9EE"/>
          </w:tcPr>
          <w:p>
            <w:pPr>
              <w:spacing w:after="0"/>
              <w:rPr>
                <w:sz w:val="5"/>
                <w:szCs w:val="5"/>
                <w:color w:val="auto"/>
              </w:rPr>
            </w:pPr>
          </w:p>
        </w:tc>
        <w:tc>
          <w:tcPr>
            <w:tcW w:w="240" w:type="dxa"/>
            <w:vAlign w:val="bottom"/>
            <w:shd w:val="clear" w:color="auto" w:fill="C3D9EE"/>
          </w:tcPr>
          <w:p>
            <w:pPr>
              <w:spacing w:after="0"/>
              <w:rPr>
                <w:sz w:val="5"/>
                <w:szCs w:val="5"/>
                <w:color w:val="auto"/>
              </w:rPr>
            </w:pPr>
          </w:p>
        </w:tc>
        <w:tc>
          <w:tcPr>
            <w:tcW w:w="1200" w:type="dxa"/>
            <w:vAlign w:val="bottom"/>
            <w:shd w:val="clear" w:color="auto" w:fill="C3D9EE"/>
          </w:tcPr>
          <w:p>
            <w:pPr>
              <w:spacing w:after="0"/>
              <w:rPr>
                <w:sz w:val="5"/>
                <w:szCs w:val="5"/>
                <w:color w:val="auto"/>
              </w:rPr>
            </w:pPr>
          </w:p>
        </w:tc>
        <w:tc>
          <w:tcPr>
            <w:tcW w:w="240" w:type="dxa"/>
            <w:vAlign w:val="bottom"/>
            <w:shd w:val="clear" w:color="auto" w:fill="C3D9EE"/>
          </w:tcPr>
          <w:p>
            <w:pPr>
              <w:spacing w:after="0"/>
              <w:rPr>
                <w:sz w:val="5"/>
                <w:szCs w:val="5"/>
                <w:color w:val="auto"/>
              </w:rPr>
            </w:pPr>
          </w:p>
        </w:tc>
        <w:tc>
          <w:tcPr>
            <w:tcW w:w="1040" w:type="dxa"/>
            <w:vAlign w:val="bottom"/>
            <w:shd w:val="clear" w:color="auto" w:fill="C3D9EE"/>
          </w:tcPr>
          <w:p>
            <w:pPr>
              <w:spacing w:after="0"/>
              <w:rPr>
                <w:sz w:val="5"/>
                <w:szCs w:val="5"/>
                <w:color w:val="auto"/>
              </w:rPr>
            </w:pPr>
          </w:p>
        </w:tc>
        <w:tc>
          <w:tcPr>
            <w:tcW w:w="240" w:type="dxa"/>
            <w:vAlign w:val="bottom"/>
            <w:shd w:val="clear" w:color="auto" w:fill="C3D9EE"/>
          </w:tcPr>
          <w:p>
            <w:pPr>
              <w:spacing w:after="0"/>
              <w:rPr>
                <w:sz w:val="5"/>
                <w:szCs w:val="5"/>
                <w:color w:val="auto"/>
              </w:rPr>
            </w:pPr>
          </w:p>
        </w:tc>
        <w:tc>
          <w:tcPr>
            <w:tcW w:w="1040" w:type="dxa"/>
            <w:vAlign w:val="bottom"/>
            <w:shd w:val="clear" w:color="auto" w:fill="C3D9EE"/>
          </w:tcPr>
          <w:p>
            <w:pPr>
              <w:spacing w:after="0"/>
              <w:rPr>
                <w:sz w:val="5"/>
                <w:szCs w:val="5"/>
                <w:color w:val="auto"/>
              </w:rPr>
            </w:pPr>
          </w:p>
        </w:tc>
        <w:tc>
          <w:tcPr>
            <w:tcW w:w="360" w:type="dxa"/>
            <w:vAlign w:val="bottom"/>
            <w:shd w:val="clear" w:color="auto" w:fill="C3D9EE"/>
          </w:tcPr>
          <w:p>
            <w:pPr>
              <w:spacing w:after="0"/>
              <w:rPr>
                <w:sz w:val="5"/>
                <w:szCs w:val="5"/>
                <w:color w:val="auto"/>
              </w:rPr>
            </w:pPr>
          </w:p>
        </w:tc>
        <w:tc>
          <w:tcPr>
            <w:tcW w:w="780" w:type="dxa"/>
            <w:vAlign w:val="bottom"/>
            <w:shd w:val="clear" w:color="auto" w:fill="C3D9EE"/>
          </w:tcPr>
          <w:p>
            <w:pPr>
              <w:spacing w:after="0"/>
              <w:rPr>
                <w:sz w:val="5"/>
                <w:szCs w:val="5"/>
                <w:color w:val="auto"/>
              </w:rPr>
            </w:pPr>
          </w:p>
        </w:tc>
        <w:tc>
          <w:tcPr>
            <w:tcW w:w="180" w:type="dxa"/>
            <w:vAlign w:val="bottom"/>
            <w:shd w:val="clear" w:color="auto" w:fill="C3D9EE"/>
          </w:tcPr>
          <w:p>
            <w:pPr>
              <w:spacing w:after="0"/>
              <w:rPr>
                <w:sz w:val="5"/>
                <w:szCs w:val="5"/>
                <w:color w:val="auto"/>
              </w:rPr>
            </w:pPr>
          </w:p>
        </w:tc>
        <w:tc>
          <w:tcPr>
            <w:tcW w:w="1020" w:type="dxa"/>
            <w:vAlign w:val="bottom"/>
            <w:shd w:val="clear" w:color="auto" w:fill="C3D9EE"/>
          </w:tcPr>
          <w:p>
            <w:pPr>
              <w:spacing w:after="0"/>
              <w:rPr>
                <w:sz w:val="5"/>
                <w:szCs w:val="5"/>
                <w:color w:val="auto"/>
              </w:rPr>
            </w:pPr>
          </w:p>
        </w:tc>
      </w:tr>
      <w:tr>
        <w:trPr>
          <w:trHeight w:val="284"/>
        </w:trPr>
        <w:tc>
          <w:tcPr>
            <w:tcW w:w="3120" w:type="dxa"/>
            <w:vAlign w:val="bottom"/>
          </w:tcPr>
          <w:p>
            <w:pPr>
              <w:ind w:left="80"/>
              <w:spacing w:after="0"/>
              <w:rPr>
                <w:sz w:val="20"/>
                <w:szCs w:val="20"/>
                <w:color w:val="auto"/>
              </w:rPr>
            </w:pPr>
            <w:r>
              <w:rPr>
                <w:rFonts w:ascii="Arial" w:cs="Arial" w:eastAsia="Arial" w:hAnsi="Arial"/>
                <w:sz w:val="18"/>
                <w:szCs w:val="18"/>
                <w:color w:val="auto"/>
              </w:rPr>
              <w:t>Accrued Vacation</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4"/>
                <w:szCs w:val="24"/>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81,938</w:t>
            </w:r>
          </w:p>
        </w:tc>
        <w:tc>
          <w:tcPr>
            <w:tcW w:w="240" w:type="dxa"/>
            <w:vAlign w:val="bottom"/>
          </w:tcPr>
          <w:p>
            <w:pPr>
              <w:spacing w:after="0"/>
              <w:rPr>
                <w:sz w:val="24"/>
                <w:szCs w:val="24"/>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81,938</w:t>
            </w:r>
          </w:p>
        </w:tc>
        <w:tc>
          <w:tcPr>
            <w:tcW w:w="240" w:type="dxa"/>
            <w:vAlign w:val="bottom"/>
          </w:tcPr>
          <w:p>
            <w:pPr>
              <w:spacing w:after="0"/>
              <w:rPr>
                <w:sz w:val="24"/>
                <w:szCs w:val="24"/>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81,938</w:t>
            </w:r>
          </w:p>
        </w:tc>
        <w:tc>
          <w:tcPr>
            <w:tcW w:w="36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81,938</w:t>
            </w:r>
          </w:p>
        </w:tc>
        <w:tc>
          <w:tcPr>
            <w:tcW w:w="180" w:type="dxa"/>
            <w:vAlign w:val="bottom"/>
          </w:tcPr>
          <w:p>
            <w:pPr>
              <w:spacing w:after="0"/>
              <w:rPr>
                <w:sz w:val="24"/>
                <w:szCs w:val="24"/>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81,938</w:t>
            </w:r>
          </w:p>
        </w:tc>
      </w:tr>
      <w:tr>
        <w:trPr>
          <w:trHeight w:val="68"/>
        </w:trPr>
        <w:tc>
          <w:tcPr>
            <w:tcW w:w="3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83"/>
        </w:trPr>
        <w:tc>
          <w:tcPr>
            <w:tcW w:w="3120" w:type="dxa"/>
            <w:vAlign w:val="bottom"/>
            <w:shd w:val="clear" w:color="auto" w:fill="C3D9EE"/>
          </w:tcPr>
          <w:p>
            <w:pPr>
              <w:ind w:left="100"/>
              <w:spacing w:after="0"/>
              <w:rPr>
                <w:sz w:val="20"/>
                <w:szCs w:val="20"/>
                <w:color w:val="auto"/>
              </w:rPr>
            </w:pPr>
            <w:r>
              <w:rPr>
                <w:rFonts w:ascii="Arial" w:cs="Arial" w:eastAsia="Arial" w:hAnsi="Arial"/>
                <w:sz w:val="18"/>
                <w:szCs w:val="18"/>
                <w:b w:val="1"/>
                <w:bCs w:val="1"/>
                <w:color w:val="auto"/>
              </w:rPr>
              <w:t>Total</w:t>
            </w:r>
          </w:p>
        </w:tc>
        <w:tc>
          <w:tcPr>
            <w:tcW w:w="1560" w:type="dxa"/>
            <w:vAlign w:val="bottom"/>
            <w:shd w:val="clear" w:color="auto" w:fill="C3D9EE"/>
          </w:tcPr>
          <w:p>
            <w:pPr>
              <w:spacing w:after="0"/>
              <w:rPr>
                <w:sz w:val="24"/>
                <w:szCs w:val="24"/>
                <w:color w:val="auto"/>
              </w:rPr>
            </w:pPr>
          </w:p>
        </w:tc>
        <w:tc>
          <w:tcPr>
            <w:tcW w:w="240" w:type="dxa"/>
            <w:vAlign w:val="bottom"/>
            <w:shd w:val="clear" w:color="auto" w:fill="C3D9EE"/>
          </w:tcPr>
          <w:p>
            <w:pPr>
              <w:ind w:left="12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3D9EE"/>
          </w:tcPr>
          <w:p>
            <w:pPr>
              <w:jc w:val="right"/>
              <w:ind w:right="31"/>
              <w:spacing w:after="0"/>
              <w:rPr>
                <w:sz w:val="20"/>
                <w:szCs w:val="20"/>
                <w:color w:val="auto"/>
              </w:rPr>
            </w:pPr>
            <w:r>
              <w:rPr>
                <w:rFonts w:ascii="Arial" w:cs="Arial" w:eastAsia="Arial" w:hAnsi="Arial"/>
                <w:sz w:val="18"/>
                <w:szCs w:val="18"/>
                <w:color w:val="auto"/>
              </w:rPr>
              <w:t>13,579,116</w:t>
            </w:r>
          </w:p>
        </w:tc>
        <w:tc>
          <w:tcPr>
            <w:tcW w:w="240" w:type="dxa"/>
            <w:vAlign w:val="bottom"/>
            <w:shd w:val="clear" w:color="auto" w:fill="C3D9EE"/>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3D9EE"/>
          </w:tcPr>
          <w:p>
            <w:pPr>
              <w:jc w:val="right"/>
              <w:ind w:right="53"/>
              <w:spacing w:after="0"/>
              <w:rPr>
                <w:sz w:val="20"/>
                <w:szCs w:val="20"/>
                <w:color w:val="auto"/>
              </w:rPr>
            </w:pPr>
            <w:r>
              <w:rPr>
                <w:rFonts w:ascii="Arial" w:cs="Arial" w:eastAsia="Arial" w:hAnsi="Arial"/>
                <w:sz w:val="18"/>
                <w:szCs w:val="18"/>
                <w:color w:val="auto"/>
                <w:w w:val="97"/>
              </w:rPr>
              <w:t>13,579,116</w:t>
            </w:r>
          </w:p>
        </w:tc>
        <w:tc>
          <w:tcPr>
            <w:tcW w:w="240" w:type="dxa"/>
            <w:vAlign w:val="bottom"/>
            <w:shd w:val="clear" w:color="auto" w:fill="C3D9EE"/>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3D9EE"/>
          </w:tcPr>
          <w:p>
            <w:pPr>
              <w:jc w:val="right"/>
              <w:ind w:right="53"/>
              <w:spacing w:after="0"/>
              <w:rPr>
                <w:sz w:val="20"/>
                <w:szCs w:val="20"/>
                <w:color w:val="auto"/>
              </w:rPr>
            </w:pPr>
            <w:r>
              <w:rPr>
                <w:rFonts w:ascii="Arial" w:cs="Arial" w:eastAsia="Arial" w:hAnsi="Arial"/>
                <w:sz w:val="18"/>
                <w:szCs w:val="18"/>
                <w:color w:val="auto"/>
                <w:w w:val="97"/>
              </w:rPr>
              <w:t>17,908,174</w:t>
            </w:r>
          </w:p>
        </w:tc>
        <w:tc>
          <w:tcPr>
            <w:tcW w:w="360" w:type="dxa"/>
            <w:vAlign w:val="bottom"/>
            <w:shd w:val="clear" w:color="auto" w:fill="C3D9EE"/>
          </w:tcPr>
          <w:p>
            <w:pPr>
              <w:ind w:lef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3D9EE"/>
          </w:tcPr>
          <w:p>
            <w:pPr>
              <w:jc w:val="right"/>
              <w:ind w:right="10"/>
              <w:spacing w:after="0"/>
              <w:rPr>
                <w:sz w:val="20"/>
                <w:szCs w:val="20"/>
                <w:color w:val="auto"/>
              </w:rPr>
            </w:pPr>
            <w:r>
              <w:rPr>
                <w:rFonts w:ascii="Arial" w:cs="Arial" w:eastAsia="Arial" w:hAnsi="Arial"/>
                <w:sz w:val="18"/>
                <w:szCs w:val="18"/>
                <w:color w:val="auto"/>
              </w:rPr>
              <w:t>81,938</w:t>
            </w:r>
          </w:p>
        </w:tc>
        <w:tc>
          <w:tcPr>
            <w:tcW w:w="180" w:type="dxa"/>
            <w:vAlign w:val="bottom"/>
            <w:shd w:val="clear" w:color="auto" w:fill="C3D9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3D9EE"/>
          </w:tcPr>
          <w:p>
            <w:pPr>
              <w:jc w:val="right"/>
              <w:ind w:right="33"/>
              <w:spacing w:after="0"/>
              <w:rPr>
                <w:sz w:val="20"/>
                <w:szCs w:val="20"/>
                <w:color w:val="auto"/>
              </w:rPr>
            </w:pPr>
            <w:r>
              <w:rPr>
                <w:rFonts w:ascii="Arial" w:cs="Arial" w:eastAsia="Arial" w:hAnsi="Arial"/>
                <w:sz w:val="18"/>
                <w:szCs w:val="18"/>
                <w:color w:val="auto"/>
                <w:w w:val="97"/>
              </w:rPr>
              <w:t>13,579,116</w:t>
            </w:r>
          </w:p>
        </w:tc>
      </w:tr>
      <w:tr>
        <w:trPr>
          <w:trHeight w:val="68"/>
        </w:trPr>
        <w:tc>
          <w:tcPr>
            <w:tcW w:w="3120" w:type="dxa"/>
            <w:vAlign w:val="bottom"/>
            <w:tcBorders>
              <w:bottom w:val="single" w:sz="8" w:color="1269BC"/>
            </w:tcBorders>
            <w:shd w:val="clear" w:color="auto" w:fill="C3D9EE"/>
          </w:tcPr>
          <w:p>
            <w:pPr>
              <w:spacing w:after="0"/>
              <w:rPr>
                <w:sz w:val="5"/>
                <w:szCs w:val="5"/>
                <w:color w:val="auto"/>
              </w:rPr>
            </w:pPr>
          </w:p>
        </w:tc>
        <w:tc>
          <w:tcPr>
            <w:tcW w:w="1560" w:type="dxa"/>
            <w:vAlign w:val="bottom"/>
            <w:tcBorders>
              <w:bottom w:val="single" w:sz="8" w:color="1269BC"/>
            </w:tcBorders>
            <w:shd w:val="clear" w:color="auto" w:fill="C3D9EE"/>
          </w:tcPr>
          <w:p>
            <w:pPr>
              <w:spacing w:after="0"/>
              <w:rPr>
                <w:sz w:val="5"/>
                <w:szCs w:val="5"/>
                <w:color w:val="auto"/>
              </w:rPr>
            </w:pPr>
          </w:p>
        </w:tc>
        <w:tc>
          <w:tcPr>
            <w:tcW w:w="240" w:type="dxa"/>
            <w:vAlign w:val="bottom"/>
            <w:tcBorders>
              <w:bottom w:val="single" w:sz="8" w:color="1269BC"/>
            </w:tcBorders>
            <w:shd w:val="clear" w:color="auto" w:fill="C3D9EE"/>
          </w:tcPr>
          <w:p>
            <w:pPr>
              <w:spacing w:after="0"/>
              <w:rPr>
                <w:sz w:val="5"/>
                <w:szCs w:val="5"/>
                <w:color w:val="auto"/>
              </w:rPr>
            </w:pPr>
          </w:p>
        </w:tc>
        <w:tc>
          <w:tcPr>
            <w:tcW w:w="1200" w:type="dxa"/>
            <w:vAlign w:val="bottom"/>
            <w:tcBorders>
              <w:bottom w:val="single" w:sz="8" w:color="1269BC"/>
            </w:tcBorders>
            <w:shd w:val="clear" w:color="auto" w:fill="C3D9EE"/>
          </w:tcPr>
          <w:p>
            <w:pPr>
              <w:spacing w:after="0"/>
              <w:rPr>
                <w:sz w:val="5"/>
                <w:szCs w:val="5"/>
                <w:color w:val="auto"/>
              </w:rPr>
            </w:pPr>
          </w:p>
        </w:tc>
        <w:tc>
          <w:tcPr>
            <w:tcW w:w="240" w:type="dxa"/>
            <w:vAlign w:val="bottom"/>
            <w:tcBorders>
              <w:bottom w:val="single" w:sz="8" w:color="1269BC"/>
            </w:tcBorders>
            <w:shd w:val="clear" w:color="auto" w:fill="C3D9EE"/>
          </w:tcPr>
          <w:p>
            <w:pPr>
              <w:spacing w:after="0"/>
              <w:rPr>
                <w:sz w:val="5"/>
                <w:szCs w:val="5"/>
                <w:color w:val="auto"/>
              </w:rPr>
            </w:pPr>
          </w:p>
        </w:tc>
        <w:tc>
          <w:tcPr>
            <w:tcW w:w="1040" w:type="dxa"/>
            <w:vAlign w:val="bottom"/>
            <w:tcBorders>
              <w:bottom w:val="single" w:sz="8" w:color="1269BC"/>
            </w:tcBorders>
            <w:shd w:val="clear" w:color="auto" w:fill="C3D9EE"/>
          </w:tcPr>
          <w:p>
            <w:pPr>
              <w:spacing w:after="0"/>
              <w:rPr>
                <w:sz w:val="5"/>
                <w:szCs w:val="5"/>
                <w:color w:val="auto"/>
              </w:rPr>
            </w:pPr>
          </w:p>
        </w:tc>
        <w:tc>
          <w:tcPr>
            <w:tcW w:w="240" w:type="dxa"/>
            <w:vAlign w:val="bottom"/>
            <w:tcBorders>
              <w:bottom w:val="single" w:sz="8" w:color="1269BC"/>
            </w:tcBorders>
            <w:shd w:val="clear" w:color="auto" w:fill="C3D9EE"/>
          </w:tcPr>
          <w:p>
            <w:pPr>
              <w:spacing w:after="0"/>
              <w:rPr>
                <w:sz w:val="5"/>
                <w:szCs w:val="5"/>
                <w:color w:val="auto"/>
              </w:rPr>
            </w:pPr>
          </w:p>
        </w:tc>
        <w:tc>
          <w:tcPr>
            <w:tcW w:w="1040" w:type="dxa"/>
            <w:vAlign w:val="bottom"/>
            <w:tcBorders>
              <w:bottom w:val="single" w:sz="8" w:color="1269BC"/>
            </w:tcBorders>
            <w:shd w:val="clear" w:color="auto" w:fill="C3D9EE"/>
          </w:tcPr>
          <w:p>
            <w:pPr>
              <w:spacing w:after="0"/>
              <w:rPr>
                <w:sz w:val="5"/>
                <w:szCs w:val="5"/>
                <w:color w:val="auto"/>
              </w:rPr>
            </w:pPr>
          </w:p>
        </w:tc>
        <w:tc>
          <w:tcPr>
            <w:tcW w:w="360" w:type="dxa"/>
            <w:vAlign w:val="bottom"/>
            <w:tcBorders>
              <w:bottom w:val="single" w:sz="8" w:color="1269BC"/>
            </w:tcBorders>
            <w:shd w:val="clear" w:color="auto" w:fill="C3D9EE"/>
          </w:tcPr>
          <w:p>
            <w:pPr>
              <w:spacing w:after="0"/>
              <w:rPr>
                <w:sz w:val="5"/>
                <w:szCs w:val="5"/>
                <w:color w:val="auto"/>
              </w:rPr>
            </w:pPr>
          </w:p>
        </w:tc>
        <w:tc>
          <w:tcPr>
            <w:tcW w:w="780" w:type="dxa"/>
            <w:vAlign w:val="bottom"/>
            <w:tcBorders>
              <w:bottom w:val="single" w:sz="8" w:color="1269BC"/>
            </w:tcBorders>
            <w:shd w:val="clear" w:color="auto" w:fill="C3D9EE"/>
          </w:tcPr>
          <w:p>
            <w:pPr>
              <w:spacing w:after="0"/>
              <w:rPr>
                <w:sz w:val="5"/>
                <w:szCs w:val="5"/>
                <w:color w:val="auto"/>
              </w:rPr>
            </w:pPr>
          </w:p>
        </w:tc>
        <w:tc>
          <w:tcPr>
            <w:tcW w:w="180" w:type="dxa"/>
            <w:vAlign w:val="bottom"/>
            <w:tcBorders>
              <w:bottom w:val="single" w:sz="8" w:color="1269BC"/>
            </w:tcBorders>
            <w:shd w:val="clear" w:color="auto" w:fill="C3D9EE"/>
          </w:tcPr>
          <w:p>
            <w:pPr>
              <w:spacing w:after="0"/>
              <w:rPr>
                <w:sz w:val="5"/>
                <w:szCs w:val="5"/>
                <w:color w:val="auto"/>
              </w:rPr>
            </w:pPr>
          </w:p>
        </w:tc>
        <w:tc>
          <w:tcPr>
            <w:tcW w:w="1020" w:type="dxa"/>
            <w:vAlign w:val="bottom"/>
            <w:tcBorders>
              <w:bottom w:val="single" w:sz="8" w:color="1269BC"/>
            </w:tcBorders>
            <w:shd w:val="clear" w:color="auto" w:fill="C3D9EE"/>
          </w:tcPr>
          <w:p>
            <w:pPr>
              <w:spacing w:after="0"/>
              <w:rPr>
                <w:sz w:val="5"/>
                <w:szCs w:val="5"/>
                <w:color w:val="auto"/>
              </w:rPr>
            </w:pPr>
          </w:p>
        </w:tc>
      </w:tr>
    </w:tbl>
    <w:p>
      <w:pPr>
        <w:spacing w:after="0" w:line="148" w:lineRule="exact"/>
        <w:rPr>
          <w:sz w:val="20"/>
          <w:szCs w:val="20"/>
          <w:color w:val="auto"/>
        </w:rPr>
      </w:pPr>
    </w:p>
    <w:p>
      <w:pPr>
        <w:sectPr>
          <w:pgSz w:w="11900" w:h="16838" w:orient="portrait"/>
          <w:cols w:equalWidth="0" w:num="1">
            <w:col w:w="11140"/>
          </w:cols>
          <w:pgMar w:left="320" w:top="459" w:right="439" w:bottom="1440" w:gutter="0" w:footer="0" w:header="0"/>
        </w:sectPr>
      </w:pPr>
    </w:p>
    <w:p>
      <w:pPr>
        <w:ind w:left="120"/>
        <w:spacing w:after="0"/>
        <w:tabs>
          <w:tab w:leader="none" w:pos="541" w:val="left"/>
        </w:tabs>
        <w:rPr>
          <w:sz w:val="20"/>
          <w:szCs w:val="20"/>
          <w:color w:val="auto"/>
        </w:rPr>
      </w:pPr>
      <w:r>
        <w:rPr>
          <w:rFonts w:ascii="Arial" w:cs="Arial" w:eastAsia="Arial" w:hAnsi="Arial"/>
          <w:sz w:val="18"/>
          <w:szCs w:val="18"/>
          <w:color w:val="auto"/>
        </w:rPr>
        <w:t>42</w:t>
      </w:r>
      <w:r>
        <w:rPr>
          <w:sz w:val="20"/>
          <w:szCs w:val="20"/>
          <w:color w:val="auto"/>
        </w:rPr>
        <w:tab/>
      </w:r>
      <w:r>
        <w:rPr>
          <w:sz w:val="1"/>
          <w:szCs w:val="1"/>
          <w:color w:val="auto"/>
        </w:rPr>
        <w:drawing>
          <wp:inline distT="0" distB="0" distL="0" distR="0">
            <wp:extent cx="582930" cy="13716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i w:val="1"/>
          <w:iCs w:val="1"/>
          <w:color w:val="1269BC"/>
        </w:rPr>
        <w:t xml:space="preserve">   2020 Proxy Statement</w:t>
      </w:r>
    </w:p>
    <w:p>
      <w:pPr>
        <w:sectPr>
          <w:pgSz w:w="11900" w:h="16838" w:orient="portrait"/>
          <w:cols w:equalWidth="0" w:num="1">
            <w:col w:w="11140"/>
          </w:cols>
          <w:pgMar w:left="320" w:top="459" w:right="4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14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5" w:lineRule="exact"/>
        <w:rPr>
          <w:sz w:val="20"/>
          <w:szCs w:val="20"/>
          <w:color w:val="auto"/>
        </w:rPr>
      </w:pPr>
    </w:p>
    <w:p>
      <w:pPr>
        <w:ind w:left="980" w:right="100" w:hanging="324"/>
        <w:spacing w:after="0" w:line="260"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With respect to the “Termination without Cause or for Good Reason” column, the amount shown represents two times base salary and would be payable in equal periodic installments, in accordance with the payroll schedule for our salaried personnel, over a two-year period.</w:t>
      </w:r>
    </w:p>
    <w:p>
      <w:pPr>
        <w:spacing w:after="0" w:line="222" w:lineRule="exact"/>
        <w:rPr>
          <w:rFonts w:ascii="Arial" w:cs="Arial" w:eastAsia="Arial" w:hAnsi="Arial"/>
          <w:sz w:val="16"/>
          <w:szCs w:val="16"/>
          <w:color w:val="auto"/>
        </w:rPr>
      </w:pPr>
    </w:p>
    <w:p>
      <w:pPr>
        <w:ind w:left="980" w:right="40" w:hanging="324"/>
        <w:spacing w:after="0" w:line="248"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Represents previously earned but unpaid bonus under our Short-Term Incentive Plan for a completed performance period, which would be payable in a lump sum within 30 days of the termination date. With respect to the “Termination Due to Death or Total Disability” column, the amount payable is the greater of the accrued annual bonus or the accrued target bonus, in each case for the performance period in which the termination date occurs, which would be payable in a lump sum within 45 days following the end of the performance period in which the termination date occurs. With respect to the “Termination without Cause or for Good Reason” column, the amount shown represents the accrued annual bonus, which would be payable within 45 days following the end of the performance period in which the termination date occurs. Under these severance scenarios, all or a portion of the accrued annual bonus may have already been paid or would nevertheless be payable without regard to the nature of Mr. Bruggeworth’s termination.</w:t>
      </w:r>
    </w:p>
    <w:p>
      <w:pPr>
        <w:spacing w:after="0" w:line="234" w:lineRule="exact"/>
        <w:rPr>
          <w:rFonts w:ascii="Arial" w:cs="Arial" w:eastAsia="Arial" w:hAnsi="Arial"/>
          <w:sz w:val="16"/>
          <w:szCs w:val="16"/>
          <w:color w:val="auto"/>
        </w:rPr>
      </w:pPr>
    </w:p>
    <w:p>
      <w:pPr>
        <w:jc w:val="both"/>
        <w:ind w:left="980" w:right="400" w:hanging="324"/>
        <w:spacing w:after="0" w:line="246"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With respect to the “Termination without Cause or for Good Reason” column, the Special Bonus amount shown represents two times the target annual bonus opportunity as defined in our Short-Term Incentive Plan for the year in which the termination occurs, which would be payable in equal periodic installments, in accordance with the payroll schedule for our salaried personnel, over a two-year period.</w:t>
      </w:r>
    </w:p>
    <w:p>
      <w:pPr>
        <w:spacing w:after="0" w:line="1"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Mr. Bruggeworth is not entitled to a Special Bonus under the other severance scenarios set forth in the above table.</w:t>
      </w:r>
    </w:p>
    <w:p>
      <w:pPr>
        <w:spacing w:after="0" w:line="248" w:lineRule="exact"/>
        <w:rPr>
          <w:rFonts w:ascii="Arial" w:cs="Arial" w:eastAsia="Arial" w:hAnsi="Arial"/>
          <w:sz w:val="16"/>
          <w:szCs w:val="16"/>
          <w:color w:val="auto"/>
        </w:rPr>
      </w:pPr>
    </w:p>
    <w:p>
      <w:pPr>
        <w:ind w:left="980" w:right="40" w:hanging="324"/>
        <w:spacing w:after="0" w:line="248"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Represents the intrinsic value of unvested performance- and service-based restricted stock units as of March 28, 2020. With respect to the “Termination for Any Reason,” “Termination Due to Death or Total Disability,” “Termination Without Cause or For Good Reason” and “Termination Without Good Reason” columns, the amount shown: (a) reflects the value of unvested service-based restricted stock units which shall continue to vest if and as provided in an individual award agreement and (b) reflects that if and to the extent performance goals are deemed met, Mr. Bruggeworth shall be deemed to have earned a pro-rata number of performance-based restricted stock units for the relevant performance period. With respect to the “Termination for Cause” column, the amount shown: (a) reflects that Mr. Bruggeworth’s unvested service-based restricted stock units will be forfeited unless the Compensation Committee determines otherwise and (b) reflects that Mr. Bruggeworth’s unvested performance-based restricted stock units will be forfeited unless the Compensation Committee determines otherwise.</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980" w:right="20" w:hanging="324"/>
        <w:spacing w:after="0" w:line="260"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Represents the value of continuing health, welfare and other benefits through March 28, 2020, based on the monthly premiums paid by Qorvo at March 28, 2020.</w:t>
      </w:r>
    </w:p>
    <w:p>
      <w:pPr>
        <w:spacing w:after="0" w:line="222" w:lineRule="exact"/>
        <w:rPr>
          <w:rFonts w:ascii="Arial" w:cs="Arial" w:eastAsia="Arial" w:hAnsi="Arial"/>
          <w:sz w:val="16"/>
          <w:szCs w:val="16"/>
          <w:color w:val="auto"/>
        </w:rPr>
      </w:pPr>
    </w:p>
    <w:p>
      <w:pPr>
        <w:ind w:left="980" w:hanging="324"/>
        <w:spacing w:after="0"/>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Represents accrued vacation earned but not utilized, which would be payable in a lump sum within 30 days following the date of termination.</w:t>
      </w:r>
    </w:p>
    <w:p>
      <w:pPr>
        <w:spacing w:after="0" w:line="221" w:lineRule="exact"/>
        <w:rPr>
          <w:sz w:val="20"/>
          <w:szCs w:val="20"/>
          <w:color w:val="auto"/>
        </w:rPr>
      </w:pPr>
    </w:p>
    <w:p>
      <w:pPr>
        <w:ind w:left="120" w:right="160"/>
        <w:spacing w:after="0" w:line="250" w:lineRule="auto"/>
        <w:rPr>
          <w:sz w:val="20"/>
          <w:szCs w:val="20"/>
          <w:color w:val="auto"/>
        </w:rPr>
      </w:pPr>
      <w:r>
        <w:rPr>
          <w:rFonts w:ascii="Arial" w:cs="Arial" w:eastAsia="Arial" w:hAnsi="Arial"/>
          <w:sz w:val="16"/>
          <w:szCs w:val="16"/>
          <w:color w:val="auto"/>
        </w:rPr>
        <w:t>As described above, in accordance with the terms of his offer letter agreement, Mr. Klein is entitled to a lump sum severance payment equal to one year of base salary and continuation of health and life insurance benefits for 12 months in the event of a termination of his employment without cause or a resignation by him for good reason. The table below shows the termination benefits that Mr. Klein would have been entitled to receive from Qorvo upon the occurrence of the termination events described as of March 28, 2020. The table below assumes prior payment of any portion of base salary that would have been accrued but not yet paid as of March 28, 2020.</w:t>
      </w:r>
    </w:p>
    <w:p>
      <w:pPr>
        <w:spacing w:after="0" w:line="210"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3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1269BC"/>
            </w:tcBorders>
          </w:tcPr>
          <w:p>
            <w:pPr>
              <w:spacing w:after="0"/>
              <w:rPr>
                <w:sz w:val="18"/>
                <w:szCs w:val="18"/>
                <w:color w:val="auto"/>
              </w:rPr>
            </w:pPr>
          </w:p>
        </w:tc>
        <w:tc>
          <w:tcPr>
            <w:tcW w:w="1140" w:type="dxa"/>
            <w:vAlign w:val="bottom"/>
            <w:tcBorders>
              <w:bottom w:val="single" w:sz="8" w:color="1269BC"/>
            </w:tcBorders>
          </w:tcPr>
          <w:p>
            <w:pPr>
              <w:spacing w:after="0"/>
              <w:rPr>
                <w:sz w:val="18"/>
                <w:szCs w:val="18"/>
                <w:color w:val="auto"/>
              </w:rPr>
            </w:pPr>
          </w:p>
        </w:tc>
        <w:tc>
          <w:tcPr>
            <w:tcW w:w="1440" w:type="dxa"/>
            <w:vAlign w:val="bottom"/>
            <w:tcBorders>
              <w:bottom w:val="single" w:sz="8" w:color="1269BC"/>
            </w:tcBorders>
            <w:gridSpan w:val="2"/>
          </w:tcPr>
          <w:p>
            <w:pPr>
              <w:jc w:val="right"/>
              <w:ind w:right="134"/>
              <w:spacing w:after="0"/>
              <w:rPr>
                <w:sz w:val="20"/>
                <w:szCs w:val="20"/>
                <w:color w:val="auto"/>
              </w:rPr>
            </w:pPr>
            <w:r>
              <w:rPr>
                <w:rFonts w:ascii="Arial" w:cs="Arial" w:eastAsia="Arial" w:hAnsi="Arial"/>
                <w:sz w:val="16"/>
                <w:szCs w:val="16"/>
                <w:b w:val="1"/>
                <w:bCs w:val="1"/>
                <w:color w:val="1269BC"/>
              </w:rPr>
              <w:t>James L. Klein</w:t>
            </w:r>
          </w:p>
        </w:tc>
        <w:tc>
          <w:tcPr>
            <w:tcW w:w="480" w:type="dxa"/>
            <w:vAlign w:val="bottom"/>
            <w:tcBorders>
              <w:bottom w:val="single" w:sz="8" w:color="1269BC"/>
            </w:tcBorders>
          </w:tcPr>
          <w:p>
            <w:pPr>
              <w:spacing w:after="0"/>
              <w:rPr>
                <w:sz w:val="18"/>
                <w:szCs w:val="18"/>
                <w:color w:val="auto"/>
              </w:rPr>
            </w:pPr>
          </w:p>
        </w:tc>
        <w:tc>
          <w:tcPr>
            <w:tcW w:w="640" w:type="dxa"/>
            <w:vAlign w:val="bottom"/>
            <w:tcBorders>
              <w:bottom w:val="single" w:sz="8" w:color="1269B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gridSpan w:val="2"/>
          </w:tcPr>
          <w:p>
            <w:pPr>
              <w:jc w:val="center"/>
              <w:ind w:left="35"/>
              <w:spacing w:after="0" w:line="165" w:lineRule="exact"/>
              <w:rPr>
                <w:sz w:val="20"/>
                <w:szCs w:val="20"/>
                <w:color w:val="auto"/>
              </w:rPr>
            </w:pPr>
            <w:r>
              <w:rPr>
                <w:rFonts w:ascii="Arial" w:cs="Arial" w:eastAsia="Arial" w:hAnsi="Arial"/>
                <w:sz w:val="16"/>
                <w:szCs w:val="16"/>
                <w:b w:val="1"/>
                <w:bCs w:val="1"/>
                <w:color w:val="1269BC"/>
              </w:rPr>
              <w:t>Termination</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center"/>
              <w:ind w:right="214"/>
              <w:spacing w:after="0"/>
              <w:rPr>
                <w:sz w:val="20"/>
                <w:szCs w:val="20"/>
                <w:color w:val="auto"/>
              </w:rPr>
            </w:pPr>
            <w:r>
              <w:rPr>
                <w:rFonts w:ascii="Arial" w:cs="Arial" w:eastAsia="Arial" w:hAnsi="Arial"/>
                <w:sz w:val="16"/>
                <w:szCs w:val="16"/>
                <w:b w:val="1"/>
                <w:bCs w:val="1"/>
                <w:color w:val="1269BC"/>
              </w:rPr>
              <w:t>without</w:t>
            </w: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center"/>
              <w:ind w:right="214"/>
              <w:spacing w:after="0"/>
              <w:rPr>
                <w:sz w:val="20"/>
                <w:szCs w:val="20"/>
                <w:color w:val="auto"/>
              </w:rPr>
            </w:pPr>
            <w:r>
              <w:rPr>
                <w:rFonts w:ascii="Arial" w:cs="Arial" w:eastAsia="Arial" w:hAnsi="Arial"/>
                <w:sz w:val="16"/>
                <w:szCs w:val="16"/>
                <w:b w:val="1"/>
                <w:bCs w:val="1"/>
                <w:color w:val="1269BC"/>
              </w:rPr>
              <w:t>Cause or</w:t>
            </w: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20" w:type="dxa"/>
            <w:vAlign w:val="bottom"/>
            <w:gridSpan w:val="3"/>
          </w:tcPr>
          <w:p>
            <w:pPr>
              <w:ind w:left="180"/>
              <w:spacing w:after="0"/>
              <w:rPr>
                <w:sz w:val="20"/>
                <w:szCs w:val="20"/>
                <w:color w:val="auto"/>
              </w:rPr>
            </w:pPr>
            <w:r>
              <w:rPr>
                <w:rFonts w:ascii="Arial" w:cs="Arial" w:eastAsia="Arial" w:hAnsi="Arial"/>
                <w:sz w:val="16"/>
                <w:szCs w:val="16"/>
                <w:b w:val="1"/>
                <w:bCs w:val="1"/>
                <w:color w:val="1269BC"/>
              </w:rPr>
              <w:t>Termination for</w:t>
            </w:r>
          </w:p>
        </w:tc>
        <w:tc>
          <w:tcPr>
            <w:tcW w:w="440" w:type="dxa"/>
            <w:vAlign w:val="bottom"/>
          </w:tcPr>
          <w:p>
            <w:pPr>
              <w:spacing w:after="0"/>
              <w:rPr>
                <w:sz w:val="16"/>
                <w:szCs w:val="16"/>
                <w:color w:val="auto"/>
              </w:rPr>
            </w:pPr>
          </w:p>
        </w:tc>
        <w:tc>
          <w:tcPr>
            <w:tcW w:w="1000" w:type="dxa"/>
            <w:vAlign w:val="bottom"/>
          </w:tcPr>
          <w:p>
            <w:pPr>
              <w:jc w:val="center"/>
              <w:ind w:right="234"/>
              <w:spacing w:after="0"/>
              <w:rPr>
                <w:sz w:val="20"/>
                <w:szCs w:val="20"/>
                <w:color w:val="auto"/>
              </w:rPr>
            </w:pPr>
            <w:r>
              <w:rPr>
                <w:rFonts w:ascii="Arial" w:cs="Arial" w:eastAsia="Arial" w:hAnsi="Arial"/>
                <w:sz w:val="16"/>
                <w:szCs w:val="16"/>
                <w:b w:val="1"/>
                <w:bCs w:val="1"/>
                <w:color w:val="1269BC"/>
              </w:rPr>
              <w:t>for Good</w:t>
            </w:r>
          </w:p>
        </w:tc>
        <w:tc>
          <w:tcPr>
            <w:tcW w:w="1180" w:type="dxa"/>
            <w:vAlign w:val="bottom"/>
            <w:gridSpan w:val="3"/>
          </w:tcPr>
          <w:p>
            <w:pPr>
              <w:ind w:left="200"/>
              <w:spacing w:after="0"/>
              <w:rPr>
                <w:sz w:val="20"/>
                <w:szCs w:val="20"/>
                <w:color w:val="auto"/>
              </w:rPr>
            </w:pPr>
            <w:r>
              <w:rPr>
                <w:rFonts w:ascii="Arial" w:cs="Arial" w:eastAsia="Arial" w:hAnsi="Arial"/>
                <w:sz w:val="16"/>
                <w:szCs w:val="16"/>
                <w:b w:val="1"/>
                <w:bCs w:val="1"/>
                <w:color w:val="1269BC"/>
              </w:rPr>
              <w:t>Termination</w:t>
            </w:r>
          </w:p>
        </w:tc>
        <w:tc>
          <w:tcPr>
            <w:tcW w:w="0" w:type="dxa"/>
            <w:vAlign w:val="bottom"/>
          </w:tcPr>
          <w:p>
            <w:pPr>
              <w:spacing w:after="0"/>
              <w:rPr>
                <w:sz w:val="1"/>
                <w:szCs w:val="1"/>
                <w:color w:val="auto"/>
              </w:rPr>
            </w:pPr>
          </w:p>
        </w:tc>
      </w:tr>
      <w:tr>
        <w:trPr>
          <w:trHeight w:val="207"/>
        </w:trPr>
        <w:tc>
          <w:tcPr>
            <w:tcW w:w="3320" w:type="dxa"/>
            <w:vAlign w:val="bottom"/>
            <w:tcBorders>
              <w:bottom w:val="single" w:sz="8" w:color="1269BC"/>
            </w:tcBorders>
          </w:tcPr>
          <w:p>
            <w:pPr>
              <w:spacing w:after="0"/>
              <w:rPr>
                <w:sz w:val="18"/>
                <w:szCs w:val="18"/>
                <w:color w:val="auto"/>
              </w:rPr>
            </w:pPr>
          </w:p>
        </w:tc>
        <w:tc>
          <w:tcPr>
            <w:tcW w:w="1900" w:type="dxa"/>
            <w:vAlign w:val="bottom"/>
            <w:tcBorders>
              <w:bottom w:val="single" w:sz="8" w:color="1269BC"/>
            </w:tcBorders>
          </w:tcPr>
          <w:p>
            <w:pPr>
              <w:spacing w:after="0"/>
              <w:rPr>
                <w:sz w:val="18"/>
                <w:szCs w:val="18"/>
                <w:color w:val="auto"/>
              </w:rPr>
            </w:pPr>
          </w:p>
        </w:tc>
        <w:tc>
          <w:tcPr>
            <w:tcW w:w="180" w:type="dxa"/>
            <w:vAlign w:val="bottom"/>
            <w:tcBorders>
              <w:bottom w:val="single" w:sz="8" w:color="1269BC"/>
            </w:tcBorders>
          </w:tcPr>
          <w:p>
            <w:pPr>
              <w:spacing w:after="0"/>
              <w:rPr>
                <w:sz w:val="18"/>
                <w:szCs w:val="18"/>
                <w:color w:val="auto"/>
              </w:rPr>
            </w:pPr>
          </w:p>
        </w:tc>
        <w:tc>
          <w:tcPr>
            <w:tcW w:w="100" w:type="dxa"/>
            <w:vAlign w:val="bottom"/>
            <w:tcBorders>
              <w:bottom w:val="single" w:sz="8" w:color="1269BC"/>
            </w:tcBorders>
          </w:tcPr>
          <w:p>
            <w:pPr>
              <w:spacing w:after="0"/>
              <w:rPr>
                <w:sz w:val="18"/>
                <w:szCs w:val="18"/>
                <w:color w:val="auto"/>
              </w:rPr>
            </w:pPr>
          </w:p>
        </w:tc>
        <w:tc>
          <w:tcPr>
            <w:tcW w:w="1140" w:type="dxa"/>
            <w:vAlign w:val="bottom"/>
            <w:tcBorders>
              <w:bottom w:val="single" w:sz="8" w:color="1269BC"/>
            </w:tcBorders>
          </w:tcPr>
          <w:p>
            <w:pPr>
              <w:jc w:val="right"/>
              <w:ind w:right="112"/>
              <w:spacing w:after="0"/>
              <w:rPr>
                <w:sz w:val="20"/>
                <w:szCs w:val="20"/>
                <w:color w:val="auto"/>
              </w:rPr>
            </w:pPr>
            <w:r>
              <w:rPr>
                <w:rFonts w:ascii="Arial" w:cs="Arial" w:eastAsia="Arial" w:hAnsi="Arial"/>
                <w:sz w:val="16"/>
                <w:szCs w:val="16"/>
                <w:b w:val="1"/>
                <w:bCs w:val="1"/>
                <w:color w:val="1269BC"/>
                <w:w w:val="99"/>
              </w:rPr>
              <w:t>Any Reason</w:t>
            </w:r>
          </w:p>
        </w:tc>
        <w:tc>
          <w:tcPr>
            <w:tcW w:w="440" w:type="dxa"/>
            <w:vAlign w:val="bottom"/>
            <w:tcBorders>
              <w:bottom w:val="single" w:sz="8" w:color="1269BC"/>
            </w:tcBorders>
          </w:tcPr>
          <w:p>
            <w:pPr>
              <w:spacing w:after="0"/>
              <w:rPr>
                <w:sz w:val="18"/>
                <w:szCs w:val="18"/>
                <w:color w:val="auto"/>
              </w:rPr>
            </w:pPr>
          </w:p>
        </w:tc>
        <w:tc>
          <w:tcPr>
            <w:tcW w:w="1000" w:type="dxa"/>
            <w:vAlign w:val="bottom"/>
            <w:tcBorders>
              <w:bottom w:val="single" w:sz="8" w:color="1269BC"/>
            </w:tcBorders>
          </w:tcPr>
          <w:p>
            <w:pPr>
              <w:jc w:val="center"/>
              <w:ind w:right="214"/>
              <w:spacing w:after="0"/>
              <w:rPr>
                <w:sz w:val="20"/>
                <w:szCs w:val="20"/>
                <w:color w:val="auto"/>
              </w:rPr>
            </w:pPr>
            <w:r>
              <w:rPr>
                <w:rFonts w:ascii="Arial" w:cs="Arial" w:eastAsia="Arial" w:hAnsi="Arial"/>
                <w:sz w:val="16"/>
                <w:szCs w:val="16"/>
                <w:b w:val="1"/>
                <w:bCs w:val="1"/>
                <w:color w:val="1269BC"/>
              </w:rPr>
              <w:t>Reason</w:t>
            </w:r>
          </w:p>
        </w:tc>
        <w:tc>
          <w:tcPr>
            <w:tcW w:w="1180" w:type="dxa"/>
            <w:vAlign w:val="bottom"/>
            <w:tcBorders>
              <w:bottom w:val="single" w:sz="8" w:color="1269BC"/>
            </w:tcBorders>
            <w:gridSpan w:val="3"/>
          </w:tcPr>
          <w:p>
            <w:pPr>
              <w:ind w:left="280"/>
              <w:spacing w:after="0"/>
              <w:rPr>
                <w:sz w:val="20"/>
                <w:szCs w:val="20"/>
                <w:color w:val="auto"/>
              </w:rPr>
            </w:pPr>
            <w:r>
              <w:rPr>
                <w:rFonts w:ascii="Arial" w:cs="Arial" w:eastAsia="Arial" w:hAnsi="Arial"/>
                <w:sz w:val="16"/>
                <w:szCs w:val="16"/>
                <w:b w:val="1"/>
                <w:bCs w:val="1"/>
                <w:color w:val="1269BC"/>
              </w:rPr>
              <w:t>for Cause</w:t>
            </w:r>
          </w:p>
        </w:tc>
        <w:tc>
          <w:tcPr>
            <w:tcW w:w="0" w:type="dxa"/>
            <w:vAlign w:val="bottom"/>
          </w:tcPr>
          <w:p>
            <w:pPr>
              <w:spacing w:after="0"/>
              <w:rPr>
                <w:sz w:val="1"/>
                <w:szCs w:val="1"/>
                <w:color w:val="auto"/>
              </w:rPr>
            </w:pPr>
          </w:p>
        </w:tc>
      </w:tr>
      <w:tr>
        <w:trPr>
          <w:trHeight w:val="210"/>
        </w:trPr>
        <w:tc>
          <w:tcPr>
            <w:tcW w:w="3320" w:type="dxa"/>
            <w:vAlign w:val="bottom"/>
            <w:vMerge w:val="restart"/>
            <w:shd w:val="clear" w:color="auto" w:fill="C3D9EE"/>
          </w:tcPr>
          <w:p>
            <w:pPr>
              <w:ind w:left="100"/>
              <w:spacing w:after="0"/>
              <w:rPr>
                <w:sz w:val="20"/>
                <w:szCs w:val="20"/>
                <w:color w:val="auto"/>
              </w:rPr>
            </w:pPr>
            <w:r>
              <w:rPr>
                <w:rFonts w:ascii="Arial" w:cs="Arial" w:eastAsia="Arial" w:hAnsi="Arial"/>
                <w:sz w:val="18"/>
                <w:szCs w:val="18"/>
                <w:color w:val="auto"/>
              </w:rPr>
              <w:t>Base Salary</w:t>
            </w:r>
          </w:p>
        </w:tc>
        <w:tc>
          <w:tcPr>
            <w:tcW w:w="1900" w:type="dxa"/>
            <w:vAlign w:val="bottom"/>
            <w:shd w:val="clear" w:color="auto" w:fill="C3D9EE"/>
          </w:tcPr>
          <w:p>
            <w:pPr>
              <w:jc w:val="right"/>
              <w:ind w:right="70"/>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3D9EE"/>
          </w:tcPr>
          <w:p>
            <w:pPr>
              <w:ind w:left="16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3D9EE"/>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3D9EE"/>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3D9EE"/>
          </w:tcPr>
          <w:p>
            <w:pPr>
              <w:jc w:val="right"/>
              <w:ind w:right="114"/>
              <w:spacing w:after="0"/>
              <w:rPr>
                <w:sz w:val="20"/>
                <w:szCs w:val="20"/>
                <w:color w:val="auto"/>
              </w:rPr>
            </w:pPr>
            <w:r>
              <w:rPr>
                <w:rFonts w:ascii="Arial" w:cs="Arial" w:eastAsia="Arial" w:hAnsi="Arial"/>
                <w:sz w:val="18"/>
                <w:szCs w:val="18"/>
                <w:color w:val="auto"/>
              </w:rPr>
              <w:t>466,045</w:t>
            </w:r>
          </w:p>
        </w:tc>
        <w:tc>
          <w:tcPr>
            <w:tcW w:w="480" w:type="dxa"/>
            <w:vAlign w:val="bottom"/>
            <w:shd w:val="clear" w:color="auto" w:fill="C3D9EE"/>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3D9EE"/>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3320" w:type="dxa"/>
            <w:vAlign w:val="bottom"/>
            <w:vMerge w:val="continue"/>
            <w:shd w:val="clear" w:color="auto" w:fill="C3D9EE"/>
          </w:tcPr>
          <w:p>
            <w:pPr>
              <w:spacing w:after="0"/>
              <w:rPr>
                <w:sz w:val="5"/>
                <w:szCs w:val="5"/>
                <w:color w:val="auto"/>
              </w:rPr>
            </w:pPr>
          </w:p>
        </w:tc>
        <w:tc>
          <w:tcPr>
            <w:tcW w:w="1900" w:type="dxa"/>
            <w:vAlign w:val="bottom"/>
            <w:shd w:val="clear" w:color="auto" w:fill="C3D9EE"/>
          </w:tcPr>
          <w:p>
            <w:pPr>
              <w:spacing w:after="0"/>
              <w:rPr>
                <w:sz w:val="5"/>
                <w:szCs w:val="5"/>
                <w:color w:val="auto"/>
              </w:rPr>
            </w:pPr>
          </w:p>
        </w:tc>
        <w:tc>
          <w:tcPr>
            <w:tcW w:w="180" w:type="dxa"/>
            <w:vAlign w:val="bottom"/>
            <w:shd w:val="clear" w:color="auto" w:fill="C3D9EE"/>
          </w:tcPr>
          <w:p>
            <w:pPr>
              <w:spacing w:after="0"/>
              <w:rPr>
                <w:sz w:val="5"/>
                <w:szCs w:val="5"/>
                <w:color w:val="auto"/>
              </w:rPr>
            </w:pPr>
          </w:p>
        </w:tc>
        <w:tc>
          <w:tcPr>
            <w:tcW w:w="100" w:type="dxa"/>
            <w:vAlign w:val="bottom"/>
            <w:shd w:val="clear" w:color="auto" w:fill="C3D9EE"/>
          </w:tcPr>
          <w:p>
            <w:pPr>
              <w:spacing w:after="0"/>
              <w:rPr>
                <w:sz w:val="5"/>
                <w:szCs w:val="5"/>
                <w:color w:val="auto"/>
              </w:rPr>
            </w:pPr>
          </w:p>
        </w:tc>
        <w:tc>
          <w:tcPr>
            <w:tcW w:w="1140" w:type="dxa"/>
            <w:vAlign w:val="bottom"/>
            <w:shd w:val="clear" w:color="auto" w:fill="C3D9EE"/>
          </w:tcPr>
          <w:p>
            <w:pPr>
              <w:spacing w:after="0"/>
              <w:rPr>
                <w:sz w:val="5"/>
                <w:szCs w:val="5"/>
                <w:color w:val="auto"/>
              </w:rPr>
            </w:pPr>
          </w:p>
        </w:tc>
        <w:tc>
          <w:tcPr>
            <w:tcW w:w="440" w:type="dxa"/>
            <w:vAlign w:val="bottom"/>
            <w:shd w:val="clear" w:color="auto" w:fill="C3D9EE"/>
          </w:tcPr>
          <w:p>
            <w:pPr>
              <w:spacing w:after="0"/>
              <w:rPr>
                <w:sz w:val="5"/>
                <w:szCs w:val="5"/>
                <w:color w:val="auto"/>
              </w:rPr>
            </w:pPr>
          </w:p>
        </w:tc>
        <w:tc>
          <w:tcPr>
            <w:tcW w:w="1000" w:type="dxa"/>
            <w:vAlign w:val="bottom"/>
            <w:shd w:val="clear" w:color="auto" w:fill="C3D9EE"/>
          </w:tcPr>
          <w:p>
            <w:pPr>
              <w:spacing w:after="0"/>
              <w:rPr>
                <w:sz w:val="5"/>
                <w:szCs w:val="5"/>
                <w:color w:val="auto"/>
              </w:rPr>
            </w:pPr>
          </w:p>
        </w:tc>
        <w:tc>
          <w:tcPr>
            <w:tcW w:w="480" w:type="dxa"/>
            <w:vAlign w:val="bottom"/>
            <w:shd w:val="clear" w:color="auto" w:fill="C3D9EE"/>
          </w:tcPr>
          <w:p>
            <w:pPr>
              <w:spacing w:after="0"/>
              <w:rPr>
                <w:sz w:val="5"/>
                <w:szCs w:val="5"/>
                <w:color w:val="auto"/>
              </w:rPr>
            </w:pPr>
          </w:p>
        </w:tc>
        <w:tc>
          <w:tcPr>
            <w:tcW w:w="640" w:type="dxa"/>
            <w:vAlign w:val="bottom"/>
            <w:shd w:val="clear" w:color="auto" w:fill="C3D9EE"/>
          </w:tcPr>
          <w:p>
            <w:pPr>
              <w:spacing w:after="0"/>
              <w:rPr>
                <w:sz w:val="5"/>
                <w:szCs w:val="5"/>
                <w:color w:val="auto"/>
              </w:rPr>
            </w:pPr>
          </w:p>
        </w:tc>
        <w:tc>
          <w:tcPr>
            <w:tcW w:w="60" w:type="dxa"/>
            <w:vAlign w:val="bottom"/>
            <w:shd w:val="clear" w:color="auto" w:fill="C3D9E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320" w:type="dxa"/>
            <w:vAlign w:val="bottom"/>
            <w:shd w:val="clear" w:color="auto" w:fill="C3D9EE"/>
          </w:tcPr>
          <w:p>
            <w:pPr>
              <w:spacing w:after="0"/>
              <w:rPr>
                <w:sz w:val="5"/>
                <w:szCs w:val="5"/>
                <w:color w:val="auto"/>
              </w:rPr>
            </w:pPr>
          </w:p>
        </w:tc>
        <w:tc>
          <w:tcPr>
            <w:tcW w:w="1900" w:type="dxa"/>
            <w:vAlign w:val="bottom"/>
            <w:shd w:val="clear" w:color="auto" w:fill="C3D9EE"/>
          </w:tcPr>
          <w:p>
            <w:pPr>
              <w:spacing w:after="0"/>
              <w:rPr>
                <w:sz w:val="5"/>
                <w:szCs w:val="5"/>
                <w:color w:val="auto"/>
              </w:rPr>
            </w:pPr>
          </w:p>
        </w:tc>
        <w:tc>
          <w:tcPr>
            <w:tcW w:w="180" w:type="dxa"/>
            <w:vAlign w:val="bottom"/>
            <w:shd w:val="clear" w:color="auto" w:fill="C3D9EE"/>
          </w:tcPr>
          <w:p>
            <w:pPr>
              <w:spacing w:after="0"/>
              <w:rPr>
                <w:sz w:val="5"/>
                <w:szCs w:val="5"/>
                <w:color w:val="auto"/>
              </w:rPr>
            </w:pPr>
          </w:p>
        </w:tc>
        <w:tc>
          <w:tcPr>
            <w:tcW w:w="100" w:type="dxa"/>
            <w:vAlign w:val="bottom"/>
            <w:shd w:val="clear" w:color="auto" w:fill="C3D9EE"/>
          </w:tcPr>
          <w:p>
            <w:pPr>
              <w:spacing w:after="0"/>
              <w:rPr>
                <w:sz w:val="5"/>
                <w:szCs w:val="5"/>
                <w:color w:val="auto"/>
              </w:rPr>
            </w:pPr>
          </w:p>
        </w:tc>
        <w:tc>
          <w:tcPr>
            <w:tcW w:w="1140" w:type="dxa"/>
            <w:vAlign w:val="bottom"/>
            <w:shd w:val="clear" w:color="auto" w:fill="C3D9EE"/>
          </w:tcPr>
          <w:p>
            <w:pPr>
              <w:spacing w:after="0"/>
              <w:rPr>
                <w:sz w:val="5"/>
                <w:szCs w:val="5"/>
                <w:color w:val="auto"/>
              </w:rPr>
            </w:pPr>
          </w:p>
        </w:tc>
        <w:tc>
          <w:tcPr>
            <w:tcW w:w="440" w:type="dxa"/>
            <w:vAlign w:val="bottom"/>
            <w:shd w:val="clear" w:color="auto" w:fill="C3D9EE"/>
          </w:tcPr>
          <w:p>
            <w:pPr>
              <w:spacing w:after="0"/>
              <w:rPr>
                <w:sz w:val="5"/>
                <w:szCs w:val="5"/>
                <w:color w:val="auto"/>
              </w:rPr>
            </w:pPr>
          </w:p>
        </w:tc>
        <w:tc>
          <w:tcPr>
            <w:tcW w:w="1000" w:type="dxa"/>
            <w:vAlign w:val="bottom"/>
            <w:shd w:val="clear" w:color="auto" w:fill="C3D9EE"/>
          </w:tcPr>
          <w:p>
            <w:pPr>
              <w:spacing w:after="0"/>
              <w:rPr>
                <w:sz w:val="5"/>
                <w:szCs w:val="5"/>
                <w:color w:val="auto"/>
              </w:rPr>
            </w:pPr>
          </w:p>
        </w:tc>
        <w:tc>
          <w:tcPr>
            <w:tcW w:w="480" w:type="dxa"/>
            <w:vAlign w:val="bottom"/>
            <w:shd w:val="clear" w:color="auto" w:fill="C3D9EE"/>
          </w:tcPr>
          <w:p>
            <w:pPr>
              <w:spacing w:after="0"/>
              <w:rPr>
                <w:sz w:val="5"/>
                <w:szCs w:val="5"/>
                <w:color w:val="auto"/>
              </w:rPr>
            </w:pPr>
          </w:p>
        </w:tc>
        <w:tc>
          <w:tcPr>
            <w:tcW w:w="640" w:type="dxa"/>
            <w:vAlign w:val="bottom"/>
            <w:shd w:val="clear" w:color="auto" w:fill="C3D9EE"/>
          </w:tcPr>
          <w:p>
            <w:pPr>
              <w:spacing w:after="0"/>
              <w:rPr>
                <w:sz w:val="5"/>
                <w:szCs w:val="5"/>
                <w:color w:val="auto"/>
              </w:rPr>
            </w:pPr>
          </w:p>
        </w:tc>
        <w:tc>
          <w:tcPr>
            <w:tcW w:w="60" w:type="dxa"/>
            <w:vAlign w:val="bottom"/>
            <w:shd w:val="clear" w:color="auto" w:fill="C3D9E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3320" w:type="dxa"/>
            <w:vAlign w:val="bottom"/>
            <w:vMerge w:val="restart"/>
          </w:tcPr>
          <w:p>
            <w:pPr>
              <w:ind w:left="100"/>
              <w:spacing w:after="0"/>
              <w:rPr>
                <w:sz w:val="20"/>
                <w:szCs w:val="20"/>
                <w:color w:val="auto"/>
              </w:rPr>
            </w:pPr>
            <w:r>
              <w:rPr>
                <w:rFonts w:ascii="Arial" w:cs="Arial" w:eastAsia="Arial" w:hAnsi="Arial"/>
                <w:sz w:val="18"/>
                <w:szCs w:val="18"/>
                <w:color w:val="auto"/>
              </w:rPr>
              <w:t>Stock Awards</w:t>
            </w: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3,441,509</w:t>
            </w:r>
          </w:p>
        </w:tc>
        <w:tc>
          <w:tcPr>
            <w:tcW w:w="440" w:type="dxa"/>
            <w:vAlign w:val="bottom"/>
          </w:tcPr>
          <w:p>
            <w:pPr>
              <w:spacing w:after="0"/>
              <w:rPr>
                <w:sz w:val="18"/>
                <w:szCs w:val="18"/>
                <w:color w:val="auto"/>
              </w:rPr>
            </w:pPr>
          </w:p>
        </w:tc>
        <w:tc>
          <w:tcPr>
            <w:tcW w:w="1000" w:type="dxa"/>
            <w:vAlign w:val="bottom"/>
          </w:tcPr>
          <w:p>
            <w:pPr>
              <w:jc w:val="right"/>
              <w:ind w:right="114"/>
              <w:spacing w:after="0"/>
              <w:rPr>
                <w:sz w:val="20"/>
                <w:szCs w:val="20"/>
                <w:color w:val="auto"/>
              </w:rPr>
            </w:pPr>
            <w:r>
              <w:rPr>
                <w:rFonts w:ascii="Arial" w:cs="Arial" w:eastAsia="Arial" w:hAnsi="Arial"/>
                <w:sz w:val="18"/>
                <w:szCs w:val="18"/>
                <w:color w:val="auto"/>
                <w:w w:val="97"/>
              </w:rPr>
              <w:t>3,441,509</w:t>
            </w:r>
          </w:p>
        </w:tc>
        <w:tc>
          <w:tcPr>
            <w:tcW w:w="4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3320" w:type="dxa"/>
            <w:vAlign w:val="bottom"/>
            <w:vMerge w:val="continue"/>
          </w:tcPr>
          <w:p>
            <w:pPr>
              <w:spacing w:after="0"/>
              <w:rPr>
                <w:sz w:val="5"/>
                <w:szCs w:val="5"/>
                <w:color w:val="auto"/>
              </w:rPr>
            </w:pPr>
          </w:p>
        </w:tc>
        <w:tc>
          <w:tcPr>
            <w:tcW w:w="1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33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3320" w:type="dxa"/>
            <w:vAlign w:val="bottom"/>
            <w:vMerge w:val="restart"/>
            <w:shd w:val="clear" w:color="auto" w:fill="C3D9EE"/>
          </w:tcPr>
          <w:p>
            <w:pPr>
              <w:ind w:left="100"/>
              <w:spacing w:after="0"/>
              <w:rPr>
                <w:sz w:val="20"/>
                <w:szCs w:val="20"/>
                <w:color w:val="auto"/>
              </w:rPr>
            </w:pPr>
            <w:r>
              <w:rPr>
                <w:rFonts w:ascii="Arial" w:cs="Arial" w:eastAsia="Arial" w:hAnsi="Arial"/>
                <w:sz w:val="18"/>
                <w:szCs w:val="18"/>
                <w:color w:val="auto"/>
              </w:rPr>
              <w:t>Benefits Continuation</w:t>
            </w:r>
          </w:p>
        </w:tc>
        <w:tc>
          <w:tcPr>
            <w:tcW w:w="1900" w:type="dxa"/>
            <w:vAlign w:val="bottom"/>
            <w:shd w:val="clear" w:color="auto" w:fill="C3D9EE"/>
          </w:tcPr>
          <w:p>
            <w:pPr>
              <w:jc w:val="right"/>
              <w:ind w:right="7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3D9EE"/>
          </w:tcPr>
          <w:p>
            <w:pPr>
              <w:spacing w:after="0"/>
              <w:rPr>
                <w:sz w:val="18"/>
                <w:szCs w:val="18"/>
                <w:color w:val="auto"/>
              </w:rPr>
            </w:pPr>
          </w:p>
        </w:tc>
        <w:tc>
          <w:tcPr>
            <w:tcW w:w="100" w:type="dxa"/>
            <w:vAlign w:val="bottom"/>
            <w:shd w:val="clear" w:color="auto" w:fill="C3D9EE"/>
          </w:tcPr>
          <w:p>
            <w:pPr>
              <w:spacing w:after="0"/>
              <w:rPr>
                <w:sz w:val="18"/>
                <w:szCs w:val="18"/>
                <w:color w:val="auto"/>
              </w:rPr>
            </w:pPr>
          </w:p>
        </w:tc>
        <w:tc>
          <w:tcPr>
            <w:tcW w:w="1140" w:type="dxa"/>
            <w:vAlign w:val="bottom"/>
            <w:shd w:val="clear" w:color="auto" w:fill="C3D9EE"/>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3D9EE"/>
          </w:tcPr>
          <w:p>
            <w:pPr>
              <w:spacing w:after="0"/>
              <w:rPr>
                <w:sz w:val="18"/>
                <w:szCs w:val="18"/>
                <w:color w:val="auto"/>
              </w:rPr>
            </w:pPr>
          </w:p>
        </w:tc>
        <w:tc>
          <w:tcPr>
            <w:tcW w:w="1000" w:type="dxa"/>
            <w:vAlign w:val="bottom"/>
            <w:shd w:val="clear" w:color="auto" w:fill="C3D9EE"/>
          </w:tcPr>
          <w:p>
            <w:pPr>
              <w:jc w:val="right"/>
              <w:ind w:right="114"/>
              <w:spacing w:after="0"/>
              <w:rPr>
                <w:sz w:val="20"/>
                <w:szCs w:val="20"/>
                <w:color w:val="auto"/>
              </w:rPr>
            </w:pPr>
            <w:r>
              <w:rPr>
                <w:rFonts w:ascii="Arial" w:cs="Arial" w:eastAsia="Arial" w:hAnsi="Arial"/>
                <w:sz w:val="18"/>
                <w:szCs w:val="18"/>
                <w:color w:val="auto"/>
              </w:rPr>
              <w:t>22,973</w:t>
            </w:r>
          </w:p>
        </w:tc>
        <w:tc>
          <w:tcPr>
            <w:tcW w:w="480" w:type="dxa"/>
            <w:vAlign w:val="bottom"/>
            <w:shd w:val="clear" w:color="auto" w:fill="C3D9EE"/>
          </w:tcPr>
          <w:p>
            <w:pPr>
              <w:spacing w:after="0"/>
              <w:rPr>
                <w:sz w:val="18"/>
                <w:szCs w:val="18"/>
                <w:color w:val="auto"/>
              </w:rPr>
            </w:pPr>
          </w:p>
        </w:tc>
        <w:tc>
          <w:tcPr>
            <w:tcW w:w="700" w:type="dxa"/>
            <w:vAlign w:val="bottom"/>
            <w:gridSpan w:val="2"/>
            <w:shd w:val="clear" w:color="auto" w:fill="C3D9EE"/>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3320" w:type="dxa"/>
            <w:vAlign w:val="bottom"/>
            <w:vMerge w:val="continue"/>
            <w:shd w:val="clear" w:color="auto" w:fill="C3D9EE"/>
          </w:tcPr>
          <w:p>
            <w:pPr>
              <w:spacing w:after="0"/>
              <w:rPr>
                <w:sz w:val="5"/>
                <w:szCs w:val="5"/>
                <w:color w:val="auto"/>
              </w:rPr>
            </w:pPr>
          </w:p>
        </w:tc>
        <w:tc>
          <w:tcPr>
            <w:tcW w:w="1900" w:type="dxa"/>
            <w:vAlign w:val="bottom"/>
            <w:shd w:val="clear" w:color="auto" w:fill="C3D9EE"/>
          </w:tcPr>
          <w:p>
            <w:pPr>
              <w:spacing w:after="0"/>
              <w:rPr>
                <w:sz w:val="5"/>
                <w:szCs w:val="5"/>
                <w:color w:val="auto"/>
              </w:rPr>
            </w:pPr>
          </w:p>
        </w:tc>
        <w:tc>
          <w:tcPr>
            <w:tcW w:w="180" w:type="dxa"/>
            <w:vAlign w:val="bottom"/>
            <w:shd w:val="clear" w:color="auto" w:fill="C3D9EE"/>
          </w:tcPr>
          <w:p>
            <w:pPr>
              <w:spacing w:after="0"/>
              <w:rPr>
                <w:sz w:val="5"/>
                <w:szCs w:val="5"/>
                <w:color w:val="auto"/>
              </w:rPr>
            </w:pPr>
          </w:p>
        </w:tc>
        <w:tc>
          <w:tcPr>
            <w:tcW w:w="100" w:type="dxa"/>
            <w:vAlign w:val="bottom"/>
            <w:shd w:val="clear" w:color="auto" w:fill="C3D9EE"/>
          </w:tcPr>
          <w:p>
            <w:pPr>
              <w:spacing w:after="0"/>
              <w:rPr>
                <w:sz w:val="5"/>
                <w:szCs w:val="5"/>
                <w:color w:val="auto"/>
              </w:rPr>
            </w:pPr>
          </w:p>
        </w:tc>
        <w:tc>
          <w:tcPr>
            <w:tcW w:w="1140" w:type="dxa"/>
            <w:vAlign w:val="bottom"/>
            <w:shd w:val="clear" w:color="auto" w:fill="C3D9EE"/>
          </w:tcPr>
          <w:p>
            <w:pPr>
              <w:spacing w:after="0"/>
              <w:rPr>
                <w:sz w:val="5"/>
                <w:szCs w:val="5"/>
                <w:color w:val="auto"/>
              </w:rPr>
            </w:pPr>
          </w:p>
        </w:tc>
        <w:tc>
          <w:tcPr>
            <w:tcW w:w="440" w:type="dxa"/>
            <w:vAlign w:val="bottom"/>
            <w:shd w:val="clear" w:color="auto" w:fill="C3D9EE"/>
          </w:tcPr>
          <w:p>
            <w:pPr>
              <w:spacing w:after="0"/>
              <w:rPr>
                <w:sz w:val="5"/>
                <w:szCs w:val="5"/>
                <w:color w:val="auto"/>
              </w:rPr>
            </w:pPr>
          </w:p>
        </w:tc>
        <w:tc>
          <w:tcPr>
            <w:tcW w:w="1000" w:type="dxa"/>
            <w:vAlign w:val="bottom"/>
            <w:shd w:val="clear" w:color="auto" w:fill="C3D9EE"/>
          </w:tcPr>
          <w:p>
            <w:pPr>
              <w:spacing w:after="0"/>
              <w:rPr>
                <w:sz w:val="5"/>
                <w:szCs w:val="5"/>
                <w:color w:val="auto"/>
              </w:rPr>
            </w:pPr>
          </w:p>
        </w:tc>
        <w:tc>
          <w:tcPr>
            <w:tcW w:w="480" w:type="dxa"/>
            <w:vAlign w:val="bottom"/>
            <w:shd w:val="clear" w:color="auto" w:fill="C3D9EE"/>
          </w:tcPr>
          <w:p>
            <w:pPr>
              <w:spacing w:after="0"/>
              <w:rPr>
                <w:sz w:val="5"/>
                <w:szCs w:val="5"/>
                <w:color w:val="auto"/>
              </w:rPr>
            </w:pPr>
          </w:p>
        </w:tc>
        <w:tc>
          <w:tcPr>
            <w:tcW w:w="640" w:type="dxa"/>
            <w:vAlign w:val="bottom"/>
            <w:shd w:val="clear" w:color="auto" w:fill="C3D9EE"/>
          </w:tcPr>
          <w:p>
            <w:pPr>
              <w:spacing w:after="0"/>
              <w:rPr>
                <w:sz w:val="5"/>
                <w:szCs w:val="5"/>
                <w:color w:val="auto"/>
              </w:rPr>
            </w:pPr>
          </w:p>
        </w:tc>
        <w:tc>
          <w:tcPr>
            <w:tcW w:w="60" w:type="dxa"/>
            <w:vAlign w:val="bottom"/>
            <w:shd w:val="clear" w:color="auto" w:fill="C3D9E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320" w:type="dxa"/>
            <w:vAlign w:val="bottom"/>
            <w:shd w:val="clear" w:color="auto" w:fill="C3D9EE"/>
          </w:tcPr>
          <w:p>
            <w:pPr>
              <w:spacing w:after="0"/>
              <w:rPr>
                <w:sz w:val="5"/>
                <w:szCs w:val="5"/>
                <w:color w:val="auto"/>
              </w:rPr>
            </w:pPr>
          </w:p>
        </w:tc>
        <w:tc>
          <w:tcPr>
            <w:tcW w:w="1900" w:type="dxa"/>
            <w:vAlign w:val="bottom"/>
            <w:shd w:val="clear" w:color="auto" w:fill="C3D9EE"/>
          </w:tcPr>
          <w:p>
            <w:pPr>
              <w:spacing w:after="0"/>
              <w:rPr>
                <w:sz w:val="5"/>
                <w:szCs w:val="5"/>
                <w:color w:val="auto"/>
              </w:rPr>
            </w:pPr>
          </w:p>
        </w:tc>
        <w:tc>
          <w:tcPr>
            <w:tcW w:w="180" w:type="dxa"/>
            <w:vAlign w:val="bottom"/>
            <w:shd w:val="clear" w:color="auto" w:fill="C3D9EE"/>
          </w:tcPr>
          <w:p>
            <w:pPr>
              <w:spacing w:after="0"/>
              <w:rPr>
                <w:sz w:val="5"/>
                <w:szCs w:val="5"/>
                <w:color w:val="auto"/>
              </w:rPr>
            </w:pPr>
          </w:p>
        </w:tc>
        <w:tc>
          <w:tcPr>
            <w:tcW w:w="100" w:type="dxa"/>
            <w:vAlign w:val="bottom"/>
            <w:shd w:val="clear" w:color="auto" w:fill="C3D9EE"/>
          </w:tcPr>
          <w:p>
            <w:pPr>
              <w:spacing w:after="0"/>
              <w:rPr>
                <w:sz w:val="5"/>
                <w:szCs w:val="5"/>
                <w:color w:val="auto"/>
              </w:rPr>
            </w:pPr>
          </w:p>
        </w:tc>
        <w:tc>
          <w:tcPr>
            <w:tcW w:w="1140" w:type="dxa"/>
            <w:vAlign w:val="bottom"/>
            <w:shd w:val="clear" w:color="auto" w:fill="C3D9EE"/>
          </w:tcPr>
          <w:p>
            <w:pPr>
              <w:spacing w:after="0"/>
              <w:rPr>
                <w:sz w:val="5"/>
                <w:szCs w:val="5"/>
                <w:color w:val="auto"/>
              </w:rPr>
            </w:pPr>
          </w:p>
        </w:tc>
        <w:tc>
          <w:tcPr>
            <w:tcW w:w="440" w:type="dxa"/>
            <w:vAlign w:val="bottom"/>
            <w:shd w:val="clear" w:color="auto" w:fill="C3D9EE"/>
          </w:tcPr>
          <w:p>
            <w:pPr>
              <w:spacing w:after="0"/>
              <w:rPr>
                <w:sz w:val="5"/>
                <w:szCs w:val="5"/>
                <w:color w:val="auto"/>
              </w:rPr>
            </w:pPr>
          </w:p>
        </w:tc>
        <w:tc>
          <w:tcPr>
            <w:tcW w:w="1000" w:type="dxa"/>
            <w:vAlign w:val="bottom"/>
            <w:shd w:val="clear" w:color="auto" w:fill="C3D9EE"/>
          </w:tcPr>
          <w:p>
            <w:pPr>
              <w:spacing w:after="0"/>
              <w:rPr>
                <w:sz w:val="5"/>
                <w:szCs w:val="5"/>
                <w:color w:val="auto"/>
              </w:rPr>
            </w:pPr>
          </w:p>
        </w:tc>
        <w:tc>
          <w:tcPr>
            <w:tcW w:w="480" w:type="dxa"/>
            <w:vAlign w:val="bottom"/>
            <w:shd w:val="clear" w:color="auto" w:fill="C3D9EE"/>
          </w:tcPr>
          <w:p>
            <w:pPr>
              <w:spacing w:after="0"/>
              <w:rPr>
                <w:sz w:val="5"/>
                <w:szCs w:val="5"/>
                <w:color w:val="auto"/>
              </w:rPr>
            </w:pPr>
          </w:p>
        </w:tc>
        <w:tc>
          <w:tcPr>
            <w:tcW w:w="640" w:type="dxa"/>
            <w:vAlign w:val="bottom"/>
            <w:shd w:val="clear" w:color="auto" w:fill="C3D9EE"/>
          </w:tcPr>
          <w:p>
            <w:pPr>
              <w:spacing w:after="0"/>
              <w:rPr>
                <w:sz w:val="5"/>
                <w:szCs w:val="5"/>
                <w:color w:val="auto"/>
              </w:rPr>
            </w:pPr>
          </w:p>
        </w:tc>
        <w:tc>
          <w:tcPr>
            <w:tcW w:w="60" w:type="dxa"/>
            <w:vAlign w:val="bottom"/>
            <w:shd w:val="clear" w:color="auto" w:fill="C3D9E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3320" w:type="dxa"/>
            <w:vAlign w:val="bottom"/>
            <w:vMerge w:val="restart"/>
          </w:tcPr>
          <w:p>
            <w:pPr>
              <w:ind w:left="100"/>
              <w:spacing w:after="0"/>
              <w:rPr>
                <w:sz w:val="20"/>
                <w:szCs w:val="20"/>
                <w:color w:val="auto"/>
              </w:rPr>
            </w:pPr>
            <w:r>
              <w:rPr>
                <w:rFonts w:ascii="Arial" w:cs="Arial" w:eastAsia="Arial" w:hAnsi="Arial"/>
                <w:sz w:val="18"/>
                <w:szCs w:val="18"/>
                <w:color w:val="auto"/>
              </w:rPr>
              <w:t>Accrued Vacation</w:t>
            </w: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2,285</w:t>
            </w:r>
          </w:p>
        </w:tc>
        <w:tc>
          <w:tcPr>
            <w:tcW w:w="440" w:type="dxa"/>
            <w:vAlign w:val="bottom"/>
          </w:tcPr>
          <w:p>
            <w:pPr>
              <w:spacing w:after="0"/>
              <w:rPr>
                <w:sz w:val="18"/>
                <w:szCs w:val="18"/>
                <w:color w:val="auto"/>
              </w:rPr>
            </w:pP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2,285</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3320" w:type="dxa"/>
            <w:vAlign w:val="bottom"/>
            <w:vMerge w:val="continue"/>
          </w:tcPr>
          <w:p>
            <w:pPr>
              <w:spacing w:after="0"/>
              <w:rPr>
                <w:sz w:val="5"/>
                <w:szCs w:val="5"/>
                <w:color w:val="auto"/>
              </w:rPr>
            </w:pPr>
          </w:p>
        </w:tc>
        <w:tc>
          <w:tcPr>
            <w:tcW w:w="1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3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3320" w:type="dxa"/>
            <w:vAlign w:val="bottom"/>
            <w:shd w:val="clear" w:color="auto" w:fill="C3D9EE"/>
          </w:tcPr>
          <w:p>
            <w:pPr>
              <w:ind w:left="100"/>
              <w:spacing w:after="0"/>
              <w:rPr>
                <w:sz w:val="20"/>
                <w:szCs w:val="20"/>
                <w:color w:val="auto"/>
              </w:rPr>
            </w:pPr>
            <w:r>
              <w:rPr>
                <w:rFonts w:ascii="Arial" w:cs="Arial" w:eastAsia="Arial" w:hAnsi="Arial"/>
                <w:sz w:val="18"/>
                <w:szCs w:val="18"/>
                <w:b w:val="1"/>
                <w:bCs w:val="1"/>
                <w:color w:val="auto"/>
              </w:rPr>
              <w:t>Total</w:t>
            </w:r>
          </w:p>
        </w:tc>
        <w:tc>
          <w:tcPr>
            <w:tcW w:w="1900" w:type="dxa"/>
            <w:vAlign w:val="bottom"/>
            <w:shd w:val="clear" w:color="auto" w:fill="C3D9EE"/>
          </w:tcPr>
          <w:p>
            <w:pPr>
              <w:spacing w:after="0"/>
              <w:rPr>
                <w:sz w:val="24"/>
                <w:szCs w:val="24"/>
                <w:color w:val="auto"/>
              </w:rPr>
            </w:pPr>
          </w:p>
        </w:tc>
        <w:tc>
          <w:tcPr>
            <w:tcW w:w="280" w:type="dxa"/>
            <w:vAlign w:val="bottom"/>
            <w:gridSpan w:val="2"/>
            <w:shd w:val="clear" w:color="auto" w:fill="C3D9EE"/>
          </w:tcPr>
          <w:p>
            <w:pPr>
              <w:ind w:left="16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3D9EE"/>
          </w:tcPr>
          <w:p>
            <w:pPr>
              <w:jc w:val="right"/>
              <w:spacing w:after="0"/>
              <w:rPr>
                <w:sz w:val="20"/>
                <w:szCs w:val="20"/>
                <w:color w:val="auto"/>
              </w:rPr>
            </w:pPr>
            <w:r>
              <w:rPr>
                <w:rFonts w:ascii="Arial" w:cs="Arial" w:eastAsia="Arial" w:hAnsi="Arial"/>
                <w:sz w:val="18"/>
                <w:szCs w:val="18"/>
                <w:color w:val="auto"/>
              </w:rPr>
              <w:t>3,443,794</w:t>
            </w:r>
          </w:p>
        </w:tc>
        <w:tc>
          <w:tcPr>
            <w:tcW w:w="440" w:type="dxa"/>
            <w:vAlign w:val="bottom"/>
            <w:shd w:val="clear" w:color="auto" w:fill="C3D9EE"/>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3D9EE"/>
          </w:tcPr>
          <w:p>
            <w:pPr>
              <w:jc w:val="right"/>
              <w:ind w:right="114"/>
              <w:spacing w:after="0"/>
              <w:rPr>
                <w:sz w:val="20"/>
                <w:szCs w:val="20"/>
                <w:color w:val="auto"/>
              </w:rPr>
            </w:pPr>
            <w:r>
              <w:rPr>
                <w:rFonts w:ascii="Arial" w:cs="Arial" w:eastAsia="Arial" w:hAnsi="Arial"/>
                <w:sz w:val="18"/>
                <w:szCs w:val="18"/>
                <w:color w:val="auto"/>
                <w:w w:val="97"/>
              </w:rPr>
              <w:t>3,932,812</w:t>
            </w:r>
          </w:p>
        </w:tc>
        <w:tc>
          <w:tcPr>
            <w:tcW w:w="480" w:type="dxa"/>
            <w:vAlign w:val="bottom"/>
            <w:shd w:val="clear" w:color="auto" w:fill="C3D9EE"/>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3D9EE"/>
          </w:tcPr>
          <w:p>
            <w:pPr>
              <w:jc w:val="right"/>
              <w:spacing w:after="0"/>
              <w:rPr>
                <w:sz w:val="20"/>
                <w:szCs w:val="20"/>
                <w:color w:val="auto"/>
              </w:rPr>
            </w:pPr>
            <w:r>
              <w:rPr>
                <w:rFonts w:ascii="Arial" w:cs="Arial" w:eastAsia="Arial" w:hAnsi="Arial"/>
                <w:sz w:val="18"/>
                <w:szCs w:val="18"/>
                <w:color w:val="auto"/>
              </w:rPr>
              <w:t>2,285</w:t>
            </w:r>
          </w:p>
        </w:tc>
        <w:tc>
          <w:tcPr>
            <w:tcW w:w="60" w:type="dxa"/>
            <w:vAlign w:val="bottom"/>
            <w:shd w:val="clear" w:color="auto" w:fill="C3D9EE"/>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320" w:type="dxa"/>
            <w:vAlign w:val="bottom"/>
            <w:tcBorders>
              <w:bottom w:val="single" w:sz="8" w:color="1269BC"/>
            </w:tcBorders>
            <w:shd w:val="clear" w:color="auto" w:fill="C3D9EE"/>
          </w:tcPr>
          <w:p>
            <w:pPr>
              <w:spacing w:after="0"/>
              <w:rPr>
                <w:sz w:val="5"/>
                <w:szCs w:val="5"/>
                <w:color w:val="auto"/>
              </w:rPr>
            </w:pPr>
          </w:p>
        </w:tc>
        <w:tc>
          <w:tcPr>
            <w:tcW w:w="1900" w:type="dxa"/>
            <w:vAlign w:val="bottom"/>
            <w:tcBorders>
              <w:bottom w:val="single" w:sz="8" w:color="1269BC"/>
            </w:tcBorders>
            <w:shd w:val="clear" w:color="auto" w:fill="C3D9EE"/>
          </w:tcPr>
          <w:p>
            <w:pPr>
              <w:spacing w:after="0"/>
              <w:rPr>
                <w:sz w:val="5"/>
                <w:szCs w:val="5"/>
                <w:color w:val="auto"/>
              </w:rPr>
            </w:pPr>
          </w:p>
        </w:tc>
        <w:tc>
          <w:tcPr>
            <w:tcW w:w="180" w:type="dxa"/>
            <w:vAlign w:val="bottom"/>
            <w:tcBorders>
              <w:bottom w:val="single" w:sz="8" w:color="1269BC"/>
            </w:tcBorders>
            <w:shd w:val="clear" w:color="auto" w:fill="C3D9EE"/>
          </w:tcPr>
          <w:p>
            <w:pPr>
              <w:spacing w:after="0"/>
              <w:rPr>
                <w:sz w:val="5"/>
                <w:szCs w:val="5"/>
                <w:color w:val="auto"/>
              </w:rPr>
            </w:pPr>
          </w:p>
        </w:tc>
        <w:tc>
          <w:tcPr>
            <w:tcW w:w="100" w:type="dxa"/>
            <w:vAlign w:val="bottom"/>
            <w:tcBorders>
              <w:bottom w:val="single" w:sz="8" w:color="1269BC"/>
            </w:tcBorders>
            <w:shd w:val="clear" w:color="auto" w:fill="C3D9EE"/>
          </w:tcPr>
          <w:p>
            <w:pPr>
              <w:spacing w:after="0"/>
              <w:rPr>
                <w:sz w:val="5"/>
                <w:szCs w:val="5"/>
                <w:color w:val="auto"/>
              </w:rPr>
            </w:pPr>
          </w:p>
        </w:tc>
        <w:tc>
          <w:tcPr>
            <w:tcW w:w="1140" w:type="dxa"/>
            <w:vAlign w:val="bottom"/>
            <w:tcBorders>
              <w:bottom w:val="single" w:sz="8" w:color="1269BC"/>
            </w:tcBorders>
            <w:shd w:val="clear" w:color="auto" w:fill="C3D9EE"/>
          </w:tcPr>
          <w:p>
            <w:pPr>
              <w:spacing w:after="0"/>
              <w:rPr>
                <w:sz w:val="5"/>
                <w:szCs w:val="5"/>
                <w:color w:val="auto"/>
              </w:rPr>
            </w:pPr>
          </w:p>
        </w:tc>
        <w:tc>
          <w:tcPr>
            <w:tcW w:w="440" w:type="dxa"/>
            <w:vAlign w:val="bottom"/>
            <w:tcBorders>
              <w:bottom w:val="single" w:sz="8" w:color="1269BC"/>
            </w:tcBorders>
            <w:shd w:val="clear" w:color="auto" w:fill="C3D9EE"/>
          </w:tcPr>
          <w:p>
            <w:pPr>
              <w:spacing w:after="0"/>
              <w:rPr>
                <w:sz w:val="5"/>
                <w:szCs w:val="5"/>
                <w:color w:val="auto"/>
              </w:rPr>
            </w:pPr>
          </w:p>
        </w:tc>
        <w:tc>
          <w:tcPr>
            <w:tcW w:w="1000" w:type="dxa"/>
            <w:vAlign w:val="bottom"/>
            <w:tcBorders>
              <w:bottom w:val="single" w:sz="8" w:color="1269BC"/>
            </w:tcBorders>
            <w:shd w:val="clear" w:color="auto" w:fill="C3D9EE"/>
          </w:tcPr>
          <w:p>
            <w:pPr>
              <w:spacing w:after="0"/>
              <w:rPr>
                <w:sz w:val="5"/>
                <w:szCs w:val="5"/>
                <w:color w:val="auto"/>
              </w:rPr>
            </w:pPr>
          </w:p>
        </w:tc>
        <w:tc>
          <w:tcPr>
            <w:tcW w:w="480" w:type="dxa"/>
            <w:vAlign w:val="bottom"/>
            <w:tcBorders>
              <w:bottom w:val="single" w:sz="8" w:color="1269BC"/>
            </w:tcBorders>
            <w:shd w:val="clear" w:color="auto" w:fill="C3D9EE"/>
          </w:tcPr>
          <w:p>
            <w:pPr>
              <w:spacing w:after="0"/>
              <w:rPr>
                <w:sz w:val="5"/>
                <w:szCs w:val="5"/>
                <w:color w:val="auto"/>
              </w:rPr>
            </w:pPr>
          </w:p>
        </w:tc>
        <w:tc>
          <w:tcPr>
            <w:tcW w:w="640" w:type="dxa"/>
            <w:vAlign w:val="bottom"/>
            <w:tcBorders>
              <w:bottom w:val="single" w:sz="8" w:color="1269BC"/>
            </w:tcBorders>
            <w:shd w:val="clear" w:color="auto" w:fill="C3D9EE"/>
          </w:tcPr>
          <w:p>
            <w:pPr>
              <w:spacing w:after="0"/>
              <w:rPr>
                <w:sz w:val="5"/>
                <w:szCs w:val="5"/>
                <w:color w:val="auto"/>
              </w:rPr>
            </w:pPr>
          </w:p>
        </w:tc>
        <w:tc>
          <w:tcPr>
            <w:tcW w:w="60" w:type="dxa"/>
            <w:vAlign w:val="bottom"/>
            <w:tcBorders>
              <w:bottom w:val="single" w:sz="8" w:color="1269BC"/>
            </w:tcBorders>
            <w:shd w:val="clear" w:color="auto" w:fill="C3D9EE"/>
          </w:tcPr>
          <w:p>
            <w:pPr>
              <w:spacing w:after="0"/>
              <w:rPr>
                <w:sz w:val="5"/>
                <w:szCs w:val="5"/>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  Represents one year of base salary payable in a lump sum pursuant to the terms of Mr. Klein’s employment offer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250825</wp:posOffset>
            </wp:positionV>
            <wp:extent cx="58293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i w:val="1"/>
          <w:iCs w:val="1"/>
          <w:color w:val="1269BC"/>
        </w:rPr>
        <w:t>2020 Proxy Statement</w:t>
      </w:r>
      <w:r>
        <w:rPr>
          <w:sz w:val="20"/>
          <w:szCs w:val="20"/>
          <w:color w:val="auto"/>
        </w:rPr>
        <w:tab/>
      </w:r>
      <w:r>
        <w:rPr>
          <w:rFonts w:ascii="Arial" w:cs="Arial" w:eastAsia="Arial" w:hAnsi="Arial"/>
          <w:sz w:val="17"/>
          <w:szCs w:val="17"/>
          <w:color w:val="auto"/>
        </w:rPr>
        <w:t>43</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5" w:lineRule="exact"/>
        <w:rPr>
          <w:sz w:val="20"/>
          <w:szCs w:val="20"/>
          <w:color w:val="auto"/>
        </w:rPr>
      </w:pPr>
    </w:p>
    <w:p>
      <w:pPr>
        <w:ind w:left="980" w:right="240" w:hanging="324"/>
        <w:spacing w:after="0" w:line="260"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Represents the intrinsic value of unvested service-based restricted stock units as of March 28, 2020 that may be subject to acceleration or may continue to vest if and as provided in individual agreements.</w:t>
      </w:r>
    </w:p>
    <w:p>
      <w:pPr>
        <w:spacing w:after="0" w:line="222" w:lineRule="exact"/>
        <w:rPr>
          <w:rFonts w:ascii="Arial" w:cs="Arial" w:eastAsia="Arial" w:hAnsi="Arial"/>
          <w:sz w:val="16"/>
          <w:szCs w:val="16"/>
          <w:color w:val="auto"/>
        </w:rPr>
      </w:pPr>
    </w:p>
    <w:p>
      <w:pPr>
        <w:ind w:left="980" w:right="540" w:hanging="324"/>
        <w:spacing w:after="0" w:line="260"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Represents the value of continuing health and life insurance benefits for 12 months, based on the monthly premiums paid by Qorvo at March 28, 2020.</w:t>
      </w:r>
    </w:p>
    <w:p>
      <w:pPr>
        <w:spacing w:after="0" w:line="222" w:lineRule="exact"/>
        <w:rPr>
          <w:rFonts w:ascii="Arial" w:cs="Arial" w:eastAsia="Arial" w:hAnsi="Arial"/>
          <w:sz w:val="16"/>
          <w:szCs w:val="16"/>
          <w:color w:val="auto"/>
        </w:rPr>
      </w:pPr>
    </w:p>
    <w:p>
      <w:pPr>
        <w:ind w:left="980" w:hanging="324"/>
        <w:spacing w:after="0"/>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Represents accrued vacation earned but not utilized, which would be payable in a lump sum within 30 days following the date of termination.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CEO Pay Ratio Disclosure</w:t>
      </w:r>
    </w:p>
    <w:p>
      <w:pPr>
        <w:spacing w:after="0" w:line="132" w:lineRule="exact"/>
        <w:rPr>
          <w:sz w:val="20"/>
          <w:szCs w:val="20"/>
          <w:color w:val="auto"/>
        </w:rPr>
      </w:pPr>
    </w:p>
    <w:p>
      <w:pPr>
        <w:ind w:left="120" w:right="40"/>
        <w:spacing w:after="0" w:line="249" w:lineRule="auto"/>
        <w:rPr>
          <w:sz w:val="20"/>
          <w:szCs w:val="20"/>
          <w:color w:val="auto"/>
        </w:rPr>
      </w:pPr>
      <w:r>
        <w:rPr>
          <w:rFonts w:ascii="Arial" w:cs="Arial" w:eastAsia="Arial" w:hAnsi="Arial"/>
          <w:sz w:val="16"/>
          <w:szCs w:val="16"/>
          <w:color w:val="auto"/>
        </w:rPr>
        <w:t>As required by Item 402(u) of Regulation S-K, we are providing the ratio of the annual total compensation of our CEO to the annual total compensation of our median employee. This ratio is a reasonable estimate calculated in a manner consistent with SEC rules. Because SEC rules for identifying the median employee allow companies to adopt a variety of methodologies, apply certain exclusions, and make reasonable estimates and assumptions that reflect their compensation practices, the pay ratio reported by other companies may not be comparable to the pay ratio reported below, as other companies have different employment and compensation practices, and may use different methodologies, exclusions, estimates and assumptions in calculating their own pay ratios.</w:t>
      </w:r>
    </w:p>
    <w:p>
      <w:pPr>
        <w:spacing w:after="0" w:line="205" w:lineRule="exact"/>
        <w:rPr>
          <w:sz w:val="20"/>
          <w:szCs w:val="20"/>
          <w:color w:val="auto"/>
        </w:rPr>
      </w:pPr>
    </w:p>
    <w:p>
      <w:pPr>
        <w:jc w:val="both"/>
        <w:ind w:left="120" w:right="220"/>
        <w:spacing w:after="0" w:line="251" w:lineRule="auto"/>
        <w:rPr>
          <w:sz w:val="20"/>
          <w:szCs w:val="20"/>
          <w:color w:val="auto"/>
        </w:rPr>
      </w:pPr>
      <w:r>
        <w:rPr>
          <w:rFonts w:ascii="Arial" w:cs="Arial" w:eastAsia="Arial" w:hAnsi="Arial"/>
          <w:sz w:val="16"/>
          <w:szCs w:val="16"/>
          <w:color w:val="auto"/>
        </w:rPr>
        <w:t>During fiscal 2020, our last completed fiscal year, there was no change to our employee population or compensation arrangements that we reasonably believe would significantly affect our pay ratio disclosure. Further, there was no change in the circumstances of the employee identified as the median employee in fiscal 2019. Accordingly, we have used the same median employee, initially identified for fiscal 2018, in our pay ratio calculation for fiscal 2020. The methodology used to identify such median employee is described in our fiscal 2018 proxy statement.</w:t>
      </w:r>
    </w:p>
    <w:p>
      <w:pPr>
        <w:spacing w:after="0" w:line="202"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This individual’s annual total compensation for fiscal 2020 was $47,290, determined in accordance with the same requirements for calculation of the total compensation of our Named Executive Officers for the Summary Compensation Table. With respect to the annual total compensation of our CEO, we used the amount reported for our CEO in the “Total” column for fiscal 2020 in the Summary Compensation Table, which was $7,394,904.</w:t>
      </w:r>
    </w:p>
    <w:p>
      <w:pPr>
        <w:spacing w:after="0" w:line="201" w:lineRule="exact"/>
        <w:rPr>
          <w:sz w:val="20"/>
          <w:szCs w:val="20"/>
          <w:color w:val="auto"/>
        </w:rPr>
      </w:pPr>
    </w:p>
    <w:p>
      <w:pPr>
        <w:ind w:left="120" w:right="460"/>
        <w:spacing w:after="0" w:line="260" w:lineRule="auto"/>
        <w:rPr>
          <w:sz w:val="20"/>
          <w:szCs w:val="20"/>
          <w:color w:val="auto"/>
        </w:rPr>
      </w:pPr>
      <w:r>
        <w:rPr>
          <w:rFonts w:ascii="Arial" w:cs="Arial" w:eastAsia="Arial" w:hAnsi="Arial"/>
          <w:sz w:val="16"/>
          <w:szCs w:val="16"/>
          <w:color w:val="auto"/>
        </w:rPr>
        <w:t>Based on this information, for fiscal 2020, our CEO’s annual total compensation was 156 times that of the annual total compensation of our median employee.</w:t>
      </w:r>
    </w:p>
    <w:p>
      <w:pPr>
        <w:spacing w:after="0" w:line="195" w:lineRule="exact"/>
        <w:rPr>
          <w:sz w:val="20"/>
          <w:szCs w:val="20"/>
          <w:color w:val="auto"/>
        </w:rPr>
      </w:pPr>
    </w:p>
    <w:p>
      <w:pPr>
        <w:ind w:left="120" w:right="180"/>
        <w:spacing w:after="0" w:line="250" w:lineRule="auto"/>
        <w:rPr>
          <w:sz w:val="20"/>
          <w:szCs w:val="20"/>
          <w:color w:val="auto"/>
        </w:rPr>
      </w:pPr>
      <w:r>
        <w:rPr>
          <w:rFonts w:ascii="Arial" w:cs="Arial" w:eastAsia="Arial" w:hAnsi="Arial"/>
          <w:sz w:val="16"/>
          <w:szCs w:val="16"/>
          <w:color w:val="auto"/>
        </w:rPr>
        <w:t>Our compensation philosophy is to pay our workforce competitively and equitably. We offer competitive pay packages across all geographies based on industry-specific compensation information in the local market, job responsibilities, and individual performance. In general, our compensation programs are applied consistently across the workforce, with a higher percentage of at-risk pay provided to our executives. We believe both our CEO and our employee compensation packages are appropriately structured to attract and retain the talent needed to deliver on our business plan and to drive long-term stockholder value.</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Director Compensation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Director Compensation Philosophy</w:t>
      </w:r>
    </w:p>
    <w:p>
      <w:pPr>
        <w:spacing w:after="0" w:line="128"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Directors who are full-time employees of Qorvo, such as Mr. Bruggeworth, receive no additional compensation for services as a director. Our philosophy is to provide competitive compensation necessary to attract and retain high-quality non-employee directors. The Board believes that a substantial portion of our non-employee directors’ compensation should consist of equity- based compensation to assist in aligning directors’ interests with the interests of our stockholders. The Compensation Committee periodically reviews our director compensation program and makes recommendations to the Board for changes to our program.</w:t>
      </w:r>
    </w:p>
    <w:p>
      <w:pPr>
        <w:spacing w:after="0" w:line="203"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As described more fully below, the following table summarizes the annual compensation paid to our non-employee directors for the year ended March 28, 2020. Following a review by the Compensation Committee, no changes were made to our director compensation program for the year ended March 28, 2020.</w:t>
      </w:r>
    </w:p>
    <w:p>
      <w:pPr>
        <w:spacing w:after="0" w:line="132" w:lineRule="exact"/>
        <w:rPr>
          <w:sz w:val="20"/>
          <w:szCs w:val="20"/>
          <w:color w:val="auto"/>
        </w:rPr>
      </w:pPr>
    </w:p>
    <w:p>
      <w:pPr>
        <w:ind w:left="120"/>
        <w:spacing w:after="0"/>
        <w:tabs>
          <w:tab w:leader="none" w:pos="541" w:val="left"/>
        </w:tabs>
        <w:rPr>
          <w:sz w:val="20"/>
          <w:szCs w:val="20"/>
          <w:color w:val="auto"/>
        </w:rPr>
      </w:pPr>
      <w:r>
        <w:rPr>
          <w:rFonts w:ascii="Arial" w:cs="Arial" w:eastAsia="Arial" w:hAnsi="Arial"/>
          <w:sz w:val="18"/>
          <w:szCs w:val="18"/>
          <w:color w:val="auto"/>
        </w:rPr>
        <w:t>44</w:t>
      </w:r>
      <w:r>
        <w:rPr>
          <w:sz w:val="20"/>
          <w:szCs w:val="20"/>
          <w:color w:val="auto"/>
        </w:rPr>
        <w:tab/>
      </w:r>
      <w:r>
        <w:rPr>
          <w:sz w:val="1"/>
          <w:szCs w:val="1"/>
          <w:color w:val="auto"/>
        </w:rPr>
        <w:drawing>
          <wp:inline distT="0" distB="0" distL="0" distR="0">
            <wp:extent cx="582930" cy="13716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i w:val="1"/>
          <w:iCs w:val="1"/>
          <w:color w:val="1269BC"/>
        </w:rPr>
        <w:t xml:space="preserve">   2020 Proxy Statement</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8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80" w:type="dxa"/>
            <w:vAlign w:val="bottom"/>
            <w:gridSpan w:val="2"/>
          </w:tcPr>
          <w:p>
            <w:pPr>
              <w:ind w:left="80"/>
              <w:spacing w:after="0"/>
              <w:rPr>
                <w:sz w:val="20"/>
                <w:szCs w:val="20"/>
                <w:color w:val="auto"/>
              </w:rPr>
            </w:pPr>
            <w:r>
              <w:rPr>
                <w:rFonts w:ascii="Arial" w:cs="Arial" w:eastAsia="Arial" w:hAnsi="Arial"/>
                <w:sz w:val="18"/>
                <w:szCs w:val="18"/>
                <w:color w:val="1269BC"/>
                <w:w w:val="99"/>
              </w:rPr>
              <w:t>Executive Compensation</w:t>
            </w:r>
          </w:p>
        </w:tc>
        <w:tc>
          <w:tcPr>
            <w:tcW w:w="0" w:type="dxa"/>
            <w:vAlign w:val="bottom"/>
          </w:tcPr>
          <w:p>
            <w:pPr>
              <w:spacing w:after="0"/>
              <w:rPr>
                <w:sz w:val="1"/>
                <w:szCs w:val="1"/>
                <w:color w:val="auto"/>
              </w:rPr>
            </w:pPr>
          </w:p>
        </w:tc>
      </w:tr>
      <w:tr>
        <w:trPr>
          <w:trHeight w:val="54"/>
        </w:trPr>
        <w:tc>
          <w:tcPr>
            <w:tcW w:w="880" w:type="dxa"/>
            <w:vAlign w:val="bottom"/>
            <w:tcBorders>
              <w:bottom w:val="single" w:sz="8" w:color="1269BC"/>
            </w:tcBorders>
          </w:tcPr>
          <w:p>
            <w:pPr>
              <w:spacing w:after="0"/>
              <w:rPr>
                <w:sz w:val="4"/>
                <w:szCs w:val="4"/>
                <w:color w:val="auto"/>
              </w:rPr>
            </w:pPr>
          </w:p>
        </w:tc>
        <w:tc>
          <w:tcPr>
            <w:tcW w:w="4900" w:type="dxa"/>
            <w:vAlign w:val="bottom"/>
            <w:tcBorders>
              <w:bottom w:val="single" w:sz="8" w:color="1269BC"/>
            </w:tcBorders>
          </w:tcPr>
          <w:p>
            <w:pPr>
              <w:spacing w:after="0"/>
              <w:rPr>
                <w:sz w:val="4"/>
                <w:szCs w:val="4"/>
                <w:color w:val="auto"/>
              </w:rPr>
            </w:pPr>
          </w:p>
        </w:tc>
        <w:tc>
          <w:tcPr>
            <w:tcW w:w="1800" w:type="dxa"/>
            <w:vAlign w:val="bottom"/>
            <w:tcBorders>
              <w:bottom w:val="single" w:sz="8" w:color="1269BC"/>
            </w:tcBorders>
          </w:tcPr>
          <w:p>
            <w:pPr>
              <w:spacing w:after="0"/>
              <w:rPr>
                <w:sz w:val="4"/>
                <w:szCs w:val="4"/>
                <w:color w:val="auto"/>
              </w:rPr>
            </w:pPr>
          </w:p>
        </w:tc>
        <w:tc>
          <w:tcPr>
            <w:tcW w:w="1360" w:type="dxa"/>
            <w:vAlign w:val="bottom"/>
            <w:tcBorders>
              <w:bottom w:val="single" w:sz="8" w:color="1269BC"/>
            </w:tcBorders>
          </w:tcPr>
          <w:p>
            <w:pPr>
              <w:spacing w:after="0"/>
              <w:rPr>
                <w:sz w:val="4"/>
                <w:szCs w:val="4"/>
                <w:color w:val="auto"/>
              </w:rPr>
            </w:pPr>
          </w:p>
        </w:tc>
        <w:tc>
          <w:tcPr>
            <w:tcW w:w="1200" w:type="dxa"/>
            <w:vAlign w:val="bottom"/>
            <w:tcBorders>
              <w:bottom w:val="single" w:sz="8" w:color="1269BC"/>
            </w:tcBorders>
          </w:tcPr>
          <w:p>
            <w:pPr>
              <w:spacing w:after="0"/>
              <w:rPr>
                <w:sz w:val="4"/>
                <w:szCs w:val="4"/>
                <w:color w:val="auto"/>
              </w:rPr>
            </w:pPr>
          </w:p>
        </w:tc>
        <w:tc>
          <w:tcPr>
            <w:tcW w:w="880" w:type="dxa"/>
            <w:vAlign w:val="bottom"/>
            <w:tcBorders>
              <w:bottom w:val="single" w:sz="8" w:color="1269BC"/>
            </w:tcBorders>
          </w:tcPr>
          <w:p>
            <w:pPr>
              <w:spacing w:after="0"/>
              <w:rPr>
                <w:sz w:val="4"/>
                <w:szCs w:val="4"/>
                <w:color w:val="auto"/>
              </w:rPr>
            </w:pPr>
          </w:p>
        </w:tc>
        <w:tc>
          <w:tcPr>
            <w:tcW w:w="0" w:type="dxa"/>
            <w:vAlign w:val="bottom"/>
          </w:tcPr>
          <w:p>
            <w:pPr>
              <w:spacing w:after="0"/>
              <w:rPr>
                <w:sz w:val="1"/>
                <w:szCs w:val="1"/>
                <w:color w:val="auto"/>
              </w:rPr>
            </w:pPr>
          </w:p>
        </w:tc>
      </w:tr>
      <w:tr>
        <w:trPr>
          <w:trHeight w:val="385"/>
        </w:trPr>
        <w:tc>
          <w:tcPr>
            <w:tcW w:w="5780" w:type="dxa"/>
            <w:vAlign w:val="bottom"/>
            <w:gridSpan w:val="2"/>
          </w:tcPr>
          <w:p>
            <w:pPr>
              <w:spacing w:after="0"/>
              <w:rPr>
                <w:sz w:val="20"/>
                <w:szCs w:val="20"/>
                <w:color w:val="auto"/>
              </w:rPr>
            </w:pPr>
            <w:r>
              <w:rPr>
                <w:rFonts w:ascii="Arial" w:cs="Arial" w:eastAsia="Arial" w:hAnsi="Arial"/>
                <w:sz w:val="18"/>
                <w:szCs w:val="18"/>
                <w:b w:val="1"/>
                <w:bCs w:val="1"/>
                <w:color w:val="1269BC"/>
              </w:rPr>
              <w:t>Director Compensation for Fiscal Year Ended March 28, 2020</w:t>
            </w: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8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800" w:type="dxa"/>
            <w:vAlign w:val="bottom"/>
          </w:tcPr>
          <w:p>
            <w:pPr>
              <w:jc w:val="center"/>
              <w:ind w:left="273"/>
              <w:spacing w:after="0"/>
              <w:rPr>
                <w:sz w:val="20"/>
                <w:szCs w:val="20"/>
                <w:color w:val="auto"/>
              </w:rPr>
            </w:pPr>
            <w:r>
              <w:rPr>
                <w:rFonts w:ascii="Arial" w:cs="Arial" w:eastAsia="Arial" w:hAnsi="Arial"/>
                <w:sz w:val="16"/>
                <w:szCs w:val="16"/>
                <w:b w:val="1"/>
                <w:bCs w:val="1"/>
                <w:color w:val="1269BC"/>
              </w:rPr>
              <w:t>Fees Earned</w:t>
            </w: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800" w:type="dxa"/>
            <w:vAlign w:val="bottom"/>
          </w:tcPr>
          <w:p>
            <w:pPr>
              <w:jc w:val="center"/>
              <w:ind w:left="273"/>
              <w:spacing w:after="0"/>
              <w:rPr>
                <w:sz w:val="20"/>
                <w:szCs w:val="20"/>
                <w:color w:val="auto"/>
              </w:rPr>
            </w:pPr>
            <w:r>
              <w:rPr>
                <w:rFonts w:ascii="Arial" w:cs="Arial" w:eastAsia="Arial" w:hAnsi="Arial"/>
                <w:sz w:val="16"/>
                <w:szCs w:val="16"/>
                <w:b w:val="1"/>
                <w:bCs w:val="1"/>
                <w:color w:val="1269BC"/>
                <w:w w:val="98"/>
              </w:rPr>
              <w:t>or Paid in</w:t>
            </w: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800" w:type="dxa"/>
            <w:vAlign w:val="bottom"/>
          </w:tcPr>
          <w:p>
            <w:pPr>
              <w:jc w:val="center"/>
              <w:ind w:left="273"/>
              <w:spacing w:after="0"/>
              <w:rPr>
                <w:sz w:val="20"/>
                <w:szCs w:val="20"/>
                <w:color w:val="auto"/>
              </w:rPr>
            </w:pPr>
            <w:r>
              <w:rPr>
                <w:rFonts w:ascii="Arial" w:cs="Arial" w:eastAsia="Arial" w:hAnsi="Arial"/>
                <w:sz w:val="16"/>
                <w:szCs w:val="16"/>
                <w:b w:val="1"/>
                <w:bCs w:val="1"/>
                <w:color w:val="1269BC"/>
              </w:rPr>
              <w:t>Cash</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1269BC"/>
              </w:rPr>
              <w:t>Stock Awards</w:t>
            </w:r>
          </w:p>
        </w:tc>
        <w:tc>
          <w:tcPr>
            <w:tcW w:w="2080" w:type="dxa"/>
            <w:vAlign w:val="bottom"/>
            <w:gridSpan w:val="2"/>
          </w:tcPr>
          <w:p>
            <w:pPr>
              <w:ind w:left="580"/>
              <w:spacing w:after="0"/>
              <w:rPr>
                <w:sz w:val="20"/>
                <w:szCs w:val="20"/>
                <w:color w:val="auto"/>
              </w:rPr>
            </w:pPr>
            <w:r>
              <w:rPr>
                <w:rFonts w:ascii="Arial" w:cs="Arial" w:eastAsia="Arial" w:hAnsi="Arial"/>
                <w:sz w:val="16"/>
                <w:szCs w:val="16"/>
                <w:b w:val="1"/>
                <w:bCs w:val="1"/>
                <w:color w:val="1269BC"/>
              </w:rPr>
              <w:t>Total</w:t>
            </w:r>
          </w:p>
        </w:tc>
        <w:tc>
          <w:tcPr>
            <w:tcW w:w="0" w:type="dxa"/>
            <w:vAlign w:val="bottom"/>
          </w:tcPr>
          <w:p>
            <w:pPr>
              <w:spacing w:after="0"/>
              <w:rPr>
                <w:sz w:val="1"/>
                <w:szCs w:val="1"/>
                <w:color w:val="auto"/>
              </w:rPr>
            </w:pPr>
          </w:p>
        </w:tc>
      </w:tr>
      <w:tr>
        <w:trPr>
          <w:trHeight w:val="207"/>
        </w:trPr>
        <w:tc>
          <w:tcPr>
            <w:tcW w:w="880" w:type="dxa"/>
            <w:vAlign w:val="bottom"/>
          </w:tcPr>
          <w:p>
            <w:pPr>
              <w:spacing w:after="0"/>
              <w:rPr>
                <w:sz w:val="18"/>
                <w:szCs w:val="18"/>
                <w:color w:val="auto"/>
              </w:rPr>
            </w:pPr>
          </w:p>
        </w:tc>
        <w:tc>
          <w:tcPr>
            <w:tcW w:w="4900" w:type="dxa"/>
            <w:vAlign w:val="bottom"/>
            <w:tcBorders>
              <w:bottom w:val="single" w:sz="8" w:color="1269BC"/>
            </w:tcBorders>
          </w:tcPr>
          <w:p>
            <w:pPr>
              <w:ind w:left="100"/>
              <w:spacing w:after="0"/>
              <w:rPr>
                <w:sz w:val="20"/>
                <w:szCs w:val="20"/>
                <w:color w:val="auto"/>
              </w:rPr>
            </w:pPr>
            <w:r>
              <w:rPr>
                <w:rFonts w:ascii="Arial" w:cs="Arial" w:eastAsia="Arial" w:hAnsi="Arial"/>
                <w:sz w:val="16"/>
                <w:szCs w:val="16"/>
                <w:b w:val="1"/>
                <w:bCs w:val="1"/>
                <w:color w:val="1269BC"/>
              </w:rPr>
              <w:t>Name</w:t>
            </w:r>
          </w:p>
        </w:tc>
        <w:tc>
          <w:tcPr>
            <w:tcW w:w="1800" w:type="dxa"/>
            <w:vAlign w:val="bottom"/>
            <w:tcBorders>
              <w:bottom w:val="single" w:sz="8" w:color="1269BC"/>
            </w:tcBorders>
          </w:tcPr>
          <w:p>
            <w:pPr>
              <w:jc w:val="center"/>
              <w:ind w:left="273"/>
              <w:spacing w:after="0"/>
              <w:rPr>
                <w:sz w:val="20"/>
                <w:szCs w:val="20"/>
                <w:color w:val="auto"/>
              </w:rPr>
            </w:pPr>
            <w:r>
              <w:rPr>
                <w:rFonts w:ascii="Arial" w:cs="Arial" w:eastAsia="Arial" w:hAnsi="Arial"/>
                <w:sz w:val="16"/>
                <w:szCs w:val="16"/>
                <w:b w:val="1"/>
                <w:bCs w:val="1"/>
                <w:color w:val="1269BC"/>
              </w:rPr>
              <w:t>($)</w:t>
            </w:r>
          </w:p>
        </w:tc>
        <w:tc>
          <w:tcPr>
            <w:tcW w:w="1360" w:type="dxa"/>
            <w:vAlign w:val="bottom"/>
            <w:tcBorders>
              <w:bottom w:val="single" w:sz="8" w:color="1269BC"/>
            </w:tcBorders>
          </w:tcPr>
          <w:p>
            <w:pPr>
              <w:jc w:val="right"/>
              <w:ind w:right="312"/>
              <w:spacing w:after="0"/>
              <w:rPr>
                <w:sz w:val="20"/>
                <w:szCs w:val="20"/>
                <w:color w:val="auto"/>
              </w:rPr>
            </w:pPr>
            <w:r>
              <w:rPr>
                <w:rFonts w:ascii="Arial" w:cs="Arial" w:eastAsia="Arial" w:hAnsi="Arial"/>
                <w:sz w:val="16"/>
                <w:szCs w:val="16"/>
                <w:b w:val="1"/>
                <w:bCs w:val="1"/>
                <w:color w:val="1269BC"/>
              </w:rPr>
              <w:t>($) (1)</w:t>
            </w:r>
          </w:p>
        </w:tc>
        <w:tc>
          <w:tcPr>
            <w:tcW w:w="1200" w:type="dxa"/>
            <w:vAlign w:val="bottom"/>
            <w:tcBorders>
              <w:bottom w:val="single" w:sz="8" w:color="1269BC"/>
            </w:tcBorders>
          </w:tcPr>
          <w:p>
            <w:pPr>
              <w:jc w:val="right"/>
              <w:ind w:right="231"/>
              <w:spacing w:after="0"/>
              <w:rPr>
                <w:sz w:val="20"/>
                <w:szCs w:val="20"/>
                <w:color w:val="auto"/>
              </w:rPr>
            </w:pPr>
            <w:r>
              <w:rPr>
                <w:rFonts w:ascii="Arial" w:cs="Arial" w:eastAsia="Arial" w:hAnsi="Arial"/>
                <w:sz w:val="16"/>
                <w:szCs w:val="16"/>
                <w:b w:val="1"/>
                <w:bCs w:val="1"/>
                <w:color w:val="1269BC"/>
              </w:rPr>
              <w:t>($)</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80" w:type="dxa"/>
            <w:vAlign w:val="bottom"/>
          </w:tcPr>
          <w:p>
            <w:pPr>
              <w:spacing w:after="0"/>
              <w:rPr>
                <w:sz w:val="24"/>
                <w:szCs w:val="24"/>
                <w:color w:val="auto"/>
              </w:rPr>
            </w:pPr>
          </w:p>
        </w:tc>
        <w:tc>
          <w:tcPr>
            <w:tcW w:w="4900" w:type="dxa"/>
            <w:vAlign w:val="bottom"/>
            <w:shd w:val="clear" w:color="auto" w:fill="C3D9EE"/>
          </w:tcPr>
          <w:p>
            <w:pPr>
              <w:ind w:left="100"/>
              <w:spacing w:after="0"/>
              <w:rPr>
                <w:sz w:val="20"/>
                <w:szCs w:val="20"/>
                <w:color w:val="auto"/>
              </w:rPr>
            </w:pPr>
            <w:r>
              <w:rPr>
                <w:rFonts w:ascii="Arial" w:cs="Arial" w:eastAsia="Arial" w:hAnsi="Arial"/>
                <w:sz w:val="18"/>
                <w:szCs w:val="18"/>
                <w:color w:val="auto"/>
              </w:rPr>
              <w:t>Daniel A. DiLeo (2)</w:t>
            </w:r>
          </w:p>
        </w:tc>
        <w:tc>
          <w:tcPr>
            <w:tcW w:w="1800" w:type="dxa"/>
            <w:vAlign w:val="bottom"/>
            <w:shd w:val="clear" w:color="auto" w:fill="C3D9EE"/>
          </w:tcPr>
          <w:p>
            <w:pPr>
              <w:jc w:val="right"/>
              <w:ind w:right="153"/>
              <w:spacing w:after="0"/>
              <w:rPr>
                <w:sz w:val="20"/>
                <w:szCs w:val="20"/>
                <w:color w:val="auto"/>
              </w:rPr>
            </w:pPr>
            <w:r>
              <w:rPr>
                <w:rFonts w:ascii="Arial" w:cs="Arial" w:eastAsia="Arial" w:hAnsi="Arial"/>
                <w:sz w:val="18"/>
                <w:szCs w:val="18"/>
                <w:color w:val="auto"/>
              </w:rPr>
              <w:t>$ 31,648</w:t>
            </w:r>
          </w:p>
        </w:tc>
        <w:tc>
          <w:tcPr>
            <w:tcW w:w="1360" w:type="dxa"/>
            <w:vAlign w:val="bottom"/>
            <w:shd w:val="clear" w:color="auto" w:fill="C3D9EE"/>
          </w:tcPr>
          <w:p>
            <w:pPr>
              <w:jc w:val="right"/>
              <w:ind w:right="352"/>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3D9EE"/>
          </w:tcPr>
          <w:p>
            <w:pPr>
              <w:jc w:val="right"/>
              <w:spacing w:after="0"/>
              <w:rPr>
                <w:sz w:val="20"/>
                <w:szCs w:val="20"/>
                <w:color w:val="auto"/>
              </w:rPr>
            </w:pPr>
            <w:r>
              <w:rPr>
                <w:rFonts w:ascii="Arial" w:cs="Arial" w:eastAsia="Arial" w:hAnsi="Arial"/>
                <w:sz w:val="18"/>
                <w:szCs w:val="18"/>
                <w:color w:val="auto"/>
              </w:rPr>
              <w:t>$ 31,648</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4900" w:type="dxa"/>
            <w:vAlign w:val="bottom"/>
            <w:shd w:val="clear" w:color="auto" w:fill="C3D9EE"/>
          </w:tcPr>
          <w:p>
            <w:pPr>
              <w:spacing w:after="0"/>
              <w:rPr>
                <w:sz w:val="5"/>
                <w:szCs w:val="5"/>
                <w:color w:val="auto"/>
              </w:rPr>
            </w:pPr>
          </w:p>
        </w:tc>
        <w:tc>
          <w:tcPr>
            <w:tcW w:w="1800" w:type="dxa"/>
            <w:vAlign w:val="bottom"/>
            <w:shd w:val="clear" w:color="auto" w:fill="C3D9EE"/>
          </w:tcPr>
          <w:p>
            <w:pPr>
              <w:spacing w:after="0"/>
              <w:rPr>
                <w:sz w:val="5"/>
                <w:szCs w:val="5"/>
                <w:color w:val="auto"/>
              </w:rPr>
            </w:pPr>
          </w:p>
        </w:tc>
        <w:tc>
          <w:tcPr>
            <w:tcW w:w="1360" w:type="dxa"/>
            <w:vAlign w:val="bottom"/>
            <w:shd w:val="clear" w:color="auto" w:fill="C3D9EE"/>
          </w:tcPr>
          <w:p>
            <w:pPr>
              <w:spacing w:after="0"/>
              <w:rPr>
                <w:sz w:val="5"/>
                <w:szCs w:val="5"/>
                <w:color w:val="auto"/>
              </w:rPr>
            </w:pPr>
          </w:p>
        </w:tc>
        <w:tc>
          <w:tcPr>
            <w:tcW w:w="1200" w:type="dxa"/>
            <w:vAlign w:val="bottom"/>
            <w:shd w:val="clear" w:color="auto" w:fill="C3D9EE"/>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4900" w:type="dxa"/>
            <w:vAlign w:val="bottom"/>
            <w:vMerge w:val="restart"/>
          </w:tcPr>
          <w:p>
            <w:pPr>
              <w:ind w:left="100"/>
              <w:spacing w:after="0"/>
              <w:rPr>
                <w:sz w:val="20"/>
                <w:szCs w:val="20"/>
                <w:color w:val="auto"/>
              </w:rPr>
            </w:pPr>
            <w:r>
              <w:rPr>
                <w:rFonts w:ascii="Arial" w:cs="Arial" w:eastAsia="Arial" w:hAnsi="Arial"/>
                <w:sz w:val="18"/>
                <w:szCs w:val="18"/>
                <w:color w:val="auto"/>
              </w:rPr>
              <w:t>Jeffery R. Gardner</w:t>
            </w:r>
          </w:p>
        </w:tc>
        <w:tc>
          <w:tcPr>
            <w:tcW w:w="1800" w:type="dxa"/>
            <w:vAlign w:val="bottom"/>
          </w:tcPr>
          <w:p>
            <w:pPr>
              <w:jc w:val="right"/>
              <w:ind w:right="153"/>
              <w:spacing w:after="0"/>
              <w:rPr>
                <w:sz w:val="20"/>
                <w:szCs w:val="20"/>
                <w:color w:val="auto"/>
              </w:rPr>
            </w:pPr>
            <w:r>
              <w:rPr>
                <w:rFonts w:ascii="Arial" w:cs="Arial" w:eastAsia="Arial" w:hAnsi="Arial"/>
                <w:sz w:val="18"/>
                <w:szCs w:val="18"/>
                <w:color w:val="auto"/>
              </w:rPr>
              <w:t>110,000</w:t>
            </w:r>
          </w:p>
        </w:tc>
        <w:tc>
          <w:tcPr>
            <w:tcW w:w="1360" w:type="dxa"/>
            <w:vAlign w:val="bottom"/>
          </w:tcPr>
          <w:p>
            <w:pPr>
              <w:jc w:val="right"/>
              <w:spacing w:after="0"/>
              <w:rPr>
                <w:sz w:val="20"/>
                <w:szCs w:val="20"/>
                <w:color w:val="auto"/>
              </w:rPr>
            </w:pPr>
            <w:r>
              <w:rPr>
                <w:rFonts w:ascii="Arial" w:cs="Arial" w:eastAsia="Arial" w:hAnsi="Arial"/>
                <w:sz w:val="18"/>
                <w:szCs w:val="18"/>
                <w:color w:val="auto"/>
              </w:rPr>
              <w:t>200,020</w:t>
            </w:r>
          </w:p>
        </w:tc>
        <w:tc>
          <w:tcPr>
            <w:tcW w:w="1200" w:type="dxa"/>
            <w:vAlign w:val="bottom"/>
          </w:tcPr>
          <w:p>
            <w:pPr>
              <w:jc w:val="right"/>
              <w:spacing w:after="0"/>
              <w:rPr>
                <w:sz w:val="20"/>
                <w:szCs w:val="20"/>
                <w:color w:val="auto"/>
              </w:rPr>
            </w:pPr>
            <w:r>
              <w:rPr>
                <w:rFonts w:ascii="Arial" w:cs="Arial" w:eastAsia="Arial" w:hAnsi="Arial"/>
                <w:sz w:val="18"/>
                <w:szCs w:val="18"/>
                <w:color w:val="auto"/>
              </w:rPr>
              <w:t>310,020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880" w:type="dxa"/>
            <w:vAlign w:val="bottom"/>
          </w:tcPr>
          <w:p>
            <w:pPr>
              <w:spacing w:after="0"/>
              <w:rPr>
                <w:sz w:val="5"/>
                <w:szCs w:val="5"/>
                <w:color w:val="auto"/>
              </w:rPr>
            </w:pPr>
          </w:p>
        </w:tc>
        <w:tc>
          <w:tcPr>
            <w:tcW w:w="4900" w:type="dxa"/>
            <w:vAlign w:val="bottom"/>
            <w:vMerge w:val="continue"/>
          </w:tcPr>
          <w:p>
            <w:pPr>
              <w:spacing w:after="0"/>
              <w:rPr>
                <w:sz w:val="5"/>
                <w:szCs w:val="5"/>
                <w:color w:val="auto"/>
              </w:rPr>
            </w:pPr>
          </w:p>
        </w:tc>
        <w:tc>
          <w:tcPr>
            <w:tcW w:w="18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49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880" w:type="dxa"/>
            <w:vAlign w:val="bottom"/>
          </w:tcPr>
          <w:p>
            <w:pPr>
              <w:spacing w:after="0"/>
              <w:rPr>
                <w:sz w:val="24"/>
                <w:szCs w:val="24"/>
                <w:color w:val="auto"/>
              </w:rPr>
            </w:pPr>
          </w:p>
        </w:tc>
        <w:tc>
          <w:tcPr>
            <w:tcW w:w="4900" w:type="dxa"/>
            <w:vAlign w:val="bottom"/>
            <w:shd w:val="clear" w:color="auto" w:fill="C3D9EE"/>
          </w:tcPr>
          <w:p>
            <w:pPr>
              <w:ind w:left="100"/>
              <w:spacing w:after="0"/>
              <w:rPr>
                <w:sz w:val="20"/>
                <w:szCs w:val="20"/>
                <w:color w:val="auto"/>
              </w:rPr>
            </w:pPr>
            <w:r>
              <w:rPr>
                <w:rFonts w:ascii="Arial" w:cs="Arial" w:eastAsia="Arial" w:hAnsi="Arial"/>
                <w:sz w:val="18"/>
                <w:szCs w:val="18"/>
                <w:color w:val="auto"/>
              </w:rPr>
              <w:t>Charles S. Gibson (2)</w:t>
            </w:r>
          </w:p>
        </w:tc>
        <w:tc>
          <w:tcPr>
            <w:tcW w:w="1800" w:type="dxa"/>
            <w:vAlign w:val="bottom"/>
            <w:shd w:val="clear" w:color="auto" w:fill="C3D9EE"/>
          </w:tcPr>
          <w:p>
            <w:pPr>
              <w:jc w:val="right"/>
              <w:ind w:right="153"/>
              <w:spacing w:after="0"/>
              <w:rPr>
                <w:sz w:val="20"/>
                <w:szCs w:val="20"/>
                <w:color w:val="auto"/>
              </w:rPr>
            </w:pPr>
            <w:r>
              <w:rPr>
                <w:rFonts w:ascii="Arial" w:cs="Arial" w:eastAsia="Arial" w:hAnsi="Arial"/>
                <w:sz w:val="18"/>
                <w:szCs w:val="18"/>
                <w:color w:val="auto"/>
              </w:rPr>
              <w:t>28,132</w:t>
            </w:r>
          </w:p>
        </w:tc>
        <w:tc>
          <w:tcPr>
            <w:tcW w:w="1360" w:type="dxa"/>
            <w:vAlign w:val="bottom"/>
            <w:shd w:val="clear" w:color="auto" w:fill="C3D9EE"/>
          </w:tcPr>
          <w:p>
            <w:pPr>
              <w:jc w:val="right"/>
              <w:ind w:right="3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3D9EE"/>
          </w:tcPr>
          <w:p>
            <w:pPr>
              <w:jc w:val="right"/>
              <w:spacing w:after="0"/>
              <w:rPr>
                <w:sz w:val="20"/>
                <w:szCs w:val="20"/>
                <w:color w:val="auto"/>
              </w:rPr>
            </w:pPr>
            <w:r>
              <w:rPr>
                <w:rFonts w:ascii="Arial" w:cs="Arial" w:eastAsia="Arial" w:hAnsi="Arial"/>
                <w:sz w:val="18"/>
                <w:szCs w:val="18"/>
                <w:color w:val="auto"/>
              </w:rPr>
              <w:t>28,132</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4900" w:type="dxa"/>
            <w:vAlign w:val="bottom"/>
            <w:shd w:val="clear" w:color="auto" w:fill="C3D9EE"/>
          </w:tcPr>
          <w:p>
            <w:pPr>
              <w:spacing w:after="0"/>
              <w:rPr>
                <w:sz w:val="5"/>
                <w:szCs w:val="5"/>
                <w:color w:val="auto"/>
              </w:rPr>
            </w:pPr>
          </w:p>
        </w:tc>
        <w:tc>
          <w:tcPr>
            <w:tcW w:w="1800" w:type="dxa"/>
            <w:vAlign w:val="bottom"/>
            <w:shd w:val="clear" w:color="auto" w:fill="C3D9EE"/>
          </w:tcPr>
          <w:p>
            <w:pPr>
              <w:spacing w:after="0"/>
              <w:rPr>
                <w:sz w:val="5"/>
                <w:szCs w:val="5"/>
                <w:color w:val="auto"/>
              </w:rPr>
            </w:pPr>
          </w:p>
        </w:tc>
        <w:tc>
          <w:tcPr>
            <w:tcW w:w="1360" w:type="dxa"/>
            <w:vAlign w:val="bottom"/>
            <w:shd w:val="clear" w:color="auto" w:fill="C3D9EE"/>
          </w:tcPr>
          <w:p>
            <w:pPr>
              <w:spacing w:after="0"/>
              <w:rPr>
                <w:sz w:val="5"/>
                <w:szCs w:val="5"/>
                <w:color w:val="auto"/>
              </w:rPr>
            </w:pPr>
          </w:p>
        </w:tc>
        <w:tc>
          <w:tcPr>
            <w:tcW w:w="1200" w:type="dxa"/>
            <w:vAlign w:val="bottom"/>
            <w:shd w:val="clear" w:color="auto" w:fill="C3D9EE"/>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4900" w:type="dxa"/>
            <w:vAlign w:val="bottom"/>
            <w:vMerge w:val="restart"/>
          </w:tcPr>
          <w:p>
            <w:pPr>
              <w:ind w:left="100"/>
              <w:spacing w:after="0"/>
              <w:rPr>
                <w:sz w:val="20"/>
                <w:szCs w:val="20"/>
                <w:color w:val="auto"/>
              </w:rPr>
            </w:pPr>
            <w:r>
              <w:rPr>
                <w:rFonts w:ascii="Arial" w:cs="Arial" w:eastAsia="Arial" w:hAnsi="Arial"/>
                <w:sz w:val="18"/>
                <w:szCs w:val="18"/>
                <w:color w:val="auto"/>
              </w:rPr>
              <w:t>John R. Harding</w:t>
            </w:r>
          </w:p>
        </w:tc>
        <w:tc>
          <w:tcPr>
            <w:tcW w:w="1800" w:type="dxa"/>
            <w:vAlign w:val="bottom"/>
          </w:tcPr>
          <w:p>
            <w:pPr>
              <w:jc w:val="right"/>
              <w:ind w:right="153"/>
              <w:spacing w:after="0"/>
              <w:rPr>
                <w:sz w:val="20"/>
                <w:szCs w:val="20"/>
                <w:color w:val="auto"/>
              </w:rPr>
            </w:pPr>
            <w:r>
              <w:rPr>
                <w:rFonts w:ascii="Arial" w:cs="Arial" w:eastAsia="Arial" w:hAnsi="Arial"/>
                <w:sz w:val="18"/>
                <w:szCs w:val="18"/>
                <w:color w:val="auto"/>
              </w:rPr>
              <w:t>86,484</w:t>
            </w:r>
          </w:p>
        </w:tc>
        <w:tc>
          <w:tcPr>
            <w:tcW w:w="1360" w:type="dxa"/>
            <w:vAlign w:val="bottom"/>
          </w:tcPr>
          <w:p>
            <w:pPr>
              <w:jc w:val="right"/>
              <w:spacing w:after="0"/>
              <w:rPr>
                <w:sz w:val="20"/>
                <w:szCs w:val="20"/>
                <w:color w:val="auto"/>
              </w:rPr>
            </w:pPr>
            <w:r>
              <w:rPr>
                <w:rFonts w:ascii="Arial" w:cs="Arial" w:eastAsia="Arial" w:hAnsi="Arial"/>
                <w:sz w:val="18"/>
                <w:szCs w:val="18"/>
                <w:color w:val="auto"/>
              </w:rPr>
              <w:t>200,020</w:t>
            </w:r>
          </w:p>
        </w:tc>
        <w:tc>
          <w:tcPr>
            <w:tcW w:w="1200" w:type="dxa"/>
            <w:vAlign w:val="bottom"/>
          </w:tcPr>
          <w:p>
            <w:pPr>
              <w:jc w:val="right"/>
              <w:spacing w:after="0"/>
              <w:rPr>
                <w:sz w:val="20"/>
                <w:szCs w:val="20"/>
                <w:color w:val="auto"/>
              </w:rPr>
            </w:pPr>
            <w:r>
              <w:rPr>
                <w:rFonts w:ascii="Arial" w:cs="Arial" w:eastAsia="Arial" w:hAnsi="Arial"/>
                <w:sz w:val="18"/>
                <w:szCs w:val="18"/>
                <w:color w:val="auto"/>
              </w:rPr>
              <w:t>286,504</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880" w:type="dxa"/>
            <w:vAlign w:val="bottom"/>
          </w:tcPr>
          <w:p>
            <w:pPr>
              <w:spacing w:after="0"/>
              <w:rPr>
                <w:sz w:val="5"/>
                <w:szCs w:val="5"/>
                <w:color w:val="auto"/>
              </w:rPr>
            </w:pPr>
          </w:p>
        </w:tc>
        <w:tc>
          <w:tcPr>
            <w:tcW w:w="4900" w:type="dxa"/>
            <w:vAlign w:val="bottom"/>
            <w:vMerge w:val="continue"/>
          </w:tcPr>
          <w:p>
            <w:pPr>
              <w:spacing w:after="0"/>
              <w:rPr>
                <w:sz w:val="5"/>
                <w:szCs w:val="5"/>
                <w:color w:val="auto"/>
              </w:rPr>
            </w:pPr>
          </w:p>
        </w:tc>
        <w:tc>
          <w:tcPr>
            <w:tcW w:w="18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880" w:type="dxa"/>
            <w:vAlign w:val="bottom"/>
          </w:tcPr>
          <w:p>
            <w:pPr>
              <w:spacing w:after="0"/>
              <w:rPr>
                <w:sz w:val="5"/>
                <w:szCs w:val="5"/>
                <w:color w:val="auto"/>
              </w:rPr>
            </w:pPr>
          </w:p>
        </w:tc>
        <w:tc>
          <w:tcPr>
            <w:tcW w:w="49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4900" w:type="dxa"/>
            <w:vAlign w:val="bottom"/>
            <w:vMerge w:val="restart"/>
            <w:shd w:val="clear" w:color="auto" w:fill="C3D9EE"/>
          </w:tcPr>
          <w:p>
            <w:pPr>
              <w:ind w:left="100"/>
              <w:spacing w:after="0"/>
              <w:rPr>
                <w:sz w:val="20"/>
                <w:szCs w:val="20"/>
                <w:color w:val="auto"/>
              </w:rPr>
            </w:pPr>
            <w:r>
              <w:rPr>
                <w:rFonts w:ascii="Arial" w:cs="Arial" w:eastAsia="Arial" w:hAnsi="Arial"/>
                <w:sz w:val="18"/>
                <w:szCs w:val="18"/>
                <w:color w:val="auto"/>
              </w:rPr>
              <w:t>David H. Y. Ho</w:t>
            </w:r>
          </w:p>
        </w:tc>
        <w:tc>
          <w:tcPr>
            <w:tcW w:w="1800" w:type="dxa"/>
            <w:vAlign w:val="bottom"/>
            <w:shd w:val="clear" w:color="auto" w:fill="C3D9EE"/>
          </w:tcPr>
          <w:p>
            <w:pPr>
              <w:jc w:val="right"/>
              <w:ind w:right="153"/>
              <w:spacing w:after="0"/>
              <w:rPr>
                <w:sz w:val="20"/>
                <w:szCs w:val="20"/>
                <w:color w:val="auto"/>
              </w:rPr>
            </w:pPr>
            <w:r>
              <w:rPr>
                <w:rFonts w:ascii="Arial" w:cs="Arial" w:eastAsia="Arial" w:hAnsi="Arial"/>
                <w:sz w:val="18"/>
                <w:szCs w:val="18"/>
                <w:color w:val="auto"/>
              </w:rPr>
              <w:t>80,000</w:t>
            </w:r>
          </w:p>
        </w:tc>
        <w:tc>
          <w:tcPr>
            <w:tcW w:w="1360" w:type="dxa"/>
            <w:vAlign w:val="bottom"/>
            <w:shd w:val="clear" w:color="auto" w:fill="C3D9EE"/>
          </w:tcPr>
          <w:p>
            <w:pPr>
              <w:jc w:val="right"/>
              <w:spacing w:after="0"/>
              <w:rPr>
                <w:sz w:val="20"/>
                <w:szCs w:val="20"/>
                <w:color w:val="auto"/>
              </w:rPr>
            </w:pPr>
            <w:r>
              <w:rPr>
                <w:rFonts w:ascii="Arial" w:cs="Arial" w:eastAsia="Arial" w:hAnsi="Arial"/>
                <w:sz w:val="18"/>
                <w:szCs w:val="18"/>
                <w:color w:val="auto"/>
              </w:rPr>
              <w:t>200,020</w:t>
            </w:r>
          </w:p>
        </w:tc>
        <w:tc>
          <w:tcPr>
            <w:tcW w:w="1200" w:type="dxa"/>
            <w:vAlign w:val="bottom"/>
            <w:shd w:val="clear" w:color="auto" w:fill="C3D9EE"/>
          </w:tcPr>
          <w:p>
            <w:pPr>
              <w:jc w:val="right"/>
              <w:spacing w:after="0"/>
              <w:rPr>
                <w:sz w:val="20"/>
                <w:szCs w:val="20"/>
                <w:color w:val="auto"/>
              </w:rPr>
            </w:pPr>
            <w:r>
              <w:rPr>
                <w:rFonts w:ascii="Arial" w:cs="Arial" w:eastAsia="Arial" w:hAnsi="Arial"/>
                <w:sz w:val="18"/>
                <w:szCs w:val="18"/>
                <w:color w:val="auto"/>
              </w:rPr>
              <w:t>280,020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880" w:type="dxa"/>
            <w:vAlign w:val="bottom"/>
          </w:tcPr>
          <w:p>
            <w:pPr>
              <w:spacing w:after="0"/>
              <w:rPr>
                <w:sz w:val="5"/>
                <w:szCs w:val="5"/>
                <w:color w:val="auto"/>
              </w:rPr>
            </w:pPr>
          </w:p>
        </w:tc>
        <w:tc>
          <w:tcPr>
            <w:tcW w:w="4900" w:type="dxa"/>
            <w:vAlign w:val="bottom"/>
            <w:vMerge w:val="continue"/>
            <w:shd w:val="clear" w:color="auto" w:fill="C3D9EE"/>
          </w:tcPr>
          <w:p>
            <w:pPr>
              <w:spacing w:after="0"/>
              <w:rPr>
                <w:sz w:val="5"/>
                <w:szCs w:val="5"/>
                <w:color w:val="auto"/>
              </w:rPr>
            </w:pPr>
          </w:p>
        </w:tc>
        <w:tc>
          <w:tcPr>
            <w:tcW w:w="1800" w:type="dxa"/>
            <w:vAlign w:val="bottom"/>
            <w:shd w:val="clear" w:color="auto" w:fill="C3D9EE"/>
          </w:tcPr>
          <w:p>
            <w:pPr>
              <w:spacing w:after="0"/>
              <w:rPr>
                <w:sz w:val="5"/>
                <w:szCs w:val="5"/>
                <w:color w:val="auto"/>
              </w:rPr>
            </w:pPr>
          </w:p>
        </w:tc>
        <w:tc>
          <w:tcPr>
            <w:tcW w:w="1360" w:type="dxa"/>
            <w:vAlign w:val="bottom"/>
            <w:shd w:val="clear" w:color="auto" w:fill="C3D9EE"/>
          </w:tcPr>
          <w:p>
            <w:pPr>
              <w:spacing w:after="0"/>
              <w:rPr>
                <w:sz w:val="5"/>
                <w:szCs w:val="5"/>
                <w:color w:val="auto"/>
              </w:rPr>
            </w:pPr>
          </w:p>
        </w:tc>
        <w:tc>
          <w:tcPr>
            <w:tcW w:w="1200" w:type="dxa"/>
            <w:vAlign w:val="bottom"/>
            <w:shd w:val="clear" w:color="auto" w:fill="C3D9EE"/>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4900" w:type="dxa"/>
            <w:vAlign w:val="bottom"/>
            <w:shd w:val="clear" w:color="auto" w:fill="C3D9EE"/>
          </w:tcPr>
          <w:p>
            <w:pPr>
              <w:spacing w:after="0"/>
              <w:rPr>
                <w:sz w:val="5"/>
                <w:szCs w:val="5"/>
                <w:color w:val="auto"/>
              </w:rPr>
            </w:pPr>
          </w:p>
        </w:tc>
        <w:tc>
          <w:tcPr>
            <w:tcW w:w="1800" w:type="dxa"/>
            <w:vAlign w:val="bottom"/>
            <w:shd w:val="clear" w:color="auto" w:fill="C3D9EE"/>
          </w:tcPr>
          <w:p>
            <w:pPr>
              <w:spacing w:after="0"/>
              <w:rPr>
                <w:sz w:val="5"/>
                <w:szCs w:val="5"/>
                <w:color w:val="auto"/>
              </w:rPr>
            </w:pPr>
          </w:p>
        </w:tc>
        <w:tc>
          <w:tcPr>
            <w:tcW w:w="1360" w:type="dxa"/>
            <w:vAlign w:val="bottom"/>
            <w:shd w:val="clear" w:color="auto" w:fill="C3D9EE"/>
          </w:tcPr>
          <w:p>
            <w:pPr>
              <w:spacing w:after="0"/>
              <w:rPr>
                <w:sz w:val="5"/>
                <w:szCs w:val="5"/>
                <w:color w:val="auto"/>
              </w:rPr>
            </w:pPr>
          </w:p>
        </w:tc>
        <w:tc>
          <w:tcPr>
            <w:tcW w:w="1200" w:type="dxa"/>
            <w:vAlign w:val="bottom"/>
            <w:shd w:val="clear" w:color="auto" w:fill="C3D9EE"/>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4900" w:type="dxa"/>
            <w:vAlign w:val="bottom"/>
            <w:vMerge w:val="restart"/>
          </w:tcPr>
          <w:p>
            <w:pPr>
              <w:ind w:left="100"/>
              <w:spacing w:after="0"/>
              <w:rPr>
                <w:sz w:val="20"/>
                <w:szCs w:val="20"/>
                <w:color w:val="auto"/>
              </w:rPr>
            </w:pPr>
            <w:r>
              <w:rPr>
                <w:rFonts w:ascii="Arial" w:cs="Arial" w:eastAsia="Arial" w:hAnsi="Arial"/>
                <w:sz w:val="18"/>
                <w:szCs w:val="18"/>
                <w:color w:val="auto"/>
              </w:rPr>
              <w:t>Roderick D. Nelson</w:t>
            </w:r>
          </w:p>
        </w:tc>
        <w:tc>
          <w:tcPr>
            <w:tcW w:w="1800" w:type="dxa"/>
            <w:vAlign w:val="bottom"/>
          </w:tcPr>
          <w:p>
            <w:pPr>
              <w:jc w:val="right"/>
              <w:ind w:right="153"/>
              <w:spacing w:after="0"/>
              <w:rPr>
                <w:sz w:val="20"/>
                <w:szCs w:val="20"/>
                <w:color w:val="auto"/>
              </w:rPr>
            </w:pPr>
            <w:r>
              <w:rPr>
                <w:rFonts w:ascii="Arial" w:cs="Arial" w:eastAsia="Arial" w:hAnsi="Arial"/>
                <w:sz w:val="18"/>
                <w:szCs w:val="18"/>
                <w:color w:val="auto"/>
              </w:rPr>
              <w:t>80,000</w:t>
            </w:r>
          </w:p>
        </w:tc>
        <w:tc>
          <w:tcPr>
            <w:tcW w:w="1360" w:type="dxa"/>
            <w:vAlign w:val="bottom"/>
          </w:tcPr>
          <w:p>
            <w:pPr>
              <w:jc w:val="right"/>
              <w:spacing w:after="0"/>
              <w:rPr>
                <w:sz w:val="20"/>
                <w:szCs w:val="20"/>
                <w:color w:val="auto"/>
              </w:rPr>
            </w:pPr>
            <w:r>
              <w:rPr>
                <w:rFonts w:ascii="Arial" w:cs="Arial" w:eastAsia="Arial" w:hAnsi="Arial"/>
                <w:sz w:val="18"/>
                <w:szCs w:val="18"/>
                <w:color w:val="auto"/>
              </w:rPr>
              <w:t>200,020</w:t>
            </w:r>
          </w:p>
        </w:tc>
        <w:tc>
          <w:tcPr>
            <w:tcW w:w="1200" w:type="dxa"/>
            <w:vAlign w:val="bottom"/>
          </w:tcPr>
          <w:p>
            <w:pPr>
              <w:jc w:val="right"/>
              <w:spacing w:after="0"/>
              <w:rPr>
                <w:sz w:val="20"/>
                <w:szCs w:val="20"/>
                <w:color w:val="auto"/>
              </w:rPr>
            </w:pPr>
            <w:r>
              <w:rPr>
                <w:rFonts w:ascii="Arial" w:cs="Arial" w:eastAsia="Arial" w:hAnsi="Arial"/>
                <w:sz w:val="18"/>
                <w:szCs w:val="18"/>
                <w:color w:val="auto"/>
              </w:rPr>
              <w:t>280,020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880" w:type="dxa"/>
            <w:vAlign w:val="bottom"/>
          </w:tcPr>
          <w:p>
            <w:pPr>
              <w:spacing w:after="0"/>
              <w:rPr>
                <w:sz w:val="5"/>
                <w:szCs w:val="5"/>
                <w:color w:val="auto"/>
              </w:rPr>
            </w:pPr>
          </w:p>
        </w:tc>
        <w:tc>
          <w:tcPr>
            <w:tcW w:w="4900" w:type="dxa"/>
            <w:vAlign w:val="bottom"/>
            <w:vMerge w:val="continue"/>
          </w:tcPr>
          <w:p>
            <w:pPr>
              <w:spacing w:after="0"/>
              <w:rPr>
                <w:sz w:val="5"/>
                <w:szCs w:val="5"/>
                <w:color w:val="auto"/>
              </w:rPr>
            </w:pPr>
          </w:p>
        </w:tc>
        <w:tc>
          <w:tcPr>
            <w:tcW w:w="18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49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4900" w:type="dxa"/>
            <w:vAlign w:val="bottom"/>
            <w:vMerge w:val="restart"/>
            <w:shd w:val="clear" w:color="auto" w:fill="C3D9EE"/>
          </w:tcPr>
          <w:p>
            <w:pPr>
              <w:ind w:left="100"/>
              <w:spacing w:after="0"/>
              <w:rPr>
                <w:sz w:val="20"/>
                <w:szCs w:val="20"/>
                <w:color w:val="auto"/>
              </w:rPr>
            </w:pPr>
            <w:r>
              <w:rPr>
                <w:rFonts w:ascii="Arial" w:cs="Arial" w:eastAsia="Arial" w:hAnsi="Arial"/>
                <w:sz w:val="18"/>
                <w:szCs w:val="18"/>
                <w:color w:val="auto"/>
              </w:rPr>
              <w:t>Ralph G. Quinsey</w:t>
            </w:r>
          </w:p>
        </w:tc>
        <w:tc>
          <w:tcPr>
            <w:tcW w:w="1800" w:type="dxa"/>
            <w:vAlign w:val="bottom"/>
            <w:shd w:val="clear" w:color="auto" w:fill="C3D9EE"/>
          </w:tcPr>
          <w:p>
            <w:pPr>
              <w:jc w:val="right"/>
              <w:ind w:right="153"/>
              <w:spacing w:after="0"/>
              <w:rPr>
                <w:sz w:val="20"/>
                <w:szCs w:val="20"/>
                <w:color w:val="auto"/>
              </w:rPr>
            </w:pPr>
            <w:r>
              <w:rPr>
                <w:rFonts w:ascii="Arial" w:cs="Arial" w:eastAsia="Arial" w:hAnsi="Arial"/>
                <w:sz w:val="18"/>
                <w:szCs w:val="18"/>
                <w:color w:val="auto"/>
              </w:rPr>
              <w:t>148,000</w:t>
            </w:r>
          </w:p>
        </w:tc>
        <w:tc>
          <w:tcPr>
            <w:tcW w:w="1360" w:type="dxa"/>
            <w:vAlign w:val="bottom"/>
            <w:shd w:val="clear" w:color="auto" w:fill="C3D9EE"/>
          </w:tcPr>
          <w:p>
            <w:pPr>
              <w:jc w:val="right"/>
              <w:spacing w:after="0"/>
              <w:rPr>
                <w:sz w:val="20"/>
                <w:szCs w:val="20"/>
                <w:color w:val="auto"/>
              </w:rPr>
            </w:pPr>
            <w:r>
              <w:rPr>
                <w:rFonts w:ascii="Arial" w:cs="Arial" w:eastAsia="Arial" w:hAnsi="Arial"/>
                <w:sz w:val="18"/>
                <w:szCs w:val="18"/>
                <w:color w:val="auto"/>
              </w:rPr>
              <w:t>200,020</w:t>
            </w:r>
          </w:p>
        </w:tc>
        <w:tc>
          <w:tcPr>
            <w:tcW w:w="1200" w:type="dxa"/>
            <w:vAlign w:val="bottom"/>
            <w:shd w:val="clear" w:color="auto" w:fill="C3D9EE"/>
          </w:tcPr>
          <w:p>
            <w:pPr>
              <w:jc w:val="right"/>
              <w:spacing w:after="0"/>
              <w:rPr>
                <w:sz w:val="20"/>
                <w:szCs w:val="20"/>
                <w:color w:val="auto"/>
              </w:rPr>
            </w:pPr>
            <w:r>
              <w:rPr>
                <w:rFonts w:ascii="Arial" w:cs="Arial" w:eastAsia="Arial" w:hAnsi="Arial"/>
                <w:sz w:val="18"/>
                <w:szCs w:val="18"/>
                <w:color w:val="auto"/>
              </w:rPr>
              <w:t>348,020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880" w:type="dxa"/>
            <w:vAlign w:val="bottom"/>
          </w:tcPr>
          <w:p>
            <w:pPr>
              <w:spacing w:after="0"/>
              <w:rPr>
                <w:sz w:val="5"/>
                <w:szCs w:val="5"/>
                <w:color w:val="auto"/>
              </w:rPr>
            </w:pPr>
          </w:p>
        </w:tc>
        <w:tc>
          <w:tcPr>
            <w:tcW w:w="4900" w:type="dxa"/>
            <w:vAlign w:val="bottom"/>
            <w:vMerge w:val="continue"/>
            <w:shd w:val="clear" w:color="auto" w:fill="C3D9EE"/>
          </w:tcPr>
          <w:p>
            <w:pPr>
              <w:spacing w:after="0"/>
              <w:rPr>
                <w:sz w:val="5"/>
                <w:szCs w:val="5"/>
                <w:color w:val="auto"/>
              </w:rPr>
            </w:pPr>
          </w:p>
        </w:tc>
        <w:tc>
          <w:tcPr>
            <w:tcW w:w="1800" w:type="dxa"/>
            <w:vAlign w:val="bottom"/>
            <w:shd w:val="clear" w:color="auto" w:fill="C3D9EE"/>
          </w:tcPr>
          <w:p>
            <w:pPr>
              <w:spacing w:after="0"/>
              <w:rPr>
                <w:sz w:val="5"/>
                <w:szCs w:val="5"/>
                <w:color w:val="auto"/>
              </w:rPr>
            </w:pPr>
          </w:p>
        </w:tc>
        <w:tc>
          <w:tcPr>
            <w:tcW w:w="1360" w:type="dxa"/>
            <w:vAlign w:val="bottom"/>
            <w:shd w:val="clear" w:color="auto" w:fill="C3D9EE"/>
          </w:tcPr>
          <w:p>
            <w:pPr>
              <w:spacing w:after="0"/>
              <w:rPr>
                <w:sz w:val="5"/>
                <w:szCs w:val="5"/>
                <w:color w:val="auto"/>
              </w:rPr>
            </w:pPr>
          </w:p>
        </w:tc>
        <w:tc>
          <w:tcPr>
            <w:tcW w:w="1200" w:type="dxa"/>
            <w:vAlign w:val="bottom"/>
            <w:shd w:val="clear" w:color="auto" w:fill="C3D9EE"/>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4900" w:type="dxa"/>
            <w:vAlign w:val="bottom"/>
            <w:shd w:val="clear" w:color="auto" w:fill="C3D9EE"/>
          </w:tcPr>
          <w:p>
            <w:pPr>
              <w:spacing w:after="0"/>
              <w:rPr>
                <w:sz w:val="5"/>
                <w:szCs w:val="5"/>
                <w:color w:val="auto"/>
              </w:rPr>
            </w:pPr>
          </w:p>
        </w:tc>
        <w:tc>
          <w:tcPr>
            <w:tcW w:w="1800" w:type="dxa"/>
            <w:vAlign w:val="bottom"/>
            <w:shd w:val="clear" w:color="auto" w:fill="C3D9EE"/>
          </w:tcPr>
          <w:p>
            <w:pPr>
              <w:spacing w:after="0"/>
              <w:rPr>
                <w:sz w:val="5"/>
                <w:szCs w:val="5"/>
                <w:color w:val="auto"/>
              </w:rPr>
            </w:pPr>
          </w:p>
        </w:tc>
        <w:tc>
          <w:tcPr>
            <w:tcW w:w="1360" w:type="dxa"/>
            <w:vAlign w:val="bottom"/>
            <w:shd w:val="clear" w:color="auto" w:fill="C3D9EE"/>
          </w:tcPr>
          <w:p>
            <w:pPr>
              <w:spacing w:after="0"/>
              <w:rPr>
                <w:sz w:val="5"/>
                <w:szCs w:val="5"/>
                <w:color w:val="auto"/>
              </w:rPr>
            </w:pPr>
          </w:p>
        </w:tc>
        <w:tc>
          <w:tcPr>
            <w:tcW w:w="1200" w:type="dxa"/>
            <w:vAlign w:val="bottom"/>
            <w:shd w:val="clear" w:color="auto" w:fill="C3D9EE"/>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4900" w:type="dxa"/>
            <w:vAlign w:val="bottom"/>
            <w:vMerge w:val="restart"/>
          </w:tcPr>
          <w:p>
            <w:pPr>
              <w:ind w:left="100"/>
              <w:spacing w:after="0"/>
              <w:rPr>
                <w:sz w:val="20"/>
                <w:szCs w:val="20"/>
                <w:color w:val="auto"/>
              </w:rPr>
            </w:pPr>
            <w:r>
              <w:rPr>
                <w:rFonts w:ascii="Arial" w:cs="Arial" w:eastAsia="Arial" w:hAnsi="Arial"/>
                <w:sz w:val="18"/>
                <w:szCs w:val="18"/>
                <w:color w:val="auto"/>
              </w:rPr>
              <w:t>Walden C. Rhines</w:t>
            </w:r>
          </w:p>
        </w:tc>
        <w:tc>
          <w:tcPr>
            <w:tcW w:w="1800" w:type="dxa"/>
            <w:vAlign w:val="bottom"/>
          </w:tcPr>
          <w:p>
            <w:pPr>
              <w:jc w:val="right"/>
              <w:ind w:right="153"/>
              <w:spacing w:after="0"/>
              <w:rPr>
                <w:sz w:val="20"/>
                <w:szCs w:val="20"/>
                <w:color w:val="auto"/>
              </w:rPr>
            </w:pPr>
            <w:r>
              <w:rPr>
                <w:rFonts w:ascii="Arial" w:cs="Arial" w:eastAsia="Arial" w:hAnsi="Arial"/>
                <w:sz w:val="18"/>
                <w:szCs w:val="18"/>
                <w:color w:val="auto"/>
              </w:rPr>
              <w:t>100,000</w:t>
            </w:r>
          </w:p>
        </w:tc>
        <w:tc>
          <w:tcPr>
            <w:tcW w:w="1360" w:type="dxa"/>
            <w:vAlign w:val="bottom"/>
          </w:tcPr>
          <w:p>
            <w:pPr>
              <w:jc w:val="right"/>
              <w:spacing w:after="0"/>
              <w:rPr>
                <w:sz w:val="20"/>
                <w:szCs w:val="20"/>
                <w:color w:val="auto"/>
              </w:rPr>
            </w:pPr>
            <w:r>
              <w:rPr>
                <w:rFonts w:ascii="Arial" w:cs="Arial" w:eastAsia="Arial" w:hAnsi="Arial"/>
                <w:sz w:val="18"/>
                <w:szCs w:val="18"/>
                <w:color w:val="auto"/>
              </w:rPr>
              <w:t>200,020</w:t>
            </w:r>
          </w:p>
        </w:tc>
        <w:tc>
          <w:tcPr>
            <w:tcW w:w="1200" w:type="dxa"/>
            <w:vAlign w:val="bottom"/>
          </w:tcPr>
          <w:p>
            <w:pPr>
              <w:jc w:val="right"/>
              <w:spacing w:after="0"/>
              <w:rPr>
                <w:sz w:val="20"/>
                <w:szCs w:val="20"/>
                <w:color w:val="auto"/>
              </w:rPr>
            </w:pPr>
            <w:r>
              <w:rPr>
                <w:rFonts w:ascii="Arial" w:cs="Arial" w:eastAsia="Arial" w:hAnsi="Arial"/>
                <w:sz w:val="18"/>
                <w:szCs w:val="18"/>
                <w:color w:val="auto"/>
              </w:rPr>
              <w:t>300,020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880" w:type="dxa"/>
            <w:vAlign w:val="bottom"/>
          </w:tcPr>
          <w:p>
            <w:pPr>
              <w:spacing w:after="0"/>
              <w:rPr>
                <w:sz w:val="5"/>
                <w:szCs w:val="5"/>
                <w:color w:val="auto"/>
              </w:rPr>
            </w:pPr>
          </w:p>
        </w:tc>
        <w:tc>
          <w:tcPr>
            <w:tcW w:w="4900" w:type="dxa"/>
            <w:vAlign w:val="bottom"/>
            <w:vMerge w:val="continue"/>
          </w:tcPr>
          <w:p>
            <w:pPr>
              <w:spacing w:after="0"/>
              <w:rPr>
                <w:sz w:val="5"/>
                <w:szCs w:val="5"/>
                <w:color w:val="auto"/>
              </w:rPr>
            </w:pPr>
          </w:p>
        </w:tc>
        <w:tc>
          <w:tcPr>
            <w:tcW w:w="18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49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4900" w:type="dxa"/>
            <w:vAlign w:val="bottom"/>
            <w:vMerge w:val="restart"/>
            <w:shd w:val="clear" w:color="auto" w:fill="C3D9EE"/>
          </w:tcPr>
          <w:p>
            <w:pPr>
              <w:ind w:left="100"/>
              <w:spacing w:after="0"/>
              <w:rPr>
                <w:sz w:val="20"/>
                <w:szCs w:val="20"/>
                <w:color w:val="auto"/>
              </w:rPr>
            </w:pPr>
            <w:r>
              <w:rPr>
                <w:rFonts w:ascii="Arial" w:cs="Arial" w:eastAsia="Arial" w:hAnsi="Arial"/>
                <w:sz w:val="18"/>
                <w:szCs w:val="18"/>
                <w:color w:val="auto"/>
              </w:rPr>
              <w:t>Susan L. Spradley</w:t>
            </w:r>
          </w:p>
        </w:tc>
        <w:tc>
          <w:tcPr>
            <w:tcW w:w="1800" w:type="dxa"/>
            <w:vAlign w:val="bottom"/>
            <w:shd w:val="clear" w:color="auto" w:fill="C3D9EE"/>
          </w:tcPr>
          <w:p>
            <w:pPr>
              <w:jc w:val="right"/>
              <w:ind w:right="153"/>
              <w:spacing w:after="0"/>
              <w:rPr>
                <w:sz w:val="20"/>
                <w:szCs w:val="20"/>
                <w:color w:val="auto"/>
              </w:rPr>
            </w:pPr>
            <w:r>
              <w:rPr>
                <w:rFonts w:ascii="Arial" w:cs="Arial" w:eastAsia="Arial" w:hAnsi="Arial"/>
                <w:sz w:val="18"/>
                <w:szCs w:val="18"/>
                <w:color w:val="auto"/>
              </w:rPr>
              <w:t>80,000</w:t>
            </w:r>
          </w:p>
        </w:tc>
        <w:tc>
          <w:tcPr>
            <w:tcW w:w="1360" w:type="dxa"/>
            <w:vAlign w:val="bottom"/>
            <w:shd w:val="clear" w:color="auto" w:fill="C3D9EE"/>
          </w:tcPr>
          <w:p>
            <w:pPr>
              <w:jc w:val="right"/>
              <w:spacing w:after="0"/>
              <w:rPr>
                <w:sz w:val="20"/>
                <w:szCs w:val="20"/>
                <w:color w:val="auto"/>
              </w:rPr>
            </w:pPr>
            <w:r>
              <w:rPr>
                <w:rFonts w:ascii="Arial" w:cs="Arial" w:eastAsia="Arial" w:hAnsi="Arial"/>
                <w:sz w:val="18"/>
                <w:szCs w:val="18"/>
                <w:color w:val="auto"/>
              </w:rPr>
              <w:t>200,020</w:t>
            </w:r>
          </w:p>
        </w:tc>
        <w:tc>
          <w:tcPr>
            <w:tcW w:w="1200" w:type="dxa"/>
            <w:vAlign w:val="bottom"/>
            <w:shd w:val="clear" w:color="auto" w:fill="C3D9EE"/>
          </w:tcPr>
          <w:p>
            <w:pPr>
              <w:jc w:val="right"/>
              <w:spacing w:after="0"/>
              <w:rPr>
                <w:sz w:val="20"/>
                <w:szCs w:val="20"/>
                <w:color w:val="auto"/>
              </w:rPr>
            </w:pPr>
            <w:r>
              <w:rPr>
                <w:rFonts w:ascii="Arial" w:cs="Arial" w:eastAsia="Arial" w:hAnsi="Arial"/>
                <w:sz w:val="18"/>
                <w:szCs w:val="18"/>
                <w:color w:val="auto"/>
              </w:rPr>
              <w:t>280,020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880" w:type="dxa"/>
            <w:vAlign w:val="bottom"/>
          </w:tcPr>
          <w:p>
            <w:pPr>
              <w:spacing w:after="0"/>
              <w:rPr>
                <w:sz w:val="5"/>
                <w:szCs w:val="5"/>
                <w:color w:val="auto"/>
              </w:rPr>
            </w:pPr>
          </w:p>
        </w:tc>
        <w:tc>
          <w:tcPr>
            <w:tcW w:w="4900" w:type="dxa"/>
            <w:vAlign w:val="bottom"/>
            <w:vMerge w:val="continue"/>
            <w:shd w:val="clear" w:color="auto" w:fill="C3D9EE"/>
          </w:tcPr>
          <w:p>
            <w:pPr>
              <w:spacing w:after="0"/>
              <w:rPr>
                <w:sz w:val="5"/>
                <w:szCs w:val="5"/>
                <w:color w:val="auto"/>
              </w:rPr>
            </w:pPr>
          </w:p>
        </w:tc>
        <w:tc>
          <w:tcPr>
            <w:tcW w:w="1800" w:type="dxa"/>
            <w:vAlign w:val="bottom"/>
            <w:shd w:val="clear" w:color="auto" w:fill="C3D9EE"/>
          </w:tcPr>
          <w:p>
            <w:pPr>
              <w:spacing w:after="0"/>
              <w:rPr>
                <w:sz w:val="5"/>
                <w:szCs w:val="5"/>
                <w:color w:val="auto"/>
              </w:rPr>
            </w:pPr>
          </w:p>
        </w:tc>
        <w:tc>
          <w:tcPr>
            <w:tcW w:w="1360" w:type="dxa"/>
            <w:vAlign w:val="bottom"/>
            <w:shd w:val="clear" w:color="auto" w:fill="C3D9EE"/>
          </w:tcPr>
          <w:p>
            <w:pPr>
              <w:spacing w:after="0"/>
              <w:rPr>
                <w:sz w:val="5"/>
                <w:szCs w:val="5"/>
                <w:color w:val="auto"/>
              </w:rPr>
            </w:pPr>
          </w:p>
        </w:tc>
        <w:tc>
          <w:tcPr>
            <w:tcW w:w="1200" w:type="dxa"/>
            <w:vAlign w:val="bottom"/>
            <w:shd w:val="clear" w:color="auto" w:fill="C3D9EE"/>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4900" w:type="dxa"/>
            <w:vAlign w:val="bottom"/>
            <w:shd w:val="clear" w:color="auto" w:fill="C3D9EE"/>
          </w:tcPr>
          <w:p>
            <w:pPr>
              <w:spacing w:after="0"/>
              <w:rPr>
                <w:sz w:val="5"/>
                <w:szCs w:val="5"/>
                <w:color w:val="auto"/>
              </w:rPr>
            </w:pPr>
          </w:p>
        </w:tc>
        <w:tc>
          <w:tcPr>
            <w:tcW w:w="1800" w:type="dxa"/>
            <w:vAlign w:val="bottom"/>
            <w:shd w:val="clear" w:color="auto" w:fill="C3D9EE"/>
          </w:tcPr>
          <w:p>
            <w:pPr>
              <w:spacing w:after="0"/>
              <w:rPr>
                <w:sz w:val="5"/>
                <w:szCs w:val="5"/>
                <w:color w:val="auto"/>
              </w:rPr>
            </w:pPr>
          </w:p>
        </w:tc>
        <w:tc>
          <w:tcPr>
            <w:tcW w:w="1360" w:type="dxa"/>
            <w:vAlign w:val="bottom"/>
            <w:shd w:val="clear" w:color="auto" w:fill="C3D9EE"/>
          </w:tcPr>
          <w:p>
            <w:pPr>
              <w:spacing w:after="0"/>
              <w:rPr>
                <w:sz w:val="5"/>
                <w:szCs w:val="5"/>
                <w:color w:val="auto"/>
              </w:rPr>
            </w:pPr>
          </w:p>
        </w:tc>
        <w:tc>
          <w:tcPr>
            <w:tcW w:w="1200" w:type="dxa"/>
            <w:vAlign w:val="bottom"/>
            <w:shd w:val="clear" w:color="auto" w:fill="C3D9EE"/>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4900" w:type="dxa"/>
            <w:vAlign w:val="bottom"/>
            <w:vMerge w:val="restart"/>
          </w:tcPr>
          <w:p>
            <w:pPr>
              <w:ind w:left="100"/>
              <w:spacing w:after="0"/>
              <w:rPr>
                <w:sz w:val="20"/>
                <w:szCs w:val="20"/>
                <w:color w:val="auto"/>
              </w:rPr>
            </w:pPr>
            <w:r>
              <w:rPr>
                <w:rFonts w:ascii="Arial" w:cs="Arial" w:eastAsia="Arial" w:hAnsi="Arial"/>
                <w:sz w:val="18"/>
                <w:szCs w:val="18"/>
                <w:color w:val="auto"/>
              </w:rPr>
              <w:t>Walter H. Wilkinson, Jr.</w:t>
            </w:r>
          </w:p>
        </w:tc>
        <w:tc>
          <w:tcPr>
            <w:tcW w:w="1800" w:type="dxa"/>
            <w:vAlign w:val="bottom"/>
          </w:tcPr>
          <w:p>
            <w:pPr>
              <w:jc w:val="right"/>
              <w:ind w:right="153"/>
              <w:spacing w:after="0"/>
              <w:rPr>
                <w:sz w:val="20"/>
                <w:szCs w:val="20"/>
                <w:color w:val="auto"/>
              </w:rPr>
            </w:pPr>
            <w:r>
              <w:rPr>
                <w:rFonts w:ascii="Arial" w:cs="Arial" w:eastAsia="Arial" w:hAnsi="Arial"/>
                <w:sz w:val="18"/>
                <w:szCs w:val="18"/>
                <w:color w:val="auto"/>
              </w:rPr>
              <w:t>95,000</w:t>
            </w:r>
          </w:p>
        </w:tc>
        <w:tc>
          <w:tcPr>
            <w:tcW w:w="1360" w:type="dxa"/>
            <w:vAlign w:val="bottom"/>
          </w:tcPr>
          <w:p>
            <w:pPr>
              <w:jc w:val="right"/>
              <w:spacing w:after="0"/>
              <w:rPr>
                <w:sz w:val="20"/>
                <w:szCs w:val="20"/>
                <w:color w:val="auto"/>
              </w:rPr>
            </w:pPr>
            <w:r>
              <w:rPr>
                <w:rFonts w:ascii="Arial" w:cs="Arial" w:eastAsia="Arial" w:hAnsi="Arial"/>
                <w:sz w:val="18"/>
                <w:szCs w:val="18"/>
                <w:color w:val="auto"/>
              </w:rPr>
              <w:t>200,020</w:t>
            </w:r>
          </w:p>
        </w:tc>
        <w:tc>
          <w:tcPr>
            <w:tcW w:w="1200" w:type="dxa"/>
            <w:vAlign w:val="bottom"/>
          </w:tcPr>
          <w:p>
            <w:pPr>
              <w:jc w:val="right"/>
              <w:spacing w:after="0"/>
              <w:rPr>
                <w:sz w:val="20"/>
                <w:szCs w:val="20"/>
                <w:color w:val="auto"/>
              </w:rPr>
            </w:pPr>
            <w:r>
              <w:rPr>
                <w:rFonts w:ascii="Arial" w:cs="Arial" w:eastAsia="Arial" w:hAnsi="Arial"/>
                <w:sz w:val="18"/>
                <w:szCs w:val="18"/>
                <w:color w:val="auto"/>
              </w:rPr>
              <w:t>295,020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880" w:type="dxa"/>
            <w:vAlign w:val="bottom"/>
          </w:tcPr>
          <w:p>
            <w:pPr>
              <w:spacing w:after="0"/>
              <w:rPr>
                <w:sz w:val="5"/>
                <w:szCs w:val="5"/>
                <w:color w:val="auto"/>
              </w:rPr>
            </w:pPr>
          </w:p>
        </w:tc>
        <w:tc>
          <w:tcPr>
            <w:tcW w:w="4900" w:type="dxa"/>
            <w:vAlign w:val="bottom"/>
            <w:vMerge w:val="continue"/>
          </w:tcPr>
          <w:p>
            <w:pPr>
              <w:spacing w:after="0"/>
              <w:rPr>
                <w:sz w:val="5"/>
                <w:szCs w:val="5"/>
                <w:color w:val="auto"/>
              </w:rPr>
            </w:pPr>
          </w:p>
        </w:tc>
        <w:tc>
          <w:tcPr>
            <w:tcW w:w="18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880" w:type="dxa"/>
            <w:vAlign w:val="bottom"/>
          </w:tcPr>
          <w:p>
            <w:pPr>
              <w:spacing w:after="0"/>
              <w:rPr>
                <w:sz w:val="5"/>
                <w:szCs w:val="5"/>
                <w:color w:val="auto"/>
              </w:rPr>
            </w:pPr>
          </w:p>
        </w:tc>
        <w:tc>
          <w:tcPr>
            <w:tcW w:w="4900" w:type="dxa"/>
            <w:vAlign w:val="bottom"/>
            <w:tcBorders>
              <w:bottom w:val="single" w:sz="8" w:color="1269BC"/>
            </w:tcBorders>
          </w:tcPr>
          <w:p>
            <w:pPr>
              <w:spacing w:after="0"/>
              <w:rPr>
                <w:sz w:val="5"/>
                <w:szCs w:val="5"/>
                <w:color w:val="auto"/>
              </w:rPr>
            </w:pPr>
          </w:p>
        </w:tc>
        <w:tc>
          <w:tcPr>
            <w:tcW w:w="1800" w:type="dxa"/>
            <w:vAlign w:val="bottom"/>
            <w:tcBorders>
              <w:bottom w:val="single" w:sz="8" w:color="1269BC"/>
            </w:tcBorders>
          </w:tcPr>
          <w:p>
            <w:pPr>
              <w:spacing w:after="0"/>
              <w:rPr>
                <w:sz w:val="5"/>
                <w:szCs w:val="5"/>
                <w:color w:val="auto"/>
              </w:rPr>
            </w:pPr>
          </w:p>
        </w:tc>
        <w:tc>
          <w:tcPr>
            <w:tcW w:w="1360" w:type="dxa"/>
            <w:vAlign w:val="bottom"/>
            <w:tcBorders>
              <w:bottom w:val="single" w:sz="8" w:color="1269BC"/>
            </w:tcBorders>
          </w:tcPr>
          <w:p>
            <w:pPr>
              <w:spacing w:after="0"/>
              <w:rPr>
                <w:sz w:val="5"/>
                <w:szCs w:val="5"/>
                <w:color w:val="auto"/>
              </w:rPr>
            </w:pPr>
          </w:p>
        </w:tc>
        <w:tc>
          <w:tcPr>
            <w:tcW w:w="1200" w:type="dxa"/>
            <w:vAlign w:val="bottom"/>
            <w:tcBorders>
              <w:bottom w:val="single" w:sz="8" w:color="1269BC"/>
            </w:tcBorders>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980" w:right="180" w:hanging="324"/>
        <w:spacing w:after="0" w:line="251"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These amounts represent the aggregate grant date fair value for restricted stock unit awards granted to the indicated director in fiscal 2020 computed in accordance with ASC Topic 718, excluding the effect of any estimated forfeitures. A summary of the assumptions we apply in calculating these amounts is set forth in Note 15 of the Notes to the Consolidated Financial Statements included in the 10-K. The aggregate number of shares that were outstanding and granted during the fiscal year ended March 28, 2020 for each of the directors were as follows:</w:t>
      </w:r>
    </w:p>
    <w:p>
      <w:pPr>
        <w:spacing w:after="0" w:line="209" w:lineRule="exact"/>
        <w:rPr>
          <w:sz w:val="20"/>
          <w:szCs w:val="20"/>
          <w:color w:val="auto"/>
        </w:rPr>
      </w:pPr>
    </w:p>
    <w:tbl>
      <w:tblPr>
        <w:tblLayout w:type="fixed"/>
        <w:tblInd w:w="1000" w:type="dxa"/>
        <w:tblCellMar>
          <w:top w:w="0" w:type="dxa"/>
          <w:left w:w="0" w:type="dxa"/>
          <w:bottom w:w="0" w:type="dxa"/>
          <w:right w:w="0" w:type="dxa"/>
        </w:tblCellMar>
      </w:tblPr>
      <w:tr>
        <w:trPr>
          <w:trHeight w:val="189"/>
        </w:trPr>
        <w:tc>
          <w:tcPr>
            <w:tcW w:w="2980" w:type="dxa"/>
            <w:vAlign w:val="bottom"/>
          </w:tcPr>
          <w:p>
            <w:pPr>
              <w:spacing w:after="0"/>
              <w:rPr>
                <w:sz w:val="16"/>
                <w:szCs w:val="16"/>
                <w:color w:val="auto"/>
              </w:rPr>
            </w:pPr>
          </w:p>
        </w:tc>
        <w:tc>
          <w:tcPr>
            <w:tcW w:w="2700" w:type="dxa"/>
            <w:vAlign w:val="bottom"/>
          </w:tcPr>
          <w:p>
            <w:pPr>
              <w:jc w:val="center"/>
              <w:ind w:left="574"/>
              <w:spacing w:after="0"/>
              <w:rPr>
                <w:sz w:val="20"/>
                <w:szCs w:val="20"/>
                <w:color w:val="auto"/>
              </w:rPr>
            </w:pPr>
            <w:r>
              <w:rPr>
                <w:rFonts w:ascii="Arial" w:cs="Arial" w:eastAsia="Arial" w:hAnsi="Arial"/>
                <w:sz w:val="16"/>
                <w:szCs w:val="16"/>
                <w:b w:val="1"/>
                <w:bCs w:val="1"/>
                <w:color w:val="1269BC"/>
              </w:rPr>
              <w:t>Aggregate</w:t>
            </w:r>
          </w:p>
        </w:tc>
        <w:tc>
          <w:tcPr>
            <w:tcW w:w="2020" w:type="dxa"/>
            <w:vAlign w:val="bottom"/>
            <w:vMerge w:val="restart"/>
          </w:tcPr>
          <w:p>
            <w:pPr>
              <w:jc w:val="center"/>
              <w:spacing w:after="0"/>
              <w:rPr>
                <w:sz w:val="20"/>
                <w:szCs w:val="20"/>
                <w:color w:val="auto"/>
              </w:rPr>
            </w:pPr>
            <w:r>
              <w:rPr>
                <w:rFonts w:ascii="Arial" w:cs="Arial" w:eastAsia="Arial" w:hAnsi="Arial"/>
                <w:sz w:val="16"/>
                <w:szCs w:val="16"/>
                <w:b w:val="1"/>
                <w:bCs w:val="1"/>
                <w:color w:val="1269BC"/>
              </w:rPr>
              <w:t>Number of</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80" w:type="dxa"/>
            <w:vAlign w:val="bottom"/>
          </w:tcPr>
          <w:p>
            <w:pPr>
              <w:spacing w:after="0"/>
              <w:rPr>
                <w:sz w:val="15"/>
                <w:szCs w:val="15"/>
                <w:color w:val="auto"/>
              </w:rPr>
            </w:pPr>
          </w:p>
        </w:tc>
        <w:tc>
          <w:tcPr>
            <w:tcW w:w="2700" w:type="dxa"/>
            <w:vAlign w:val="bottom"/>
          </w:tcPr>
          <w:p>
            <w:pPr>
              <w:jc w:val="center"/>
              <w:ind w:left="574"/>
              <w:spacing w:after="0" w:line="175" w:lineRule="exact"/>
              <w:rPr>
                <w:sz w:val="20"/>
                <w:szCs w:val="20"/>
                <w:color w:val="auto"/>
              </w:rPr>
            </w:pPr>
            <w:r>
              <w:rPr>
                <w:rFonts w:ascii="Arial" w:cs="Arial" w:eastAsia="Arial" w:hAnsi="Arial"/>
                <w:sz w:val="16"/>
                <w:szCs w:val="16"/>
                <w:b w:val="1"/>
                <w:bCs w:val="1"/>
                <w:color w:val="1269BC"/>
                <w:w w:val="99"/>
              </w:rPr>
              <w:t>Number of</w:t>
            </w:r>
          </w:p>
        </w:tc>
        <w:tc>
          <w:tcPr>
            <w:tcW w:w="2020" w:type="dxa"/>
            <w:vAlign w:val="bottom"/>
            <w:vMerge w:val="continue"/>
          </w:tcPr>
          <w:p>
            <w:pPr>
              <w:spacing w:after="0"/>
              <w:rPr>
                <w:sz w:val="15"/>
                <w:szCs w:val="15"/>
                <w:color w:val="auto"/>
              </w:rPr>
            </w:pPr>
          </w:p>
        </w:tc>
        <w:tc>
          <w:tcPr>
            <w:tcW w:w="1560" w:type="dxa"/>
            <w:vAlign w:val="bottom"/>
          </w:tcPr>
          <w:p>
            <w:pPr>
              <w:jc w:val="center"/>
              <w:ind w:left="274"/>
              <w:spacing w:after="0" w:line="175" w:lineRule="exact"/>
              <w:rPr>
                <w:sz w:val="20"/>
                <w:szCs w:val="20"/>
                <w:color w:val="auto"/>
              </w:rPr>
            </w:pPr>
            <w:r>
              <w:rPr>
                <w:rFonts w:ascii="Arial" w:cs="Arial" w:eastAsia="Arial" w:hAnsi="Arial"/>
                <w:sz w:val="16"/>
                <w:szCs w:val="16"/>
                <w:b w:val="1"/>
                <w:bCs w:val="1"/>
                <w:color w:val="1269BC"/>
              </w:rPr>
              <w:t>Aggregate</w:t>
            </w: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2700" w:type="dxa"/>
            <w:vAlign w:val="bottom"/>
          </w:tcPr>
          <w:p>
            <w:pPr>
              <w:jc w:val="center"/>
              <w:ind w:left="574"/>
              <w:spacing w:after="0"/>
              <w:rPr>
                <w:sz w:val="20"/>
                <w:szCs w:val="20"/>
                <w:color w:val="auto"/>
              </w:rPr>
            </w:pPr>
            <w:r>
              <w:rPr>
                <w:rFonts w:ascii="Arial" w:cs="Arial" w:eastAsia="Arial" w:hAnsi="Arial"/>
                <w:sz w:val="16"/>
                <w:szCs w:val="16"/>
                <w:b w:val="1"/>
                <w:bCs w:val="1"/>
                <w:color w:val="1269BC"/>
              </w:rPr>
              <w:t>Restricted Stock</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1269BC"/>
                <w:w w:val="99"/>
              </w:rPr>
              <w:t>Restricted Stock</w:t>
            </w:r>
          </w:p>
        </w:tc>
        <w:tc>
          <w:tcPr>
            <w:tcW w:w="1560" w:type="dxa"/>
            <w:vAlign w:val="bottom"/>
          </w:tcPr>
          <w:p>
            <w:pPr>
              <w:jc w:val="center"/>
              <w:ind w:left="294"/>
              <w:spacing w:after="0"/>
              <w:rPr>
                <w:sz w:val="20"/>
                <w:szCs w:val="20"/>
                <w:color w:val="auto"/>
              </w:rPr>
            </w:pPr>
            <w:r>
              <w:rPr>
                <w:rFonts w:ascii="Arial" w:cs="Arial" w:eastAsia="Arial" w:hAnsi="Arial"/>
                <w:sz w:val="16"/>
                <w:szCs w:val="16"/>
                <w:b w:val="1"/>
                <w:bCs w:val="1"/>
                <w:color w:val="1269BC"/>
              </w:rPr>
              <w:t>Number of</w:t>
            </w: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2700" w:type="dxa"/>
            <w:vAlign w:val="bottom"/>
          </w:tcPr>
          <w:p>
            <w:pPr>
              <w:jc w:val="center"/>
              <w:ind w:left="574"/>
              <w:spacing w:after="0"/>
              <w:rPr>
                <w:sz w:val="20"/>
                <w:szCs w:val="20"/>
                <w:color w:val="auto"/>
              </w:rPr>
            </w:pPr>
            <w:r>
              <w:rPr>
                <w:rFonts w:ascii="Arial" w:cs="Arial" w:eastAsia="Arial" w:hAnsi="Arial"/>
                <w:sz w:val="16"/>
                <w:szCs w:val="16"/>
                <w:b w:val="1"/>
                <w:bCs w:val="1"/>
                <w:color w:val="1269BC"/>
              </w:rPr>
              <w:t>Unit</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1269BC"/>
                <w:w w:val="96"/>
              </w:rPr>
              <w:t>Unit</w:t>
            </w:r>
          </w:p>
        </w:tc>
        <w:tc>
          <w:tcPr>
            <w:tcW w:w="1560" w:type="dxa"/>
            <w:vAlign w:val="bottom"/>
          </w:tcPr>
          <w:p>
            <w:pPr>
              <w:jc w:val="center"/>
              <w:ind w:left="274"/>
              <w:spacing w:after="0"/>
              <w:rPr>
                <w:sz w:val="20"/>
                <w:szCs w:val="20"/>
                <w:color w:val="auto"/>
              </w:rPr>
            </w:pPr>
            <w:r>
              <w:rPr>
                <w:rFonts w:ascii="Arial" w:cs="Arial" w:eastAsia="Arial" w:hAnsi="Arial"/>
                <w:sz w:val="16"/>
                <w:szCs w:val="16"/>
                <w:b w:val="1"/>
                <w:bCs w:val="1"/>
                <w:color w:val="1269BC"/>
              </w:rPr>
              <w:t>Option</w:t>
            </w: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2700" w:type="dxa"/>
            <w:vAlign w:val="bottom"/>
          </w:tcPr>
          <w:p>
            <w:pPr>
              <w:jc w:val="center"/>
              <w:ind w:left="594"/>
              <w:spacing w:after="0"/>
              <w:rPr>
                <w:sz w:val="20"/>
                <w:szCs w:val="20"/>
                <w:color w:val="auto"/>
              </w:rPr>
            </w:pPr>
            <w:r>
              <w:rPr>
                <w:rFonts w:ascii="Arial" w:cs="Arial" w:eastAsia="Arial" w:hAnsi="Arial"/>
                <w:sz w:val="16"/>
                <w:szCs w:val="16"/>
                <w:b w:val="1"/>
                <w:bCs w:val="1"/>
                <w:color w:val="1269BC"/>
              </w:rPr>
              <w:t>Awards</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1269BC"/>
              </w:rPr>
              <w:t>Awards</w:t>
            </w:r>
          </w:p>
        </w:tc>
        <w:tc>
          <w:tcPr>
            <w:tcW w:w="1560" w:type="dxa"/>
            <w:vAlign w:val="bottom"/>
          </w:tcPr>
          <w:p>
            <w:pPr>
              <w:jc w:val="center"/>
              <w:ind w:left="294"/>
              <w:spacing w:after="0"/>
              <w:rPr>
                <w:sz w:val="20"/>
                <w:szCs w:val="20"/>
                <w:color w:val="auto"/>
              </w:rPr>
            </w:pPr>
            <w:r>
              <w:rPr>
                <w:rFonts w:ascii="Arial" w:cs="Arial" w:eastAsia="Arial" w:hAnsi="Arial"/>
                <w:sz w:val="16"/>
                <w:szCs w:val="16"/>
                <w:b w:val="1"/>
                <w:bCs w:val="1"/>
                <w:color w:val="1269BC"/>
              </w:rPr>
              <w:t>Awards</w:t>
            </w: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2700" w:type="dxa"/>
            <w:vAlign w:val="bottom"/>
          </w:tcPr>
          <w:p>
            <w:pPr>
              <w:jc w:val="center"/>
              <w:ind w:left="594"/>
              <w:spacing w:after="0"/>
              <w:rPr>
                <w:sz w:val="20"/>
                <w:szCs w:val="20"/>
                <w:color w:val="auto"/>
              </w:rPr>
            </w:pPr>
            <w:r>
              <w:rPr>
                <w:rFonts w:ascii="Arial" w:cs="Arial" w:eastAsia="Arial" w:hAnsi="Arial"/>
                <w:sz w:val="16"/>
                <w:szCs w:val="16"/>
                <w:b w:val="1"/>
                <w:bCs w:val="1"/>
                <w:color w:val="1269BC"/>
              </w:rPr>
              <w:t>Outstanding at</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1269BC"/>
              </w:rPr>
              <w:t>Granted in</w:t>
            </w:r>
          </w:p>
        </w:tc>
        <w:tc>
          <w:tcPr>
            <w:tcW w:w="1560" w:type="dxa"/>
            <w:vAlign w:val="bottom"/>
          </w:tcPr>
          <w:p>
            <w:pPr>
              <w:jc w:val="center"/>
              <w:ind w:left="294"/>
              <w:spacing w:after="0"/>
              <w:rPr>
                <w:sz w:val="20"/>
                <w:szCs w:val="20"/>
                <w:color w:val="auto"/>
              </w:rPr>
            </w:pPr>
            <w:r>
              <w:rPr>
                <w:rFonts w:ascii="Arial" w:cs="Arial" w:eastAsia="Arial" w:hAnsi="Arial"/>
                <w:sz w:val="16"/>
                <w:szCs w:val="16"/>
                <w:b w:val="1"/>
                <w:bCs w:val="1"/>
                <w:color w:val="1269BC"/>
              </w:rPr>
              <w:t>Outstanding at</w:t>
            </w: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2700" w:type="dxa"/>
            <w:vAlign w:val="bottom"/>
          </w:tcPr>
          <w:p>
            <w:pPr>
              <w:jc w:val="center"/>
              <w:ind w:left="574"/>
              <w:spacing w:after="0"/>
              <w:rPr>
                <w:sz w:val="20"/>
                <w:szCs w:val="20"/>
                <w:color w:val="auto"/>
              </w:rPr>
            </w:pPr>
            <w:r>
              <w:rPr>
                <w:rFonts w:ascii="Arial" w:cs="Arial" w:eastAsia="Arial" w:hAnsi="Arial"/>
                <w:sz w:val="16"/>
                <w:szCs w:val="16"/>
                <w:b w:val="1"/>
                <w:bCs w:val="1"/>
                <w:color w:val="1269BC"/>
              </w:rPr>
              <w:t>March 28, 2020</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1269BC"/>
                <w:w w:val="99"/>
              </w:rPr>
              <w:t>FY20</w:t>
            </w:r>
          </w:p>
        </w:tc>
        <w:tc>
          <w:tcPr>
            <w:tcW w:w="1560" w:type="dxa"/>
            <w:vAlign w:val="bottom"/>
          </w:tcPr>
          <w:p>
            <w:pPr>
              <w:jc w:val="center"/>
              <w:ind w:left="294"/>
              <w:spacing w:after="0"/>
              <w:rPr>
                <w:sz w:val="20"/>
                <w:szCs w:val="20"/>
                <w:color w:val="auto"/>
              </w:rPr>
            </w:pPr>
            <w:r>
              <w:rPr>
                <w:rFonts w:ascii="Arial" w:cs="Arial" w:eastAsia="Arial" w:hAnsi="Arial"/>
                <w:sz w:val="16"/>
                <w:szCs w:val="16"/>
                <w:b w:val="1"/>
                <w:bCs w:val="1"/>
                <w:color w:val="1269BC"/>
              </w:rPr>
              <w:t>March 28, 2020</w:t>
            </w:r>
          </w:p>
        </w:tc>
        <w:tc>
          <w:tcPr>
            <w:tcW w:w="0" w:type="dxa"/>
            <w:vAlign w:val="bottom"/>
          </w:tcPr>
          <w:p>
            <w:pPr>
              <w:spacing w:after="0"/>
              <w:rPr>
                <w:sz w:val="1"/>
                <w:szCs w:val="1"/>
                <w:color w:val="auto"/>
              </w:rPr>
            </w:pPr>
          </w:p>
        </w:tc>
      </w:tr>
      <w:tr>
        <w:trPr>
          <w:trHeight w:val="221"/>
        </w:trPr>
        <w:tc>
          <w:tcPr>
            <w:tcW w:w="2980" w:type="dxa"/>
            <w:vAlign w:val="bottom"/>
            <w:tcBorders>
              <w:bottom w:val="single" w:sz="8" w:color="1269BC"/>
            </w:tcBorders>
          </w:tcPr>
          <w:p>
            <w:pPr>
              <w:ind w:left="100"/>
              <w:spacing w:after="0"/>
              <w:rPr>
                <w:sz w:val="20"/>
                <w:szCs w:val="20"/>
                <w:color w:val="auto"/>
              </w:rPr>
            </w:pPr>
            <w:r>
              <w:rPr>
                <w:rFonts w:ascii="Arial" w:cs="Arial" w:eastAsia="Arial" w:hAnsi="Arial"/>
                <w:sz w:val="16"/>
                <w:szCs w:val="16"/>
                <w:b w:val="1"/>
                <w:bCs w:val="1"/>
                <w:color w:val="1269BC"/>
              </w:rPr>
              <w:t>Name</w:t>
            </w:r>
          </w:p>
        </w:tc>
        <w:tc>
          <w:tcPr>
            <w:tcW w:w="2700" w:type="dxa"/>
            <w:vAlign w:val="bottom"/>
            <w:tcBorders>
              <w:bottom w:val="single" w:sz="8" w:color="1269BC"/>
            </w:tcBorders>
          </w:tcPr>
          <w:p>
            <w:pPr>
              <w:jc w:val="center"/>
              <w:ind w:left="574"/>
              <w:spacing w:after="0"/>
              <w:rPr>
                <w:sz w:val="20"/>
                <w:szCs w:val="20"/>
                <w:color w:val="auto"/>
              </w:rPr>
            </w:pPr>
            <w:r>
              <w:rPr>
                <w:rFonts w:ascii="Arial" w:cs="Arial" w:eastAsia="Arial" w:hAnsi="Arial"/>
                <w:sz w:val="16"/>
                <w:szCs w:val="16"/>
                <w:b w:val="1"/>
                <w:bCs w:val="1"/>
                <w:color w:val="1269BC"/>
              </w:rPr>
              <w:t>(#)</w:t>
            </w:r>
          </w:p>
        </w:tc>
        <w:tc>
          <w:tcPr>
            <w:tcW w:w="2020" w:type="dxa"/>
            <w:vAlign w:val="bottom"/>
            <w:tcBorders>
              <w:bottom w:val="single" w:sz="8" w:color="1269BC"/>
            </w:tcBorders>
          </w:tcPr>
          <w:p>
            <w:pPr>
              <w:jc w:val="right"/>
              <w:ind w:right="834"/>
              <w:spacing w:after="0"/>
              <w:rPr>
                <w:sz w:val="20"/>
                <w:szCs w:val="20"/>
                <w:color w:val="auto"/>
              </w:rPr>
            </w:pPr>
            <w:r>
              <w:rPr>
                <w:rFonts w:ascii="Arial" w:cs="Arial" w:eastAsia="Arial" w:hAnsi="Arial"/>
                <w:sz w:val="16"/>
                <w:szCs w:val="16"/>
                <w:b w:val="1"/>
                <w:bCs w:val="1"/>
                <w:color w:val="1269BC"/>
              </w:rPr>
              <w:t>(#)</w:t>
            </w:r>
          </w:p>
        </w:tc>
        <w:tc>
          <w:tcPr>
            <w:tcW w:w="1560" w:type="dxa"/>
            <w:vAlign w:val="bottom"/>
            <w:tcBorders>
              <w:bottom w:val="single" w:sz="8" w:color="1269BC"/>
            </w:tcBorders>
          </w:tcPr>
          <w:p>
            <w:pPr>
              <w:jc w:val="center"/>
              <w:ind w:left="274"/>
              <w:spacing w:after="0"/>
              <w:rPr>
                <w:sz w:val="20"/>
                <w:szCs w:val="20"/>
                <w:color w:val="auto"/>
              </w:rPr>
            </w:pPr>
            <w:r>
              <w:rPr>
                <w:rFonts w:ascii="Arial" w:cs="Arial" w:eastAsia="Arial" w:hAnsi="Arial"/>
                <w:sz w:val="16"/>
                <w:szCs w:val="16"/>
                <w:b w:val="1"/>
                <w:bCs w:val="1"/>
                <w:color w:val="1269BC"/>
              </w:rPr>
              <w:t>(#)</w:t>
            </w:r>
          </w:p>
        </w:tc>
        <w:tc>
          <w:tcPr>
            <w:tcW w:w="0" w:type="dxa"/>
            <w:vAlign w:val="bottom"/>
          </w:tcPr>
          <w:p>
            <w:pPr>
              <w:spacing w:after="0"/>
              <w:rPr>
                <w:sz w:val="1"/>
                <w:szCs w:val="1"/>
                <w:color w:val="auto"/>
              </w:rPr>
            </w:pPr>
          </w:p>
        </w:tc>
      </w:tr>
      <w:tr>
        <w:trPr>
          <w:trHeight w:val="210"/>
        </w:trPr>
        <w:tc>
          <w:tcPr>
            <w:tcW w:w="2980" w:type="dxa"/>
            <w:vAlign w:val="bottom"/>
            <w:vMerge w:val="restart"/>
            <w:shd w:val="clear" w:color="auto" w:fill="C3D9EE"/>
          </w:tcPr>
          <w:p>
            <w:pPr>
              <w:ind w:left="100"/>
              <w:spacing w:after="0"/>
              <w:rPr>
                <w:sz w:val="20"/>
                <w:szCs w:val="20"/>
                <w:color w:val="auto"/>
              </w:rPr>
            </w:pPr>
            <w:r>
              <w:rPr>
                <w:rFonts w:ascii="Arial" w:cs="Arial" w:eastAsia="Arial" w:hAnsi="Arial"/>
                <w:sz w:val="18"/>
                <w:szCs w:val="18"/>
                <w:color w:val="auto"/>
              </w:rPr>
              <w:t>Daniel A. DiLeo</w:t>
            </w:r>
          </w:p>
        </w:tc>
        <w:tc>
          <w:tcPr>
            <w:tcW w:w="2700" w:type="dxa"/>
            <w:vAlign w:val="bottom"/>
            <w:shd w:val="clear" w:color="auto" w:fill="C3D9EE"/>
          </w:tcPr>
          <w:p>
            <w:pPr>
              <w:jc w:val="right"/>
              <w:ind w:right="494"/>
              <w:spacing w:after="0"/>
              <w:rPr>
                <w:sz w:val="20"/>
                <w:szCs w:val="20"/>
                <w:color w:val="auto"/>
              </w:rPr>
            </w:pPr>
            <w:r>
              <w:rPr>
                <w:rFonts w:ascii="Arial" w:cs="Arial" w:eastAsia="Arial" w:hAnsi="Arial"/>
                <w:sz w:val="18"/>
                <w:szCs w:val="18"/>
                <w:color w:val="auto"/>
              </w:rPr>
              <w:t>–</w:t>
            </w:r>
          </w:p>
        </w:tc>
        <w:tc>
          <w:tcPr>
            <w:tcW w:w="2020" w:type="dxa"/>
            <w:vAlign w:val="bottom"/>
            <w:shd w:val="clear" w:color="auto" w:fill="C3D9EE"/>
          </w:tcPr>
          <w:p>
            <w:pPr>
              <w:jc w:val="right"/>
              <w:ind w:right="514"/>
              <w:spacing w:after="0"/>
              <w:rPr>
                <w:sz w:val="20"/>
                <w:szCs w:val="20"/>
                <w:color w:val="auto"/>
              </w:rPr>
            </w:pPr>
            <w:r>
              <w:rPr>
                <w:rFonts w:ascii="Arial" w:cs="Arial" w:eastAsia="Arial" w:hAnsi="Arial"/>
                <w:sz w:val="18"/>
                <w:szCs w:val="18"/>
                <w:color w:val="auto"/>
              </w:rPr>
              <w:t>–</w:t>
            </w:r>
          </w:p>
        </w:tc>
        <w:tc>
          <w:tcPr>
            <w:tcW w:w="1560" w:type="dxa"/>
            <w:vAlign w:val="bottom"/>
            <w:shd w:val="clear" w:color="auto" w:fill="C3D9EE"/>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2980" w:type="dxa"/>
            <w:vAlign w:val="bottom"/>
            <w:vMerge w:val="continue"/>
            <w:shd w:val="clear" w:color="auto" w:fill="C3D9EE"/>
          </w:tcPr>
          <w:p>
            <w:pPr>
              <w:spacing w:after="0"/>
              <w:rPr>
                <w:sz w:val="5"/>
                <w:szCs w:val="5"/>
                <w:color w:val="auto"/>
              </w:rPr>
            </w:pPr>
          </w:p>
        </w:tc>
        <w:tc>
          <w:tcPr>
            <w:tcW w:w="2700" w:type="dxa"/>
            <w:vAlign w:val="bottom"/>
            <w:shd w:val="clear" w:color="auto" w:fill="C3D9EE"/>
          </w:tcPr>
          <w:p>
            <w:pPr>
              <w:spacing w:after="0"/>
              <w:rPr>
                <w:sz w:val="5"/>
                <w:szCs w:val="5"/>
                <w:color w:val="auto"/>
              </w:rPr>
            </w:pPr>
          </w:p>
        </w:tc>
        <w:tc>
          <w:tcPr>
            <w:tcW w:w="2020" w:type="dxa"/>
            <w:vAlign w:val="bottom"/>
            <w:shd w:val="clear" w:color="auto" w:fill="C3D9EE"/>
          </w:tcPr>
          <w:p>
            <w:pPr>
              <w:spacing w:after="0"/>
              <w:rPr>
                <w:sz w:val="5"/>
                <w:szCs w:val="5"/>
                <w:color w:val="auto"/>
              </w:rPr>
            </w:pPr>
          </w:p>
        </w:tc>
        <w:tc>
          <w:tcPr>
            <w:tcW w:w="1560" w:type="dxa"/>
            <w:vAlign w:val="bottom"/>
            <w:shd w:val="clear" w:color="auto" w:fill="C3D9E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980" w:type="dxa"/>
            <w:vAlign w:val="bottom"/>
            <w:shd w:val="clear" w:color="auto" w:fill="C3D9EE"/>
          </w:tcPr>
          <w:p>
            <w:pPr>
              <w:spacing w:after="0"/>
              <w:rPr>
                <w:sz w:val="5"/>
                <w:szCs w:val="5"/>
                <w:color w:val="auto"/>
              </w:rPr>
            </w:pPr>
          </w:p>
        </w:tc>
        <w:tc>
          <w:tcPr>
            <w:tcW w:w="2700" w:type="dxa"/>
            <w:vAlign w:val="bottom"/>
            <w:shd w:val="clear" w:color="auto" w:fill="C3D9EE"/>
          </w:tcPr>
          <w:p>
            <w:pPr>
              <w:spacing w:after="0"/>
              <w:rPr>
                <w:sz w:val="5"/>
                <w:szCs w:val="5"/>
                <w:color w:val="auto"/>
              </w:rPr>
            </w:pPr>
          </w:p>
        </w:tc>
        <w:tc>
          <w:tcPr>
            <w:tcW w:w="2020" w:type="dxa"/>
            <w:vAlign w:val="bottom"/>
            <w:shd w:val="clear" w:color="auto" w:fill="C3D9EE"/>
          </w:tcPr>
          <w:p>
            <w:pPr>
              <w:spacing w:after="0"/>
              <w:rPr>
                <w:sz w:val="5"/>
                <w:szCs w:val="5"/>
                <w:color w:val="auto"/>
              </w:rPr>
            </w:pPr>
          </w:p>
        </w:tc>
        <w:tc>
          <w:tcPr>
            <w:tcW w:w="1560" w:type="dxa"/>
            <w:vAlign w:val="bottom"/>
            <w:shd w:val="clear" w:color="auto" w:fill="C3D9E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2980" w:type="dxa"/>
            <w:vAlign w:val="bottom"/>
            <w:vMerge w:val="restart"/>
          </w:tcPr>
          <w:p>
            <w:pPr>
              <w:ind w:left="100"/>
              <w:spacing w:after="0"/>
              <w:rPr>
                <w:sz w:val="20"/>
                <w:szCs w:val="20"/>
                <w:color w:val="auto"/>
              </w:rPr>
            </w:pPr>
            <w:r>
              <w:rPr>
                <w:rFonts w:ascii="Arial" w:cs="Arial" w:eastAsia="Arial" w:hAnsi="Arial"/>
                <w:sz w:val="18"/>
                <w:szCs w:val="18"/>
                <w:color w:val="auto"/>
              </w:rPr>
              <w:t>Jeffery R. Gardner</w:t>
            </w:r>
          </w:p>
        </w:tc>
        <w:tc>
          <w:tcPr>
            <w:tcW w:w="2700" w:type="dxa"/>
            <w:vAlign w:val="bottom"/>
          </w:tcPr>
          <w:p>
            <w:pPr>
              <w:jc w:val="right"/>
              <w:ind w:right="494"/>
              <w:spacing w:after="0"/>
              <w:rPr>
                <w:sz w:val="20"/>
                <w:szCs w:val="20"/>
                <w:color w:val="auto"/>
              </w:rPr>
            </w:pPr>
            <w:r>
              <w:rPr>
                <w:rFonts w:ascii="Arial" w:cs="Arial" w:eastAsia="Arial" w:hAnsi="Arial"/>
                <w:sz w:val="18"/>
                <w:szCs w:val="18"/>
                <w:color w:val="auto"/>
              </w:rPr>
              <w:t>2,935</w:t>
            </w:r>
          </w:p>
        </w:tc>
        <w:tc>
          <w:tcPr>
            <w:tcW w:w="2020" w:type="dxa"/>
            <w:vAlign w:val="bottom"/>
          </w:tcPr>
          <w:p>
            <w:pPr>
              <w:jc w:val="right"/>
              <w:ind w:right="514"/>
              <w:spacing w:after="0"/>
              <w:rPr>
                <w:sz w:val="20"/>
                <w:szCs w:val="20"/>
                <w:color w:val="auto"/>
              </w:rPr>
            </w:pPr>
            <w:r>
              <w:rPr>
                <w:rFonts w:ascii="Arial" w:cs="Arial" w:eastAsia="Arial" w:hAnsi="Arial"/>
                <w:sz w:val="18"/>
                <w:szCs w:val="18"/>
                <w:color w:val="auto"/>
              </w:rPr>
              <w:t>2,935</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2980" w:type="dxa"/>
            <w:vAlign w:val="bottom"/>
            <w:vMerge w:val="continue"/>
          </w:tcPr>
          <w:p>
            <w:pPr>
              <w:spacing w:after="0"/>
              <w:rPr>
                <w:sz w:val="5"/>
                <w:szCs w:val="5"/>
                <w:color w:val="auto"/>
              </w:rPr>
            </w:pPr>
          </w:p>
        </w:tc>
        <w:tc>
          <w:tcPr>
            <w:tcW w:w="270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980" w:type="dxa"/>
            <w:vAlign w:val="bottom"/>
          </w:tcPr>
          <w:p>
            <w:pPr>
              <w:spacing w:after="0"/>
              <w:rPr>
                <w:sz w:val="5"/>
                <w:szCs w:val="5"/>
                <w:color w:val="auto"/>
              </w:rPr>
            </w:pPr>
          </w:p>
        </w:tc>
        <w:tc>
          <w:tcPr>
            <w:tcW w:w="270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2980" w:type="dxa"/>
            <w:vAlign w:val="bottom"/>
            <w:vMerge w:val="restart"/>
            <w:shd w:val="clear" w:color="auto" w:fill="C3D9EE"/>
          </w:tcPr>
          <w:p>
            <w:pPr>
              <w:ind w:left="100"/>
              <w:spacing w:after="0"/>
              <w:rPr>
                <w:sz w:val="20"/>
                <w:szCs w:val="20"/>
                <w:color w:val="auto"/>
              </w:rPr>
            </w:pPr>
            <w:r>
              <w:rPr>
                <w:rFonts w:ascii="Arial" w:cs="Arial" w:eastAsia="Arial" w:hAnsi="Arial"/>
                <w:sz w:val="18"/>
                <w:szCs w:val="18"/>
                <w:color w:val="auto"/>
              </w:rPr>
              <w:t>Charles S. Gibson</w:t>
            </w:r>
          </w:p>
        </w:tc>
        <w:tc>
          <w:tcPr>
            <w:tcW w:w="2700" w:type="dxa"/>
            <w:vAlign w:val="bottom"/>
            <w:shd w:val="clear" w:color="auto" w:fill="C3D9EE"/>
          </w:tcPr>
          <w:p>
            <w:pPr>
              <w:jc w:val="right"/>
              <w:ind w:right="494"/>
              <w:spacing w:after="0"/>
              <w:rPr>
                <w:sz w:val="20"/>
                <w:szCs w:val="20"/>
                <w:color w:val="auto"/>
              </w:rPr>
            </w:pPr>
            <w:r>
              <w:rPr>
                <w:rFonts w:ascii="Arial" w:cs="Arial" w:eastAsia="Arial" w:hAnsi="Arial"/>
                <w:sz w:val="18"/>
                <w:szCs w:val="18"/>
                <w:color w:val="auto"/>
              </w:rPr>
              <w:t>–</w:t>
            </w:r>
          </w:p>
        </w:tc>
        <w:tc>
          <w:tcPr>
            <w:tcW w:w="2020" w:type="dxa"/>
            <w:vAlign w:val="bottom"/>
            <w:shd w:val="clear" w:color="auto" w:fill="C3D9EE"/>
          </w:tcPr>
          <w:p>
            <w:pPr>
              <w:jc w:val="right"/>
              <w:ind w:right="514"/>
              <w:spacing w:after="0"/>
              <w:rPr>
                <w:sz w:val="20"/>
                <w:szCs w:val="20"/>
                <w:color w:val="auto"/>
              </w:rPr>
            </w:pPr>
            <w:r>
              <w:rPr>
                <w:rFonts w:ascii="Arial" w:cs="Arial" w:eastAsia="Arial" w:hAnsi="Arial"/>
                <w:sz w:val="18"/>
                <w:szCs w:val="18"/>
                <w:color w:val="auto"/>
              </w:rPr>
              <w:t>–</w:t>
            </w:r>
          </w:p>
        </w:tc>
        <w:tc>
          <w:tcPr>
            <w:tcW w:w="1560" w:type="dxa"/>
            <w:vAlign w:val="bottom"/>
            <w:shd w:val="clear" w:color="auto" w:fill="C3D9EE"/>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2980" w:type="dxa"/>
            <w:vAlign w:val="bottom"/>
            <w:vMerge w:val="continue"/>
            <w:shd w:val="clear" w:color="auto" w:fill="C3D9EE"/>
          </w:tcPr>
          <w:p>
            <w:pPr>
              <w:spacing w:after="0"/>
              <w:rPr>
                <w:sz w:val="5"/>
                <w:szCs w:val="5"/>
                <w:color w:val="auto"/>
              </w:rPr>
            </w:pPr>
          </w:p>
        </w:tc>
        <w:tc>
          <w:tcPr>
            <w:tcW w:w="2700" w:type="dxa"/>
            <w:vAlign w:val="bottom"/>
            <w:shd w:val="clear" w:color="auto" w:fill="C3D9EE"/>
          </w:tcPr>
          <w:p>
            <w:pPr>
              <w:spacing w:after="0"/>
              <w:rPr>
                <w:sz w:val="5"/>
                <w:szCs w:val="5"/>
                <w:color w:val="auto"/>
              </w:rPr>
            </w:pPr>
          </w:p>
        </w:tc>
        <w:tc>
          <w:tcPr>
            <w:tcW w:w="2020" w:type="dxa"/>
            <w:vAlign w:val="bottom"/>
            <w:shd w:val="clear" w:color="auto" w:fill="C3D9EE"/>
          </w:tcPr>
          <w:p>
            <w:pPr>
              <w:spacing w:after="0"/>
              <w:rPr>
                <w:sz w:val="5"/>
                <w:szCs w:val="5"/>
                <w:color w:val="auto"/>
              </w:rPr>
            </w:pPr>
          </w:p>
        </w:tc>
        <w:tc>
          <w:tcPr>
            <w:tcW w:w="1560" w:type="dxa"/>
            <w:vAlign w:val="bottom"/>
            <w:shd w:val="clear" w:color="auto" w:fill="C3D9E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980" w:type="dxa"/>
            <w:vAlign w:val="bottom"/>
            <w:shd w:val="clear" w:color="auto" w:fill="C3D9EE"/>
          </w:tcPr>
          <w:p>
            <w:pPr>
              <w:spacing w:after="0"/>
              <w:rPr>
                <w:sz w:val="5"/>
                <w:szCs w:val="5"/>
                <w:color w:val="auto"/>
              </w:rPr>
            </w:pPr>
          </w:p>
        </w:tc>
        <w:tc>
          <w:tcPr>
            <w:tcW w:w="2700" w:type="dxa"/>
            <w:vAlign w:val="bottom"/>
            <w:shd w:val="clear" w:color="auto" w:fill="C3D9EE"/>
          </w:tcPr>
          <w:p>
            <w:pPr>
              <w:spacing w:after="0"/>
              <w:rPr>
                <w:sz w:val="5"/>
                <w:szCs w:val="5"/>
                <w:color w:val="auto"/>
              </w:rPr>
            </w:pPr>
          </w:p>
        </w:tc>
        <w:tc>
          <w:tcPr>
            <w:tcW w:w="2020" w:type="dxa"/>
            <w:vAlign w:val="bottom"/>
            <w:shd w:val="clear" w:color="auto" w:fill="C3D9EE"/>
          </w:tcPr>
          <w:p>
            <w:pPr>
              <w:spacing w:after="0"/>
              <w:rPr>
                <w:sz w:val="5"/>
                <w:szCs w:val="5"/>
                <w:color w:val="auto"/>
              </w:rPr>
            </w:pPr>
          </w:p>
        </w:tc>
        <w:tc>
          <w:tcPr>
            <w:tcW w:w="1560" w:type="dxa"/>
            <w:vAlign w:val="bottom"/>
            <w:shd w:val="clear" w:color="auto" w:fill="C3D9E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2980" w:type="dxa"/>
            <w:vAlign w:val="bottom"/>
            <w:vMerge w:val="restart"/>
          </w:tcPr>
          <w:p>
            <w:pPr>
              <w:ind w:left="100"/>
              <w:spacing w:after="0"/>
              <w:rPr>
                <w:sz w:val="20"/>
                <w:szCs w:val="20"/>
                <w:color w:val="auto"/>
              </w:rPr>
            </w:pPr>
            <w:r>
              <w:rPr>
                <w:rFonts w:ascii="Arial" w:cs="Arial" w:eastAsia="Arial" w:hAnsi="Arial"/>
                <w:sz w:val="18"/>
                <w:szCs w:val="18"/>
                <w:color w:val="auto"/>
              </w:rPr>
              <w:t>John R. Harding</w:t>
            </w:r>
          </w:p>
        </w:tc>
        <w:tc>
          <w:tcPr>
            <w:tcW w:w="2700" w:type="dxa"/>
            <w:vAlign w:val="bottom"/>
          </w:tcPr>
          <w:p>
            <w:pPr>
              <w:jc w:val="right"/>
              <w:ind w:right="494"/>
              <w:spacing w:after="0"/>
              <w:rPr>
                <w:sz w:val="20"/>
                <w:szCs w:val="20"/>
                <w:color w:val="auto"/>
              </w:rPr>
            </w:pPr>
            <w:r>
              <w:rPr>
                <w:rFonts w:ascii="Arial" w:cs="Arial" w:eastAsia="Arial" w:hAnsi="Arial"/>
                <w:sz w:val="18"/>
                <w:szCs w:val="18"/>
                <w:color w:val="auto"/>
              </w:rPr>
              <w:t>2,935</w:t>
            </w:r>
          </w:p>
        </w:tc>
        <w:tc>
          <w:tcPr>
            <w:tcW w:w="2020" w:type="dxa"/>
            <w:vAlign w:val="bottom"/>
          </w:tcPr>
          <w:p>
            <w:pPr>
              <w:jc w:val="right"/>
              <w:ind w:right="514"/>
              <w:spacing w:after="0"/>
              <w:rPr>
                <w:sz w:val="20"/>
                <w:szCs w:val="20"/>
                <w:color w:val="auto"/>
              </w:rPr>
            </w:pPr>
            <w:r>
              <w:rPr>
                <w:rFonts w:ascii="Arial" w:cs="Arial" w:eastAsia="Arial" w:hAnsi="Arial"/>
                <w:sz w:val="18"/>
                <w:szCs w:val="18"/>
                <w:color w:val="auto"/>
              </w:rPr>
              <w:t>2,935</w:t>
            </w:r>
          </w:p>
        </w:tc>
        <w:tc>
          <w:tcPr>
            <w:tcW w:w="1560" w:type="dxa"/>
            <w:vAlign w:val="bottom"/>
          </w:tcPr>
          <w:p>
            <w:pPr>
              <w:jc w:val="right"/>
              <w:spacing w:after="0"/>
              <w:rPr>
                <w:sz w:val="20"/>
                <w:szCs w:val="20"/>
                <w:color w:val="auto"/>
              </w:rPr>
            </w:pPr>
            <w:r>
              <w:rPr>
                <w:rFonts w:ascii="Arial" w:cs="Arial" w:eastAsia="Arial" w:hAnsi="Arial"/>
                <w:sz w:val="18"/>
                <w:szCs w:val="18"/>
                <w:color w:val="auto"/>
              </w:rPr>
              <w:t>7,850</w:t>
            </w:r>
          </w:p>
        </w:tc>
        <w:tc>
          <w:tcPr>
            <w:tcW w:w="0" w:type="dxa"/>
            <w:vAlign w:val="bottom"/>
          </w:tcPr>
          <w:p>
            <w:pPr>
              <w:spacing w:after="0"/>
              <w:rPr>
                <w:sz w:val="1"/>
                <w:szCs w:val="1"/>
                <w:color w:val="auto"/>
              </w:rPr>
            </w:pPr>
          </w:p>
        </w:tc>
      </w:tr>
      <w:tr>
        <w:trPr>
          <w:trHeight w:val="67"/>
        </w:trPr>
        <w:tc>
          <w:tcPr>
            <w:tcW w:w="2980" w:type="dxa"/>
            <w:vAlign w:val="bottom"/>
            <w:vMerge w:val="continue"/>
          </w:tcPr>
          <w:p>
            <w:pPr>
              <w:spacing w:after="0"/>
              <w:rPr>
                <w:sz w:val="5"/>
                <w:szCs w:val="5"/>
                <w:color w:val="auto"/>
              </w:rPr>
            </w:pPr>
          </w:p>
        </w:tc>
        <w:tc>
          <w:tcPr>
            <w:tcW w:w="270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980" w:type="dxa"/>
            <w:vAlign w:val="bottom"/>
          </w:tcPr>
          <w:p>
            <w:pPr>
              <w:spacing w:after="0"/>
              <w:rPr>
                <w:sz w:val="5"/>
                <w:szCs w:val="5"/>
                <w:color w:val="auto"/>
              </w:rPr>
            </w:pPr>
          </w:p>
        </w:tc>
        <w:tc>
          <w:tcPr>
            <w:tcW w:w="270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2980" w:type="dxa"/>
            <w:vAlign w:val="bottom"/>
            <w:vMerge w:val="restart"/>
            <w:shd w:val="clear" w:color="auto" w:fill="C3D9EE"/>
          </w:tcPr>
          <w:p>
            <w:pPr>
              <w:ind w:left="100"/>
              <w:spacing w:after="0"/>
              <w:rPr>
                <w:sz w:val="20"/>
                <w:szCs w:val="20"/>
                <w:color w:val="auto"/>
              </w:rPr>
            </w:pPr>
            <w:r>
              <w:rPr>
                <w:rFonts w:ascii="Arial" w:cs="Arial" w:eastAsia="Arial" w:hAnsi="Arial"/>
                <w:sz w:val="18"/>
                <w:szCs w:val="18"/>
                <w:color w:val="auto"/>
              </w:rPr>
              <w:t>David H. Y. Ho</w:t>
            </w:r>
          </w:p>
        </w:tc>
        <w:tc>
          <w:tcPr>
            <w:tcW w:w="2700" w:type="dxa"/>
            <w:vAlign w:val="bottom"/>
            <w:shd w:val="clear" w:color="auto" w:fill="C3D9EE"/>
          </w:tcPr>
          <w:p>
            <w:pPr>
              <w:jc w:val="right"/>
              <w:ind w:right="494"/>
              <w:spacing w:after="0"/>
              <w:rPr>
                <w:sz w:val="20"/>
                <w:szCs w:val="20"/>
                <w:color w:val="auto"/>
              </w:rPr>
            </w:pPr>
            <w:r>
              <w:rPr>
                <w:rFonts w:ascii="Arial" w:cs="Arial" w:eastAsia="Arial" w:hAnsi="Arial"/>
                <w:sz w:val="18"/>
                <w:szCs w:val="18"/>
                <w:color w:val="auto"/>
              </w:rPr>
              <w:t>2,935</w:t>
            </w:r>
          </w:p>
        </w:tc>
        <w:tc>
          <w:tcPr>
            <w:tcW w:w="2020" w:type="dxa"/>
            <w:vAlign w:val="bottom"/>
            <w:shd w:val="clear" w:color="auto" w:fill="C3D9EE"/>
          </w:tcPr>
          <w:p>
            <w:pPr>
              <w:jc w:val="right"/>
              <w:ind w:right="514"/>
              <w:spacing w:after="0"/>
              <w:rPr>
                <w:sz w:val="20"/>
                <w:szCs w:val="20"/>
                <w:color w:val="auto"/>
              </w:rPr>
            </w:pPr>
            <w:r>
              <w:rPr>
                <w:rFonts w:ascii="Arial" w:cs="Arial" w:eastAsia="Arial" w:hAnsi="Arial"/>
                <w:sz w:val="18"/>
                <w:szCs w:val="18"/>
                <w:color w:val="auto"/>
              </w:rPr>
              <w:t>2,935</w:t>
            </w:r>
          </w:p>
        </w:tc>
        <w:tc>
          <w:tcPr>
            <w:tcW w:w="1560" w:type="dxa"/>
            <w:vAlign w:val="bottom"/>
            <w:shd w:val="clear" w:color="auto" w:fill="C3D9EE"/>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2980" w:type="dxa"/>
            <w:vAlign w:val="bottom"/>
            <w:vMerge w:val="continue"/>
            <w:shd w:val="clear" w:color="auto" w:fill="C3D9EE"/>
          </w:tcPr>
          <w:p>
            <w:pPr>
              <w:spacing w:after="0"/>
              <w:rPr>
                <w:sz w:val="5"/>
                <w:szCs w:val="5"/>
                <w:color w:val="auto"/>
              </w:rPr>
            </w:pPr>
          </w:p>
        </w:tc>
        <w:tc>
          <w:tcPr>
            <w:tcW w:w="2700" w:type="dxa"/>
            <w:vAlign w:val="bottom"/>
            <w:shd w:val="clear" w:color="auto" w:fill="C3D9EE"/>
          </w:tcPr>
          <w:p>
            <w:pPr>
              <w:spacing w:after="0"/>
              <w:rPr>
                <w:sz w:val="5"/>
                <w:szCs w:val="5"/>
                <w:color w:val="auto"/>
              </w:rPr>
            </w:pPr>
          </w:p>
        </w:tc>
        <w:tc>
          <w:tcPr>
            <w:tcW w:w="2020" w:type="dxa"/>
            <w:vAlign w:val="bottom"/>
            <w:shd w:val="clear" w:color="auto" w:fill="C3D9EE"/>
          </w:tcPr>
          <w:p>
            <w:pPr>
              <w:spacing w:after="0"/>
              <w:rPr>
                <w:sz w:val="5"/>
                <w:szCs w:val="5"/>
                <w:color w:val="auto"/>
              </w:rPr>
            </w:pPr>
          </w:p>
        </w:tc>
        <w:tc>
          <w:tcPr>
            <w:tcW w:w="1560" w:type="dxa"/>
            <w:vAlign w:val="bottom"/>
            <w:shd w:val="clear" w:color="auto" w:fill="C3D9E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980" w:type="dxa"/>
            <w:vAlign w:val="bottom"/>
            <w:shd w:val="clear" w:color="auto" w:fill="C3D9EE"/>
          </w:tcPr>
          <w:p>
            <w:pPr>
              <w:spacing w:after="0"/>
              <w:rPr>
                <w:sz w:val="5"/>
                <w:szCs w:val="5"/>
                <w:color w:val="auto"/>
              </w:rPr>
            </w:pPr>
          </w:p>
        </w:tc>
        <w:tc>
          <w:tcPr>
            <w:tcW w:w="2700" w:type="dxa"/>
            <w:vAlign w:val="bottom"/>
            <w:shd w:val="clear" w:color="auto" w:fill="C3D9EE"/>
          </w:tcPr>
          <w:p>
            <w:pPr>
              <w:spacing w:after="0"/>
              <w:rPr>
                <w:sz w:val="5"/>
                <w:szCs w:val="5"/>
                <w:color w:val="auto"/>
              </w:rPr>
            </w:pPr>
          </w:p>
        </w:tc>
        <w:tc>
          <w:tcPr>
            <w:tcW w:w="2020" w:type="dxa"/>
            <w:vAlign w:val="bottom"/>
            <w:shd w:val="clear" w:color="auto" w:fill="C3D9EE"/>
          </w:tcPr>
          <w:p>
            <w:pPr>
              <w:spacing w:after="0"/>
              <w:rPr>
                <w:sz w:val="5"/>
                <w:szCs w:val="5"/>
                <w:color w:val="auto"/>
              </w:rPr>
            </w:pPr>
          </w:p>
        </w:tc>
        <w:tc>
          <w:tcPr>
            <w:tcW w:w="1560" w:type="dxa"/>
            <w:vAlign w:val="bottom"/>
            <w:shd w:val="clear" w:color="auto" w:fill="C3D9E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2980" w:type="dxa"/>
            <w:vAlign w:val="bottom"/>
            <w:vMerge w:val="restart"/>
          </w:tcPr>
          <w:p>
            <w:pPr>
              <w:ind w:left="100"/>
              <w:spacing w:after="0"/>
              <w:rPr>
                <w:sz w:val="20"/>
                <w:szCs w:val="20"/>
                <w:color w:val="auto"/>
              </w:rPr>
            </w:pPr>
            <w:r>
              <w:rPr>
                <w:rFonts w:ascii="Arial" w:cs="Arial" w:eastAsia="Arial" w:hAnsi="Arial"/>
                <w:sz w:val="18"/>
                <w:szCs w:val="18"/>
                <w:color w:val="auto"/>
              </w:rPr>
              <w:t>Roderick D. Nelson</w:t>
            </w:r>
          </w:p>
        </w:tc>
        <w:tc>
          <w:tcPr>
            <w:tcW w:w="2700" w:type="dxa"/>
            <w:vAlign w:val="bottom"/>
          </w:tcPr>
          <w:p>
            <w:pPr>
              <w:jc w:val="right"/>
              <w:ind w:right="494"/>
              <w:spacing w:after="0"/>
              <w:rPr>
                <w:sz w:val="20"/>
                <w:szCs w:val="20"/>
                <w:color w:val="auto"/>
              </w:rPr>
            </w:pPr>
            <w:r>
              <w:rPr>
                <w:rFonts w:ascii="Arial" w:cs="Arial" w:eastAsia="Arial" w:hAnsi="Arial"/>
                <w:sz w:val="18"/>
                <w:szCs w:val="18"/>
                <w:color w:val="auto"/>
              </w:rPr>
              <w:t>2,935</w:t>
            </w:r>
          </w:p>
        </w:tc>
        <w:tc>
          <w:tcPr>
            <w:tcW w:w="2020" w:type="dxa"/>
            <w:vAlign w:val="bottom"/>
          </w:tcPr>
          <w:p>
            <w:pPr>
              <w:jc w:val="right"/>
              <w:ind w:right="514"/>
              <w:spacing w:after="0"/>
              <w:rPr>
                <w:sz w:val="20"/>
                <w:szCs w:val="20"/>
                <w:color w:val="auto"/>
              </w:rPr>
            </w:pPr>
            <w:r>
              <w:rPr>
                <w:rFonts w:ascii="Arial" w:cs="Arial" w:eastAsia="Arial" w:hAnsi="Arial"/>
                <w:sz w:val="18"/>
                <w:szCs w:val="18"/>
                <w:color w:val="auto"/>
              </w:rPr>
              <w:t>2,935</w:t>
            </w:r>
          </w:p>
        </w:tc>
        <w:tc>
          <w:tcPr>
            <w:tcW w:w="1560" w:type="dxa"/>
            <w:vAlign w:val="bottom"/>
          </w:tcPr>
          <w:p>
            <w:pPr>
              <w:jc w:val="right"/>
              <w:spacing w:after="0"/>
              <w:rPr>
                <w:sz w:val="20"/>
                <w:szCs w:val="20"/>
                <w:color w:val="auto"/>
              </w:rPr>
            </w:pPr>
            <w:r>
              <w:rPr>
                <w:rFonts w:ascii="Arial" w:cs="Arial" w:eastAsia="Arial" w:hAnsi="Arial"/>
                <w:sz w:val="18"/>
                <w:szCs w:val="18"/>
                <w:color w:val="auto"/>
              </w:rPr>
              <w:t>17,796</w:t>
            </w:r>
          </w:p>
        </w:tc>
        <w:tc>
          <w:tcPr>
            <w:tcW w:w="0" w:type="dxa"/>
            <w:vAlign w:val="bottom"/>
          </w:tcPr>
          <w:p>
            <w:pPr>
              <w:spacing w:after="0"/>
              <w:rPr>
                <w:sz w:val="1"/>
                <w:szCs w:val="1"/>
                <w:color w:val="auto"/>
              </w:rPr>
            </w:pPr>
          </w:p>
        </w:tc>
      </w:tr>
      <w:tr>
        <w:trPr>
          <w:trHeight w:val="67"/>
        </w:trPr>
        <w:tc>
          <w:tcPr>
            <w:tcW w:w="2980" w:type="dxa"/>
            <w:vAlign w:val="bottom"/>
            <w:vMerge w:val="continue"/>
          </w:tcPr>
          <w:p>
            <w:pPr>
              <w:spacing w:after="0"/>
              <w:rPr>
                <w:sz w:val="5"/>
                <w:szCs w:val="5"/>
                <w:color w:val="auto"/>
              </w:rPr>
            </w:pPr>
          </w:p>
        </w:tc>
        <w:tc>
          <w:tcPr>
            <w:tcW w:w="270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980" w:type="dxa"/>
            <w:vAlign w:val="bottom"/>
          </w:tcPr>
          <w:p>
            <w:pPr>
              <w:spacing w:after="0"/>
              <w:rPr>
                <w:sz w:val="5"/>
                <w:szCs w:val="5"/>
                <w:color w:val="auto"/>
              </w:rPr>
            </w:pPr>
          </w:p>
        </w:tc>
        <w:tc>
          <w:tcPr>
            <w:tcW w:w="270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2980" w:type="dxa"/>
            <w:vAlign w:val="bottom"/>
            <w:vMerge w:val="restart"/>
            <w:shd w:val="clear" w:color="auto" w:fill="C3D9EE"/>
          </w:tcPr>
          <w:p>
            <w:pPr>
              <w:ind w:left="100"/>
              <w:spacing w:after="0"/>
              <w:rPr>
                <w:sz w:val="20"/>
                <w:szCs w:val="20"/>
                <w:color w:val="auto"/>
              </w:rPr>
            </w:pPr>
            <w:r>
              <w:rPr>
                <w:rFonts w:ascii="Arial" w:cs="Arial" w:eastAsia="Arial" w:hAnsi="Arial"/>
                <w:sz w:val="18"/>
                <w:szCs w:val="18"/>
                <w:color w:val="auto"/>
              </w:rPr>
              <w:t>Ralph G. Quinsey</w:t>
            </w:r>
          </w:p>
        </w:tc>
        <w:tc>
          <w:tcPr>
            <w:tcW w:w="2700" w:type="dxa"/>
            <w:vAlign w:val="bottom"/>
            <w:shd w:val="clear" w:color="auto" w:fill="C3D9EE"/>
          </w:tcPr>
          <w:p>
            <w:pPr>
              <w:jc w:val="right"/>
              <w:ind w:right="494"/>
              <w:spacing w:after="0"/>
              <w:rPr>
                <w:sz w:val="20"/>
                <w:szCs w:val="20"/>
                <w:color w:val="auto"/>
              </w:rPr>
            </w:pPr>
            <w:r>
              <w:rPr>
                <w:rFonts w:ascii="Arial" w:cs="Arial" w:eastAsia="Arial" w:hAnsi="Arial"/>
                <w:sz w:val="18"/>
                <w:szCs w:val="18"/>
                <w:color w:val="auto"/>
              </w:rPr>
              <w:t>2,935</w:t>
            </w:r>
          </w:p>
        </w:tc>
        <w:tc>
          <w:tcPr>
            <w:tcW w:w="2020" w:type="dxa"/>
            <w:vAlign w:val="bottom"/>
            <w:shd w:val="clear" w:color="auto" w:fill="C3D9EE"/>
          </w:tcPr>
          <w:p>
            <w:pPr>
              <w:jc w:val="right"/>
              <w:ind w:right="514"/>
              <w:spacing w:after="0"/>
              <w:rPr>
                <w:sz w:val="20"/>
                <w:szCs w:val="20"/>
                <w:color w:val="auto"/>
              </w:rPr>
            </w:pPr>
            <w:r>
              <w:rPr>
                <w:rFonts w:ascii="Arial" w:cs="Arial" w:eastAsia="Arial" w:hAnsi="Arial"/>
                <w:sz w:val="18"/>
                <w:szCs w:val="18"/>
                <w:color w:val="auto"/>
              </w:rPr>
              <w:t>2,935</w:t>
            </w:r>
          </w:p>
        </w:tc>
        <w:tc>
          <w:tcPr>
            <w:tcW w:w="1560" w:type="dxa"/>
            <w:vAlign w:val="bottom"/>
            <w:shd w:val="clear" w:color="auto" w:fill="C3D9EE"/>
          </w:tcPr>
          <w:p>
            <w:pPr>
              <w:jc w:val="right"/>
              <w:spacing w:after="0"/>
              <w:rPr>
                <w:sz w:val="20"/>
                <w:szCs w:val="20"/>
                <w:color w:val="auto"/>
              </w:rPr>
            </w:pPr>
            <w:r>
              <w:rPr>
                <w:rFonts w:ascii="Arial" w:cs="Arial" w:eastAsia="Arial" w:hAnsi="Arial"/>
                <w:sz w:val="18"/>
                <w:szCs w:val="18"/>
                <w:color w:val="auto"/>
              </w:rPr>
              <w:t>164,929</w:t>
            </w:r>
          </w:p>
        </w:tc>
        <w:tc>
          <w:tcPr>
            <w:tcW w:w="0" w:type="dxa"/>
            <w:vAlign w:val="bottom"/>
          </w:tcPr>
          <w:p>
            <w:pPr>
              <w:spacing w:after="0"/>
              <w:rPr>
                <w:sz w:val="1"/>
                <w:szCs w:val="1"/>
                <w:color w:val="auto"/>
              </w:rPr>
            </w:pPr>
          </w:p>
        </w:tc>
      </w:tr>
      <w:tr>
        <w:trPr>
          <w:trHeight w:val="67"/>
        </w:trPr>
        <w:tc>
          <w:tcPr>
            <w:tcW w:w="2980" w:type="dxa"/>
            <w:vAlign w:val="bottom"/>
            <w:vMerge w:val="continue"/>
            <w:shd w:val="clear" w:color="auto" w:fill="C3D9EE"/>
          </w:tcPr>
          <w:p>
            <w:pPr>
              <w:spacing w:after="0"/>
              <w:rPr>
                <w:sz w:val="5"/>
                <w:szCs w:val="5"/>
                <w:color w:val="auto"/>
              </w:rPr>
            </w:pPr>
          </w:p>
        </w:tc>
        <w:tc>
          <w:tcPr>
            <w:tcW w:w="2700" w:type="dxa"/>
            <w:vAlign w:val="bottom"/>
            <w:shd w:val="clear" w:color="auto" w:fill="C3D9EE"/>
          </w:tcPr>
          <w:p>
            <w:pPr>
              <w:spacing w:after="0"/>
              <w:rPr>
                <w:sz w:val="5"/>
                <w:szCs w:val="5"/>
                <w:color w:val="auto"/>
              </w:rPr>
            </w:pPr>
          </w:p>
        </w:tc>
        <w:tc>
          <w:tcPr>
            <w:tcW w:w="2020" w:type="dxa"/>
            <w:vAlign w:val="bottom"/>
            <w:shd w:val="clear" w:color="auto" w:fill="C3D9EE"/>
          </w:tcPr>
          <w:p>
            <w:pPr>
              <w:spacing w:after="0"/>
              <w:rPr>
                <w:sz w:val="5"/>
                <w:szCs w:val="5"/>
                <w:color w:val="auto"/>
              </w:rPr>
            </w:pPr>
          </w:p>
        </w:tc>
        <w:tc>
          <w:tcPr>
            <w:tcW w:w="1560" w:type="dxa"/>
            <w:vAlign w:val="bottom"/>
            <w:shd w:val="clear" w:color="auto" w:fill="C3D9E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980" w:type="dxa"/>
            <w:vAlign w:val="bottom"/>
            <w:shd w:val="clear" w:color="auto" w:fill="C3D9EE"/>
          </w:tcPr>
          <w:p>
            <w:pPr>
              <w:spacing w:after="0"/>
              <w:rPr>
                <w:sz w:val="5"/>
                <w:szCs w:val="5"/>
                <w:color w:val="auto"/>
              </w:rPr>
            </w:pPr>
          </w:p>
        </w:tc>
        <w:tc>
          <w:tcPr>
            <w:tcW w:w="2700" w:type="dxa"/>
            <w:vAlign w:val="bottom"/>
            <w:shd w:val="clear" w:color="auto" w:fill="C3D9EE"/>
          </w:tcPr>
          <w:p>
            <w:pPr>
              <w:spacing w:after="0"/>
              <w:rPr>
                <w:sz w:val="5"/>
                <w:szCs w:val="5"/>
                <w:color w:val="auto"/>
              </w:rPr>
            </w:pPr>
          </w:p>
        </w:tc>
        <w:tc>
          <w:tcPr>
            <w:tcW w:w="2020" w:type="dxa"/>
            <w:vAlign w:val="bottom"/>
            <w:shd w:val="clear" w:color="auto" w:fill="C3D9EE"/>
          </w:tcPr>
          <w:p>
            <w:pPr>
              <w:spacing w:after="0"/>
              <w:rPr>
                <w:sz w:val="5"/>
                <w:szCs w:val="5"/>
                <w:color w:val="auto"/>
              </w:rPr>
            </w:pPr>
          </w:p>
        </w:tc>
        <w:tc>
          <w:tcPr>
            <w:tcW w:w="1560" w:type="dxa"/>
            <w:vAlign w:val="bottom"/>
            <w:shd w:val="clear" w:color="auto" w:fill="C3D9E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2980" w:type="dxa"/>
            <w:vAlign w:val="bottom"/>
            <w:vMerge w:val="restart"/>
          </w:tcPr>
          <w:p>
            <w:pPr>
              <w:ind w:left="100"/>
              <w:spacing w:after="0"/>
              <w:rPr>
                <w:sz w:val="20"/>
                <w:szCs w:val="20"/>
                <w:color w:val="auto"/>
              </w:rPr>
            </w:pPr>
            <w:r>
              <w:rPr>
                <w:rFonts w:ascii="Arial" w:cs="Arial" w:eastAsia="Arial" w:hAnsi="Arial"/>
                <w:sz w:val="18"/>
                <w:szCs w:val="18"/>
                <w:color w:val="auto"/>
              </w:rPr>
              <w:t>Walden C. Rhines</w:t>
            </w:r>
          </w:p>
        </w:tc>
        <w:tc>
          <w:tcPr>
            <w:tcW w:w="2700" w:type="dxa"/>
            <w:vAlign w:val="bottom"/>
          </w:tcPr>
          <w:p>
            <w:pPr>
              <w:jc w:val="right"/>
              <w:ind w:right="494"/>
              <w:spacing w:after="0"/>
              <w:rPr>
                <w:sz w:val="20"/>
                <w:szCs w:val="20"/>
                <w:color w:val="auto"/>
              </w:rPr>
            </w:pPr>
            <w:r>
              <w:rPr>
                <w:rFonts w:ascii="Arial" w:cs="Arial" w:eastAsia="Arial" w:hAnsi="Arial"/>
                <w:sz w:val="18"/>
                <w:szCs w:val="18"/>
                <w:color w:val="auto"/>
              </w:rPr>
              <w:t>2,935</w:t>
            </w:r>
          </w:p>
        </w:tc>
        <w:tc>
          <w:tcPr>
            <w:tcW w:w="2020" w:type="dxa"/>
            <w:vAlign w:val="bottom"/>
          </w:tcPr>
          <w:p>
            <w:pPr>
              <w:jc w:val="right"/>
              <w:ind w:right="514"/>
              <w:spacing w:after="0"/>
              <w:rPr>
                <w:sz w:val="20"/>
                <w:szCs w:val="20"/>
                <w:color w:val="auto"/>
              </w:rPr>
            </w:pPr>
            <w:r>
              <w:rPr>
                <w:rFonts w:ascii="Arial" w:cs="Arial" w:eastAsia="Arial" w:hAnsi="Arial"/>
                <w:sz w:val="18"/>
                <w:szCs w:val="18"/>
                <w:color w:val="auto"/>
              </w:rPr>
              <w:t>2,935</w:t>
            </w:r>
          </w:p>
        </w:tc>
        <w:tc>
          <w:tcPr>
            <w:tcW w:w="1560" w:type="dxa"/>
            <w:vAlign w:val="bottom"/>
          </w:tcPr>
          <w:p>
            <w:pPr>
              <w:jc w:val="right"/>
              <w:spacing w:after="0"/>
              <w:rPr>
                <w:sz w:val="20"/>
                <w:szCs w:val="20"/>
                <w:color w:val="auto"/>
              </w:rPr>
            </w:pPr>
            <w:r>
              <w:rPr>
                <w:rFonts w:ascii="Arial" w:cs="Arial" w:eastAsia="Arial" w:hAnsi="Arial"/>
                <w:sz w:val="18"/>
                <w:szCs w:val="18"/>
                <w:color w:val="auto"/>
              </w:rPr>
              <w:t>38,521</w:t>
            </w:r>
          </w:p>
        </w:tc>
        <w:tc>
          <w:tcPr>
            <w:tcW w:w="0" w:type="dxa"/>
            <w:vAlign w:val="bottom"/>
          </w:tcPr>
          <w:p>
            <w:pPr>
              <w:spacing w:after="0"/>
              <w:rPr>
                <w:sz w:val="1"/>
                <w:szCs w:val="1"/>
                <w:color w:val="auto"/>
              </w:rPr>
            </w:pPr>
          </w:p>
        </w:tc>
      </w:tr>
      <w:tr>
        <w:trPr>
          <w:trHeight w:val="67"/>
        </w:trPr>
        <w:tc>
          <w:tcPr>
            <w:tcW w:w="2980" w:type="dxa"/>
            <w:vAlign w:val="bottom"/>
            <w:vMerge w:val="continue"/>
          </w:tcPr>
          <w:p>
            <w:pPr>
              <w:spacing w:after="0"/>
              <w:rPr>
                <w:sz w:val="5"/>
                <w:szCs w:val="5"/>
                <w:color w:val="auto"/>
              </w:rPr>
            </w:pPr>
          </w:p>
        </w:tc>
        <w:tc>
          <w:tcPr>
            <w:tcW w:w="270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980" w:type="dxa"/>
            <w:vAlign w:val="bottom"/>
          </w:tcPr>
          <w:p>
            <w:pPr>
              <w:spacing w:after="0"/>
              <w:rPr>
                <w:sz w:val="5"/>
                <w:szCs w:val="5"/>
                <w:color w:val="auto"/>
              </w:rPr>
            </w:pPr>
          </w:p>
        </w:tc>
        <w:tc>
          <w:tcPr>
            <w:tcW w:w="270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2980" w:type="dxa"/>
            <w:vAlign w:val="bottom"/>
            <w:vMerge w:val="restart"/>
            <w:shd w:val="clear" w:color="auto" w:fill="C3D9EE"/>
          </w:tcPr>
          <w:p>
            <w:pPr>
              <w:ind w:left="100"/>
              <w:spacing w:after="0"/>
              <w:rPr>
                <w:sz w:val="20"/>
                <w:szCs w:val="20"/>
                <w:color w:val="auto"/>
              </w:rPr>
            </w:pPr>
            <w:r>
              <w:rPr>
                <w:rFonts w:ascii="Arial" w:cs="Arial" w:eastAsia="Arial" w:hAnsi="Arial"/>
                <w:sz w:val="18"/>
                <w:szCs w:val="18"/>
                <w:color w:val="auto"/>
              </w:rPr>
              <w:t>Susan L. Spradley</w:t>
            </w:r>
          </w:p>
        </w:tc>
        <w:tc>
          <w:tcPr>
            <w:tcW w:w="2700" w:type="dxa"/>
            <w:vAlign w:val="bottom"/>
            <w:shd w:val="clear" w:color="auto" w:fill="C3D9EE"/>
          </w:tcPr>
          <w:p>
            <w:pPr>
              <w:jc w:val="right"/>
              <w:ind w:right="494"/>
              <w:spacing w:after="0"/>
              <w:rPr>
                <w:sz w:val="20"/>
                <w:szCs w:val="20"/>
                <w:color w:val="auto"/>
              </w:rPr>
            </w:pPr>
            <w:r>
              <w:rPr>
                <w:rFonts w:ascii="Arial" w:cs="Arial" w:eastAsia="Arial" w:hAnsi="Arial"/>
                <w:sz w:val="18"/>
                <w:szCs w:val="18"/>
                <w:color w:val="auto"/>
              </w:rPr>
              <w:t>2,935</w:t>
            </w:r>
          </w:p>
        </w:tc>
        <w:tc>
          <w:tcPr>
            <w:tcW w:w="2020" w:type="dxa"/>
            <w:vAlign w:val="bottom"/>
            <w:shd w:val="clear" w:color="auto" w:fill="C3D9EE"/>
          </w:tcPr>
          <w:p>
            <w:pPr>
              <w:jc w:val="right"/>
              <w:ind w:right="514"/>
              <w:spacing w:after="0"/>
              <w:rPr>
                <w:sz w:val="20"/>
                <w:szCs w:val="20"/>
                <w:color w:val="auto"/>
              </w:rPr>
            </w:pPr>
            <w:r>
              <w:rPr>
                <w:rFonts w:ascii="Arial" w:cs="Arial" w:eastAsia="Arial" w:hAnsi="Arial"/>
                <w:sz w:val="18"/>
                <w:szCs w:val="18"/>
                <w:color w:val="auto"/>
              </w:rPr>
              <w:t>2,935</w:t>
            </w:r>
          </w:p>
        </w:tc>
        <w:tc>
          <w:tcPr>
            <w:tcW w:w="1560" w:type="dxa"/>
            <w:vAlign w:val="bottom"/>
            <w:shd w:val="clear" w:color="auto" w:fill="C3D9EE"/>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2980" w:type="dxa"/>
            <w:vAlign w:val="bottom"/>
            <w:vMerge w:val="continue"/>
            <w:shd w:val="clear" w:color="auto" w:fill="C3D9EE"/>
          </w:tcPr>
          <w:p>
            <w:pPr>
              <w:spacing w:after="0"/>
              <w:rPr>
                <w:sz w:val="5"/>
                <w:szCs w:val="5"/>
                <w:color w:val="auto"/>
              </w:rPr>
            </w:pPr>
          </w:p>
        </w:tc>
        <w:tc>
          <w:tcPr>
            <w:tcW w:w="2700" w:type="dxa"/>
            <w:vAlign w:val="bottom"/>
            <w:shd w:val="clear" w:color="auto" w:fill="C3D9EE"/>
          </w:tcPr>
          <w:p>
            <w:pPr>
              <w:spacing w:after="0"/>
              <w:rPr>
                <w:sz w:val="5"/>
                <w:szCs w:val="5"/>
                <w:color w:val="auto"/>
              </w:rPr>
            </w:pPr>
          </w:p>
        </w:tc>
        <w:tc>
          <w:tcPr>
            <w:tcW w:w="2020" w:type="dxa"/>
            <w:vAlign w:val="bottom"/>
            <w:shd w:val="clear" w:color="auto" w:fill="C3D9EE"/>
          </w:tcPr>
          <w:p>
            <w:pPr>
              <w:spacing w:after="0"/>
              <w:rPr>
                <w:sz w:val="5"/>
                <w:szCs w:val="5"/>
                <w:color w:val="auto"/>
              </w:rPr>
            </w:pPr>
          </w:p>
        </w:tc>
        <w:tc>
          <w:tcPr>
            <w:tcW w:w="1560" w:type="dxa"/>
            <w:vAlign w:val="bottom"/>
            <w:shd w:val="clear" w:color="auto" w:fill="C3D9E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980" w:type="dxa"/>
            <w:vAlign w:val="bottom"/>
            <w:shd w:val="clear" w:color="auto" w:fill="C3D9EE"/>
          </w:tcPr>
          <w:p>
            <w:pPr>
              <w:spacing w:after="0"/>
              <w:rPr>
                <w:sz w:val="5"/>
                <w:szCs w:val="5"/>
                <w:color w:val="auto"/>
              </w:rPr>
            </w:pPr>
          </w:p>
        </w:tc>
        <w:tc>
          <w:tcPr>
            <w:tcW w:w="2700" w:type="dxa"/>
            <w:vAlign w:val="bottom"/>
            <w:shd w:val="clear" w:color="auto" w:fill="C3D9EE"/>
          </w:tcPr>
          <w:p>
            <w:pPr>
              <w:spacing w:after="0"/>
              <w:rPr>
                <w:sz w:val="5"/>
                <w:szCs w:val="5"/>
                <w:color w:val="auto"/>
              </w:rPr>
            </w:pPr>
          </w:p>
        </w:tc>
        <w:tc>
          <w:tcPr>
            <w:tcW w:w="2020" w:type="dxa"/>
            <w:vAlign w:val="bottom"/>
            <w:shd w:val="clear" w:color="auto" w:fill="C3D9EE"/>
          </w:tcPr>
          <w:p>
            <w:pPr>
              <w:spacing w:after="0"/>
              <w:rPr>
                <w:sz w:val="5"/>
                <w:szCs w:val="5"/>
                <w:color w:val="auto"/>
              </w:rPr>
            </w:pPr>
          </w:p>
        </w:tc>
        <w:tc>
          <w:tcPr>
            <w:tcW w:w="1560" w:type="dxa"/>
            <w:vAlign w:val="bottom"/>
            <w:shd w:val="clear" w:color="auto" w:fill="C3D9E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2980" w:type="dxa"/>
            <w:vAlign w:val="bottom"/>
            <w:vMerge w:val="restart"/>
          </w:tcPr>
          <w:p>
            <w:pPr>
              <w:ind w:left="100"/>
              <w:spacing w:after="0"/>
              <w:rPr>
                <w:sz w:val="20"/>
                <w:szCs w:val="20"/>
                <w:color w:val="auto"/>
              </w:rPr>
            </w:pPr>
            <w:r>
              <w:rPr>
                <w:rFonts w:ascii="Arial" w:cs="Arial" w:eastAsia="Arial" w:hAnsi="Arial"/>
                <w:sz w:val="18"/>
                <w:szCs w:val="18"/>
                <w:color w:val="auto"/>
              </w:rPr>
              <w:t>Walter H. Wilkinson, Jr.</w:t>
            </w:r>
          </w:p>
        </w:tc>
        <w:tc>
          <w:tcPr>
            <w:tcW w:w="2700" w:type="dxa"/>
            <w:vAlign w:val="bottom"/>
          </w:tcPr>
          <w:p>
            <w:pPr>
              <w:jc w:val="right"/>
              <w:ind w:right="494"/>
              <w:spacing w:after="0"/>
              <w:rPr>
                <w:sz w:val="20"/>
                <w:szCs w:val="20"/>
                <w:color w:val="auto"/>
              </w:rPr>
            </w:pPr>
            <w:r>
              <w:rPr>
                <w:rFonts w:ascii="Arial" w:cs="Arial" w:eastAsia="Arial" w:hAnsi="Arial"/>
                <w:sz w:val="18"/>
                <w:szCs w:val="18"/>
                <w:color w:val="auto"/>
              </w:rPr>
              <w:t>2,935</w:t>
            </w:r>
          </w:p>
        </w:tc>
        <w:tc>
          <w:tcPr>
            <w:tcW w:w="2020" w:type="dxa"/>
            <w:vAlign w:val="bottom"/>
          </w:tcPr>
          <w:p>
            <w:pPr>
              <w:jc w:val="right"/>
              <w:ind w:right="514"/>
              <w:spacing w:after="0"/>
              <w:rPr>
                <w:sz w:val="20"/>
                <w:szCs w:val="20"/>
                <w:color w:val="auto"/>
              </w:rPr>
            </w:pPr>
            <w:r>
              <w:rPr>
                <w:rFonts w:ascii="Arial" w:cs="Arial" w:eastAsia="Arial" w:hAnsi="Arial"/>
                <w:sz w:val="18"/>
                <w:szCs w:val="18"/>
                <w:color w:val="auto"/>
              </w:rPr>
              <w:t>2,935</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2980" w:type="dxa"/>
            <w:vAlign w:val="bottom"/>
            <w:vMerge w:val="continue"/>
          </w:tcPr>
          <w:p>
            <w:pPr>
              <w:spacing w:after="0"/>
              <w:rPr>
                <w:sz w:val="5"/>
                <w:szCs w:val="5"/>
                <w:color w:val="auto"/>
              </w:rPr>
            </w:pPr>
          </w:p>
        </w:tc>
        <w:tc>
          <w:tcPr>
            <w:tcW w:w="270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980" w:type="dxa"/>
            <w:vAlign w:val="bottom"/>
            <w:tcBorders>
              <w:bottom w:val="single" w:sz="8" w:color="1269BC"/>
            </w:tcBorders>
          </w:tcPr>
          <w:p>
            <w:pPr>
              <w:spacing w:after="0"/>
              <w:rPr>
                <w:sz w:val="5"/>
                <w:szCs w:val="5"/>
                <w:color w:val="auto"/>
              </w:rPr>
            </w:pPr>
          </w:p>
        </w:tc>
        <w:tc>
          <w:tcPr>
            <w:tcW w:w="2700" w:type="dxa"/>
            <w:vAlign w:val="bottom"/>
            <w:tcBorders>
              <w:bottom w:val="single" w:sz="8" w:color="1269BC"/>
            </w:tcBorders>
          </w:tcPr>
          <w:p>
            <w:pPr>
              <w:spacing w:after="0"/>
              <w:rPr>
                <w:sz w:val="5"/>
                <w:szCs w:val="5"/>
                <w:color w:val="auto"/>
              </w:rPr>
            </w:pPr>
          </w:p>
        </w:tc>
        <w:tc>
          <w:tcPr>
            <w:tcW w:w="2020" w:type="dxa"/>
            <w:vAlign w:val="bottom"/>
            <w:tcBorders>
              <w:bottom w:val="single" w:sz="8" w:color="1269BC"/>
            </w:tcBorders>
          </w:tcPr>
          <w:p>
            <w:pPr>
              <w:spacing w:after="0"/>
              <w:rPr>
                <w:sz w:val="5"/>
                <w:szCs w:val="5"/>
                <w:color w:val="auto"/>
              </w:rPr>
            </w:pPr>
          </w:p>
        </w:tc>
        <w:tc>
          <w:tcPr>
            <w:tcW w:w="1560" w:type="dxa"/>
            <w:vAlign w:val="bottom"/>
            <w:tcBorders>
              <w:bottom w:val="single" w:sz="8" w:color="1269B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980" w:right="200"/>
        <w:spacing w:after="0" w:line="260" w:lineRule="auto"/>
        <w:rPr>
          <w:sz w:val="20"/>
          <w:szCs w:val="20"/>
          <w:color w:val="auto"/>
        </w:rPr>
      </w:pPr>
      <w:r>
        <w:rPr>
          <w:rFonts w:ascii="Arial" w:cs="Arial" w:eastAsia="Arial" w:hAnsi="Arial"/>
          <w:sz w:val="16"/>
          <w:szCs w:val="16"/>
          <w:color w:val="auto"/>
        </w:rPr>
        <w:t>The outstanding restricted stock unit awards vest on the earlier of (a) one year following the grant date or (b) the day before the Company’s first annual meeting of stockholders occurring after the grant date, in each case subject to continued service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80010</wp:posOffset>
            </wp:positionV>
            <wp:extent cx="58293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i w:val="1"/>
          <w:iCs w:val="1"/>
          <w:color w:val="1269BC"/>
        </w:rPr>
        <w:t>2020 Proxy Statement</w:t>
      </w:r>
      <w:r>
        <w:rPr>
          <w:sz w:val="20"/>
          <w:szCs w:val="20"/>
          <w:color w:val="auto"/>
        </w:rPr>
        <w:tab/>
      </w:r>
      <w:r>
        <w:rPr>
          <w:rFonts w:ascii="Arial" w:cs="Arial" w:eastAsia="Arial" w:hAnsi="Arial"/>
          <w:sz w:val="17"/>
          <w:szCs w:val="17"/>
          <w:color w:val="auto"/>
        </w:rPr>
        <w:t>45</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5" w:lineRule="exact"/>
        <w:rPr>
          <w:sz w:val="20"/>
          <w:szCs w:val="20"/>
          <w:color w:val="auto"/>
        </w:rPr>
      </w:pPr>
    </w:p>
    <w:p>
      <w:pPr>
        <w:ind w:left="980" w:right="40" w:hanging="324"/>
        <w:spacing w:after="0" w:line="260"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Mr. DiLeo and Mr. Gibson did not stand for reelection to the Board at the 2019 Annual Meeting of Stockholders and ceased to be members of the Board as of August 6, 2019.</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Directors who were not employees of Qorvo were compensated for their service as a director as shown in the table below:</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Schedule of Director Fees for Fiscal Year Ended March 28, 2020</w:t>
      </w:r>
    </w:p>
    <w:p>
      <w:pPr>
        <w:spacing w:after="0" w:line="243" w:lineRule="exact"/>
        <w:rPr>
          <w:sz w:val="20"/>
          <w:szCs w:val="20"/>
          <w:color w:val="auto"/>
        </w:rPr>
      </w:pPr>
    </w:p>
    <w:p>
      <w:pPr>
        <w:ind w:left="2200"/>
        <w:spacing w:after="0"/>
        <w:tabs>
          <w:tab w:leader="none" w:pos="8220" w:val="left"/>
        </w:tabs>
        <w:rPr>
          <w:sz w:val="20"/>
          <w:szCs w:val="20"/>
          <w:color w:val="auto"/>
        </w:rPr>
      </w:pPr>
      <w:r>
        <w:rPr>
          <w:rFonts w:ascii="Arial" w:cs="Arial" w:eastAsia="Arial" w:hAnsi="Arial"/>
          <w:sz w:val="16"/>
          <w:szCs w:val="16"/>
          <w:b w:val="1"/>
          <w:bCs w:val="1"/>
          <w:color w:val="1269BC"/>
        </w:rPr>
        <w:t>Compensation Item</w:t>
      </w:r>
      <w:r>
        <w:rPr>
          <w:sz w:val="20"/>
          <w:szCs w:val="20"/>
          <w:color w:val="auto"/>
        </w:rPr>
        <w:tab/>
      </w:r>
      <w:r>
        <w:rPr>
          <w:rFonts w:ascii="Arial" w:cs="Arial" w:eastAsia="Arial" w:hAnsi="Arial"/>
          <w:sz w:val="15"/>
          <w:szCs w:val="15"/>
          <w:b w:val="1"/>
          <w:bCs w:val="1"/>
          <w:color w:val="1269BC"/>
        </w:rPr>
        <w:t>Amount ($)</w:t>
      </w:r>
    </w:p>
    <w:p>
      <w:pPr>
        <w:spacing w:after="0" w:line="23" w:lineRule="exact"/>
        <w:rPr>
          <w:sz w:val="20"/>
          <w:szCs w:val="20"/>
          <w:color w:val="auto"/>
        </w:rPr>
      </w:pPr>
    </w:p>
    <w:tbl>
      <w:tblPr>
        <w:tblLayout w:type="fixed"/>
        <w:tblInd w:w="2100" w:type="dxa"/>
        <w:tblCellMar>
          <w:top w:w="0" w:type="dxa"/>
          <w:left w:w="0" w:type="dxa"/>
          <w:bottom w:w="0" w:type="dxa"/>
          <w:right w:w="0" w:type="dxa"/>
        </w:tblCellMar>
      </w:tblPr>
      <w:tr>
        <w:trPr>
          <w:trHeight w:val="277"/>
        </w:trPr>
        <w:tc>
          <w:tcPr>
            <w:tcW w:w="5660" w:type="dxa"/>
            <w:vAlign w:val="bottom"/>
            <w:tcBorders>
              <w:top w:val="single" w:sz="8" w:color="1269BC"/>
            </w:tcBorders>
            <w:shd w:val="clear" w:color="auto" w:fill="C3D9EE"/>
          </w:tcPr>
          <w:p>
            <w:pPr>
              <w:ind w:left="100"/>
              <w:spacing w:after="0"/>
              <w:rPr>
                <w:sz w:val="20"/>
                <w:szCs w:val="20"/>
                <w:color w:val="auto"/>
              </w:rPr>
            </w:pPr>
            <w:r>
              <w:rPr>
                <w:rFonts w:ascii="Arial" w:cs="Arial" w:eastAsia="Arial" w:hAnsi="Arial"/>
                <w:sz w:val="18"/>
                <w:szCs w:val="18"/>
                <w:color w:val="auto"/>
              </w:rPr>
              <w:t>Annual Retainers</w:t>
            </w:r>
          </w:p>
        </w:tc>
        <w:tc>
          <w:tcPr>
            <w:tcW w:w="1380" w:type="dxa"/>
            <w:vAlign w:val="bottom"/>
            <w:tcBorders>
              <w:top w:val="single" w:sz="8" w:color="1269BC"/>
            </w:tcBorders>
            <w:shd w:val="clear" w:color="auto" w:fill="C3D9EE"/>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660" w:type="dxa"/>
            <w:vAlign w:val="bottom"/>
            <w:shd w:val="clear" w:color="auto" w:fill="C3D9EE"/>
          </w:tcPr>
          <w:p>
            <w:pPr>
              <w:spacing w:after="0"/>
              <w:rPr>
                <w:sz w:val="5"/>
                <w:szCs w:val="5"/>
                <w:color w:val="auto"/>
              </w:rPr>
            </w:pPr>
          </w:p>
        </w:tc>
        <w:tc>
          <w:tcPr>
            <w:tcW w:w="1380" w:type="dxa"/>
            <w:vAlign w:val="bottom"/>
            <w:shd w:val="clear" w:color="auto" w:fill="C3D9E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5660" w:type="dxa"/>
            <w:vAlign w:val="bottom"/>
            <w:vMerge w:val="restart"/>
          </w:tcPr>
          <w:p>
            <w:pPr>
              <w:ind w:left="180"/>
              <w:spacing w:after="0"/>
              <w:rPr>
                <w:sz w:val="20"/>
                <w:szCs w:val="20"/>
                <w:color w:val="auto"/>
              </w:rPr>
            </w:pPr>
            <w:r>
              <w:rPr>
                <w:rFonts w:ascii="Arial" w:cs="Arial" w:eastAsia="Arial" w:hAnsi="Arial"/>
                <w:sz w:val="18"/>
                <w:szCs w:val="18"/>
                <w:color w:val="auto"/>
              </w:rPr>
              <w:t>Chairman of the Board</w:t>
            </w:r>
          </w:p>
        </w:tc>
        <w:tc>
          <w:tcPr>
            <w:tcW w:w="1380" w:type="dxa"/>
            <w:vAlign w:val="bottom"/>
          </w:tcPr>
          <w:p>
            <w:pPr>
              <w:jc w:val="right"/>
              <w:spacing w:after="0"/>
              <w:rPr>
                <w:sz w:val="20"/>
                <w:szCs w:val="20"/>
                <w:color w:val="auto"/>
              </w:rPr>
            </w:pPr>
            <w:r>
              <w:rPr>
                <w:rFonts w:ascii="Arial" w:cs="Arial" w:eastAsia="Arial" w:hAnsi="Arial"/>
                <w:sz w:val="18"/>
                <w:szCs w:val="18"/>
                <w:color w:val="auto"/>
              </w:rPr>
              <w:t>$ 148,000</w:t>
            </w:r>
          </w:p>
        </w:tc>
        <w:tc>
          <w:tcPr>
            <w:tcW w:w="0" w:type="dxa"/>
            <w:vAlign w:val="bottom"/>
          </w:tcPr>
          <w:p>
            <w:pPr>
              <w:spacing w:after="0"/>
              <w:rPr>
                <w:sz w:val="1"/>
                <w:szCs w:val="1"/>
                <w:color w:val="auto"/>
              </w:rPr>
            </w:pPr>
          </w:p>
        </w:tc>
      </w:tr>
      <w:tr>
        <w:trPr>
          <w:trHeight w:val="67"/>
        </w:trPr>
        <w:tc>
          <w:tcPr>
            <w:tcW w:w="566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56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5660" w:type="dxa"/>
            <w:vAlign w:val="bottom"/>
            <w:vMerge w:val="restart"/>
            <w:shd w:val="clear" w:color="auto" w:fill="C3D9EE"/>
          </w:tcPr>
          <w:p>
            <w:pPr>
              <w:ind w:left="180"/>
              <w:spacing w:after="0"/>
              <w:rPr>
                <w:sz w:val="20"/>
                <w:szCs w:val="20"/>
                <w:color w:val="auto"/>
              </w:rPr>
            </w:pPr>
            <w:r>
              <w:rPr>
                <w:rFonts w:ascii="Arial" w:cs="Arial" w:eastAsia="Arial" w:hAnsi="Arial"/>
                <w:sz w:val="18"/>
                <w:szCs w:val="18"/>
                <w:color w:val="auto"/>
              </w:rPr>
              <w:t>Board Service</w:t>
            </w:r>
          </w:p>
        </w:tc>
        <w:tc>
          <w:tcPr>
            <w:tcW w:w="1380" w:type="dxa"/>
            <w:vAlign w:val="bottom"/>
            <w:shd w:val="clear" w:color="auto" w:fill="C3D9EE"/>
          </w:tcPr>
          <w:p>
            <w:pPr>
              <w:jc w:val="right"/>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67"/>
        </w:trPr>
        <w:tc>
          <w:tcPr>
            <w:tcW w:w="5660" w:type="dxa"/>
            <w:vAlign w:val="bottom"/>
            <w:vMerge w:val="continue"/>
            <w:shd w:val="clear" w:color="auto" w:fill="C3D9EE"/>
          </w:tcPr>
          <w:p>
            <w:pPr>
              <w:spacing w:after="0"/>
              <w:rPr>
                <w:sz w:val="5"/>
                <w:szCs w:val="5"/>
                <w:color w:val="auto"/>
              </w:rPr>
            </w:pPr>
          </w:p>
        </w:tc>
        <w:tc>
          <w:tcPr>
            <w:tcW w:w="1380" w:type="dxa"/>
            <w:vAlign w:val="bottom"/>
            <w:shd w:val="clear" w:color="auto" w:fill="C3D9E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5660" w:type="dxa"/>
            <w:vAlign w:val="bottom"/>
            <w:shd w:val="clear" w:color="auto" w:fill="C3D9EE"/>
          </w:tcPr>
          <w:p>
            <w:pPr>
              <w:spacing w:after="0"/>
              <w:rPr>
                <w:sz w:val="5"/>
                <w:szCs w:val="5"/>
                <w:color w:val="auto"/>
              </w:rPr>
            </w:pPr>
          </w:p>
        </w:tc>
        <w:tc>
          <w:tcPr>
            <w:tcW w:w="1380" w:type="dxa"/>
            <w:vAlign w:val="bottom"/>
            <w:shd w:val="clear" w:color="auto" w:fill="C3D9E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5660" w:type="dxa"/>
            <w:vAlign w:val="bottom"/>
            <w:vMerge w:val="restart"/>
          </w:tcPr>
          <w:p>
            <w:pPr>
              <w:ind w:left="180"/>
              <w:spacing w:after="0"/>
              <w:rPr>
                <w:sz w:val="20"/>
                <w:szCs w:val="20"/>
                <w:color w:val="auto"/>
              </w:rPr>
            </w:pPr>
            <w:r>
              <w:rPr>
                <w:rFonts w:ascii="Arial" w:cs="Arial" w:eastAsia="Arial" w:hAnsi="Arial"/>
                <w:sz w:val="18"/>
                <w:szCs w:val="18"/>
                <w:color w:val="auto"/>
              </w:rPr>
              <w:t>Lead Director (Additional Fee) (1)</w:t>
            </w:r>
          </w:p>
        </w:tc>
        <w:tc>
          <w:tcPr>
            <w:tcW w:w="138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67"/>
        </w:trPr>
        <w:tc>
          <w:tcPr>
            <w:tcW w:w="566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56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5660" w:type="dxa"/>
            <w:vAlign w:val="bottom"/>
            <w:vMerge w:val="restart"/>
            <w:shd w:val="clear" w:color="auto" w:fill="C3D9EE"/>
          </w:tcPr>
          <w:p>
            <w:pPr>
              <w:ind w:left="180"/>
              <w:spacing w:after="0"/>
              <w:rPr>
                <w:sz w:val="20"/>
                <w:szCs w:val="20"/>
                <w:color w:val="auto"/>
              </w:rPr>
            </w:pPr>
            <w:r>
              <w:rPr>
                <w:rFonts w:ascii="Arial" w:cs="Arial" w:eastAsia="Arial" w:hAnsi="Arial"/>
                <w:sz w:val="18"/>
                <w:szCs w:val="18"/>
                <w:color w:val="auto"/>
              </w:rPr>
              <w:t>Audit Committee Chair (Additional Fee)</w:t>
            </w:r>
          </w:p>
        </w:tc>
        <w:tc>
          <w:tcPr>
            <w:tcW w:w="1380" w:type="dxa"/>
            <w:vAlign w:val="bottom"/>
            <w:shd w:val="clear" w:color="auto" w:fill="C3D9EE"/>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67"/>
        </w:trPr>
        <w:tc>
          <w:tcPr>
            <w:tcW w:w="5660" w:type="dxa"/>
            <w:vAlign w:val="bottom"/>
            <w:vMerge w:val="continue"/>
            <w:shd w:val="clear" w:color="auto" w:fill="C3D9EE"/>
          </w:tcPr>
          <w:p>
            <w:pPr>
              <w:spacing w:after="0"/>
              <w:rPr>
                <w:sz w:val="5"/>
                <w:szCs w:val="5"/>
                <w:color w:val="auto"/>
              </w:rPr>
            </w:pPr>
          </w:p>
        </w:tc>
        <w:tc>
          <w:tcPr>
            <w:tcW w:w="1380" w:type="dxa"/>
            <w:vAlign w:val="bottom"/>
            <w:shd w:val="clear" w:color="auto" w:fill="C3D9E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5660" w:type="dxa"/>
            <w:vAlign w:val="bottom"/>
            <w:shd w:val="clear" w:color="auto" w:fill="C3D9EE"/>
          </w:tcPr>
          <w:p>
            <w:pPr>
              <w:spacing w:after="0"/>
              <w:rPr>
                <w:sz w:val="5"/>
                <w:szCs w:val="5"/>
                <w:color w:val="auto"/>
              </w:rPr>
            </w:pPr>
          </w:p>
        </w:tc>
        <w:tc>
          <w:tcPr>
            <w:tcW w:w="1380" w:type="dxa"/>
            <w:vAlign w:val="bottom"/>
            <w:shd w:val="clear" w:color="auto" w:fill="C3D9E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5660" w:type="dxa"/>
            <w:vAlign w:val="bottom"/>
            <w:vMerge w:val="restart"/>
          </w:tcPr>
          <w:p>
            <w:pPr>
              <w:ind w:left="180"/>
              <w:spacing w:after="0"/>
              <w:rPr>
                <w:sz w:val="20"/>
                <w:szCs w:val="20"/>
                <w:color w:val="auto"/>
              </w:rPr>
            </w:pPr>
            <w:r>
              <w:rPr>
                <w:rFonts w:ascii="Arial" w:cs="Arial" w:eastAsia="Arial" w:hAnsi="Arial"/>
                <w:sz w:val="18"/>
                <w:szCs w:val="18"/>
                <w:color w:val="auto"/>
              </w:rPr>
              <w:t>Compensation Committee Chair (Additional Fee)</w:t>
            </w:r>
          </w:p>
        </w:tc>
        <w:tc>
          <w:tcPr>
            <w:tcW w:w="138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67"/>
        </w:trPr>
        <w:tc>
          <w:tcPr>
            <w:tcW w:w="566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56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5660" w:type="dxa"/>
            <w:vAlign w:val="bottom"/>
            <w:vMerge w:val="restart"/>
            <w:shd w:val="clear" w:color="auto" w:fill="C3D9EE"/>
          </w:tcPr>
          <w:p>
            <w:pPr>
              <w:ind w:left="180"/>
              <w:spacing w:after="0"/>
              <w:rPr>
                <w:sz w:val="20"/>
                <w:szCs w:val="20"/>
                <w:color w:val="auto"/>
              </w:rPr>
            </w:pPr>
            <w:r>
              <w:rPr>
                <w:rFonts w:ascii="Arial" w:cs="Arial" w:eastAsia="Arial" w:hAnsi="Arial"/>
                <w:sz w:val="18"/>
                <w:szCs w:val="18"/>
                <w:color w:val="auto"/>
              </w:rPr>
              <w:t>Governance and Nominating Committee Chair (Additional Fee)</w:t>
            </w:r>
          </w:p>
        </w:tc>
        <w:tc>
          <w:tcPr>
            <w:tcW w:w="1380" w:type="dxa"/>
            <w:vAlign w:val="bottom"/>
            <w:shd w:val="clear" w:color="auto" w:fill="C3D9EE"/>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67"/>
        </w:trPr>
        <w:tc>
          <w:tcPr>
            <w:tcW w:w="5660" w:type="dxa"/>
            <w:vAlign w:val="bottom"/>
            <w:vMerge w:val="continue"/>
            <w:shd w:val="clear" w:color="auto" w:fill="C3D9EE"/>
          </w:tcPr>
          <w:p>
            <w:pPr>
              <w:spacing w:after="0"/>
              <w:rPr>
                <w:sz w:val="5"/>
                <w:szCs w:val="5"/>
                <w:color w:val="auto"/>
              </w:rPr>
            </w:pPr>
          </w:p>
        </w:tc>
        <w:tc>
          <w:tcPr>
            <w:tcW w:w="1380" w:type="dxa"/>
            <w:vAlign w:val="bottom"/>
            <w:shd w:val="clear" w:color="auto" w:fill="C3D9E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5660" w:type="dxa"/>
            <w:vAlign w:val="bottom"/>
            <w:shd w:val="clear" w:color="auto" w:fill="C3D9EE"/>
          </w:tcPr>
          <w:p>
            <w:pPr>
              <w:spacing w:after="0"/>
              <w:rPr>
                <w:sz w:val="5"/>
                <w:szCs w:val="5"/>
                <w:color w:val="auto"/>
              </w:rPr>
            </w:pPr>
          </w:p>
        </w:tc>
        <w:tc>
          <w:tcPr>
            <w:tcW w:w="1380" w:type="dxa"/>
            <w:vAlign w:val="bottom"/>
            <w:shd w:val="clear" w:color="auto" w:fill="C3D9E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5660" w:type="dxa"/>
            <w:vAlign w:val="bottom"/>
            <w:vMerge w:val="restart"/>
          </w:tcPr>
          <w:p>
            <w:pPr>
              <w:ind w:left="180"/>
              <w:spacing w:after="0"/>
              <w:rPr>
                <w:sz w:val="20"/>
                <w:szCs w:val="20"/>
                <w:color w:val="auto"/>
              </w:rPr>
            </w:pPr>
            <w:r>
              <w:rPr>
                <w:rFonts w:ascii="Arial" w:cs="Arial" w:eastAsia="Arial" w:hAnsi="Arial"/>
                <w:sz w:val="18"/>
                <w:szCs w:val="18"/>
                <w:color w:val="auto"/>
              </w:rPr>
              <w:t>Corporate Development Committee Chair (Additional Fee)</w:t>
            </w:r>
          </w:p>
        </w:tc>
        <w:tc>
          <w:tcPr>
            <w:tcW w:w="138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67"/>
        </w:trPr>
        <w:tc>
          <w:tcPr>
            <w:tcW w:w="566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5660" w:type="dxa"/>
            <w:vAlign w:val="bottom"/>
            <w:tcBorders>
              <w:bottom w:val="single" w:sz="8" w:color="1269BC"/>
            </w:tcBorders>
          </w:tcPr>
          <w:p>
            <w:pPr>
              <w:spacing w:after="0"/>
              <w:rPr>
                <w:sz w:val="5"/>
                <w:szCs w:val="5"/>
                <w:color w:val="auto"/>
              </w:rPr>
            </w:pPr>
          </w:p>
        </w:tc>
        <w:tc>
          <w:tcPr>
            <w:tcW w:w="1380" w:type="dxa"/>
            <w:vAlign w:val="bottom"/>
            <w:tcBorders>
              <w:bottom w:val="single" w:sz="8" w:color="1269B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(1)  Mr. Quinsey declined to receive the additional $20,000 to which he was entitled as the Lead Director for fiscal 2020.</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Equity Compensation</w:t>
      </w:r>
    </w:p>
    <w:p>
      <w:pPr>
        <w:spacing w:after="0" w:line="128" w:lineRule="exact"/>
        <w:rPr>
          <w:sz w:val="20"/>
          <w:szCs w:val="20"/>
          <w:color w:val="auto"/>
        </w:rPr>
      </w:pPr>
    </w:p>
    <w:p>
      <w:pPr>
        <w:ind w:left="120" w:right="180"/>
        <w:spacing w:after="0" w:line="246" w:lineRule="auto"/>
        <w:rPr>
          <w:sz w:val="20"/>
          <w:szCs w:val="20"/>
          <w:color w:val="auto"/>
        </w:rPr>
      </w:pPr>
      <w:r>
        <w:rPr>
          <w:rFonts w:ascii="Arial" w:cs="Arial" w:eastAsia="Arial" w:hAnsi="Arial"/>
          <w:sz w:val="16"/>
          <w:szCs w:val="16"/>
          <w:color w:val="auto"/>
        </w:rPr>
        <w:t>In fiscal 2020, each participating non-employee director who was re-elected received an annual restricted stock unit award, which we refer to as the annual RSU, pursuant to the 2012 Plan, with a value of $200,020. These annual RSUs vest on the earlier of (a) the first anniversary of the grant date or</w:t>
      </w:r>
    </w:p>
    <w:p>
      <w:pPr>
        <w:spacing w:after="0" w:line="1" w:lineRule="exact"/>
        <w:rPr>
          <w:sz w:val="20"/>
          <w:szCs w:val="20"/>
          <w:color w:val="auto"/>
        </w:rPr>
      </w:pPr>
    </w:p>
    <w:p>
      <w:pPr>
        <w:ind w:left="120" w:right="60" w:hanging="4"/>
        <w:spacing w:after="0" w:line="260" w:lineRule="auto"/>
        <w:tabs>
          <w:tab w:leader="none" w:pos="363"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day before the Company’s first annual meeting of stockholders occurring after the grant date, in each case subject to continued service as of such date. See “Equity Compensation Plans – 2012 Stock Incentive Plan – Qorvo, Inc.,” above for more information.</w:t>
      </w:r>
    </w:p>
    <w:p>
      <w:pPr>
        <w:spacing w:after="0" w:line="195"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color w:val="auto"/>
        </w:rPr>
        <w:t>Non-employee directors are also eligible to receive discretionary stock-based awards, which may be granted under the 2012 Plan. See “Equity Compensation Plans – 2012 Stock Incentive Plan – Qorvo, Inc.,” above. No discretionary equity awards were granted to non-employee directors in fiscal 2020.</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Other Compensation</w:t>
      </w:r>
    </w:p>
    <w:p>
      <w:pPr>
        <w:spacing w:after="0" w:line="128" w:lineRule="exact"/>
        <w:rPr>
          <w:sz w:val="20"/>
          <w:szCs w:val="20"/>
          <w:color w:val="auto"/>
        </w:rPr>
      </w:pPr>
    </w:p>
    <w:p>
      <w:pPr>
        <w:jc w:val="both"/>
        <w:ind w:left="120" w:right="120"/>
        <w:spacing w:after="0" w:line="251" w:lineRule="auto"/>
        <w:rPr>
          <w:sz w:val="20"/>
          <w:szCs w:val="20"/>
          <w:color w:val="auto"/>
        </w:rPr>
      </w:pPr>
      <w:r>
        <w:rPr>
          <w:rFonts w:ascii="Arial" w:cs="Arial" w:eastAsia="Arial" w:hAnsi="Arial"/>
          <w:sz w:val="16"/>
          <w:szCs w:val="16"/>
          <w:color w:val="auto"/>
        </w:rPr>
        <w:t>We reimburse all non-employee directors for expenses incurred in their capacity as non-employee directors. Directors may defer all or a portion of their cash retainers by participating in our Nonqualified Deferred Compensation Plan. Commencing with stock awards first made after July 1, 2017, directors may also elect to defer receipt of shares of our common stock upon vesting. In addition, we offer participation in our group medical insurance program to any non-employee director who agrees to pay the full amount of the premium.</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Director Compensation for Fiscal Year Ending April 3, 2021</w:t>
      </w:r>
    </w:p>
    <w:p>
      <w:pPr>
        <w:spacing w:after="0" w:line="128"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In May 2020, the Compensation Committee reviewed a report from Compensia on the philosophy, structure and amounts of compensation payable under our director compensation program in comparison to the Company’s peer group (discussed on page 25). Based on this report, the Compensation Committee recommended, and the Board unanimously approved, keeping the director compensation program for fiscal 2021 unchanged from fiscal 2020.</w:t>
      </w:r>
    </w:p>
    <w:p>
      <w:pPr>
        <w:spacing w:after="0" w:line="132" w:lineRule="exact"/>
        <w:rPr>
          <w:sz w:val="20"/>
          <w:szCs w:val="20"/>
          <w:color w:val="auto"/>
        </w:rPr>
      </w:pPr>
    </w:p>
    <w:p>
      <w:pPr>
        <w:ind w:left="120"/>
        <w:spacing w:after="0"/>
        <w:tabs>
          <w:tab w:leader="none" w:pos="541" w:val="left"/>
        </w:tabs>
        <w:rPr>
          <w:sz w:val="20"/>
          <w:szCs w:val="20"/>
          <w:color w:val="auto"/>
        </w:rPr>
      </w:pPr>
      <w:r>
        <w:rPr>
          <w:rFonts w:ascii="Arial" w:cs="Arial" w:eastAsia="Arial" w:hAnsi="Arial"/>
          <w:sz w:val="18"/>
          <w:szCs w:val="18"/>
          <w:color w:val="auto"/>
        </w:rPr>
        <w:t>46</w:t>
      </w:r>
      <w:r>
        <w:rPr>
          <w:sz w:val="20"/>
          <w:szCs w:val="20"/>
          <w:color w:val="auto"/>
        </w:rPr>
        <w:tab/>
      </w:r>
      <w:r>
        <w:rPr>
          <w:sz w:val="1"/>
          <w:szCs w:val="1"/>
          <w:color w:val="auto"/>
        </w:rPr>
        <w:drawing>
          <wp:inline distT="0" distB="0" distL="0" distR="0">
            <wp:extent cx="582930" cy="13716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i w:val="1"/>
          <w:iCs w:val="1"/>
          <w:color w:val="1269BC"/>
        </w:rPr>
        <w:t xml:space="preserve">   2020 Proxy Statement</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1269B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EQUITY COMPENSATION PLAN INFORMATION</w:t>
      </w:r>
    </w:p>
    <w:p>
      <w:pPr>
        <w:spacing w:after="0" w:line="132" w:lineRule="exact"/>
        <w:rPr>
          <w:sz w:val="20"/>
          <w:szCs w:val="20"/>
          <w:color w:val="auto"/>
        </w:rPr>
      </w:pPr>
    </w:p>
    <w:p>
      <w:pPr>
        <w:ind w:left="120" w:right="660"/>
        <w:spacing w:after="0" w:line="260" w:lineRule="auto"/>
        <w:rPr>
          <w:sz w:val="20"/>
          <w:szCs w:val="20"/>
          <w:color w:val="auto"/>
        </w:rPr>
      </w:pPr>
      <w:r>
        <w:rPr>
          <w:rFonts w:ascii="Arial" w:cs="Arial" w:eastAsia="Arial" w:hAnsi="Arial"/>
          <w:sz w:val="16"/>
          <w:szCs w:val="16"/>
          <w:color w:val="auto"/>
        </w:rPr>
        <w:t>The following table summarizes information as of March 28, 2020 relating to our equity compensation plans, under which grants of stock options, restricted stock and other rights to acquire shares of our common stock may be made from time to time.</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000" w:type="dxa"/>
            <w:vAlign w:val="bottom"/>
          </w:tcPr>
          <w:p>
            <w:pPr>
              <w:spacing w:after="0"/>
              <w:rPr>
                <w:sz w:val="16"/>
                <w:szCs w:val="16"/>
                <w:color w:val="auto"/>
              </w:rPr>
            </w:pPr>
          </w:p>
        </w:tc>
        <w:tc>
          <w:tcPr>
            <w:tcW w:w="2880" w:type="dxa"/>
            <w:vAlign w:val="bottom"/>
          </w:tcPr>
          <w:p>
            <w:pPr>
              <w:jc w:val="center"/>
              <w:ind w:left="36"/>
              <w:spacing w:after="0"/>
              <w:rPr>
                <w:sz w:val="20"/>
                <w:szCs w:val="20"/>
                <w:color w:val="auto"/>
              </w:rPr>
            </w:pPr>
            <w:r>
              <w:rPr>
                <w:rFonts w:ascii="Arial" w:cs="Arial" w:eastAsia="Arial" w:hAnsi="Arial"/>
                <w:sz w:val="16"/>
                <w:szCs w:val="16"/>
                <w:b w:val="1"/>
                <w:bCs w:val="1"/>
                <w:color w:val="1269BC"/>
              </w:rPr>
              <w:t>(a)</w:t>
            </w:r>
          </w:p>
        </w:tc>
        <w:tc>
          <w:tcPr>
            <w:tcW w:w="2320" w:type="dxa"/>
            <w:vAlign w:val="bottom"/>
          </w:tcPr>
          <w:p>
            <w:pPr>
              <w:jc w:val="center"/>
              <w:spacing w:after="0"/>
              <w:rPr>
                <w:sz w:val="20"/>
                <w:szCs w:val="20"/>
                <w:color w:val="auto"/>
              </w:rPr>
            </w:pPr>
            <w:r>
              <w:rPr>
                <w:rFonts w:ascii="Arial" w:cs="Arial" w:eastAsia="Arial" w:hAnsi="Arial"/>
                <w:sz w:val="16"/>
                <w:szCs w:val="16"/>
                <w:b w:val="1"/>
                <w:bCs w:val="1"/>
                <w:color w:val="1269BC"/>
              </w:rPr>
              <w:t>(b)</w:t>
            </w:r>
          </w:p>
        </w:tc>
        <w:tc>
          <w:tcPr>
            <w:tcW w:w="2820" w:type="dxa"/>
            <w:vAlign w:val="bottom"/>
          </w:tcPr>
          <w:p>
            <w:pPr>
              <w:jc w:val="center"/>
              <w:ind w:left="276"/>
              <w:spacing w:after="0"/>
              <w:rPr>
                <w:sz w:val="20"/>
                <w:szCs w:val="20"/>
                <w:color w:val="auto"/>
              </w:rPr>
            </w:pPr>
            <w:r>
              <w:rPr>
                <w:rFonts w:ascii="Arial" w:cs="Arial" w:eastAsia="Arial" w:hAnsi="Arial"/>
                <w:sz w:val="16"/>
                <w:szCs w:val="16"/>
                <w:b w:val="1"/>
                <w:bCs w:val="1"/>
                <w:color w:val="1269BC"/>
                <w:w w:val="91"/>
              </w:rPr>
              <w:t>(c)</w:t>
            </w:r>
          </w:p>
        </w:tc>
        <w:tc>
          <w:tcPr>
            <w:tcW w:w="0" w:type="dxa"/>
            <w:vAlign w:val="bottom"/>
          </w:tcPr>
          <w:p>
            <w:pPr>
              <w:spacing w:after="0"/>
              <w:rPr>
                <w:sz w:val="1"/>
                <w:szCs w:val="1"/>
                <w:color w:val="auto"/>
              </w:rPr>
            </w:pPr>
          </w:p>
        </w:tc>
      </w:tr>
      <w:tr>
        <w:trPr>
          <w:trHeight w:val="189"/>
        </w:trPr>
        <w:tc>
          <w:tcPr>
            <w:tcW w:w="30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Arial" w:cs="Arial" w:eastAsia="Arial" w:hAnsi="Arial"/>
                <w:sz w:val="16"/>
                <w:szCs w:val="16"/>
                <w:b w:val="1"/>
                <w:bCs w:val="1"/>
                <w:color w:val="1269BC"/>
              </w:rPr>
              <w:t>Weighted average</w:t>
            </w:r>
          </w:p>
        </w:tc>
        <w:tc>
          <w:tcPr>
            <w:tcW w:w="2820" w:type="dxa"/>
            <w:vAlign w:val="bottom"/>
          </w:tcPr>
          <w:p>
            <w:pPr>
              <w:jc w:val="center"/>
              <w:ind w:left="276"/>
              <w:spacing w:after="0"/>
              <w:rPr>
                <w:sz w:val="20"/>
                <w:szCs w:val="20"/>
                <w:color w:val="auto"/>
              </w:rPr>
            </w:pPr>
            <w:r>
              <w:rPr>
                <w:rFonts w:ascii="Arial" w:cs="Arial" w:eastAsia="Arial" w:hAnsi="Arial"/>
                <w:sz w:val="16"/>
                <w:szCs w:val="16"/>
                <w:b w:val="1"/>
                <w:bCs w:val="1"/>
                <w:color w:val="1269BC"/>
              </w:rPr>
              <w:t>Number of securities remaining</w:t>
            </w:r>
          </w:p>
        </w:tc>
        <w:tc>
          <w:tcPr>
            <w:tcW w:w="0" w:type="dxa"/>
            <w:vAlign w:val="bottom"/>
          </w:tcPr>
          <w:p>
            <w:pPr>
              <w:spacing w:after="0"/>
              <w:rPr>
                <w:sz w:val="1"/>
                <w:szCs w:val="1"/>
                <w:color w:val="auto"/>
              </w:rPr>
            </w:pPr>
          </w:p>
        </w:tc>
      </w:tr>
      <w:tr>
        <w:trPr>
          <w:trHeight w:val="189"/>
        </w:trPr>
        <w:tc>
          <w:tcPr>
            <w:tcW w:w="3000" w:type="dxa"/>
            <w:vAlign w:val="bottom"/>
          </w:tcPr>
          <w:p>
            <w:pPr>
              <w:spacing w:after="0"/>
              <w:rPr>
                <w:sz w:val="16"/>
                <w:szCs w:val="16"/>
                <w:color w:val="auto"/>
              </w:rPr>
            </w:pPr>
          </w:p>
        </w:tc>
        <w:tc>
          <w:tcPr>
            <w:tcW w:w="2880" w:type="dxa"/>
            <w:vAlign w:val="bottom"/>
          </w:tcPr>
          <w:p>
            <w:pPr>
              <w:jc w:val="center"/>
              <w:ind w:left="16"/>
              <w:spacing w:after="0"/>
              <w:rPr>
                <w:sz w:val="20"/>
                <w:szCs w:val="20"/>
                <w:color w:val="auto"/>
              </w:rPr>
            </w:pPr>
            <w:r>
              <w:rPr>
                <w:rFonts w:ascii="Arial" w:cs="Arial" w:eastAsia="Arial" w:hAnsi="Arial"/>
                <w:sz w:val="16"/>
                <w:szCs w:val="16"/>
                <w:b w:val="1"/>
                <w:bCs w:val="1"/>
                <w:color w:val="1269BC"/>
              </w:rPr>
              <w:t>Number of securities to be</w:t>
            </w:r>
          </w:p>
        </w:tc>
        <w:tc>
          <w:tcPr>
            <w:tcW w:w="2320" w:type="dxa"/>
            <w:vAlign w:val="bottom"/>
          </w:tcPr>
          <w:p>
            <w:pPr>
              <w:jc w:val="center"/>
              <w:spacing w:after="0"/>
              <w:rPr>
                <w:sz w:val="20"/>
                <w:szCs w:val="20"/>
                <w:color w:val="auto"/>
              </w:rPr>
            </w:pPr>
            <w:r>
              <w:rPr>
                <w:rFonts w:ascii="Arial" w:cs="Arial" w:eastAsia="Arial" w:hAnsi="Arial"/>
                <w:sz w:val="16"/>
                <w:szCs w:val="16"/>
                <w:b w:val="1"/>
                <w:bCs w:val="1"/>
                <w:color w:val="1269BC"/>
              </w:rPr>
              <w:t>exercise</w:t>
            </w:r>
          </w:p>
        </w:tc>
        <w:tc>
          <w:tcPr>
            <w:tcW w:w="2820" w:type="dxa"/>
            <w:vAlign w:val="bottom"/>
          </w:tcPr>
          <w:p>
            <w:pPr>
              <w:jc w:val="center"/>
              <w:ind w:left="276"/>
              <w:spacing w:after="0"/>
              <w:rPr>
                <w:sz w:val="20"/>
                <w:szCs w:val="20"/>
                <w:color w:val="auto"/>
              </w:rPr>
            </w:pPr>
            <w:r>
              <w:rPr>
                <w:rFonts w:ascii="Arial" w:cs="Arial" w:eastAsia="Arial" w:hAnsi="Arial"/>
                <w:sz w:val="16"/>
                <w:szCs w:val="16"/>
                <w:b w:val="1"/>
                <w:bCs w:val="1"/>
                <w:color w:val="1269BC"/>
              </w:rPr>
              <w:t>available for future issuance</w:t>
            </w:r>
          </w:p>
        </w:tc>
        <w:tc>
          <w:tcPr>
            <w:tcW w:w="0" w:type="dxa"/>
            <w:vAlign w:val="bottom"/>
          </w:tcPr>
          <w:p>
            <w:pPr>
              <w:spacing w:after="0"/>
              <w:rPr>
                <w:sz w:val="1"/>
                <w:szCs w:val="1"/>
                <w:color w:val="auto"/>
              </w:rPr>
            </w:pPr>
          </w:p>
        </w:tc>
      </w:tr>
      <w:tr>
        <w:trPr>
          <w:trHeight w:val="189"/>
        </w:trPr>
        <w:tc>
          <w:tcPr>
            <w:tcW w:w="3000" w:type="dxa"/>
            <w:vAlign w:val="bottom"/>
          </w:tcPr>
          <w:p>
            <w:pPr>
              <w:spacing w:after="0"/>
              <w:rPr>
                <w:sz w:val="16"/>
                <w:szCs w:val="16"/>
                <w:color w:val="auto"/>
              </w:rPr>
            </w:pPr>
          </w:p>
        </w:tc>
        <w:tc>
          <w:tcPr>
            <w:tcW w:w="2880" w:type="dxa"/>
            <w:vAlign w:val="bottom"/>
          </w:tcPr>
          <w:p>
            <w:pPr>
              <w:jc w:val="center"/>
              <w:ind w:left="16"/>
              <w:spacing w:after="0"/>
              <w:rPr>
                <w:sz w:val="20"/>
                <w:szCs w:val="20"/>
                <w:color w:val="auto"/>
              </w:rPr>
            </w:pPr>
            <w:r>
              <w:rPr>
                <w:rFonts w:ascii="Arial" w:cs="Arial" w:eastAsia="Arial" w:hAnsi="Arial"/>
                <w:sz w:val="16"/>
                <w:szCs w:val="16"/>
                <w:b w:val="1"/>
                <w:bCs w:val="1"/>
                <w:color w:val="1269BC"/>
              </w:rPr>
              <w:t>issued upon exercise of</w:t>
            </w:r>
          </w:p>
        </w:tc>
        <w:tc>
          <w:tcPr>
            <w:tcW w:w="2320" w:type="dxa"/>
            <w:vAlign w:val="bottom"/>
          </w:tcPr>
          <w:p>
            <w:pPr>
              <w:jc w:val="center"/>
              <w:spacing w:after="0"/>
              <w:rPr>
                <w:sz w:val="20"/>
                <w:szCs w:val="20"/>
                <w:color w:val="auto"/>
              </w:rPr>
            </w:pPr>
            <w:r>
              <w:rPr>
                <w:rFonts w:ascii="Arial" w:cs="Arial" w:eastAsia="Arial" w:hAnsi="Arial"/>
                <w:sz w:val="16"/>
                <w:szCs w:val="16"/>
                <w:b w:val="1"/>
                <w:bCs w:val="1"/>
                <w:color w:val="1269BC"/>
              </w:rPr>
              <w:t>price of outstanding</w:t>
            </w:r>
          </w:p>
        </w:tc>
        <w:tc>
          <w:tcPr>
            <w:tcW w:w="2820" w:type="dxa"/>
            <w:vAlign w:val="bottom"/>
          </w:tcPr>
          <w:p>
            <w:pPr>
              <w:jc w:val="center"/>
              <w:ind w:left="276"/>
              <w:spacing w:after="0"/>
              <w:rPr>
                <w:sz w:val="20"/>
                <w:szCs w:val="20"/>
                <w:color w:val="auto"/>
              </w:rPr>
            </w:pPr>
            <w:r>
              <w:rPr>
                <w:rFonts w:ascii="Arial" w:cs="Arial" w:eastAsia="Arial" w:hAnsi="Arial"/>
                <w:sz w:val="16"/>
                <w:szCs w:val="16"/>
                <w:b w:val="1"/>
                <w:bCs w:val="1"/>
                <w:color w:val="1269BC"/>
              </w:rPr>
              <w:t>under equity plans (excluding</w:t>
            </w:r>
          </w:p>
        </w:tc>
        <w:tc>
          <w:tcPr>
            <w:tcW w:w="0" w:type="dxa"/>
            <w:vAlign w:val="bottom"/>
          </w:tcPr>
          <w:p>
            <w:pPr>
              <w:spacing w:after="0"/>
              <w:rPr>
                <w:sz w:val="1"/>
                <w:szCs w:val="1"/>
                <w:color w:val="auto"/>
              </w:rPr>
            </w:pPr>
          </w:p>
        </w:tc>
      </w:tr>
      <w:tr>
        <w:trPr>
          <w:trHeight w:val="189"/>
        </w:trPr>
        <w:tc>
          <w:tcPr>
            <w:tcW w:w="3000" w:type="dxa"/>
            <w:vAlign w:val="bottom"/>
          </w:tcPr>
          <w:p>
            <w:pPr>
              <w:spacing w:after="0"/>
              <w:rPr>
                <w:sz w:val="16"/>
                <w:szCs w:val="16"/>
                <w:color w:val="auto"/>
              </w:rPr>
            </w:pPr>
          </w:p>
        </w:tc>
        <w:tc>
          <w:tcPr>
            <w:tcW w:w="2880" w:type="dxa"/>
            <w:vAlign w:val="bottom"/>
          </w:tcPr>
          <w:p>
            <w:pPr>
              <w:jc w:val="center"/>
              <w:ind w:left="16"/>
              <w:spacing w:after="0"/>
              <w:rPr>
                <w:sz w:val="20"/>
                <w:szCs w:val="20"/>
                <w:color w:val="auto"/>
              </w:rPr>
            </w:pPr>
            <w:r>
              <w:rPr>
                <w:rFonts w:ascii="Arial" w:cs="Arial" w:eastAsia="Arial" w:hAnsi="Arial"/>
                <w:sz w:val="16"/>
                <w:szCs w:val="16"/>
                <w:b w:val="1"/>
                <w:bCs w:val="1"/>
                <w:color w:val="1269BC"/>
              </w:rPr>
              <w:t>outstanding warrants</w:t>
            </w:r>
          </w:p>
        </w:tc>
        <w:tc>
          <w:tcPr>
            <w:tcW w:w="2320" w:type="dxa"/>
            <w:vAlign w:val="bottom"/>
          </w:tcPr>
          <w:p>
            <w:pPr>
              <w:jc w:val="center"/>
              <w:spacing w:after="0"/>
              <w:rPr>
                <w:sz w:val="20"/>
                <w:szCs w:val="20"/>
                <w:color w:val="auto"/>
              </w:rPr>
            </w:pPr>
            <w:r>
              <w:rPr>
                <w:rFonts w:ascii="Arial" w:cs="Arial" w:eastAsia="Arial" w:hAnsi="Arial"/>
                <w:sz w:val="16"/>
                <w:szCs w:val="16"/>
                <w:b w:val="1"/>
                <w:bCs w:val="1"/>
                <w:color w:val="1269BC"/>
              </w:rPr>
              <w:t>options, warrants</w:t>
            </w:r>
          </w:p>
        </w:tc>
        <w:tc>
          <w:tcPr>
            <w:tcW w:w="2820" w:type="dxa"/>
            <w:vAlign w:val="bottom"/>
          </w:tcPr>
          <w:p>
            <w:pPr>
              <w:jc w:val="center"/>
              <w:ind w:left="276"/>
              <w:spacing w:after="0"/>
              <w:rPr>
                <w:sz w:val="20"/>
                <w:szCs w:val="20"/>
                <w:color w:val="auto"/>
              </w:rPr>
            </w:pPr>
            <w:r>
              <w:rPr>
                <w:rFonts w:ascii="Arial" w:cs="Arial" w:eastAsia="Arial" w:hAnsi="Arial"/>
                <w:sz w:val="16"/>
                <w:szCs w:val="16"/>
                <w:b w:val="1"/>
                <w:bCs w:val="1"/>
                <w:color w:val="1269BC"/>
              </w:rPr>
              <w:t>securities reflected in</w:t>
            </w:r>
          </w:p>
        </w:tc>
        <w:tc>
          <w:tcPr>
            <w:tcW w:w="0" w:type="dxa"/>
            <w:vAlign w:val="bottom"/>
          </w:tcPr>
          <w:p>
            <w:pPr>
              <w:spacing w:after="0"/>
              <w:rPr>
                <w:sz w:val="1"/>
                <w:szCs w:val="1"/>
                <w:color w:val="auto"/>
              </w:rPr>
            </w:pPr>
          </w:p>
        </w:tc>
      </w:tr>
      <w:tr>
        <w:trPr>
          <w:trHeight w:val="221"/>
        </w:trPr>
        <w:tc>
          <w:tcPr>
            <w:tcW w:w="3000" w:type="dxa"/>
            <w:vAlign w:val="bottom"/>
            <w:tcBorders>
              <w:bottom w:val="single" w:sz="8" w:color="1269BC"/>
            </w:tcBorders>
          </w:tcPr>
          <w:p>
            <w:pPr>
              <w:ind w:left="80"/>
              <w:spacing w:after="0"/>
              <w:rPr>
                <w:sz w:val="20"/>
                <w:szCs w:val="20"/>
                <w:color w:val="auto"/>
              </w:rPr>
            </w:pPr>
            <w:r>
              <w:rPr>
                <w:rFonts w:ascii="Arial" w:cs="Arial" w:eastAsia="Arial" w:hAnsi="Arial"/>
                <w:sz w:val="16"/>
                <w:szCs w:val="16"/>
                <w:b w:val="1"/>
                <w:bCs w:val="1"/>
                <w:color w:val="1269BC"/>
              </w:rPr>
              <w:t>Plan Category</w:t>
            </w:r>
          </w:p>
        </w:tc>
        <w:tc>
          <w:tcPr>
            <w:tcW w:w="2880" w:type="dxa"/>
            <w:vAlign w:val="bottom"/>
            <w:tcBorders>
              <w:bottom w:val="single" w:sz="8" w:color="1269BC"/>
            </w:tcBorders>
          </w:tcPr>
          <w:p>
            <w:pPr>
              <w:jc w:val="center"/>
              <w:ind w:left="16"/>
              <w:spacing w:after="0"/>
              <w:rPr>
                <w:sz w:val="20"/>
                <w:szCs w:val="20"/>
                <w:color w:val="auto"/>
              </w:rPr>
            </w:pPr>
            <w:r>
              <w:rPr>
                <w:rFonts w:ascii="Arial" w:cs="Arial" w:eastAsia="Arial" w:hAnsi="Arial"/>
                <w:sz w:val="16"/>
                <w:szCs w:val="16"/>
                <w:b w:val="1"/>
                <w:bCs w:val="1"/>
                <w:color w:val="1269BC"/>
              </w:rPr>
              <w:t>and rights</w:t>
            </w:r>
          </w:p>
        </w:tc>
        <w:tc>
          <w:tcPr>
            <w:tcW w:w="2320" w:type="dxa"/>
            <w:vAlign w:val="bottom"/>
            <w:tcBorders>
              <w:bottom w:val="single" w:sz="8" w:color="1269BC"/>
            </w:tcBorders>
          </w:tcPr>
          <w:p>
            <w:pPr>
              <w:jc w:val="center"/>
              <w:spacing w:after="0"/>
              <w:rPr>
                <w:sz w:val="20"/>
                <w:szCs w:val="20"/>
                <w:color w:val="auto"/>
              </w:rPr>
            </w:pPr>
            <w:r>
              <w:rPr>
                <w:rFonts w:ascii="Arial" w:cs="Arial" w:eastAsia="Arial" w:hAnsi="Arial"/>
                <w:sz w:val="16"/>
                <w:szCs w:val="16"/>
                <w:b w:val="1"/>
                <w:bCs w:val="1"/>
                <w:color w:val="1269BC"/>
              </w:rPr>
              <w:t>and rights (1)</w:t>
            </w:r>
          </w:p>
        </w:tc>
        <w:tc>
          <w:tcPr>
            <w:tcW w:w="2820" w:type="dxa"/>
            <w:vAlign w:val="bottom"/>
            <w:tcBorders>
              <w:bottom w:val="single" w:sz="8" w:color="1269BC"/>
            </w:tcBorders>
          </w:tcPr>
          <w:p>
            <w:pPr>
              <w:jc w:val="center"/>
              <w:ind w:left="276"/>
              <w:spacing w:after="0"/>
              <w:rPr>
                <w:sz w:val="20"/>
                <w:szCs w:val="20"/>
                <w:color w:val="auto"/>
              </w:rPr>
            </w:pPr>
            <w:r>
              <w:rPr>
                <w:rFonts w:ascii="Arial" w:cs="Arial" w:eastAsia="Arial" w:hAnsi="Arial"/>
                <w:sz w:val="16"/>
                <w:szCs w:val="16"/>
                <w:b w:val="1"/>
                <w:bCs w:val="1"/>
                <w:color w:val="1269BC"/>
              </w:rPr>
              <w:t>column (a)</w:t>
            </w:r>
          </w:p>
        </w:tc>
        <w:tc>
          <w:tcPr>
            <w:tcW w:w="0" w:type="dxa"/>
            <w:vAlign w:val="bottom"/>
          </w:tcPr>
          <w:p>
            <w:pPr>
              <w:spacing w:after="0"/>
              <w:rPr>
                <w:sz w:val="1"/>
                <w:szCs w:val="1"/>
                <w:color w:val="auto"/>
              </w:rPr>
            </w:pPr>
          </w:p>
        </w:tc>
      </w:tr>
      <w:tr>
        <w:trPr>
          <w:trHeight w:val="210"/>
        </w:trPr>
        <w:tc>
          <w:tcPr>
            <w:tcW w:w="3000" w:type="dxa"/>
            <w:vAlign w:val="bottom"/>
            <w:vMerge w:val="restart"/>
            <w:shd w:val="clear" w:color="auto" w:fill="C3D9EE"/>
          </w:tcPr>
          <w:p>
            <w:pPr>
              <w:ind w:left="100"/>
              <w:spacing w:after="0"/>
              <w:rPr>
                <w:sz w:val="20"/>
                <w:szCs w:val="20"/>
                <w:color w:val="auto"/>
              </w:rPr>
            </w:pPr>
            <w:r>
              <w:rPr>
                <w:rFonts w:ascii="Arial" w:cs="Arial" w:eastAsia="Arial" w:hAnsi="Arial"/>
                <w:sz w:val="18"/>
                <w:szCs w:val="18"/>
                <w:color w:val="auto"/>
              </w:rPr>
              <w:t>Equity compensation plans</w:t>
            </w:r>
          </w:p>
        </w:tc>
        <w:tc>
          <w:tcPr>
            <w:tcW w:w="2880" w:type="dxa"/>
            <w:vAlign w:val="bottom"/>
            <w:shd w:val="clear" w:color="auto" w:fill="C3D9EE"/>
          </w:tcPr>
          <w:p>
            <w:pPr>
              <w:jc w:val="right"/>
              <w:ind w:right="556"/>
              <w:spacing w:after="0"/>
              <w:rPr>
                <w:sz w:val="20"/>
                <w:szCs w:val="20"/>
                <w:color w:val="auto"/>
              </w:rPr>
            </w:pPr>
            <w:r>
              <w:rPr>
                <w:rFonts w:ascii="Arial" w:cs="Arial" w:eastAsia="Arial" w:hAnsi="Arial"/>
                <w:sz w:val="18"/>
                <w:szCs w:val="18"/>
                <w:color w:val="auto"/>
              </w:rPr>
              <w:t>3,213,787</w:t>
            </w:r>
          </w:p>
        </w:tc>
        <w:tc>
          <w:tcPr>
            <w:tcW w:w="2320" w:type="dxa"/>
            <w:vAlign w:val="bottom"/>
            <w:shd w:val="clear" w:color="auto" w:fill="C3D9EE"/>
          </w:tcPr>
          <w:p>
            <w:pPr>
              <w:jc w:val="right"/>
              <w:ind w:right="637"/>
              <w:spacing w:after="0"/>
              <w:rPr>
                <w:sz w:val="20"/>
                <w:szCs w:val="20"/>
                <w:color w:val="auto"/>
              </w:rPr>
            </w:pPr>
            <w:r>
              <w:rPr>
                <w:rFonts w:ascii="Arial" w:cs="Arial" w:eastAsia="Arial" w:hAnsi="Arial"/>
                <w:sz w:val="18"/>
                <w:szCs w:val="18"/>
                <w:color w:val="auto"/>
              </w:rPr>
              <w:t>$18.11</w:t>
            </w:r>
          </w:p>
        </w:tc>
        <w:tc>
          <w:tcPr>
            <w:tcW w:w="2820" w:type="dxa"/>
            <w:vAlign w:val="bottom"/>
            <w:shd w:val="clear" w:color="auto" w:fill="C3D9EE"/>
          </w:tcPr>
          <w:p>
            <w:pPr>
              <w:jc w:val="right"/>
              <w:ind w:right="156"/>
              <w:spacing w:after="0"/>
              <w:rPr>
                <w:sz w:val="20"/>
                <w:szCs w:val="20"/>
                <w:color w:val="auto"/>
              </w:rPr>
            </w:pPr>
            <w:r>
              <w:rPr>
                <w:rFonts w:ascii="Arial" w:cs="Arial" w:eastAsia="Arial" w:hAnsi="Arial"/>
                <w:sz w:val="18"/>
                <w:szCs w:val="18"/>
                <w:color w:val="auto"/>
              </w:rPr>
              <w:t>7,934,559 (2)</w:t>
            </w:r>
          </w:p>
        </w:tc>
        <w:tc>
          <w:tcPr>
            <w:tcW w:w="0" w:type="dxa"/>
            <w:vAlign w:val="bottom"/>
          </w:tcPr>
          <w:p>
            <w:pPr>
              <w:spacing w:after="0"/>
              <w:rPr>
                <w:sz w:val="1"/>
                <w:szCs w:val="1"/>
                <w:color w:val="auto"/>
              </w:rPr>
            </w:pPr>
          </w:p>
        </w:tc>
      </w:tr>
      <w:tr>
        <w:trPr>
          <w:trHeight w:val="52"/>
        </w:trPr>
        <w:tc>
          <w:tcPr>
            <w:tcW w:w="3000" w:type="dxa"/>
            <w:vAlign w:val="bottom"/>
            <w:vMerge w:val="continue"/>
            <w:shd w:val="clear" w:color="auto" w:fill="C3D9EE"/>
          </w:tcPr>
          <w:p>
            <w:pPr>
              <w:spacing w:after="0"/>
              <w:rPr>
                <w:sz w:val="4"/>
                <w:szCs w:val="4"/>
                <w:color w:val="auto"/>
              </w:rPr>
            </w:pPr>
          </w:p>
        </w:tc>
        <w:tc>
          <w:tcPr>
            <w:tcW w:w="2880" w:type="dxa"/>
            <w:vAlign w:val="bottom"/>
            <w:shd w:val="clear" w:color="auto" w:fill="C3D9EE"/>
          </w:tcPr>
          <w:p>
            <w:pPr>
              <w:spacing w:after="0"/>
              <w:rPr>
                <w:sz w:val="4"/>
                <w:szCs w:val="4"/>
                <w:color w:val="auto"/>
              </w:rPr>
            </w:pPr>
          </w:p>
        </w:tc>
        <w:tc>
          <w:tcPr>
            <w:tcW w:w="2320" w:type="dxa"/>
            <w:vAlign w:val="bottom"/>
            <w:shd w:val="clear" w:color="auto" w:fill="C3D9EE"/>
          </w:tcPr>
          <w:p>
            <w:pPr>
              <w:spacing w:after="0"/>
              <w:rPr>
                <w:sz w:val="4"/>
                <w:szCs w:val="4"/>
                <w:color w:val="auto"/>
              </w:rPr>
            </w:pPr>
          </w:p>
        </w:tc>
        <w:tc>
          <w:tcPr>
            <w:tcW w:w="2820" w:type="dxa"/>
            <w:vAlign w:val="bottom"/>
            <w:shd w:val="clear" w:color="auto" w:fill="C3D9E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000" w:type="dxa"/>
            <w:vAlign w:val="bottom"/>
            <w:shd w:val="clear" w:color="auto" w:fill="C3D9EE"/>
          </w:tcPr>
          <w:p>
            <w:pPr>
              <w:ind w:left="180"/>
              <w:spacing w:after="0"/>
              <w:rPr>
                <w:sz w:val="20"/>
                <w:szCs w:val="20"/>
                <w:color w:val="auto"/>
              </w:rPr>
            </w:pPr>
            <w:r>
              <w:rPr>
                <w:rFonts w:ascii="Arial" w:cs="Arial" w:eastAsia="Arial" w:hAnsi="Arial"/>
                <w:sz w:val="18"/>
                <w:szCs w:val="18"/>
                <w:color w:val="auto"/>
              </w:rPr>
              <w:t>approved by security holders</w:t>
            </w:r>
          </w:p>
        </w:tc>
        <w:tc>
          <w:tcPr>
            <w:tcW w:w="2880" w:type="dxa"/>
            <w:vAlign w:val="bottom"/>
            <w:shd w:val="clear" w:color="auto" w:fill="C3D9EE"/>
          </w:tcPr>
          <w:p>
            <w:pPr>
              <w:spacing w:after="0"/>
              <w:rPr>
                <w:sz w:val="18"/>
                <w:szCs w:val="18"/>
                <w:color w:val="auto"/>
              </w:rPr>
            </w:pPr>
          </w:p>
        </w:tc>
        <w:tc>
          <w:tcPr>
            <w:tcW w:w="2320" w:type="dxa"/>
            <w:vAlign w:val="bottom"/>
            <w:shd w:val="clear" w:color="auto" w:fill="C3D9EE"/>
          </w:tcPr>
          <w:p>
            <w:pPr>
              <w:spacing w:after="0"/>
              <w:rPr>
                <w:sz w:val="18"/>
                <w:szCs w:val="18"/>
                <w:color w:val="auto"/>
              </w:rPr>
            </w:pPr>
          </w:p>
        </w:tc>
        <w:tc>
          <w:tcPr>
            <w:tcW w:w="2820" w:type="dxa"/>
            <w:vAlign w:val="bottom"/>
            <w:shd w:val="clear" w:color="auto" w:fill="C3D9EE"/>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3000" w:type="dxa"/>
            <w:vAlign w:val="bottom"/>
            <w:shd w:val="clear" w:color="auto" w:fill="C3D9EE"/>
          </w:tcPr>
          <w:p>
            <w:pPr>
              <w:spacing w:after="0"/>
              <w:rPr>
                <w:sz w:val="5"/>
                <w:szCs w:val="5"/>
                <w:color w:val="auto"/>
              </w:rPr>
            </w:pPr>
          </w:p>
        </w:tc>
        <w:tc>
          <w:tcPr>
            <w:tcW w:w="2880" w:type="dxa"/>
            <w:vAlign w:val="bottom"/>
            <w:shd w:val="clear" w:color="auto" w:fill="C3D9EE"/>
          </w:tcPr>
          <w:p>
            <w:pPr>
              <w:spacing w:after="0"/>
              <w:rPr>
                <w:sz w:val="5"/>
                <w:szCs w:val="5"/>
                <w:color w:val="auto"/>
              </w:rPr>
            </w:pPr>
          </w:p>
        </w:tc>
        <w:tc>
          <w:tcPr>
            <w:tcW w:w="2320" w:type="dxa"/>
            <w:vAlign w:val="bottom"/>
            <w:shd w:val="clear" w:color="auto" w:fill="C3D9EE"/>
          </w:tcPr>
          <w:p>
            <w:pPr>
              <w:spacing w:after="0"/>
              <w:rPr>
                <w:sz w:val="5"/>
                <w:szCs w:val="5"/>
                <w:color w:val="auto"/>
              </w:rPr>
            </w:pPr>
          </w:p>
        </w:tc>
        <w:tc>
          <w:tcPr>
            <w:tcW w:w="2820" w:type="dxa"/>
            <w:vAlign w:val="bottom"/>
            <w:shd w:val="clear" w:color="auto" w:fill="C3D9E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3000" w:type="dxa"/>
            <w:vAlign w:val="bottom"/>
            <w:vMerge w:val="restart"/>
          </w:tcPr>
          <w:p>
            <w:pPr>
              <w:ind w:left="100"/>
              <w:spacing w:after="0"/>
              <w:rPr>
                <w:sz w:val="20"/>
                <w:szCs w:val="20"/>
                <w:color w:val="auto"/>
              </w:rPr>
            </w:pPr>
            <w:r>
              <w:rPr>
                <w:rFonts w:ascii="Arial" w:cs="Arial" w:eastAsia="Arial" w:hAnsi="Arial"/>
                <w:sz w:val="18"/>
                <w:szCs w:val="18"/>
                <w:color w:val="auto"/>
              </w:rPr>
              <w:t>Equity compensation plans not</w:t>
            </w:r>
          </w:p>
        </w:tc>
        <w:tc>
          <w:tcPr>
            <w:tcW w:w="2880" w:type="dxa"/>
            <w:vAlign w:val="bottom"/>
          </w:tcPr>
          <w:p>
            <w:pPr>
              <w:jc w:val="right"/>
              <w:ind w:right="556"/>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637"/>
              <w:spacing w:after="0"/>
              <w:rPr>
                <w:sz w:val="20"/>
                <w:szCs w:val="20"/>
                <w:color w:val="auto"/>
              </w:rPr>
            </w:pPr>
            <w:r>
              <w:rPr>
                <w:rFonts w:ascii="Arial" w:cs="Arial" w:eastAsia="Arial" w:hAnsi="Arial"/>
                <w:sz w:val="18"/>
                <w:szCs w:val="18"/>
                <w:color w:val="auto"/>
              </w:rPr>
              <w:t>–</w:t>
            </w:r>
          </w:p>
        </w:tc>
        <w:tc>
          <w:tcPr>
            <w:tcW w:w="2820" w:type="dxa"/>
            <w:vAlign w:val="bottom"/>
          </w:tcPr>
          <w:p>
            <w:pPr>
              <w:jc w:val="right"/>
              <w:ind w:right="376"/>
              <w:spacing w:after="0"/>
              <w:rPr>
                <w:sz w:val="20"/>
                <w:szCs w:val="20"/>
                <w:color w:val="auto"/>
              </w:rPr>
            </w:pPr>
            <w:r>
              <w:rPr>
                <w:rFonts w:ascii="Arial" w:cs="Arial" w:eastAsia="Arial" w:hAnsi="Arial"/>
                <w:sz w:val="18"/>
                <w:szCs w:val="18"/>
                <w:color w:val="auto"/>
              </w:rPr>
              <w:t>254,189</w:t>
            </w:r>
          </w:p>
        </w:tc>
        <w:tc>
          <w:tcPr>
            <w:tcW w:w="0" w:type="dxa"/>
            <w:vAlign w:val="bottom"/>
          </w:tcPr>
          <w:p>
            <w:pPr>
              <w:spacing w:after="0"/>
              <w:rPr>
                <w:sz w:val="1"/>
                <w:szCs w:val="1"/>
                <w:color w:val="auto"/>
              </w:rPr>
            </w:pPr>
          </w:p>
        </w:tc>
      </w:tr>
      <w:tr>
        <w:trPr>
          <w:trHeight w:val="52"/>
        </w:trPr>
        <w:tc>
          <w:tcPr>
            <w:tcW w:w="3000" w:type="dxa"/>
            <w:vAlign w:val="bottom"/>
            <w:vMerge w:val="continue"/>
          </w:tcPr>
          <w:p>
            <w:pPr>
              <w:spacing w:after="0"/>
              <w:rPr>
                <w:sz w:val="4"/>
                <w:szCs w:val="4"/>
                <w:color w:val="auto"/>
              </w:rPr>
            </w:pPr>
          </w:p>
        </w:tc>
        <w:tc>
          <w:tcPr>
            <w:tcW w:w="28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180"/>
              <w:spacing w:after="0" w:line="202" w:lineRule="exact"/>
              <w:rPr>
                <w:sz w:val="20"/>
                <w:szCs w:val="20"/>
                <w:color w:val="auto"/>
              </w:rPr>
            </w:pPr>
            <w:r>
              <w:rPr>
                <w:rFonts w:ascii="Arial" w:cs="Arial" w:eastAsia="Arial" w:hAnsi="Arial"/>
                <w:sz w:val="18"/>
                <w:szCs w:val="18"/>
                <w:color w:val="auto"/>
              </w:rPr>
              <w:t>approved by security holders</w:t>
            </w:r>
          </w:p>
        </w:tc>
        <w:tc>
          <w:tcPr>
            <w:tcW w:w="28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000" w:type="dxa"/>
            <w:vAlign w:val="bottom"/>
          </w:tcPr>
          <w:p>
            <w:pPr>
              <w:ind w:left="180"/>
              <w:spacing w:after="0"/>
              <w:rPr>
                <w:sz w:val="20"/>
                <w:szCs w:val="20"/>
                <w:color w:val="auto"/>
              </w:rPr>
            </w:pPr>
            <w:r>
              <w:rPr>
                <w:rFonts w:ascii="Arial" w:cs="Arial" w:eastAsia="Arial" w:hAnsi="Arial"/>
                <w:sz w:val="18"/>
                <w:szCs w:val="18"/>
                <w:color w:val="auto"/>
              </w:rPr>
              <w:t>(3)</w:t>
            </w:r>
          </w:p>
        </w:tc>
        <w:tc>
          <w:tcPr>
            <w:tcW w:w="2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000" w:type="dxa"/>
            <w:vAlign w:val="bottom"/>
          </w:tcPr>
          <w:p>
            <w:pPr>
              <w:spacing w:after="0"/>
              <w:rPr>
                <w:sz w:val="5"/>
                <w:szCs w:val="5"/>
                <w:color w:val="auto"/>
              </w:rPr>
            </w:pPr>
          </w:p>
        </w:tc>
        <w:tc>
          <w:tcPr>
            <w:tcW w:w="288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3000" w:type="dxa"/>
            <w:vAlign w:val="bottom"/>
            <w:shd w:val="clear" w:color="auto" w:fill="C3D9EE"/>
          </w:tcPr>
          <w:p>
            <w:pPr>
              <w:ind w:left="100"/>
              <w:spacing w:after="0"/>
              <w:rPr>
                <w:sz w:val="20"/>
                <w:szCs w:val="20"/>
                <w:color w:val="auto"/>
              </w:rPr>
            </w:pPr>
            <w:r>
              <w:rPr>
                <w:rFonts w:ascii="Arial" w:cs="Arial" w:eastAsia="Arial" w:hAnsi="Arial"/>
                <w:sz w:val="18"/>
                <w:szCs w:val="18"/>
                <w:b w:val="1"/>
                <w:bCs w:val="1"/>
                <w:color w:val="auto"/>
              </w:rPr>
              <w:t>Total</w:t>
            </w:r>
          </w:p>
        </w:tc>
        <w:tc>
          <w:tcPr>
            <w:tcW w:w="2880" w:type="dxa"/>
            <w:vAlign w:val="bottom"/>
            <w:shd w:val="clear" w:color="auto" w:fill="C3D9EE"/>
          </w:tcPr>
          <w:p>
            <w:pPr>
              <w:jc w:val="right"/>
              <w:ind w:right="336"/>
              <w:spacing w:after="0"/>
              <w:rPr>
                <w:sz w:val="20"/>
                <w:szCs w:val="20"/>
                <w:color w:val="auto"/>
              </w:rPr>
            </w:pPr>
            <w:r>
              <w:rPr>
                <w:rFonts w:ascii="Arial" w:cs="Arial" w:eastAsia="Arial" w:hAnsi="Arial"/>
                <w:sz w:val="18"/>
                <w:szCs w:val="18"/>
                <w:color w:val="auto"/>
              </w:rPr>
              <w:t>3,213,787 (4)</w:t>
            </w:r>
          </w:p>
        </w:tc>
        <w:tc>
          <w:tcPr>
            <w:tcW w:w="2320" w:type="dxa"/>
            <w:vAlign w:val="bottom"/>
            <w:shd w:val="clear" w:color="auto" w:fill="C3D9EE"/>
          </w:tcPr>
          <w:p>
            <w:pPr>
              <w:spacing w:after="0"/>
              <w:rPr>
                <w:sz w:val="24"/>
                <w:szCs w:val="24"/>
                <w:color w:val="auto"/>
              </w:rPr>
            </w:pPr>
          </w:p>
        </w:tc>
        <w:tc>
          <w:tcPr>
            <w:tcW w:w="2820" w:type="dxa"/>
            <w:vAlign w:val="bottom"/>
            <w:shd w:val="clear" w:color="auto" w:fill="C3D9EE"/>
          </w:tcPr>
          <w:p>
            <w:pPr>
              <w:jc w:val="right"/>
              <w:ind w:right="376"/>
              <w:spacing w:after="0"/>
              <w:rPr>
                <w:sz w:val="20"/>
                <w:szCs w:val="20"/>
                <w:color w:val="auto"/>
              </w:rPr>
            </w:pPr>
            <w:r>
              <w:rPr>
                <w:rFonts w:ascii="Arial" w:cs="Arial" w:eastAsia="Arial" w:hAnsi="Arial"/>
                <w:sz w:val="18"/>
                <w:szCs w:val="18"/>
                <w:color w:val="auto"/>
              </w:rPr>
              <w:t>8,188,748</w:t>
            </w:r>
          </w:p>
        </w:tc>
        <w:tc>
          <w:tcPr>
            <w:tcW w:w="0" w:type="dxa"/>
            <w:vAlign w:val="bottom"/>
          </w:tcPr>
          <w:p>
            <w:pPr>
              <w:spacing w:after="0"/>
              <w:rPr>
                <w:sz w:val="1"/>
                <w:szCs w:val="1"/>
                <w:color w:val="auto"/>
              </w:rPr>
            </w:pPr>
          </w:p>
        </w:tc>
      </w:tr>
      <w:tr>
        <w:trPr>
          <w:trHeight w:val="68"/>
        </w:trPr>
        <w:tc>
          <w:tcPr>
            <w:tcW w:w="3000" w:type="dxa"/>
            <w:vAlign w:val="bottom"/>
            <w:tcBorders>
              <w:bottom w:val="single" w:sz="8" w:color="1269BC"/>
            </w:tcBorders>
            <w:shd w:val="clear" w:color="auto" w:fill="C3D9EE"/>
          </w:tcPr>
          <w:p>
            <w:pPr>
              <w:spacing w:after="0"/>
              <w:rPr>
                <w:sz w:val="5"/>
                <w:szCs w:val="5"/>
                <w:color w:val="auto"/>
              </w:rPr>
            </w:pPr>
          </w:p>
        </w:tc>
        <w:tc>
          <w:tcPr>
            <w:tcW w:w="2880" w:type="dxa"/>
            <w:vAlign w:val="bottom"/>
            <w:tcBorders>
              <w:bottom w:val="single" w:sz="8" w:color="1269BC"/>
            </w:tcBorders>
            <w:shd w:val="clear" w:color="auto" w:fill="C3D9EE"/>
          </w:tcPr>
          <w:p>
            <w:pPr>
              <w:spacing w:after="0"/>
              <w:rPr>
                <w:sz w:val="5"/>
                <w:szCs w:val="5"/>
                <w:color w:val="auto"/>
              </w:rPr>
            </w:pPr>
          </w:p>
        </w:tc>
        <w:tc>
          <w:tcPr>
            <w:tcW w:w="2320" w:type="dxa"/>
            <w:vAlign w:val="bottom"/>
            <w:tcBorders>
              <w:bottom w:val="single" w:sz="8" w:color="1269BC"/>
            </w:tcBorders>
            <w:shd w:val="clear" w:color="auto" w:fill="C3D9EE"/>
          </w:tcPr>
          <w:p>
            <w:pPr>
              <w:spacing w:after="0"/>
              <w:rPr>
                <w:sz w:val="5"/>
                <w:szCs w:val="5"/>
                <w:color w:val="auto"/>
              </w:rPr>
            </w:pPr>
          </w:p>
        </w:tc>
        <w:tc>
          <w:tcPr>
            <w:tcW w:w="2820" w:type="dxa"/>
            <w:vAlign w:val="bottom"/>
            <w:tcBorders>
              <w:bottom w:val="single" w:sz="8" w:color="1269BC"/>
            </w:tcBorders>
            <w:shd w:val="clear" w:color="auto" w:fill="C3D9EE"/>
          </w:tcPr>
          <w:p>
            <w:pPr>
              <w:spacing w:after="0"/>
              <w:rPr>
                <w:sz w:val="5"/>
                <w:szCs w:val="5"/>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980" w:right="180" w:hanging="324"/>
        <w:spacing w:after="0" w:line="260" w:lineRule="auto"/>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weighted-average exercise price does not take into account restricted stock unit awards because such awards do not have an exercise price.</w:t>
      </w:r>
    </w:p>
    <w:p>
      <w:pPr>
        <w:spacing w:after="0" w:line="222" w:lineRule="exact"/>
        <w:rPr>
          <w:rFonts w:ascii="Arial" w:cs="Arial" w:eastAsia="Arial" w:hAnsi="Arial"/>
          <w:sz w:val="16"/>
          <w:szCs w:val="16"/>
          <w:color w:val="auto"/>
        </w:rPr>
      </w:pPr>
    </w:p>
    <w:p>
      <w:pPr>
        <w:ind w:left="980" w:right="80" w:hanging="324"/>
        <w:spacing w:after="0" w:line="251" w:lineRule="auto"/>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total shares available for future issuance in column (c) may be the subject of awards other than options, warrants or rights granted under our 2012 Plan and 2013 Incentive Plan. For a more detailed discussion of these and other equity plans that have been approved by our stockholders, see “Equity Compensation Plans,” above. The number of securities remaining available for future issuance also includes securities that may be issued pursuant to the ESPP.</w:t>
      </w:r>
    </w:p>
    <w:p>
      <w:pPr>
        <w:spacing w:after="0" w:line="229" w:lineRule="exact"/>
        <w:rPr>
          <w:rFonts w:ascii="Arial" w:cs="Arial" w:eastAsia="Arial" w:hAnsi="Arial"/>
          <w:sz w:val="16"/>
          <w:szCs w:val="16"/>
          <w:color w:val="auto"/>
        </w:rPr>
      </w:pPr>
    </w:p>
    <w:p>
      <w:pPr>
        <w:ind w:left="980" w:hanging="324"/>
        <w:spacing w:after="0"/>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For a more detailed description of these plans, see “Non-Stockholder Approved Plans,” below.</w:t>
      </w:r>
    </w:p>
    <w:p>
      <w:pPr>
        <w:spacing w:after="0" w:line="248" w:lineRule="exact"/>
        <w:rPr>
          <w:rFonts w:ascii="Arial" w:cs="Arial" w:eastAsia="Arial" w:hAnsi="Arial"/>
          <w:sz w:val="16"/>
          <w:szCs w:val="16"/>
          <w:color w:val="auto"/>
        </w:rPr>
      </w:pPr>
    </w:p>
    <w:p>
      <w:pPr>
        <w:ind w:left="980" w:right="20" w:hanging="324"/>
        <w:spacing w:after="0" w:line="253" w:lineRule="auto"/>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shares subject to issuance pursuant to outstanding stock options and restricted stock unit awards if certain performance-based and service-based conditions are met. For more detailed information, see “Performance-Based Restricted Stock Unit Awards” and “Service-Based Restricted Stock Unit Awards” under “Compensation Discussion and Analysis – Elements of Compensation,” above.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Non-Stockholder Approved Plans</w:t>
      </w:r>
    </w:p>
    <w:p>
      <w:pPr>
        <w:spacing w:after="0" w:line="128" w:lineRule="exact"/>
        <w:rPr>
          <w:sz w:val="20"/>
          <w:szCs w:val="20"/>
          <w:color w:val="auto"/>
        </w:rPr>
      </w:pPr>
    </w:p>
    <w:p>
      <w:pPr>
        <w:ind w:left="120" w:right="460"/>
        <w:spacing w:after="0" w:line="260" w:lineRule="auto"/>
        <w:rPr>
          <w:sz w:val="20"/>
          <w:szCs w:val="20"/>
          <w:color w:val="auto"/>
        </w:rPr>
      </w:pPr>
      <w:r>
        <w:rPr>
          <w:rFonts w:ascii="Arial" w:cs="Arial" w:eastAsia="Arial" w:hAnsi="Arial"/>
          <w:sz w:val="16"/>
          <w:szCs w:val="16"/>
          <w:color w:val="auto"/>
        </w:rPr>
        <w:t>The inducement plans described below are intended to comply with Nasdaq Listing Rule 5635(c)(4), which provides an exception to the stockholder approval requirements for the grant of equity awards as a material inducement to an individual entering into employment with the Company.</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2008 Inducement Award Program</w:t>
      </w:r>
    </w:p>
    <w:p>
      <w:pPr>
        <w:spacing w:after="0" w:line="129" w:lineRule="exact"/>
        <w:rPr>
          <w:sz w:val="20"/>
          <w:szCs w:val="20"/>
          <w:color w:val="auto"/>
        </w:rPr>
      </w:pPr>
    </w:p>
    <w:p>
      <w:pPr>
        <w:ind w:left="120" w:right="540"/>
        <w:spacing w:after="0" w:line="253" w:lineRule="auto"/>
        <w:rPr>
          <w:sz w:val="20"/>
          <w:szCs w:val="20"/>
          <w:color w:val="auto"/>
        </w:rPr>
      </w:pPr>
      <w:r>
        <w:rPr>
          <w:rFonts w:ascii="Arial" w:cs="Arial" w:eastAsia="Arial" w:hAnsi="Arial"/>
          <w:sz w:val="16"/>
          <w:szCs w:val="16"/>
          <w:color w:val="auto"/>
        </w:rPr>
        <w:t>Effective upon the closing of the Business Combination, the Company assumed the 2008 Inducement Award Program from TriQuint (the “2008 Program”). The 2008 Program provided for the issuance of a maximum number of 921,140 shares. No new awards can be granted under the 2008 Program.</w:t>
      </w:r>
    </w:p>
    <w:p>
      <w:pPr>
        <w:spacing w:after="0" w:line="201" w:lineRule="exact"/>
        <w:rPr>
          <w:sz w:val="20"/>
          <w:szCs w:val="20"/>
          <w:color w:val="auto"/>
        </w:rPr>
      </w:pPr>
    </w:p>
    <w:p>
      <w:pPr>
        <w:ind w:left="120" w:right="140"/>
        <w:spacing w:after="0" w:line="251" w:lineRule="auto"/>
        <w:rPr>
          <w:sz w:val="20"/>
          <w:szCs w:val="20"/>
          <w:color w:val="auto"/>
        </w:rPr>
      </w:pPr>
      <w:r>
        <w:rPr>
          <w:rFonts w:ascii="Arial" w:cs="Arial" w:eastAsia="Arial" w:hAnsi="Arial"/>
          <w:sz w:val="16"/>
          <w:szCs w:val="16"/>
          <w:color w:val="auto"/>
        </w:rPr>
        <w:t>The purposes of the 2008 Program were to attract and retain the best available personnel for positions of substantial responsibility, to provide additional incentive to employees and consultants and to promote the success of our business. The 2008 Program authorized the grant of nonstatutory stock options, restricted stock, restricted stock units, stock appreciation rights and other stock or cash awards at the discretion of the compensation committee to new employees.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1269BC"/>
        </w:rPr>
        <w:t>2015 Inducement Stock Plan</w:t>
      </w:r>
    </w:p>
    <w:p>
      <w:pPr>
        <w:spacing w:after="0" w:line="129"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Effective January 1, 2015, the Company adopted the 2015 Inducement Stock Plan (the “2015 Plan”). The 2015 Plan provides for the issuance of a maximum number of the sum of 250,000 shares and any shares subject to an award granted under the 2008 Program outstanding as of January 1, 2015, which award is later forfeited, cancelled, terminated or lapses for any reason.</w:t>
      </w:r>
    </w:p>
    <w:p>
      <w:pPr>
        <w:spacing w:after="0" w:line="201" w:lineRule="exact"/>
        <w:rPr>
          <w:sz w:val="20"/>
          <w:szCs w:val="20"/>
          <w:color w:val="auto"/>
        </w:rPr>
      </w:pPr>
    </w:p>
    <w:p>
      <w:pPr>
        <w:ind w:left="120" w:right="80"/>
        <w:spacing w:after="0" w:line="250" w:lineRule="auto"/>
        <w:rPr>
          <w:sz w:val="20"/>
          <w:szCs w:val="20"/>
          <w:color w:val="auto"/>
        </w:rPr>
      </w:pPr>
      <w:r>
        <w:rPr>
          <w:rFonts w:ascii="Arial" w:cs="Arial" w:eastAsia="Arial" w:hAnsi="Arial"/>
          <w:sz w:val="16"/>
          <w:szCs w:val="16"/>
          <w:color w:val="auto"/>
        </w:rPr>
        <w:t>The purposes of the 2015 Plan are to provide a material inducement for the best available persons to become employees of the Company or its affiliates, to attract and retain such employees, and to align the interests of such persons with the interests of the Company and its stockholders. The 2015 Plan authorizes the grant of nonstatutory stock options, restricted stock, restricted stock units, stock appreciation rights, performance awards, phantom stock awards and other stock or cash awards at the discretion of the compensation committee to new employees. No awards were made under the 2015 Plan during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84455</wp:posOffset>
            </wp:positionV>
            <wp:extent cx="58293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168" w:lineRule="exact"/>
        <w:rPr>
          <w:sz w:val="20"/>
          <w:szCs w:val="20"/>
          <w:color w:val="auto"/>
        </w:rPr>
      </w:pPr>
    </w:p>
    <w:p>
      <w:pPr>
        <w:ind w:left="8960"/>
        <w:spacing w:after="0"/>
        <w:tabs>
          <w:tab w:leader="none" w:pos="10920" w:val="left"/>
        </w:tabs>
        <w:rPr>
          <w:sz w:val="20"/>
          <w:szCs w:val="20"/>
          <w:color w:val="auto"/>
        </w:rPr>
      </w:pPr>
      <w:r>
        <w:rPr>
          <w:rFonts w:ascii="Arial" w:cs="Arial" w:eastAsia="Arial" w:hAnsi="Arial"/>
          <w:sz w:val="18"/>
          <w:szCs w:val="18"/>
          <w:i w:val="1"/>
          <w:iCs w:val="1"/>
          <w:color w:val="1269BC"/>
        </w:rPr>
        <w:t>2020 Proxy Statement</w:t>
      </w:r>
      <w:r>
        <w:rPr>
          <w:sz w:val="20"/>
          <w:szCs w:val="20"/>
          <w:color w:val="auto"/>
        </w:rPr>
        <w:tab/>
      </w:r>
      <w:r>
        <w:rPr>
          <w:rFonts w:ascii="Arial" w:cs="Arial" w:eastAsia="Arial" w:hAnsi="Arial"/>
          <w:sz w:val="17"/>
          <w:szCs w:val="17"/>
          <w:color w:val="auto"/>
        </w:rPr>
        <w:t>47</w:t>
      </w:r>
    </w:p>
    <w:p>
      <w:pPr>
        <w:sectPr>
          <w:pgSz w:w="11900" w:h="16838" w:orient="portrait"/>
          <w:cols w:equalWidth="0" w:num="1">
            <w:col w:w="11140"/>
          </w:cols>
          <w:pgMar w:left="320" w:top="459" w:right="4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Proposal 2 – Approval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PROPOSAL 2 – APPROVAL OF THE COMPENSATION OF OUR NAMED EXECUTIVE OFFICERS</w:t>
      </w:r>
    </w:p>
    <w:p>
      <w:pPr>
        <w:spacing w:after="0" w:line="240"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As required by Section 14A of the Exchange Act, we are asking our stockholders to approve, on a non-binding, advisory basis, the compensation of our Named Executive Officers as disclosed in accordance with SEC rules in the “Executive Compensation” section of this proxy statement. This proposal, commonly known as a “say-on-pay” proposal, gives our stockholders the opportunity to express their views on our Named Executive Officers’ compensation as a whole. At our 2015 annual meeting, our stockholders voted, on an advisory basis, to include an annual “say-on-pay” proposal in our proxy materials. In accordance with this advisory vote, we determined that we will include a “say-on-pay” proposal in our proxy materials for each annual meeting of stockholders until the next advisory vote on the frequency of future “say-on-pay” votes, which will occur no later than our 2021 Annual Meeting.</w:t>
      </w:r>
    </w:p>
    <w:p>
      <w:pPr>
        <w:spacing w:after="0" w:line="205"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This vote is not intended to address any specific item of compensation or any specific Named Executive Officer, but rather the overall compensation of all of our Named Executive Officers and the philosophy, policies and practices described in this proxy statement. The say-on-pay vote is advisory, and therefore not binding on the Company, the Compensation Committee or the Board. The say-on-pay vote will, however, provide information to us regarding stockholder sentiment about our executive compensation philosophy, policies and practices, which the Compensation Committee will consider when setting executive compensation for the remainder of the current fiscal year and beyond. Our Board of Directors and our Compensation Committee value the opinion of our stockholders, and to the extent there is any significant vote against the Named Executive Officer compensation as disclosed in this proxy statement, the Compensation Committee will evaluate whether any actions are necessary to address those concerns.</w:t>
      </w:r>
    </w:p>
    <w:p>
      <w:pPr>
        <w:spacing w:after="0" w:line="208" w:lineRule="exact"/>
        <w:rPr>
          <w:sz w:val="20"/>
          <w:szCs w:val="20"/>
          <w:color w:val="auto"/>
        </w:rPr>
      </w:pPr>
    </w:p>
    <w:p>
      <w:pPr>
        <w:ind w:left="120" w:right="480"/>
        <w:spacing w:after="0" w:line="253" w:lineRule="auto"/>
        <w:rPr>
          <w:sz w:val="20"/>
          <w:szCs w:val="20"/>
          <w:color w:val="auto"/>
        </w:rPr>
      </w:pPr>
      <w:r>
        <w:rPr>
          <w:rFonts w:ascii="Arial" w:cs="Arial" w:eastAsia="Arial" w:hAnsi="Arial"/>
          <w:sz w:val="16"/>
          <w:szCs w:val="16"/>
          <w:color w:val="auto"/>
        </w:rPr>
        <w:t>We believe that the information provided within the “Executive Compensation” section of this proxy statement demonstrates that our executive compensation program was designed appropriately and is working to ensure management’s interests are aligned with our stockholders’ interests to support long-term value creation. Highlights of our executive compensation program include the following:</w:t>
      </w:r>
    </w:p>
    <w:p>
      <w:pPr>
        <w:spacing w:after="0" w:line="107" w:lineRule="exact"/>
        <w:rPr>
          <w:sz w:val="20"/>
          <w:szCs w:val="20"/>
          <w:color w:val="auto"/>
        </w:rPr>
      </w:pPr>
    </w:p>
    <w:p>
      <w:pPr>
        <w:ind w:left="540" w:right="380" w:hanging="424"/>
        <w:spacing w:after="0" w:line="260" w:lineRule="auto"/>
        <w:tabs>
          <w:tab w:leader="none" w:pos="540" w:val="left"/>
        </w:tabs>
        <w:numPr>
          <w:ilvl w:val="0"/>
          <w:numId w:val="47"/>
        </w:numPr>
        <w:rPr>
          <w:rFonts w:ascii="Arial" w:cs="Arial" w:eastAsia="Arial" w:hAnsi="Arial"/>
          <w:sz w:val="16"/>
          <w:szCs w:val="16"/>
          <w:color w:val="1269BC"/>
        </w:rPr>
      </w:pPr>
      <w:r>
        <w:rPr>
          <w:rFonts w:ascii="Arial" w:cs="Arial" w:eastAsia="Arial" w:hAnsi="Arial"/>
          <w:sz w:val="16"/>
          <w:szCs w:val="16"/>
          <w:color w:val="auto"/>
        </w:rPr>
        <w:t>A significant portion of each Named Executive Officer’s potential total annual compensation, consisting of base salary and short-term incentive award opportunities, is intended to be at-risk and is linked to our operating performance.</w:t>
      </w:r>
    </w:p>
    <w:p>
      <w:pPr>
        <w:spacing w:after="0" w:line="100" w:lineRule="exact"/>
        <w:rPr>
          <w:rFonts w:ascii="Arial" w:cs="Arial" w:eastAsia="Arial" w:hAnsi="Arial"/>
          <w:sz w:val="16"/>
          <w:szCs w:val="16"/>
          <w:color w:val="1269BC"/>
        </w:rPr>
      </w:pPr>
    </w:p>
    <w:p>
      <w:pPr>
        <w:ind w:left="540" w:right="220" w:hanging="424"/>
        <w:spacing w:after="0" w:line="251" w:lineRule="auto"/>
        <w:tabs>
          <w:tab w:leader="none" w:pos="540" w:val="left"/>
        </w:tabs>
        <w:numPr>
          <w:ilvl w:val="0"/>
          <w:numId w:val="47"/>
        </w:numPr>
        <w:rPr>
          <w:rFonts w:ascii="Arial" w:cs="Arial" w:eastAsia="Arial" w:hAnsi="Arial"/>
          <w:sz w:val="16"/>
          <w:szCs w:val="16"/>
          <w:color w:val="1269BC"/>
        </w:rPr>
      </w:pPr>
      <w:r>
        <w:rPr>
          <w:rFonts w:ascii="Arial" w:cs="Arial" w:eastAsia="Arial" w:hAnsi="Arial"/>
          <w:sz w:val="16"/>
          <w:szCs w:val="16"/>
          <w:color w:val="auto"/>
        </w:rPr>
        <w:t>Long-term equity-based compensation, consisting of performance-based and service-based restricted stock unit awards, makes up a significant portion of the overall compensation of our Named Executive Officers. Performance-based equity awards granted in fiscal 2020 were linked to achievement during the year of key Company projects or initiatives that the Compensation Committee believes have the potential to impact long-term stockholder value creation. No minimum equity award is guaranteed.</w:t>
      </w:r>
    </w:p>
    <w:p>
      <w:pPr>
        <w:spacing w:after="0" w:line="107" w:lineRule="exact"/>
        <w:rPr>
          <w:rFonts w:ascii="Arial" w:cs="Arial" w:eastAsia="Arial" w:hAnsi="Arial"/>
          <w:sz w:val="16"/>
          <w:szCs w:val="16"/>
          <w:color w:val="1269BC"/>
        </w:rPr>
      </w:pPr>
    </w:p>
    <w:p>
      <w:pPr>
        <w:ind w:left="540" w:right="20" w:hanging="424"/>
        <w:spacing w:after="0" w:line="251" w:lineRule="auto"/>
        <w:tabs>
          <w:tab w:leader="none" w:pos="540" w:val="left"/>
        </w:tabs>
        <w:numPr>
          <w:ilvl w:val="0"/>
          <w:numId w:val="47"/>
        </w:numPr>
        <w:rPr>
          <w:rFonts w:ascii="Arial" w:cs="Arial" w:eastAsia="Arial" w:hAnsi="Arial"/>
          <w:sz w:val="16"/>
          <w:szCs w:val="16"/>
          <w:color w:val="1269BC"/>
        </w:rPr>
      </w:pPr>
      <w:r>
        <w:rPr>
          <w:rFonts w:ascii="Arial" w:cs="Arial" w:eastAsia="Arial" w:hAnsi="Arial"/>
          <w:sz w:val="16"/>
          <w:szCs w:val="16"/>
          <w:color w:val="auto"/>
        </w:rPr>
        <w:t>The Compensation Committee generally has referred to peer group data to help establish base salaries and target total direct compensation for each Named Executive Officer. In addition to considering the peer group data, the Compensation Committee also considers each Named Executive Officer’s performance, level of responsibility in comparison to the other Named Executive Officers and other internal equitable considerations when establishing base salaries and short-term and long-term incentive award opportunities and then make adjustments it deems appropriate.</w:t>
      </w:r>
    </w:p>
    <w:p>
      <w:pPr>
        <w:spacing w:after="0" w:line="107" w:lineRule="exact"/>
        <w:rPr>
          <w:rFonts w:ascii="Arial" w:cs="Arial" w:eastAsia="Arial" w:hAnsi="Arial"/>
          <w:sz w:val="16"/>
          <w:szCs w:val="16"/>
          <w:color w:val="1269BC"/>
        </w:rPr>
      </w:pPr>
    </w:p>
    <w:p>
      <w:pPr>
        <w:ind w:left="540" w:hanging="424"/>
        <w:spacing w:after="0"/>
        <w:tabs>
          <w:tab w:leader="none" w:pos="540" w:val="left"/>
        </w:tabs>
        <w:numPr>
          <w:ilvl w:val="0"/>
          <w:numId w:val="47"/>
        </w:numPr>
        <w:rPr>
          <w:rFonts w:ascii="Arial" w:cs="Arial" w:eastAsia="Arial" w:hAnsi="Arial"/>
          <w:sz w:val="16"/>
          <w:szCs w:val="16"/>
          <w:color w:val="1269BC"/>
        </w:rPr>
      </w:pPr>
      <w:r>
        <w:rPr>
          <w:rFonts w:ascii="Arial" w:cs="Arial" w:eastAsia="Arial" w:hAnsi="Arial"/>
          <w:sz w:val="16"/>
          <w:szCs w:val="16"/>
          <w:color w:val="auto"/>
        </w:rPr>
        <w:t>We prohibit the backdating or spring-loading of equity awards.</w:t>
      </w:r>
    </w:p>
    <w:p>
      <w:pPr>
        <w:spacing w:after="0" w:line="140" w:lineRule="exact"/>
        <w:rPr>
          <w:rFonts w:ascii="Arial" w:cs="Arial" w:eastAsia="Arial" w:hAnsi="Arial"/>
          <w:sz w:val="16"/>
          <w:szCs w:val="16"/>
          <w:color w:val="1269BC"/>
        </w:rPr>
      </w:pPr>
    </w:p>
    <w:p>
      <w:pPr>
        <w:ind w:left="540" w:hanging="424"/>
        <w:spacing w:after="0"/>
        <w:tabs>
          <w:tab w:leader="none" w:pos="540" w:val="left"/>
        </w:tabs>
        <w:numPr>
          <w:ilvl w:val="0"/>
          <w:numId w:val="47"/>
        </w:numPr>
        <w:rPr>
          <w:rFonts w:ascii="Arial" w:cs="Arial" w:eastAsia="Arial" w:hAnsi="Arial"/>
          <w:sz w:val="16"/>
          <w:szCs w:val="16"/>
          <w:color w:val="1269BC"/>
        </w:rPr>
      </w:pPr>
      <w:r>
        <w:rPr>
          <w:rFonts w:ascii="Arial" w:cs="Arial" w:eastAsia="Arial" w:hAnsi="Arial"/>
          <w:sz w:val="16"/>
          <w:szCs w:val="16"/>
          <w:color w:val="auto"/>
        </w:rPr>
        <w:t>We prohibit the repricing of stock options or stock appreciation rights without stockholder approval.</w:t>
      </w:r>
    </w:p>
    <w:p>
      <w:pPr>
        <w:spacing w:after="0" w:line="140" w:lineRule="exact"/>
        <w:rPr>
          <w:rFonts w:ascii="Arial" w:cs="Arial" w:eastAsia="Arial" w:hAnsi="Arial"/>
          <w:sz w:val="16"/>
          <w:szCs w:val="16"/>
          <w:color w:val="1269BC"/>
        </w:rPr>
      </w:pPr>
    </w:p>
    <w:p>
      <w:pPr>
        <w:ind w:left="540" w:hanging="424"/>
        <w:spacing w:after="0"/>
        <w:tabs>
          <w:tab w:leader="none" w:pos="540" w:val="left"/>
        </w:tabs>
        <w:numPr>
          <w:ilvl w:val="0"/>
          <w:numId w:val="47"/>
        </w:numPr>
        <w:rPr>
          <w:rFonts w:ascii="Arial" w:cs="Arial" w:eastAsia="Arial" w:hAnsi="Arial"/>
          <w:sz w:val="16"/>
          <w:szCs w:val="16"/>
          <w:color w:val="1269BC"/>
        </w:rPr>
      </w:pPr>
      <w:r>
        <w:rPr>
          <w:rFonts w:ascii="Arial" w:cs="Arial" w:eastAsia="Arial" w:hAnsi="Arial"/>
          <w:sz w:val="16"/>
          <w:szCs w:val="16"/>
          <w:color w:val="auto"/>
        </w:rPr>
        <w:t>We do not provide perquisites to our Named Executive Officers.</w:t>
      </w:r>
    </w:p>
    <w:p>
      <w:pPr>
        <w:spacing w:after="0" w:line="140" w:lineRule="exact"/>
        <w:rPr>
          <w:rFonts w:ascii="Arial" w:cs="Arial" w:eastAsia="Arial" w:hAnsi="Arial"/>
          <w:sz w:val="16"/>
          <w:szCs w:val="16"/>
          <w:color w:val="1269BC"/>
        </w:rPr>
      </w:pPr>
    </w:p>
    <w:p>
      <w:pPr>
        <w:ind w:left="540" w:hanging="424"/>
        <w:spacing w:after="0" w:line="250" w:lineRule="auto"/>
        <w:tabs>
          <w:tab w:leader="none" w:pos="540" w:val="left"/>
        </w:tabs>
        <w:numPr>
          <w:ilvl w:val="0"/>
          <w:numId w:val="47"/>
        </w:numPr>
        <w:rPr>
          <w:rFonts w:ascii="Arial" w:cs="Arial" w:eastAsia="Arial" w:hAnsi="Arial"/>
          <w:sz w:val="16"/>
          <w:szCs w:val="16"/>
          <w:color w:val="1269BC"/>
        </w:rPr>
      </w:pPr>
      <w:r>
        <w:rPr>
          <w:rFonts w:ascii="Arial" w:cs="Arial" w:eastAsia="Arial" w:hAnsi="Arial"/>
          <w:sz w:val="16"/>
          <w:szCs w:val="16"/>
          <w:color w:val="auto"/>
        </w:rPr>
        <w:t>Our securities trading policy and Corporate Governance Guidelines prohibit any hedging of our securities by our employees, including our executive officers. This includes engaging in any type of short sale or purchasing any financial instrument (including prepaid variable forward contracts, equity swaps, collars and exchange traded funds) or engaging in any transaction that, in either case, hedges or offsets, or is designed to hedge or offset any risk of decrease in the market value of our common stock. Accordingly, none of our directors or executive officers has engaged in any hedging transaction with respect to our common stock.</w:t>
      </w:r>
    </w:p>
    <w:p>
      <w:pPr>
        <w:spacing w:after="0" w:line="108" w:lineRule="exact"/>
        <w:rPr>
          <w:rFonts w:ascii="Arial" w:cs="Arial" w:eastAsia="Arial" w:hAnsi="Arial"/>
          <w:sz w:val="16"/>
          <w:szCs w:val="16"/>
          <w:color w:val="1269BC"/>
        </w:rPr>
      </w:pPr>
    </w:p>
    <w:p>
      <w:pPr>
        <w:ind w:left="540" w:right="700" w:hanging="424"/>
        <w:spacing w:after="0" w:line="260" w:lineRule="auto"/>
        <w:tabs>
          <w:tab w:leader="none" w:pos="540" w:val="left"/>
        </w:tabs>
        <w:numPr>
          <w:ilvl w:val="0"/>
          <w:numId w:val="47"/>
        </w:numPr>
        <w:rPr>
          <w:rFonts w:ascii="Arial" w:cs="Arial" w:eastAsia="Arial" w:hAnsi="Arial"/>
          <w:sz w:val="16"/>
          <w:szCs w:val="16"/>
          <w:color w:val="1269BC"/>
        </w:rPr>
      </w:pPr>
      <w:r>
        <w:rPr>
          <w:rFonts w:ascii="Arial" w:cs="Arial" w:eastAsia="Arial" w:hAnsi="Arial"/>
          <w:sz w:val="16"/>
          <w:szCs w:val="16"/>
          <w:color w:val="auto"/>
        </w:rPr>
        <w:t>Our securities trading policy and Corporate Governance Guidelines prohibit any pledging of our securities by our employees, including our executive officers. Accordingly, none of our executive officers has pledged our common stock.</w:t>
      </w:r>
    </w:p>
    <w:p>
      <w:pPr>
        <w:spacing w:after="0" w:line="100" w:lineRule="exact"/>
        <w:rPr>
          <w:rFonts w:ascii="Arial" w:cs="Arial" w:eastAsia="Arial" w:hAnsi="Arial"/>
          <w:sz w:val="16"/>
          <w:szCs w:val="16"/>
          <w:color w:val="1269BC"/>
        </w:rPr>
      </w:pPr>
    </w:p>
    <w:p>
      <w:pPr>
        <w:ind w:left="540" w:right="140" w:hanging="424"/>
        <w:spacing w:after="0" w:line="260" w:lineRule="auto"/>
        <w:tabs>
          <w:tab w:leader="none" w:pos="540" w:val="left"/>
        </w:tabs>
        <w:numPr>
          <w:ilvl w:val="0"/>
          <w:numId w:val="47"/>
        </w:numPr>
        <w:rPr>
          <w:rFonts w:ascii="Arial" w:cs="Arial" w:eastAsia="Arial" w:hAnsi="Arial"/>
          <w:sz w:val="16"/>
          <w:szCs w:val="16"/>
          <w:color w:val="1269BC"/>
        </w:rPr>
      </w:pPr>
      <w:r>
        <w:rPr>
          <w:rFonts w:ascii="Arial" w:cs="Arial" w:eastAsia="Arial" w:hAnsi="Arial"/>
          <w:sz w:val="16"/>
          <w:szCs w:val="16"/>
          <w:color w:val="auto"/>
        </w:rPr>
        <w:t>We have established stock ownership guidelines for our Named Executive Officers and impose compensation recovery (“clawback”) restrictions in our senior officer equity awards in the event of certain prohibited conduct.</w:t>
      </w:r>
    </w:p>
    <w:p>
      <w:pPr>
        <w:spacing w:after="0" w:line="126" w:lineRule="exact"/>
        <w:rPr>
          <w:sz w:val="20"/>
          <w:szCs w:val="20"/>
          <w:color w:val="auto"/>
        </w:rPr>
      </w:pPr>
    </w:p>
    <w:p>
      <w:pPr>
        <w:ind w:left="120"/>
        <w:spacing w:after="0"/>
        <w:tabs>
          <w:tab w:leader="none" w:pos="541" w:val="left"/>
        </w:tabs>
        <w:rPr>
          <w:sz w:val="20"/>
          <w:szCs w:val="20"/>
          <w:color w:val="auto"/>
        </w:rPr>
      </w:pPr>
      <w:r>
        <w:rPr>
          <w:rFonts w:ascii="Arial" w:cs="Arial" w:eastAsia="Arial" w:hAnsi="Arial"/>
          <w:sz w:val="18"/>
          <w:szCs w:val="18"/>
          <w:color w:val="auto"/>
        </w:rPr>
        <w:t>48</w:t>
      </w:r>
      <w:r>
        <w:rPr>
          <w:sz w:val="20"/>
          <w:szCs w:val="20"/>
          <w:color w:val="auto"/>
        </w:rPr>
        <w:tab/>
      </w:r>
      <w:r>
        <w:rPr>
          <w:sz w:val="1"/>
          <w:szCs w:val="1"/>
          <w:color w:val="auto"/>
        </w:rPr>
        <w:drawing>
          <wp:inline distT="0" distB="0" distL="0" distR="0">
            <wp:extent cx="582930" cy="13716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i w:val="1"/>
          <w:iCs w:val="1"/>
          <w:color w:val="1269BC"/>
        </w:rPr>
        <w:t xml:space="preserve">   2020 Proxy Statement</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1269BC"/>
        </w:rPr>
        <w:t>Proposal 2 – Approval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Accordingly, we are asking our stockholders to vote “FOR” the following resolution at the annual meeting:</w:t>
      </w:r>
    </w:p>
    <w:p>
      <w:pPr>
        <w:spacing w:after="0" w:line="113" w:lineRule="exact"/>
        <w:rPr>
          <w:sz w:val="20"/>
          <w:szCs w:val="20"/>
          <w:color w:val="auto"/>
        </w:rPr>
      </w:pPr>
    </w:p>
    <w:p>
      <w:pPr>
        <w:ind w:left="560" w:right="20"/>
        <w:spacing w:after="0" w:line="253" w:lineRule="auto"/>
        <w:rPr>
          <w:sz w:val="20"/>
          <w:szCs w:val="20"/>
          <w:color w:val="auto"/>
        </w:rPr>
      </w:pPr>
      <w:r>
        <w:rPr>
          <w:rFonts w:ascii="Arial" w:cs="Arial" w:eastAsia="Arial" w:hAnsi="Arial"/>
          <w:sz w:val="16"/>
          <w:szCs w:val="16"/>
          <w:color w:val="auto"/>
        </w:rPr>
        <w:t>“RESOLVED, that the compensation paid to the Company’s Named Executive Officers, as disclosed in the proxy statement for the Company’s 2020 Annual Meeting of Stockholders pursuant to the compensation disclosure rules of the Securities and Exchange Commission, including the Compensation Discussion and Analysis, the compensation tables and related narrative discussion, is hereby APPROVED.”</w:t>
      </w:r>
    </w:p>
    <w:p>
      <w:pPr>
        <w:spacing w:after="0" w:line="176"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b w:val="1"/>
          <w:bCs w:val="1"/>
          <w:color w:val="1269BC"/>
        </w:rPr>
        <w:t>THE BOARD OF DIRECTORS RECOMMENDS A VOTE “FOR” APPROVAL OF THE COMPENSATION OF OUR NAMED EXECUTIVE OFFICERS AS DISCLOSED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69215</wp:posOffset>
            </wp:positionV>
            <wp:extent cx="58293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pacing w:after="0" w:line="12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i w:val="1"/>
          <w:iCs w:val="1"/>
          <w:color w:val="1269BC"/>
        </w:rPr>
        <w:t>2020 Proxy Statement</w:t>
      </w:r>
      <w:r>
        <w:rPr>
          <w:sz w:val="20"/>
          <w:szCs w:val="20"/>
          <w:color w:val="auto"/>
        </w:rPr>
        <w:tab/>
      </w:r>
      <w:r>
        <w:rPr>
          <w:rFonts w:ascii="Arial" w:cs="Arial" w:eastAsia="Arial" w:hAnsi="Arial"/>
          <w:sz w:val="17"/>
          <w:szCs w:val="17"/>
          <w:color w:val="auto"/>
        </w:rPr>
        <w:t>49</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Proposal 3 –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ind w:left="120" w:right="20"/>
        <w:spacing w:after="0" w:line="261" w:lineRule="auto"/>
        <w:rPr>
          <w:sz w:val="20"/>
          <w:szCs w:val="20"/>
          <w:color w:val="auto"/>
        </w:rPr>
      </w:pPr>
      <w:r>
        <w:rPr>
          <w:rFonts w:ascii="Arial" w:cs="Arial" w:eastAsia="Arial" w:hAnsi="Arial"/>
          <w:sz w:val="22"/>
          <w:szCs w:val="22"/>
          <w:b w:val="1"/>
          <w:bCs w:val="1"/>
          <w:color w:val="1269BC"/>
        </w:rPr>
        <w:t>PROPOSAL 3 – RATIFICATION OF APPOINTMENT OF INDEPENDENT REGISTERED PUBLIC ACCOUNTING FIRM</w:t>
      </w:r>
    </w:p>
    <w:p>
      <w:pPr>
        <w:spacing w:after="0" w:line="186" w:lineRule="exact"/>
        <w:rPr>
          <w:sz w:val="20"/>
          <w:szCs w:val="20"/>
          <w:color w:val="auto"/>
        </w:rPr>
      </w:pPr>
    </w:p>
    <w:p>
      <w:pPr>
        <w:jc w:val="both"/>
        <w:ind w:left="120"/>
        <w:spacing w:after="0" w:line="251" w:lineRule="auto"/>
        <w:rPr>
          <w:sz w:val="20"/>
          <w:szCs w:val="20"/>
          <w:color w:val="auto"/>
        </w:rPr>
      </w:pPr>
      <w:r>
        <w:rPr>
          <w:rFonts w:ascii="Arial" w:cs="Arial" w:eastAsia="Arial" w:hAnsi="Arial"/>
          <w:sz w:val="16"/>
          <w:szCs w:val="16"/>
          <w:color w:val="auto"/>
        </w:rPr>
        <w:t>The Audit Committee has appointed Ernst &amp; Young LLP (“EY”) to audit the consolidated financial statements of Qorvo for fiscal 2021. EY, an independent registered public accounting firm, has served as Qorvo’s independent auditor since fiscal 2019. A representative from EY is expected to be present at the annual meeting and will have the opportunity to make a statement if he or she desires to do so and is expected to be available to respond to appropriate questions.</w:t>
      </w:r>
    </w:p>
    <w:p>
      <w:pPr>
        <w:spacing w:after="0" w:line="202"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color w:val="auto"/>
        </w:rPr>
        <w:t>Although stockholder ratification of the appointment is not required by law, we desire to solicit such ratification as a matter of good governance. If the appointment of EY is not approved by a majority of the shares present in person or represented by proxy at the annual meeting and entitled to vote, the Audit Committee will consider the appointment of another independent registered public accounting firm for fiscal 2021.</w:t>
      </w:r>
    </w:p>
    <w:p>
      <w:pPr>
        <w:spacing w:after="0" w:line="176"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b w:val="1"/>
          <w:bCs w:val="1"/>
          <w:color w:val="1269BC"/>
        </w:rPr>
        <w:t>THE BOARD OF DIRECTORS RECOMMENDS A VOTE “FOR” RATIFICATION OF THE APPOINTMENT OF ERNST &amp; YOUNG LLP AS OUR INDEPENDENT REGISTERED PUBLIC ACCOUNTING FIRM FOR THE FISCAL YEAR ENDING APRIL 3, 2021.</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Independent Registered Public Accounting Firm Fee Information</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shows the aggregate fees that were paid or accrued for the audit and other services provided by EY for fiscal years 2020 and 2019.</w:t>
      </w:r>
    </w:p>
    <w:p>
      <w:pPr>
        <w:spacing w:after="0" w:line="228"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5600" w:type="dxa"/>
            <w:vAlign w:val="bottom"/>
            <w:tcBorders>
              <w:bottom w:val="single" w:sz="8" w:color="1269BC"/>
            </w:tcBorders>
          </w:tcPr>
          <w:p>
            <w:pPr>
              <w:spacing w:after="0"/>
              <w:rPr>
                <w:sz w:val="18"/>
                <w:szCs w:val="18"/>
                <w:color w:val="auto"/>
              </w:rPr>
            </w:pPr>
          </w:p>
        </w:tc>
        <w:tc>
          <w:tcPr>
            <w:tcW w:w="1460" w:type="dxa"/>
            <w:vAlign w:val="bottom"/>
            <w:tcBorders>
              <w:bottom w:val="single" w:sz="8" w:color="1269BC"/>
            </w:tcBorders>
          </w:tcPr>
          <w:p>
            <w:pPr>
              <w:jc w:val="right"/>
              <w:ind w:right="392"/>
              <w:spacing w:after="0"/>
              <w:rPr>
                <w:sz w:val="20"/>
                <w:szCs w:val="20"/>
                <w:color w:val="auto"/>
              </w:rPr>
            </w:pPr>
            <w:r>
              <w:rPr>
                <w:rFonts w:ascii="Arial" w:cs="Arial" w:eastAsia="Arial" w:hAnsi="Arial"/>
                <w:sz w:val="16"/>
                <w:szCs w:val="16"/>
                <w:b w:val="1"/>
                <w:bCs w:val="1"/>
                <w:color w:val="1269BC"/>
              </w:rPr>
              <w:t>2020</w:t>
            </w:r>
          </w:p>
        </w:tc>
        <w:tc>
          <w:tcPr>
            <w:tcW w:w="1300" w:type="dxa"/>
            <w:vAlign w:val="bottom"/>
            <w:tcBorders>
              <w:bottom w:val="single" w:sz="8" w:color="1269BC"/>
            </w:tcBorders>
          </w:tcPr>
          <w:p>
            <w:pPr>
              <w:jc w:val="right"/>
              <w:ind w:right="312"/>
              <w:spacing w:after="0"/>
              <w:rPr>
                <w:sz w:val="20"/>
                <w:szCs w:val="20"/>
                <w:color w:val="auto"/>
              </w:rPr>
            </w:pPr>
            <w:r>
              <w:rPr>
                <w:rFonts w:ascii="Arial" w:cs="Arial" w:eastAsia="Arial" w:hAnsi="Arial"/>
                <w:sz w:val="16"/>
                <w:szCs w:val="16"/>
                <w:b w:val="1"/>
                <w:bCs w:val="1"/>
                <w:color w:val="1269BC"/>
              </w:rPr>
              <w:t>2019</w:t>
            </w:r>
          </w:p>
        </w:tc>
      </w:tr>
      <w:tr>
        <w:trPr>
          <w:trHeight w:val="237"/>
        </w:trPr>
        <w:tc>
          <w:tcPr>
            <w:tcW w:w="5600" w:type="dxa"/>
            <w:vAlign w:val="bottom"/>
            <w:shd w:val="clear" w:color="auto" w:fill="C3D9EE"/>
          </w:tcPr>
          <w:p>
            <w:pPr>
              <w:ind w:left="80"/>
              <w:spacing w:after="0"/>
              <w:rPr>
                <w:sz w:val="20"/>
                <w:szCs w:val="20"/>
                <w:color w:val="auto"/>
              </w:rPr>
            </w:pPr>
            <w:r>
              <w:rPr>
                <w:rFonts w:ascii="Arial" w:cs="Arial" w:eastAsia="Arial" w:hAnsi="Arial"/>
                <w:sz w:val="18"/>
                <w:szCs w:val="18"/>
                <w:color w:val="auto"/>
              </w:rPr>
              <w:t>Audit Fees</w:t>
            </w:r>
          </w:p>
        </w:tc>
        <w:tc>
          <w:tcPr>
            <w:tcW w:w="1460" w:type="dxa"/>
            <w:vAlign w:val="bottom"/>
            <w:shd w:val="clear" w:color="auto" w:fill="C3D9EE"/>
          </w:tcPr>
          <w:p>
            <w:pPr>
              <w:jc w:val="right"/>
              <w:ind w:right="92"/>
              <w:spacing w:after="0"/>
              <w:rPr>
                <w:sz w:val="20"/>
                <w:szCs w:val="20"/>
                <w:color w:val="auto"/>
              </w:rPr>
            </w:pPr>
            <w:r>
              <w:rPr>
                <w:rFonts w:ascii="Arial" w:cs="Arial" w:eastAsia="Arial" w:hAnsi="Arial"/>
                <w:sz w:val="18"/>
                <w:szCs w:val="18"/>
                <w:color w:val="auto"/>
              </w:rPr>
              <w:t>$ 2,327,126</w:t>
            </w:r>
          </w:p>
        </w:tc>
        <w:tc>
          <w:tcPr>
            <w:tcW w:w="1300" w:type="dxa"/>
            <w:vAlign w:val="bottom"/>
            <w:shd w:val="clear" w:color="auto" w:fill="C3D9EE"/>
          </w:tcPr>
          <w:p>
            <w:pPr>
              <w:jc w:val="right"/>
              <w:ind w:right="72"/>
              <w:spacing w:after="0"/>
              <w:rPr>
                <w:sz w:val="20"/>
                <w:szCs w:val="20"/>
                <w:color w:val="auto"/>
              </w:rPr>
            </w:pPr>
            <w:r>
              <w:rPr>
                <w:rFonts w:ascii="Arial" w:cs="Arial" w:eastAsia="Arial" w:hAnsi="Arial"/>
                <w:sz w:val="18"/>
                <w:szCs w:val="18"/>
                <w:color w:val="auto"/>
              </w:rPr>
              <w:t>$ 2,200,159</w:t>
            </w:r>
          </w:p>
        </w:tc>
      </w:tr>
      <w:tr>
        <w:trPr>
          <w:trHeight w:val="257"/>
        </w:trPr>
        <w:tc>
          <w:tcPr>
            <w:tcW w:w="5600" w:type="dxa"/>
            <w:vAlign w:val="bottom"/>
          </w:tcPr>
          <w:p>
            <w:pPr>
              <w:ind w:left="80"/>
              <w:spacing w:after="0"/>
              <w:rPr>
                <w:sz w:val="20"/>
                <w:szCs w:val="20"/>
                <w:color w:val="auto"/>
              </w:rPr>
            </w:pPr>
            <w:r>
              <w:rPr>
                <w:rFonts w:ascii="Arial" w:cs="Arial" w:eastAsia="Arial" w:hAnsi="Arial"/>
                <w:sz w:val="18"/>
                <w:szCs w:val="18"/>
                <w:color w:val="auto"/>
              </w:rPr>
              <w:t>Audit-Related Fees</w:t>
            </w: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656,734</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128,000</w:t>
            </w:r>
          </w:p>
        </w:tc>
      </w:tr>
      <w:tr>
        <w:trPr>
          <w:trHeight w:val="256"/>
        </w:trPr>
        <w:tc>
          <w:tcPr>
            <w:tcW w:w="5600" w:type="dxa"/>
            <w:vAlign w:val="bottom"/>
            <w:shd w:val="clear" w:color="auto" w:fill="C3D9EE"/>
          </w:tcPr>
          <w:p>
            <w:pPr>
              <w:ind w:left="100"/>
              <w:spacing w:after="0"/>
              <w:rPr>
                <w:sz w:val="20"/>
                <w:szCs w:val="20"/>
                <w:color w:val="auto"/>
              </w:rPr>
            </w:pPr>
            <w:r>
              <w:rPr>
                <w:rFonts w:ascii="Arial" w:cs="Arial" w:eastAsia="Arial" w:hAnsi="Arial"/>
                <w:sz w:val="18"/>
                <w:szCs w:val="18"/>
                <w:color w:val="auto"/>
              </w:rPr>
              <w:t>Tax Fees</w:t>
            </w:r>
          </w:p>
        </w:tc>
        <w:tc>
          <w:tcPr>
            <w:tcW w:w="1460" w:type="dxa"/>
            <w:vAlign w:val="bottom"/>
            <w:shd w:val="clear" w:color="auto" w:fill="C3D9EE"/>
          </w:tcPr>
          <w:p>
            <w:pPr>
              <w:jc w:val="right"/>
              <w:ind w:right="92"/>
              <w:spacing w:after="0"/>
              <w:rPr>
                <w:sz w:val="20"/>
                <w:szCs w:val="20"/>
                <w:color w:val="auto"/>
              </w:rPr>
            </w:pPr>
            <w:r>
              <w:rPr>
                <w:rFonts w:ascii="Arial" w:cs="Arial" w:eastAsia="Arial" w:hAnsi="Arial"/>
                <w:sz w:val="18"/>
                <w:szCs w:val="18"/>
                <w:color w:val="auto"/>
              </w:rPr>
              <w:t>608,524</w:t>
            </w:r>
          </w:p>
        </w:tc>
        <w:tc>
          <w:tcPr>
            <w:tcW w:w="1300" w:type="dxa"/>
            <w:vAlign w:val="bottom"/>
            <w:shd w:val="clear" w:color="auto" w:fill="C3D9EE"/>
          </w:tcPr>
          <w:p>
            <w:pPr>
              <w:jc w:val="right"/>
              <w:ind w:right="72"/>
              <w:spacing w:after="0"/>
              <w:rPr>
                <w:sz w:val="20"/>
                <w:szCs w:val="20"/>
                <w:color w:val="auto"/>
              </w:rPr>
            </w:pPr>
            <w:r>
              <w:rPr>
                <w:rFonts w:ascii="Arial" w:cs="Arial" w:eastAsia="Arial" w:hAnsi="Arial"/>
                <w:sz w:val="18"/>
                <w:szCs w:val="18"/>
                <w:color w:val="auto"/>
              </w:rPr>
              <w:t>88,588</w:t>
            </w:r>
          </w:p>
        </w:tc>
      </w:tr>
      <w:tr>
        <w:trPr>
          <w:trHeight w:val="257"/>
        </w:trPr>
        <w:tc>
          <w:tcPr>
            <w:tcW w:w="5600" w:type="dxa"/>
            <w:vAlign w:val="bottom"/>
          </w:tcPr>
          <w:p>
            <w:pPr>
              <w:ind w:left="80"/>
              <w:spacing w:after="0"/>
              <w:rPr>
                <w:sz w:val="20"/>
                <w:szCs w:val="20"/>
                <w:color w:val="auto"/>
              </w:rPr>
            </w:pPr>
            <w:r>
              <w:rPr>
                <w:rFonts w:ascii="Arial" w:cs="Arial" w:eastAsia="Arial" w:hAnsi="Arial"/>
                <w:sz w:val="18"/>
                <w:szCs w:val="18"/>
                <w:color w:val="auto"/>
              </w:rPr>
              <w:t>All Other Fees</w:t>
            </w: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57"/>
        </w:trPr>
        <w:tc>
          <w:tcPr>
            <w:tcW w:w="5600" w:type="dxa"/>
            <w:vAlign w:val="bottom"/>
            <w:tcBorders>
              <w:bottom w:val="single" w:sz="8" w:color="1269BC"/>
            </w:tcBorders>
            <w:shd w:val="clear" w:color="auto" w:fill="C3D9EE"/>
          </w:tcPr>
          <w:p>
            <w:pPr>
              <w:ind w:left="100"/>
              <w:spacing w:after="0"/>
              <w:rPr>
                <w:sz w:val="20"/>
                <w:szCs w:val="20"/>
                <w:color w:val="auto"/>
              </w:rPr>
            </w:pPr>
            <w:r>
              <w:rPr>
                <w:rFonts w:ascii="Arial" w:cs="Arial" w:eastAsia="Arial" w:hAnsi="Arial"/>
                <w:sz w:val="18"/>
                <w:szCs w:val="18"/>
                <w:b w:val="1"/>
                <w:bCs w:val="1"/>
                <w:color w:val="auto"/>
              </w:rPr>
              <w:t>Total</w:t>
            </w:r>
          </w:p>
        </w:tc>
        <w:tc>
          <w:tcPr>
            <w:tcW w:w="1460" w:type="dxa"/>
            <w:vAlign w:val="bottom"/>
            <w:tcBorders>
              <w:bottom w:val="single" w:sz="8" w:color="1269BC"/>
            </w:tcBorders>
            <w:shd w:val="clear" w:color="auto" w:fill="C3D9EE"/>
          </w:tcPr>
          <w:p>
            <w:pPr>
              <w:jc w:val="right"/>
              <w:ind w:right="92"/>
              <w:spacing w:after="0"/>
              <w:rPr>
                <w:sz w:val="20"/>
                <w:szCs w:val="20"/>
                <w:color w:val="auto"/>
              </w:rPr>
            </w:pPr>
            <w:r>
              <w:rPr>
                <w:rFonts w:ascii="Arial" w:cs="Arial" w:eastAsia="Arial" w:hAnsi="Arial"/>
                <w:sz w:val="18"/>
                <w:szCs w:val="18"/>
                <w:color w:val="auto"/>
              </w:rPr>
              <w:t>$ 3,592,384</w:t>
            </w:r>
          </w:p>
        </w:tc>
        <w:tc>
          <w:tcPr>
            <w:tcW w:w="1300" w:type="dxa"/>
            <w:vAlign w:val="bottom"/>
            <w:tcBorders>
              <w:bottom w:val="single" w:sz="8" w:color="1269BC"/>
            </w:tcBorders>
            <w:shd w:val="clear" w:color="auto" w:fill="C3D9EE"/>
          </w:tcPr>
          <w:p>
            <w:pPr>
              <w:jc w:val="right"/>
              <w:ind w:right="72"/>
              <w:spacing w:after="0"/>
              <w:rPr>
                <w:sz w:val="20"/>
                <w:szCs w:val="20"/>
                <w:color w:val="auto"/>
              </w:rPr>
            </w:pPr>
            <w:r>
              <w:rPr>
                <w:rFonts w:ascii="Arial" w:cs="Arial" w:eastAsia="Arial" w:hAnsi="Arial"/>
                <w:sz w:val="18"/>
                <w:szCs w:val="18"/>
                <w:color w:val="auto"/>
              </w:rPr>
              <w:t>$ 2,416,747</w:t>
            </w:r>
          </w:p>
        </w:tc>
      </w:tr>
    </w:tbl>
    <w:p>
      <w:pPr>
        <w:spacing w:after="0" w:line="202" w:lineRule="exact"/>
        <w:rPr>
          <w:sz w:val="20"/>
          <w:szCs w:val="20"/>
          <w:color w:val="auto"/>
        </w:rPr>
      </w:pPr>
    </w:p>
    <w:p>
      <w:pPr>
        <w:ind w:left="120" w:right="220"/>
        <w:spacing w:after="0" w:line="263"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 This category includes fees for: (a) the audit of our annual financial statements and review of financial statements included in our quarterly</w:t>
      </w:r>
      <w:r>
        <w:rPr>
          <w:rFonts w:ascii="Arial" w:cs="Arial" w:eastAsia="Arial" w:hAnsi="Arial"/>
          <w:sz w:val="16"/>
          <w:szCs w:val="16"/>
          <w:i w:val="1"/>
          <w:iCs w:val="1"/>
          <w:color w:val="auto"/>
        </w:rPr>
        <w:t xml:space="preserve"> </w:t>
      </w:r>
      <w:r>
        <w:rPr>
          <w:rFonts w:ascii="Arial" w:cs="Arial" w:eastAsia="Arial" w:hAnsi="Arial"/>
          <w:sz w:val="16"/>
          <w:szCs w:val="16"/>
          <w:color w:val="auto"/>
        </w:rPr>
        <w:t>reports on Form 10-Q; (b) the audit of our internal control over financial reporting; and (c) services that are normally provided by our independent registered public accounting firm in connection with statutory and regulatory filings or engagements for the relevant fiscal years.</w:t>
      </w:r>
    </w:p>
    <w:p>
      <w:pPr>
        <w:spacing w:after="0" w:line="178" w:lineRule="exact"/>
        <w:rPr>
          <w:sz w:val="20"/>
          <w:szCs w:val="20"/>
          <w:color w:val="auto"/>
        </w:rPr>
      </w:pPr>
    </w:p>
    <w:p>
      <w:pPr>
        <w:ind w:left="120" w:right="240"/>
        <w:spacing w:after="0" w:line="263" w:lineRule="auto"/>
        <w:rPr>
          <w:sz w:val="20"/>
          <w:szCs w:val="20"/>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For fiscal year 2020, this category includes fees for due diligence services provided by EY in connection with our acquisitions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Active-Semi International, Inc. (“Active Semi”), Cavendish Kinetics Limited and Decawave Limited. For fiscal year 2019, this category includes fees for due diligence services provided by EY in connection with our acquisition of Active-Semi.</w:t>
      </w:r>
    </w:p>
    <w:p>
      <w:pPr>
        <w:spacing w:after="0" w:line="178" w:lineRule="exact"/>
        <w:rPr>
          <w:sz w:val="20"/>
          <w:szCs w:val="20"/>
          <w:color w:val="auto"/>
        </w:rPr>
      </w:pPr>
    </w:p>
    <w:p>
      <w:pPr>
        <w:ind w:left="120"/>
        <w:spacing w:after="0" w:line="263" w:lineRule="auto"/>
        <w:rPr>
          <w:sz w:val="20"/>
          <w:szCs w:val="20"/>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 This category consists of professional services rendered by our independent registered public accounting firm for tax compliance, tax planning,</w:t>
      </w:r>
      <w:r>
        <w:rPr>
          <w:rFonts w:ascii="Arial" w:cs="Arial" w:eastAsia="Arial" w:hAnsi="Arial"/>
          <w:sz w:val="16"/>
          <w:szCs w:val="16"/>
          <w:i w:val="1"/>
          <w:iCs w:val="1"/>
          <w:color w:val="auto"/>
        </w:rPr>
        <w:t xml:space="preserve"> </w:t>
      </w:r>
      <w:r>
        <w:rPr>
          <w:rFonts w:ascii="Arial" w:cs="Arial" w:eastAsia="Arial" w:hAnsi="Arial"/>
          <w:sz w:val="16"/>
          <w:szCs w:val="16"/>
          <w:color w:val="auto"/>
        </w:rPr>
        <w:t>tax advice and value added tax process review. The services for the fees disclosed under this category include tax return preparation, tax planning, research and technical tax advice.</w:t>
      </w:r>
    </w:p>
    <w:p>
      <w:pPr>
        <w:spacing w:after="0" w:line="178" w:lineRule="exact"/>
        <w:rPr>
          <w:sz w:val="20"/>
          <w:szCs w:val="20"/>
          <w:color w:val="auto"/>
        </w:rPr>
      </w:pPr>
    </w:p>
    <w:p>
      <w:pPr>
        <w:ind w:left="120" w:right="180"/>
        <w:spacing w:after="0" w:line="281" w:lineRule="auto"/>
        <w:rPr>
          <w:sz w:val="20"/>
          <w:szCs w:val="20"/>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 This category includes the aggregate fees for products and services provided by our independent registered public accounting firm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not reported above under “Audit Fees,” “Audit-Related Fees” or “Tax Fees.”</w:t>
      </w:r>
    </w:p>
    <w:p>
      <w:pPr>
        <w:spacing w:after="0" w:line="179"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auto"/>
        </w:rPr>
        <w:t>The Audit Committee has considered the compatibility of the non-audit services performed by and fees paid to EY in fiscal years 2020 and 2019, and the proposed non-audit related services and proposed fees for fiscal year 2021 and has determined that such services and fees are compatible with the independence of EY. All audit and non-audit related services were approved by the Audit Committee prior to such services being rendered, except for approximately $15,000 in fees paid to EY in fiscal year 2019 for tax compliance services rendered to a global affiliate of the Company. Such tax compliance services were not initially identified as an ongoing service at the time of EY’s appointment as auditor for the Company in May 2018. When identified, such in-process services were suspended by EY until the services were brought to the attention of the Audit Committee and approved by the Audit Committee.</w:t>
      </w:r>
    </w:p>
    <w:p>
      <w:pPr>
        <w:spacing w:after="0" w:line="139" w:lineRule="exact"/>
        <w:rPr>
          <w:sz w:val="20"/>
          <w:szCs w:val="20"/>
          <w:color w:val="auto"/>
        </w:rPr>
      </w:pPr>
    </w:p>
    <w:p>
      <w:pPr>
        <w:ind w:left="120"/>
        <w:spacing w:after="0"/>
        <w:tabs>
          <w:tab w:leader="none" w:pos="541" w:val="left"/>
        </w:tabs>
        <w:rPr>
          <w:sz w:val="20"/>
          <w:szCs w:val="20"/>
          <w:color w:val="auto"/>
        </w:rPr>
      </w:pPr>
      <w:r>
        <w:rPr>
          <w:rFonts w:ascii="Arial" w:cs="Arial" w:eastAsia="Arial" w:hAnsi="Arial"/>
          <w:sz w:val="18"/>
          <w:szCs w:val="18"/>
          <w:color w:val="auto"/>
        </w:rPr>
        <w:t>50</w:t>
      </w:r>
      <w:r>
        <w:rPr>
          <w:sz w:val="20"/>
          <w:szCs w:val="20"/>
          <w:color w:val="auto"/>
        </w:rPr>
        <w:tab/>
      </w:r>
      <w:r>
        <w:rPr>
          <w:sz w:val="1"/>
          <w:szCs w:val="1"/>
          <w:color w:val="auto"/>
        </w:rPr>
        <w:drawing>
          <wp:inline distT="0" distB="0" distL="0" distR="0">
            <wp:extent cx="582930" cy="13716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i w:val="1"/>
          <w:iCs w:val="1"/>
          <w:color w:val="1269BC"/>
        </w:rPr>
        <w:t xml:space="preserve">   2020 Proxy Statement</w:t>
      </w:r>
    </w:p>
    <w:p>
      <w:pPr>
        <w:sectPr>
          <w:pgSz w:w="11900" w:h="16838" w:orient="portrait"/>
          <w:cols w:equalWidth="0" w:num="1">
            <w:col w:w="11080"/>
          </w:cols>
          <w:pgMar w:left="320" w:top="459"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720"/>
        <w:spacing w:after="0"/>
        <w:rPr>
          <w:sz w:val="20"/>
          <w:szCs w:val="20"/>
          <w:color w:val="auto"/>
        </w:rPr>
      </w:pPr>
      <w:r>
        <w:rPr>
          <w:rFonts w:ascii="Arial" w:cs="Arial" w:eastAsia="Arial" w:hAnsi="Arial"/>
          <w:sz w:val="17"/>
          <w:szCs w:val="17"/>
          <w:color w:val="1269BC"/>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47625</wp:posOffset>
            </wp:positionV>
            <wp:extent cx="6995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REPORT OF THE AUDIT COMMITTEE</w:t>
      </w:r>
    </w:p>
    <w:p>
      <w:pPr>
        <w:spacing w:after="0" w:line="240" w:lineRule="exact"/>
        <w:rPr>
          <w:sz w:val="20"/>
          <w:szCs w:val="20"/>
          <w:color w:val="auto"/>
        </w:rPr>
      </w:pPr>
    </w:p>
    <w:p>
      <w:pPr>
        <w:ind w:left="120" w:right="40"/>
        <w:spacing w:after="0" w:line="260" w:lineRule="auto"/>
        <w:rPr>
          <w:sz w:val="20"/>
          <w:szCs w:val="20"/>
          <w:color w:val="auto"/>
        </w:rPr>
      </w:pPr>
      <w:r>
        <w:rPr>
          <w:rFonts w:ascii="Arial" w:cs="Arial" w:eastAsia="Arial" w:hAnsi="Arial"/>
          <w:sz w:val="16"/>
          <w:szCs w:val="16"/>
          <w:color w:val="auto"/>
        </w:rPr>
        <w:t>Each member of the Audit Committee is an independent director under existing Nasdaq listing standards and SEC requirements. In addition, the Board of Directors has determined that each of Mr. Gardner, Mr. Harding, and Mr. Quinsey is an “audit committee financial expert,” as defined by SEC rules.</w:t>
      </w:r>
    </w:p>
    <w:p>
      <w:pPr>
        <w:spacing w:after="0" w:line="195" w:lineRule="exact"/>
        <w:rPr>
          <w:sz w:val="20"/>
          <w:szCs w:val="20"/>
          <w:color w:val="auto"/>
        </w:rPr>
      </w:pPr>
    </w:p>
    <w:p>
      <w:pPr>
        <w:ind w:left="120" w:right="240"/>
        <w:spacing w:after="0" w:line="251" w:lineRule="auto"/>
        <w:rPr>
          <w:sz w:val="20"/>
          <w:szCs w:val="20"/>
          <w:color w:val="auto"/>
        </w:rPr>
      </w:pPr>
      <w:r>
        <w:rPr>
          <w:rFonts w:ascii="Arial" w:cs="Arial" w:eastAsia="Arial" w:hAnsi="Arial"/>
          <w:sz w:val="16"/>
          <w:szCs w:val="16"/>
          <w:color w:val="auto"/>
        </w:rPr>
        <w:t>In the performance of its oversight function, the Audit Committee has reviewed and discussed the audited consolidated financial statements with management and the independent registered public accounting firm. The Audit Committee also has reviewed and discussed with management and the independent registered public accounting firm management’s assessment of the effectiveness of our internal control over financial reporting and the independent registered public accounting firm’s evaluation of our internal control over financial reporting.</w:t>
      </w:r>
    </w:p>
    <w:p>
      <w:pPr>
        <w:spacing w:after="0" w:line="202" w:lineRule="exact"/>
        <w:rPr>
          <w:sz w:val="20"/>
          <w:szCs w:val="20"/>
          <w:color w:val="auto"/>
        </w:rPr>
      </w:pPr>
    </w:p>
    <w:p>
      <w:pPr>
        <w:jc w:val="both"/>
        <w:ind w:left="120" w:right="340"/>
        <w:spacing w:after="0" w:line="253" w:lineRule="auto"/>
        <w:rPr>
          <w:sz w:val="20"/>
          <w:szCs w:val="20"/>
          <w:color w:val="auto"/>
        </w:rPr>
      </w:pPr>
      <w:r>
        <w:rPr>
          <w:rFonts w:ascii="Arial" w:cs="Arial" w:eastAsia="Arial" w:hAnsi="Arial"/>
          <w:sz w:val="16"/>
          <w:szCs w:val="16"/>
          <w:color w:val="auto"/>
        </w:rPr>
        <w:t>The Audit Committee reviewed with the independent registered public accounting firm its judgments as to the quality, not just the acceptability, of our accounting principles and discussed with the independent registered public accounting firm such other matters as are required to be discussed by the applicable requirements of the Public Company Accounting Oversight Board standards and the Securities and Exchange Commission.</w:t>
      </w:r>
    </w:p>
    <w:p>
      <w:pPr>
        <w:spacing w:after="0" w:line="201"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color w:val="auto"/>
        </w:rPr>
        <w:t>The Audit Committee has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has discussed with the independent registered public accounting firm that firm’s independence.</w:t>
      </w:r>
    </w:p>
    <w:p>
      <w:pPr>
        <w:spacing w:after="0" w:line="201" w:lineRule="exact"/>
        <w:rPr>
          <w:sz w:val="20"/>
          <w:szCs w:val="20"/>
          <w:color w:val="auto"/>
        </w:rPr>
      </w:pPr>
    </w:p>
    <w:p>
      <w:pPr>
        <w:jc w:val="both"/>
        <w:ind w:left="120" w:right="380"/>
        <w:spacing w:after="0" w:line="253" w:lineRule="auto"/>
        <w:rPr>
          <w:sz w:val="20"/>
          <w:szCs w:val="20"/>
          <w:color w:val="auto"/>
        </w:rPr>
      </w:pPr>
      <w:r>
        <w:rPr>
          <w:rFonts w:ascii="Arial" w:cs="Arial" w:eastAsia="Arial" w:hAnsi="Arial"/>
          <w:sz w:val="16"/>
          <w:szCs w:val="16"/>
          <w:color w:val="auto"/>
        </w:rPr>
        <w:t>Based upon the discussions and review described above, the Audit Committee recommended to the Board of Directors that the audited consolidated financial statements be included in our Annual Report on Form 10-K for the year ended March 28, 2020 for filing with the SEC. This report has been prepared by members of the Audit Committee. Current members of this committee are:</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Jeffery R. Gardner (Chair)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John R. Harding</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Roderick D. Nelson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Ralph G. Quinsey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96520</wp:posOffset>
            </wp:positionV>
            <wp:extent cx="58293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pacing w:after="0" w:line="16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i w:val="1"/>
          <w:iCs w:val="1"/>
          <w:color w:val="1269BC"/>
        </w:rPr>
        <w:t>2020 Proxy Statement</w:t>
      </w:r>
      <w:r>
        <w:rPr>
          <w:sz w:val="20"/>
          <w:szCs w:val="20"/>
          <w:color w:val="auto"/>
        </w:rPr>
        <w:tab/>
      </w:r>
      <w:r>
        <w:rPr>
          <w:rFonts w:ascii="Arial" w:cs="Arial" w:eastAsia="Arial" w:hAnsi="Arial"/>
          <w:sz w:val="17"/>
          <w:szCs w:val="17"/>
          <w:color w:val="auto"/>
        </w:rPr>
        <w:t>51</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RELATED PERSON TRANSACTIONS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269BC"/>
        </w:rPr>
        <w:t>Related Person Transactions Policy</w:t>
      </w:r>
    </w:p>
    <w:p>
      <w:pPr>
        <w:spacing w:after="0" w:line="128"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The Board maintains a written policy regarding transactions that involve Qorvo and any of its executive officers, directors, director nominees or five percent or greater stockholders or their affiliates, which are referred to generally as “related persons.” The Governance and Nominating Committee will analyze and consider any such transaction in accordance with this written policy in order to determine whether the terms and conditions of the transaction are substantially the same as, or more favorable to Qorvo than, transactions that would be available from unaffiliated parties.</w:t>
      </w:r>
    </w:p>
    <w:p>
      <w:pPr>
        <w:spacing w:after="0" w:line="202"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The policy governs the procedures for review and consideration of all “related person transactions,” as that term is defined in the policy, to help ensure that any such transactions are timely identified and given appropriate consideration. Generally, any current or proposed financial transaction, arrangement or relationship in which a “related person” had or will have a direct or indirect material interest, in an amount exceeding $120,000 and in which Qorvo was or will be a participant, requires the approval of the Governance and Nominating Committee or a majority of the disinterested members of the Board. Before granting such approval, the Governance and Nominating Committee will consider all of the relevant facts and circumstances to ensure that the proposed transaction is in the best interest of Qorvo and its stockholders. The term “related person” is defined by the policy and by Item 404 of Regulation S-K.</w:t>
      </w:r>
    </w:p>
    <w:p>
      <w:pPr>
        <w:spacing w:after="0" w:line="394"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In conducting its review of any proposed related person transaction, the Governance and Nominating Committee will consider all of the relevant facts and circumstances available to the Governance and Nominating Committee, including but not limited to (a) the benefits to Qorvo; (b) the impact on a director’s independence in the event the related person is a director, an immediate family member of a director or an entity in which a director is a partner, stockholder or executive officer; (c) the availability of other sources for comparable products or services; (d) the terms of the proposed related person transaction; and (e) the terms available to unrelated third parties or to employees generally in an arms-length negotiation. No member of the Governance and Nominating Committee will participate in any review, consideration or approval of any related person transaction with respect to which such member or any of his or her immediate family members is the related person.</w:t>
      </w:r>
    </w:p>
    <w:p>
      <w:pPr>
        <w:spacing w:after="0" w:line="208"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auto"/>
        </w:rPr>
        <w:t>The Governance and Nominating Committee may, from time to time as it determines in its discretion to be appropriate, review periodically any previously approved or ratified related person transaction to determine if it is in the best interests of us and our stockholders to continue, modify or terminate such related person transaction.</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did not engage in any related person transactions during the year ended March 28, 2020.</w:t>
      </w:r>
    </w:p>
    <w:p>
      <w:pPr>
        <w:spacing w:after="0" w:line="152" w:lineRule="exact"/>
        <w:rPr>
          <w:sz w:val="20"/>
          <w:szCs w:val="20"/>
          <w:color w:val="auto"/>
        </w:rPr>
      </w:pPr>
    </w:p>
    <w:p>
      <w:pPr>
        <w:ind w:left="120"/>
        <w:spacing w:after="0"/>
        <w:tabs>
          <w:tab w:leader="none" w:pos="541" w:val="left"/>
        </w:tabs>
        <w:rPr>
          <w:sz w:val="20"/>
          <w:szCs w:val="20"/>
          <w:color w:val="auto"/>
        </w:rPr>
      </w:pPr>
      <w:r>
        <w:rPr>
          <w:rFonts w:ascii="Arial" w:cs="Arial" w:eastAsia="Arial" w:hAnsi="Arial"/>
          <w:sz w:val="18"/>
          <w:szCs w:val="18"/>
          <w:color w:val="auto"/>
        </w:rPr>
        <w:t>52</w:t>
      </w:r>
      <w:r>
        <w:rPr>
          <w:sz w:val="20"/>
          <w:szCs w:val="20"/>
          <w:color w:val="auto"/>
        </w:rPr>
        <w:tab/>
      </w:r>
      <w:r>
        <w:rPr>
          <w:sz w:val="1"/>
          <w:szCs w:val="1"/>
          <w:color w:val="auto"/>
        </w:rPr>
        <w:drawing>
          <wp:inline distT="0" distB="0" distL="0" distR="0">
            <wp:extent cx="582930" cy="13716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i w:val="1"/>
          <w:iCs w:val="1"/>
          <w:color w:val="1269BC"/>
        </w:rPr>
        <w:t xml:space="preserve">   2020 Proxy Statement</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1269BC"/>
        </w:rPr>
        <w:t>Proposals for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PROPOSALS FOR 2021 ANNUAL MEETING</w:t>
      </w:r>
    </w:p>
    <w:p>
      <w:pPr>
        <w:spacing w:after="0" w:line="240"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auto"/>
        </w:rPr>
        <w:t>Pursuant to SEC Rule 14a-8, under certain conditions, stockholders may request that we include a proposal in our proxy materials for a forthcoming meeting of Qorvo stockholders. Any stockholder desiring to include a proposal in our proxy materials pursuant to Rule 14a-8 must ensure that we receive the proposal at our principal executive office in Greensboro, North Carolina by February 23, 2021 in order for the proposal to be eligible for inclusion in our proxy statement and proxy card relating to our 2021 Annual Meeting.</w:t>
      </w:r>
    </w:p>
    <w:p>
      <w:pPr>
        <w:spacing w:after="0" w:line="202"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If a stockholder desires to propose any business from the floor during the meeting (other than pursuant to Rule 14a-8 or our proxy access bylaw provisions), our bylaws provide that the stockholder must deliver or mail timely advance written notice of such business to our principal executive office. Under our bylaws, to be timely, such stockholder’s notice generally must be delivered to our Secretary not later than the close of business on the 90th day before the first anniversary of the date of the preceding year’s annual meeting and not earlier than the close of business on the 120th day prior to such anniversary. In the event that the date of the annual meeting is more than 30 days before or more than 60 days after the first anniversary date of the preceding year’s annual meeting, then notice by the stockholder must be delivered not earlier than the close of business on the 120th day prior to the annual meeting and not later than the close of business on the 90th day prior to the annual meeting, or by the 10th day following the notice date for such meeting if the first public announcement of the date of the annual meeting is less than 100 days prior to the date of such annual meeting.</w:t>
      </w:r>
    </w:p>
    <w:p>
      <w:pPr>
        <w:spacing w:after="0" w:line="207" w:lineRule="exact"/>
        <w:rPr>
          <w:sz w:val="20"/>
          <w:szCs w:val="20"/>
          <w:color w:val="auto"/>
        </w:rPr>
      </w:pPr>
    </w:p>
    <w:p>
      <w:pPr>
        <w:ind w:left="120" w:right="180"/>
        <w:spacing w:after="0" w:line="248" w:lineRule="auto"/>
        <w:rPr>
          <w:sz w:val="20"/>
          <w:szCs w:val="20"/>
          <w:color w:val="auto"/>
        </w:rPr>
      </w:pPr>
      <w:r>
        <w:rPr>
          <w:rFonts w:ascii="Arial" w:cs="Arial" w:eastAsia="Arial" w:hAnsi="Arial"/>
          <w:sz w:val="16"/>
          <w:szCs w:val="16"/>
          <w:color w:val="auto"/>
        </w:rPr>
        <w:t>If a stockholder desires to propose a director candidate for nomination to the Board of Directors pursuant to our proxy access bylaw provisions, our bylaws provide that the stockholder must deliver or mail timely advance written notice of such nomination to our principal executive office. Under our bylaws, to be timely, such stockholder’s notice generally must be delivered to our Secretary not later than the close of business on the 120th day before the first anniversary of the date the definitive proxy statement was first sent to stockholders in connection with the preceding year’s annual meeting and not earlier than the close of business on the 150th day before such anniversary. In the event that the date of the annual meeting is more than 30 days before or more than 60 days after the anniversary of the preceding year’s annual meeting, or if no annual meeting was held in the preceding year, then notice by the stockholder must be delivered not earlier than the close of business on the 150th day prior to such annual meeting and not later than the close of business on the later of the 120th day prior to such annual meeting or the 10th day following the day on which public announcement of the date of such meeting is first made.</w:t>
      </w:r>
    </w:p>
    <w:p>
      <w:pPr>
        <w:spacing w:after="0" w:line="206" w:lineRule="exact"/>
        <w:rPr>
          <w:sz w:val="20"/>
          <w:szCs w:val="20"/>
          <w:color w:val="auto"/>
        </w:rPr>
      </w:pPr>
    </w:p>
    <w:p>
      <w:pPr>
        <w:ind w:left="120" w:right="120"/>
        <w:spacing w:after="0" w:line="250" w:lineRule="auto"/>
        <w:rPr>
          <w:sz w:val="20"/>
          <w:szCs w:val="20"/>
          <w:color w:val="auto"/>
        </w:rPr>
      </w:pPr>
      <w:r>
        <w:rPr>
          <w:rFonts w:ascii="Arial" w:cs="Arial" w:eastAsia="Arial" w:hAnsi="Arial"/>
          <w:sz w:val="16"/>
          <w:szCs w:val="16"/>
          <w:color w:val="auto"/>
        </w:rPr>
        <w:t>Each item of business proposed by a stockholder, including director nominations, must be made in accordance with our bylaws, our Corporate Governance Guidelines and any other applicable law, rule or regulation. In addition, any notice of a proposed director candidate must also comply with our bylaws, including the criteria set forth under “Procedures for Director Nominations” on page 12 of this proxy statement. If written notice is not given in accordance with these requirements, the proposal or nomination will be considered deficient or untimely, as applicable, and Qorvo may exclude such business from consideration at the meeting.</w:t>
      </w:r>
    </w:p>
    <w:p>
      <w:pPr>
        <w:spacing w:after="0" w:line="203" w:lineRule="exact"/>
        <w:rPr>
          <w:sz w:val="20"/>
          <w:szCs w:val="20"/>
          <w:color w:val="auto"/>
        </w:rPr>
      </w:pPr>
    </w:p>
    <w:p>
      <w:pPr>
        <w:jc w:val="both"/>
        <w:ind w:left="120" w:right="320"/>
        <w:spacing w:after="0" w:line="253" w:lineRule="auto"/>
        <w:rPr>
          <w:sz w:val="20"/>
          <w:szCs w:val="20"/>
          <w:color w:val="auto"/>
        </w:rPr>
      </w:pPr>
      <w:r>
        <w:rPr>
          <w:rFonts w:ascii="Arial" w:cs="Arial" w:eastAsia="Arial" w:hAnsi="Arial"/>
          <w:sz w:val="16"/>
          <w:szCs w:val="16"/>
          <w:color w:val="auto"/>
        </w:rPr>
        <w:t>If the proposal or proposed director candidate is permitted to be considered at the meeting, the proxies appointed pursuant to the proxy card will have discretionary authority to vote for or against the matter even if the proposal or proposed director candidate was not discussed in the proxy statement. Assuming that the date of our annual meeting of stockholders is not advanced or delayed in the manner described above:</w:t>
      </w:r>
    </w:p>
    <w:p>
      <w:pPr>
        <w:spacing w:after="0" w:line="228" w:lineRule="exact"/>
        <w:rPr>
          <w:sz w:val="20"/>
          <w:szCs w:val="20"/>
          <w:color w:val="auto"/>
        </w:rPr>
      </w:pPr>
    </w:p>
    <w:p>
      <w:pPr>
        <w:ind w:left="540" w:right="180" w:hanging="424"/>
        <w:spacing w:after="0" w:line="253" w:lineRule="auto"/>
        <w:tabs>
          <w:tab w:leader="none" w:pos="540" w:val="left"/>
        </w:tabs>
        <w:numPr>
          <w:ilvl w:val="0"/>
          <w:numId w:val="48"/>
        </w:numPr>
        <w:rPr>
          <w:rFonts w:ascii="Arial" w:cs="Arial" w:eastAsia="Arial" w:hAnsi="Arial"/>
          <w:sz w:val="16"/>
          <w:szCs w:val="16"/>
          <w:color w:val="1269BC"/>
        </w:rPr>
      </w:pPr>
      <w:r>
        <w:rPr>
          <w:rFonts w:ascii="Arial" w:cs="Arial" w:eastAsia="Arial" w:hAnsi="Arial"/>
          <w:sz w:val="16"/>
          <w:szCs w:val="16"/>
          <w:color w:val="auto"/>
        </w:rPr>
        <w:t>Appropriate notice of a proposal or proposed director candidate (other than pursuant to Rule 14a-8 or our proxy access bylaw provisions) for the 2021 Annual Meeting would need to be delivered to our principal executive office no earlier than April 6, 2021 and no later than May 6, 2021 to be considered timely.</w:t>
      </w:r>
    </w:p>
    <w:p>
      <w:pPr>
        <w:spacing w:after="0" w:line="228" w:lineRule="exact"/>
        <w:rPr>
          <w:rFonts w:ascii="Arial" w:cs="Arial" w:eastAsia="Arial" w:hAnsi="Arial"/>
          <w:sz w:val="16"/>
          <w:szCs w:val="16"/>
          <w:color w:val="1269BC"/>
        </w:rPr>
      </w:pPr>
    </w:p>
    <w:p>
      <w:pPr>
        <w:ind w:left="540" w:right="80" w:hanging="424"/>
        <w:spacing w:after="0" w:line="260" w:lineRule="auto"/>
        <w:tabs>
          <w:tab w:leader="none" w:pos="540" w:val="left"/>
        </w:tabs>
        <w:numPr>
          <w:ilvl w:val="0"/>
          <w:numId w:val="48"/>
        </w:numPr>
        <w:rPr>
          <w:rFonts w:ascii="Arial" w:cs="Arial" w:eastAsia="Arial" w:hAnsi="Arial"/>
          <w:sz w:val="16"/>
          <w:szCs w:val="16"/>
          <w:color w:val="1269BC"/>
        </w:rPr>
      </w:pPr>
      <w:r>
        <w:rPr>
          <w:rFonts w:ascii="Arial" w:cs="Arial" w:eastAsia="Arial" w:hAnsi="Arial"/>
          <w:sz w:val="16"/>
          <w:szCs w:val="16"/>
          <w:color w:val="auto"/>
        </w:rPr>
        <w:t>Appropriate notice of a proposed director candidate pursuant to the proxy access provisions of our bylaws for the 2021 Annual Meeting would need to be delivered to our principal executive office no earlier than January 24, 2021 and no later than February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80010</wp:posOffset>
            </wp:positionV>
            <wp:extent cx="58293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82930" cy="137160"/>
                    </a:xfrm>
                    <a:prstGeom prst="rect">
                      <a:avLst/>
                    </a:prstGeom>
                    <a:noFill/>
                  </pic:spPr>
                </pic:pic>
              </a:graphicData>
            </a:graphic>
          </wp:anchor>
        </w:drawing>
      </w:r>
    </w:p>
    <w:p>
      <w:pPr>
        <w:spacing w:after="0" w:line="14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i w:val="1"/>
          <w:iCs w:val="1"/>
          <w:color w:val="1269BC"/>
        </w:rPr>
        <w:t>2020 Proxy Statement</w:t>
      </w:r>
      <w:r>
        <w:rPr>
          <w:sz w:val="20"/>
          <w:szCs w:val="20"/>
          <w:color w:val="auto"/>
        </w:rPr>
        <w:tab/>
      </w:r>
      <w:r>
        <w:rPr>
          <w:rFonts w:ascii="Arial" w:cs="Arial" w:eastAsia="Arial" w:hAnsi="Arial"/>
          <w:sz w:val="17"/>
          <w:szCs w:val="17"/>
          <w:color w:val="auto"/>
        </w:rPr>
        <w:t>53</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1269BC"/>
        </w:rPr>
        <w:t>Householding of Annual Meeting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HOUSEHOLDING OF ANNUAL MEETING MATERIALS</w:t>
      </w:r>
    </w:p>
    <w:p>
      <w:pPr>
        <w:spacing w:after="0" w:line="240"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Some banks, brokers or other nominee record holders may be participating in the practice of “householding” annual reports, proxy statements and Notices of Internet Availability of Proxy Materials. This means that only one copy of our annual report, proxy statement or Notice of Internet Availability of Proxy Materials, as applicable, may have been sent to multiple stockholders in the same household. We will promptly deliver a separate copy of our annual report, proxy statement or Notice of Internet Availability of Proxy Materials, as applicable, to any stockholder upon request submitted in writing to Qorvo at the following address: Qorvo, Inc., 7628 Thorndike Road, Greensboro, North Carolina 27409-9421, Attention: Investor Relations Department, or by calling (336) 664-1233. Any stockholder who wants to receive separate copies of our annual report, proxy statement or Notice of Internet Availability of Proxy Materials in the future, or who is currently receiving multiple copies and would like to receive only one copy for his or her household, should contact his or her bank, broker or other nominee record holder, or contact Qorvo at the above address and telephone number.</w:t>
      </w:r>
    </w:p>
    <w:p>
      <w:pPr>
        <w:spacing w:after="0" w:line="38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FINANCIAL INFORMATION</w:t>
      </w:r>
    </w:p>
    <w:p>
      <w:pPr>
        <w:spacing w:after="0" w:line="220"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b w:val="1"/>
          <w:bCs w:val="1"/>
          <w:color w:val="auto"/>
        </w:rPr>
        <w:t>Our annual report for the fiscal year ended March 28, 2020 is enclosed. Upon written request, we will provide without charge to any stockholder of record or beneficial owner of common stock a separate copy of our Annual Report on Form 10-K for the fiscal year ended March 28, 2020, including financial statements, filed with the SEC. Any such request should be directed to Doug Delieto, our Vice President of Investor Relations, at 7628 Thorndike Road, Greensboro, North Carolina 27409-9421. We will furnish any exhibit to our Annual Report on Form 10-K upon receipt of payment for our reasonable expenses in furnishing such exhibit.</w:t>
      </w:r>
    </w:p>
    <w:p>
      <w:pPr>
        <w:spacing w:after="0" w:line="38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1269BC"/>
        </w:rPr>
        <w:t>OTHER BUSINESS</w:t>
      </w:r>
    </w:p>
    <w:p>
      <w:pPr>
        <w:spacing w:after="0" w:line="240"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color w:val="auto"/>
        </w:rPr>
        <w:t>As of the date of this proxy statement, the Board knows of no other matter to come before the annual meeting. However, if any other matter requiring a vote of the stockholders arises, the persons named in the accompanying proxy will vote properly executed proxies in accordance with their best judgment.</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1543050" cy="2825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54305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Jason K. Givens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Secretary</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Dated: June 23, 2020</w:t>
      </w:r>
    </w:p>
    <w:p>
      <w:pPr>
        <w:spacing w:after="0" w:line="152" w:lineRule="exact"/>
        <w:rPr>
          <w:sz w:val="20"/>
          <w:szCs w:val="20"/>
          <w:color w:val="auto"/>
        </w:rPr>
      </w:pPr>
    </w:p>
    <w:p>
      <w:pPr>
        <w:ind w:left="120"/>
        <w:spacing w:after="0"/>
        <w:tabs>
          <w:tab w:leader="none" w:pos="541" w:val="left"/>
        </w:tabs>
        <w:rPr>
          <w:sz w:val="20"/>
          <w:szCs w:val="20"/>
          <w:color w:val="auto"/>
        </w:rPr>
      </w:pPr>
      <w:r>
        <w:rPr>
          <w:rFonts w:ascii="Arial" w:cs="Arial" w:eastAsia="Arial" w:hAnsi="Arial"/>
          <w:sz w:val="18"/>
          <w:szCs w:val="18"/>
          <w:color w:val="auto"/>
        </w:rPr>
        <w:t>54</w:t>
      </w:r>
      <w:r>
        <w:rPr>
          <w:sz w:val="20"/>
          <w:szCs w:val="20"/>
          <w:color w:val="auto"/>
        </w:rPr>
        <w:tab/>
      </w:r>
      <w:r>
        <w:rPr>
          <w:sz w:val="1"/>
          <w:szCs w:val="1"/>
          <w:color w:val="auto"/>
        </w:rPr>
        <w:drawing>
          <wp:inline distT="0" distB="0" distL="0" distR="0">
            <wp:extent cx="582930" cy="13716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82930" cy="137160"/>
                    </a:xfrm>
                    <a:prstGeom prst="rect">
                      <a:avLst/>
                    </a:prstGeom>
                    <a:noFill/>
                    <a:ln>
                      <a:noFill/>
                    </a:ln>
                  </pic:spPr>
                </pic:pic>
              </a:graphicData>
            </a:graphic>
          </wp:inline>
        </w:drawing>
      </w:r>
      <w:r>
        <w:rPr>
          <w:rFonts w:ascii="Arial" w:cs="Arial" w:eastAsia="Arial" w:hAnsi="Arial"/>
          <w:sz w:val="18"/>
          <w:szCs w:val="18"/>
          <w:i w:val="1"/>
          <w:iCs w:val="1"/>
          <w:color w:val="1269BC"/>
        </w:rPr>
        <w:t xml:space="preserve">   2020 Proxy Statement</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lvl w:ilvl="1">
      <w:lvlJc w:val="left"/>
      <w:lvlText w:val="(%2)"/>
      <w:numFmt w:val="decimal"/>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lowerLetter"/>
      <w:start w:val="2"/>
    </w:lvl>
  </w:abstractNum>
  <w:abstractNum w:abstractNumId="10">
    <w:nsid w:val="3A95F874"/>
    <w:multiLevelType w:val="hybridMultilevel"/>
    <w:lvl w:ilvl="0">
      <w:lvlJc w:val="left"/>
      <w:lvlText w:val="(%1)"/>
      <w:numFmt w:val="lowerLetter"/>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lvl w:ilvl="1">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lowerLetter"/>
      <w:start w:val="2"/>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lvl w:ilvl="1">
      <w:lvlJc w:val="left"/>
      <w:lvlText w:val="(%2)"/>
      <w:numFmt w:val="lowerLetter"/>
      <w:start w:val="4"/>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1)"/>
      <w:numFmt w:val="lowerLetter"/>
      <w:start w:val="2"/>
    </w:lvl>
  </w:abstractNum>
  <w:abstractNum w:abstractNumId="38">
    <w:nsid w:val="1D4ED43B"/>
    <w:multiLevelType w:val="hybridMultilevel"/>
    <w:lvl w:ilvl="0">
      <w:lvlJc w:val="left"/>
      <w:lvlText w:val="(%1)"/>
      <w:numFmt w:val="lowerLetter"/>
      <w:start w:val="3"/>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2"/>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decimal"/>
      <w:start w:val="2"/>
    </w:lvl>
  </w:abstractNum>
  <w:abstractNum w:abstractNumId="44">
    <w:nsid w:val="542289EC"/>
    <w:multiLevelType w:val="hybridMultilevel"/>
    <w:lvl w:ilvl="0">
      <w:lvlJc w:val="left"/>
      <w:lvlText w:val="(%1)"/>
      <w:numFmt w:val="lowerLetter"/>
      <w:start w:val="2"/>
    </w:lvl>
  </w:abstractNum>
  <w:abstractNum w:abstractNumId="45">
    <w:nsid w:val="6DE91B18"/>
    <w:multiLevelType w:val="hybridMultilevel"/>
    <w:lvl w:ilvl="0">
      <w:lvlJc w:val="left"/>
      <w:lvlText w:val="(%1)"/>
      <w:numFmt w:val="decimal"/>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2020-06-23T15:30:17Z</dcterms:created>
  <dcterms:modified xsi:type="dcterms:W3CDTF">2020-06-23T15:30:17Z</dcterms:modified>
</cp:coreProperties>
</file>