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517525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483235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61" w:lineRule="exact"/>
        <w:rPr>
          <w:sz w:val="24"/>
          <w:szCs w:val="24"/>
          <w:color w:val="auto"/>
        </w:rPr>
      </w:pPr>
    </w:p>
    <w:p>
      <w:pPr>
        <w:ind w:left="640" w:right="520" w:hanging="614"/>
        <w:spacing w:after="0" w:line="238" w:lineRule="auto"/>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fiscal year ended April 2, 2022</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40" w:right="44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58420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Qorvo, Inc.</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46-5288992</w:t>
            </w:r>
          </w:p>
        </w:tc>
      </w:tr>
      <w:tr>
        <w:trPr>
          <w:trHeight w:val="210"/>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0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9"/>
              </w:rPr>
              <w:t>7628 Thorndike Road</w:t>
            </w:r>
          </w:p>
        </w:tc>
        <w:tc>
          <w:tcPr>
            <w:tcW w:w="3220" w:type="dxa"/>
            <w:vAlign w:val="bottom"/>
          </w:tcPr>
          <w:p>
            <w:pPr>
              <w:spacing w:after="0"/>
              <w:rPr>
                <w:sz w:val="24"/>
                <w:szCs w:val="24"/>
                <w:color w:val="auto"/>
              </w:rPr>
            </w:pPr>
          </w:p>
        </w:tc>
      </w:tr>
      <w:tr>
        <w:trPr>
          <w:trHeight w:val="238"/>
        </w:trPr>
        <w:tc>
          <w:tcPr>
            <w:tcW w:w="4720" w:type="dxa"/>
            <w:vAlign w:val="bottom"/>
          </w:tcPr>
          <w:p>
            <w:pPr>
              <w:jc w:val="center"/>
              <w:ind w:right="534"/>
              <w:spacing w:after="0"/>
              <w:rPr>
                <w:sz w:val="20"/>
                <w:szCs w:val="20"/>
                <w:color w:val="auto"/>
              </w:rPr>
            </w:pPr>
            <w:r>
              <w:rPr>
                <w:rFonts w:ascii="Times New Roman" w:cs="Times New Roman" w:eastAsia="Times New Roman" w:hAnsi="Times New Roman"/>
                <w:sz w:val="18"/>
                <w:szCs w:val="18"/>
                <w:b w:val="1"/>
                <w:bCs w:val="1"/>
                <w:color w:val="auto"/>
                <w:w w:val="99"/>
              </w:rPr>
              <w:t>Greensboro, North Carolina</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27409-9421</w:t>
            </w:r>
          </w:p>
        </w:tc>
      </w:tr>
      <w:tr>
        <w:trPr>
          <w:trHeight w:val="210"/>
        </w:trPr>
        <w:tc>
          <w:tcPr>
            <w:tcW w:w="4720" w:type="dxa"/>
            <w:vAlign w:val="bottom"/>
          </w:tcPr>
          <w:p>
            <w:pPr>
              <w:jc w:val="center"/>
              <w:ind w:right="494"/>
              <w:spacing w:after="0"/>
              <w:rPr>
                <w:sz w:val="20"/>
                <w:szCs w:val="20"/>
                <w:color w:val="auto"/>
              </w:rPr>
            </w:pPr>
            <w:r>
              <w:rPr>
                <w:rFonts w:ascii="Times New Roman" w:cs="Times New Roman" w:eastAsia="Times New Roman" w:hAnsi="Times New Roman"/>
                <w:sz w:val="16"/>
                <w:szCs w:val="16"/>
                <w:color w:val="auto"/>
              </w:rPr>
              <w:t>(Address of principal executive office)</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(336) 664-1233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198"/>
        </w:trPr>
        <w:tc>
          <w:tcPr>
            <w:tcW w:w="580" w:type="dxa"/>
            <w:vAlign w:val="bottom"/>
          </w:tcPr>
          <w:p>
            <w:pPr>
              <w:spacing w:after="0"/>
              <w:rPr>
                <w:sz w:val="17"/>
                <w:szCs w:val="17"/>
                <w:color w:val="auto"/>
              </w:rPr>
            </w:pPr>
          </w:p>
        </w:tc>
        <w:tc>
          <w:tcPr>
            <w:tcW w:w="2000" w:type="dxa"/>
            <w:vAlign w:val="bottom"/>
            <w:gridSpan w:val="2"/>
          </w:tcPr>
          <w:p>
            <w:pPr>
              <w:jc w:val="center"/>
              <w:ind w:right="6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60" w:type="dxa"/>
            <w:vAlign w:val="bottom"/>
          </w:tcPr>
          <w:p>
            <w:pPr>
              <w:spacing w:after="0"/>
              <w:rPr>
                <w:sz w:val="17"/>
                <w:szCs w:val="17"/>
                <w:color w:val="auto"/>
              </w:rPr>
            </w:pPr>
          </w:p>
        </w:tc>
        <w:tc>
          <w:tcPr>
            <w:tcW w:w="2040" w:type="dxa"/>
            <w:vAlign w:val="bottom"/>
            <w:gridSpan w:val="2"/>
          </w:tcPr>
          <w:p>
            <w:pPr>
              <w:jc w:val="center"/>
              <w:ind w:right="6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gridSpan w:val="2"/>
          </w:tcPr>
          <w:p>
            <w:pPr>
              <w:jc w:val="center"/>
              <w:ind w:left="5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7"/>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9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right="220"/>
        <w:spacing w:after="0" w:line="205"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0"/>
          <w:szCs w:val="20"/>
          <w:color w:val="auto"/>
        </w:rPr>
      </w:pPr>
    </w:p>
    <w:p>
      <w:pPr>
        <w:ind w:right="5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4" w:lineRule="exact"/>
        <w:rPr>
          <w:sz w:val="20"/>
          <w:szCs w:val="20"/>
          <w:color w:val="auto"/>
        </w:rPr>
      </w:pPr>
    </w:p>
    <w:p>
      <w:pPr>
        <w:ind w:right="2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9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was approximately $18,621,370,109 as of October 2, 2021. For purposes of such calculation, shares of common stock held by persons who held more than 10% of the outstanding shares of common stock and shares held by directors and officers of the registrant and their immediate family members have been excluded because such persons may be deemed to be affiliates. This determination is not necessarily conclusive.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May 13, 2022, there were 106,027,384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157480</wp:posOffset>
            </wp:positionV>
            <wp:extent cx="1499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The registrant has incorporated by reference into Part III of this report certain portions of its proxy statement for its 2022 annual meeting of stockholders, which is expected to be filed within 120 days after the end of the registrant’s fiscal year ended April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00" w:type="dxa"/>
            <w:vAlign w:val="bottom"/>
            <w:gridSpan w:val="16"/>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7"/>
              </w:rPr>
              <w:t>QORVO, INC.</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300" w:type="dxa"/>
            <w:vAlign w:val="bottom"/>
            <w:gridSpan w:val="16"/>
          </w:tcPr>
          <w:p>
            <w:pPr>
              <w:jc w:val="center"/>
              <w:ind w:right="31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FORM 10-K</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40" w:type="dxa"/>
            <w:vAlign w:val="bottom"/>
            <w:gridSpan w:val="19"/>
          </w:tcPr>
          <w:p>
            <w:pPr>
              <w:jc w:val="center"/>
              <w:ind w:right="20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FOR THE FISCAL YEAR ENDED APRIL 2, 2022</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gridSpan w:val="16"/>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Forward-Looking Information.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94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Business.</w:t>
            </w:r>
          </w:p>
        </w:tc>
        <w:tc>
          <w:tcPr>
            <w:tcW w:w="7980" w:type="dxa"/>
            <w:vAlign w:val="bottom"/>
            <w:gridSpan w:val="28"/>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Risk Factors.</w:t>
            </w:r>
          </w:p>
        </w:tc>
        <w:tc>
          <w:tcPr>
            <w:tcW w:w="7720" w:type="dxa"/>
            <w:vAlign w:val="bottom"/>
            <w:gridSpan w:val="25"/>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1B.</w:t>
            </w:r>
          </w:p>
        </w:tc>
        <w:tc>
          <w:tcPr>
            <w:tcW w:w="21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580" w:type="dxa"/>
            <w:vAlign w:val="bottom"/>
            <w:gridSpan w:val="20"/>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7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900" w:type="dxa"/>
            <w:vAlign w:val="bottom"/>
            <w:gridSpan w:val="27"/>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90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300" w:type="dxa"/>
            <w:vAlign w:val="bottom"/>
            <w:tcBorders>
              <w:top w:val="single" w:sz="8" w:color="0000FF"/>
            </w:tcBorders>
            <w:gridSpan w:val="25"/>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w:t>
            </w:r>
          </w:p>
        </w:tc>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7A.</w:t>
            </w:r>
          </w:p>
        </w:tc>
        <w:tc>
          <w:tcPr>
            <w:tcW w:w="648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00" w:type="dxa"/>
            <w:vAlign w:val="bottom"/>
            <w:gridSpan w:val="4"/>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33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5"/>
          </w:tcPr>
          <w:p>
            <w:pPr>
              <w:spacing w:after="0"/>
              <w:rPr>
                <w:sz w:val="18"/>
                <w:szCs w:val="18"/>
                <w:color w:val="auto"/>
              </w:rPr>
            </w:pPr>
          </w:p>
        </w:tc>
        <w:tc>
          <w:tcPr>
            <w:tcW w:w="4280" w:type="dxa"/>
            <w:vAlign w:val="bottom"/>
            <w:gridSpan w:val="11"/>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w:t>
            </w:r>
          </w:p>
        </w:tc>
        <w:tc>
          <w:tcPr>
            <w:tcW w:w="65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12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9A.</w:t>
            </w:r>
          </w:p>
        </w:tc>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860" w:type="dxa"/>
            <w:vAlign w:val="bottom"/>
            <w:gridSpan w:val="22"/>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9B.</w:t>
            </w:r>
          </w:p>
        </w:tc>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9C.</w:t>
            </w:r>
          </w:p>
        </w:tc>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20" w:type="dxa"/>
            <w:vAlign w:val="bottom"/>
            <w:tcBorders>
              <w:top w:val="single" w:sz="8" w:color="0000FF"/>
            </w:tcBorders>
          </w:tcPr>
          <w:p>
            <w:pPr>
              <w:spacing w:after="0"/>
              <w:rPr>
                <w:sz w:val="24"/>
                <w:szCs w:val="24"/>
                <w:color w:val="auto"/>
              </w:rPr>
            </w:pPr>
          </w:p>
        </w:tc>
        <w:tc>
          <w:tcPr>
            <w:tcW w:w="374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11.</w:t>
            </w:r>
          </w:p>
        </w:tc>
        <w:tc>
          <w:tcPr>
            <w:tcW w:w="18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9"/>
          </w:tcPr>
          <w:p>
            <w:pPr>
              <w:spacing w:after="0"/>
              <w:rPr>
                <w:sz w:val="18"/>
                <w:szCs w:val="18"/>
                <w:color w:val="auto"/>
              </w:rPr>
            </w:pPr>
          </w:p>
        </w:tc>
        <w:tc>
          <w:tcPr>
            <w:tcW w:w="4540" w:type="dxa"/>
            <w:vAlign w:val="bottom"/>
            <w:gridSpan w:val="12"/>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12.</w:t>
            </w:r>
          </w:p>
        </w:tc>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13.</w:t>
            </w:r>
          </w:p>
        </w:tc>
        <w:tc>
          <w:tcPr>
            <w:tcW w:w="550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tcBorders>
              <w:top w:val="single" w:sz="8" w:color="0000FF"/>
            </w:tcBorders>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14.</w:t>
            </w:r>
          </w:p>
        </w:tc>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388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8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16.</w:t>
            </w:r>
          </w:p>
        </w:tc>
        <w:tc>
          <w:tcPr>
            <w:tcW w:w="32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480" w:type="dxa"/>
            <w:vAlign w:val="bottom"/>
            <w:gridSpan w:val="17"/>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466"/>
        </w:trPr>
        <w:tc>
          <w:tcPr>
            <w:tcW w:w="1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Exhibit Index.</w:t>
            </w: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10"/>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7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 w:name="page4"/>
    <w:bookmarkEnd w:id="3"/>
    <w:p>
      <w:pPr>
        <w:ind w:right="60"/>
        <w:spacing w:after="0" w:line="266" w:lineRule="auto"/>
        <w:rPr>
          <w:sz w:val="20"/>
          <w:szCs w:val="20"/>
          <w:color w:val="auto"/>
        </w:rPr>
      </w:pPr>
      <w:r>
        <w:rPr>
          <w:rFonts w:ascii="Times New Roman" w:cs="Times New Roman" w:eastAsia="Times New Roman" w:hAnsi="Times New Roman"/>
          <w:sz w:val="18"/>
          <w:szCs w:val="18"/>
          <w:color w:val="auto"/>
        </w:rPr>
        <w:t>In this Annual Report on Form 10-K, the words "Qorvo," "we," "our," "ours" and "us" refer only to Qorvo, Inc. and its subsidiaries and not any other person or entity. The following discussion should be read in conjunction with the consolidated financial statements and notes thereto included elsewhere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56"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federal securities laws, particularly in Item 1: "Business," Item 1A: "Risk Factors" and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the use of terms such as "may," "will," "should," "could," "expect," "plan," "anticipate," "believe," "estimate," "forecast," "predict," "potential," "continue" and similar words, although some forward-looking statements are expressed differently. Additionally, statements concerning future matters such as our future business, prospects, results of operations, financial condition or research and development or technology investments; new or enhanced products, services or technologies; emerging industries or business models; design wins or product launches; industry, market or technology trends, dynamics or transitions, such as the transition to 5G; potential impacts of the COVID-19 pandemic, legal or regulatory matters, U.S./China trade, the conflict in Ukraine, or national security tensions; vertical integration by our customers; competition; and other statements regarding matters that are not historical are also forward-looking statements.</w:t>
      </w:r>
    </w:p>
    <w:p>
      <w:pPr>
        <w:spacing w:after="0" w:line="22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Although forward-looking statements in this Annual Report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Material factors that could cause actual results to differ materially from our expectations are summarized and disclosed under "Risk Factors" in Part I, Item 1A of this Annual Report on Form 10-K.</w:t>
      </w:r>
    </w:p>
    <w:p>
      <w:pPr>
        <w:spacing w:after="0" w:line="2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undertake no obligation to revise or update any forward-looking statements in order to reflect any event or circumstance that may arise after the date of this Annual Report. Readers are cautioned to review carefully and consider the various disclosures made in this Annual Report, which attempt to advise interested parties of the risks and factors that may affect our business, financial condition, results of operations and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 is a global leader in the development and commercialization of technologies and products for wireless, wired and power markets.</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two reportable segments: Mobile Products ("MP") and Infrastructure and Defense Products ("IDP"). MP is a global supplier of cellular, ultra-wideband 802.15.4z ("UWB"), Wi-Fi and other wireless solutions for a variety of applications, including smartphones, wearables, laptops, tablets and the Internet of Things ("IoT"). IDP is a global supplier of radio frequency ("RF"), system-on-a-chip ("SoC") and power management solutions for a wide range of markets, including cellular and IT infrastructure, automotive, renewable energy, defense and IoT. Our MP segment supplies RF solutions to global consumer product companies, and our IDP segment supplies a more diverse portfolio of products with generally longer life cycles to a broader base of customers and end markets.</w:t>
      </w:r>
    </w:p>
    <w:p>
      <w:pPr>
        <w:spacing w:after="0" w:line="2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design expertise and manufacturing capabilities span multiple process technologies. Our primary wafer fabrication facilities are in North Carolina, Oregon and Texas. Our primary assembly and test facilities are in China, Costa Rica, Germany and Texas. We also source products and materials through external suppliers. We have design, sales and other manufacturing facilities throughout Asia, Europe and North America.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organic growth, our strategy may include the acquisition of businesses, assets and technologies that allow us to complement our existing product offerings and design capabilities to drive growth in new or existing markets. During fiscal 2022, we acquired United Silicon Carbide, Inc. ("United SiC"), a provider of silicon carbide ("SiC") power products, and NextInput, Inc. ("NextInput"), a provider of microelectromechanical system ("MEMS")-based sensing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Trends, Markets and Products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Global demand for wireless and wired connectivity, supported by the proliferation of smarter, data-driven, connected devices in a variety of form factors, is increasing network data traffic and raising requirements for throughput and efficiency. At the same time, global environmental initiatives and technology advancements related to energy efficiency, sustainability and conservation are driving investments across a range of consumer and industrial applications that demand maximum power efficiency, including in electric vehicles ("EVs") and renewable energy systems. These trends support multiyear technology upgrade cycles in our markets and increase the demand for our technologies and products.</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business is diversified primarily across the following end markets: mobile devices, cellular base stations, power management and conversion, wireless connectivity, defense and aerospace, automotive connectivity and other markets. To solve our customers’ most critical RF and power-related challenges, our products enhance performance, improve efficiency, increase functionality, reduce complexity, enable smaller form factors and address other critical challenges.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Devices</w:t>
      </w:r>
    </w:p>
    <w:p>
      <w:pPr>
        <w:spacing w:after="0" w:line="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Qorvo’s largest market is mobile devices, which is a global market characterized by large volumes. It includes smartphones, wearables, laptops, tablets and other devices.</w:t>
      </w:r>
    </w:p>
    <w:p>
      <w:pPr>
        <w:spacing w:after="0" w:line="20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Advances in mobile devices have transformed how end users around the world access content, interact with their physical and virtual communities and transact commerce. Mobile devices are migrating to 5G architectures and technologies which increase data throughput, reduce signal latency and enable massive machine-to-machine connectivity. 5G devices operate over a wide range of frequencies and face challenges related to efficiency, linearity, signal coexistence, signal integrity and form factor. 5G architectures are more complex and include Multiple-Input/Multiple-Output ("MIMO"), secondary transmit, higher frequencies with wider bandwidths and new receive paths featuring carrier aggregation. In each instance, the increased functionality and greater complexity increase RF content and favor high performance and highly integrated solutions.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Mobile device original equipment manufacturers ("OEMs") are adopting UWB technology to enhance functionality, including indoor navigation and secure remote access, leveraging UWB's precision-location accuracy. They are also seeking to adopt force-sensing touch sensor technology to enhance human-machine touch interfaces, create new consumer experiences and advance industrial design.</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Qorvo’s products for mobile devices include highly integrated RF solutions which incorporate filters, switches, amplifiers, multiplexers and other components in a single package. Our product portfolio also includes RF power management integrated circuits, UWB SoC and system-in-package ("SiP") solutions, MEMS-based sensors, antenna tuners, antennaplexers, as well as discrete multiplexers, duplexers, filters, and switches.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Cellular Base Stations</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Operators of cellular base stations are migrating to 5G in order to increase capacity, expand coverage and lower the cost per bit of data delivered. This is enabling new data-driven intelligent applications that combine global hyper-connectivity with artificial intelligence and machine learning capabilities. New use cases include industrial automation, robotics, remote medical care, autonomous vehicles and augmented reality/virtual reality ("AR/VR").</w:t>
      </w:r>
    </w:p>
    <w:p>
      <w:pPr>
        <w:spacing w:after="0" w:line="21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5G networks operate over a wide range of frequencies, and deployments can vary with spectrum allocation, regional demographics, geopolitical considerations and other factors. In the U.S., the completion of C-band auctions signaled the start of significant growth for base stations in the sub-7 GHz frequency range. Many of these base stations will be configured with massive MIMO active antenna arrays which increase the number of RF transmit and receive channels. Base stations operating over millimeter wave frequencies are also being deployed to address the capacity requirements in high-density environments and improve applications such as fixed wireless access.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continuing migration to 5G is increasing the content opportunity for Qorvo’s high-performance infrastructure products, including those featuring our gallium nitride ("GaN"), gallium arsenide ("GaAs") and bulk acoustic wave ("BAW") technologies. Qorvo supports the world’s leading cellular base station OEMs with a broad portfolio of infrastructure solutions to address requirements for increased data capacity and throughput and improved efficiency. Qorvo’s products for cellular base stations include switch-low noise amplifier ("LNA") modules, variable gain amplifiers, integrated power amplifier ("PA") Doherty modules, discrete LNAs and high power GaN amplifiers.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Management and Conversion</w:t>
      </w:r>
    </w:p>
    <w:p>
      <w:pPr>
        <w:spacing w:after="0" w:line="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Power efficiency is a core requirement in all electronics, and power management and power conversion are critical to enhancing efficiency. Industry trends in EVs/hybrid-EVs, renewable energy systems, battery-operated portable devices, EV chargers/on-board chargers, data storage, circuit protection and similar applications, are sharpening the focus on power efficiency and increasing the demand for our power management and power conversion solutions.</w:t>
      </w:r>
    </w:p>
    <w:p>
      <w:pPr>
        <w:spacing w:after="0" w:line="19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Qorvo’s SiC power devices provide state-of-the-art efficiency in a range of power conversion applications. Our SiC portfolio includes Schottky diodes and transistors ranging in voltage from 650V to 1700V. Power levels vary from 650 watts to hundreds of kilowatts, and markets include automotive, industrial, IT infrastructure and renewable energy.</w:t>
      </w:r>
    </w:p>
    <w:p>
      <w:pPr>
        <w:spacing w:after="0" w:line="20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Qorvo’s power management solutions include programmable power management integrated circuits ("ICs") and power application controllers (PACs®). Our programmable power management ICs provide customers digital and analog power control. They reduce solution size, lower cost, improve system reliability and shorten our customers’ product development time. Our power management products manage voltages from 1.8V to 600V and power up to 4,000 watts.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Wireless Connectivity</w:t>
      </w:r>
    </w:p>
    <w:p>
      <w:pPr>
        <w:spacing w:after="0" w:line="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proliferation of data-driven connected devices that sense, process and communicate is increasing demand for wireless connectivity solutions that improve speed, capacity and efficiency. Use cases in consumer, commercial and industrial IoT applications include connected cars, cloud gaming, AR/VR, telemedicine and factory automation. Each benefit from faster throughput, lower latency, more security, greater reliability and smaller form factors.</w:t>
      </w:r>
    </w:p>
    <w:p>
      <w:pPr>
        <w:spacing w:after="0" w:line="19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IoT connected devices allow remote access and control of various functions, including entertainment, comfort, security, energy usage and health or general status monitoring, in home and office environments. These devices can be controlled through a computer, tablet or smartphone, or through a more direct peer-to-peer device such as a voice-enabled remote control.</w:t>
      </w:r>
    </w:p>
    <w:p>
      <w:pPr>
        <w:spacing w:after="0" w:line="20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Wi-Fi, new standards feature higher order MIMO architectures and offer greater range and capacity. The adoption of new standards, such as 802.11ax (Wi-Fi 6), Wi-Fi 6E and Wi-Fi 7, increases data throughput and enable new use cases. In the U.S., the Federal Communications Commission approved the use of 5.9 GHz to 7.1 GHz spectrum for Wi-Fi 6E, and countries outside the U.S. are also making spectrum available for Wi-Fi 6E. The upcoming Wi-Fi 7 standard will double the channel bandwidth and number of spatial streams available with Wi-Fi 6E and use multi-link operation to combine portions of the 5 GHz and 6 GHz bands into a single link. This will enable faster speeds over longer distances than previous standards. As standards and architectures evolve, requirements increase for more functional and more highly integrated RF front end solutions. Qorvo’s Wi-Fi portfolio includes PAs, switches, LNAs and BAW filters, as well as integrated solutions including front end modules ("FEMs") and integrated FEMs.</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lower power applications, smart device OEMs increasingly prefer multi-protocol integrated SoCs that enable multiple radios to connect concurrently. The coexistence of low power wireless protocols, such as Bluetooth Low Energy, Zigbee, and Thread, in single-placement SoCs reduces form factor, extends battery life and advances the proliferation of IoT devices. Similarly, Matter is an open and universal smart home protocol expected to simplify and accelerate interoperability across IoT devices and platforms. Lastly, new use cases leveraging the ultra-precise location accuracy and secure access enabled by UWB are advancing the proliferation of UWB in a widening range of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trends are increasing demand for Qorvo’s low power wireless and UWB solutions. Qorvo offers multi-standard (Bluetooth Low Energy, Zigbee and Thread) SoC solutions and single standard UWB SoC and SiP solutions, consisting of SoC hardware, firmware and application software.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Defense and Aerospace</w:t>
      </w:r>
    </w:p>
    <w:p>
      <w:pPr>
        <w:spacing w:after="0" w:line="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Within the defense and aerospace markets, we focus primarily on high-power phased array radar, electronic military applications and communications systems. The trend toward phased array radar, the shift to higher frequencies and the sharing of existing frequency bands with cellular communications are expanding the content opportunity for Qorvo’s high-performance defense RF technologies and solutions. We are a leading supplier of RF products and compound semiconductor foundry services to defense primes and other global defense and aerospace customers. We also engage directly with defense customers to develop next-generation semiconductor and packaging technologies.</w:t>
      </w:r>
    </w:p>
    <w:p>
      <w:pPr>
        <w:spacing w:after="0" w:line="21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power amplifiers support phased array radars and communication systems. Our solid-state, high-power products provide highly reliable, efficient broadband solutions for complex applications across a broad frequency spectrum. Our premium filters optimize frequency spectrum to expand network capacity and extend coverage. We also offer industry-leading standard products and integrated multi-chip modules such as LNAs, mixers, phase shifters, switches, multiplexers and attenuators.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Connectivity</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automotive industry continues to adopt advanced connectivity and compute technologies. Next-generation wireless technologies are enabling new use cases in automotive wireless connectivity, including vehicle-to-everything ("V2X") applications that enable direct, high-speed communication. These new use cases require complex RF solutions supporting a range of wireless technologies, including cellular, Wi-Fi, GPS, satellite radio and UWB. UWB enables more secure access than current technologies, helping to prevent so-called "man-in-the-middle" or "relay" attacks.</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provide a variety of automotive RF connectivity products, including BAW filters, LNAs, switches, PAs and front-end solutions as well as UWB SoC solutions. Our products meet or exceed automotive AEC-Q100 quality and reliability standards, and our customers include the leading automotive OEMs, tier-1 suppliers and chipset vendors.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Markets</w:t>
      </w:r>
    </w:p>
    <w:p>
      <w:pPr>
        <w:spacing w:after="0" w:line="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Other markets in which we compete include broadband cable and biotechnology testing. In broadband cable, our DOCSIS solutions increase bandwidth to the home to optimize upstream and downstream data connectivity. In biotechnology testing, we have developed a proprietary BAW-based diagnostic test platform which received an Emergency Use Authorization from the U.S. Food and Drug Administration in fiscal 2022.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invest in research and development ("R&amp;D") to develop advanced technologies and products to best serve our markets. Our R&amp;D activities support large competitive design win opportunities for major programs at key customers, which require best-in-class performance, size, cost and functional density. We also invest in R&amp;D to develop new products for broader market applications. Our R&amp;D efforts require us to focus on both continuous improvement and innovation in fundamental areas including materials, software, semiconductor process technologies, simulation and modeling, systems architecture, circuit design, device packaging, module integration and test.</w:t>
      </w:r>
    </w:p>
    <w:p>
      <w:pPr>
        <w:spacing w:after="0" w:line="2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developed multiple generations of GaAs, GaN, BAW and surface acoustic wave ("SAW") process technologies that we manufacture. We invest in these technologies to improve device performance, reduce die size and reduce manufacturing costs. We also source technologies in cooperation with key suppliers, including silicon on insulator ("SOI") for switches and tuners, silicon germanium ("SiGe") for amplifiers, complementary metal oxide semiconductor ("CMOS") for power management devices and SoC solutions, MEMS technology for switches and force-sensing and SiC for high voltage power conversion devices. We combine these technologies with proprietary design methods, intellectual property ("IP") and other expertise to improve performance, increase integration and reduce the size and cost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develop and qualify advanced packaging technologies to reduce component size, improve performance and reduce package costs. We also invest in large scale module assembly and test capabilities to bring these technologies to market in very high volumes.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Manufacturing</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purchase numerous raw materials and parts, such as silicon, passive components and substrates, for our manufacturing processes. In our GaN and GaAs manufacturing operations, we use several raw materials, including GaN on SiC wafers and GaAs wafers. In our acoustic filter manufacturing operations, raw materials include silicon, lithium niobate and lithium tantalate.</w:t>
      </w:r>
    </w:p>
    <w:p>
      <w:pPr>
        <w:spacing w:after="0" w:line="20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procure our materials, parts and supplies from a large number of sources through established purchase contracts with suppliers or on a purchase order basis. As the semiconductor industry continued to experience supply constraints for certain items during fiscal 2022, we have entered into certain supply agreements to address short- and long-term supply requirements.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manufacturing strategy includes a balance of internal and external capacity. Our manufacturing sites are geographically distributed, as are our suppliers. We routinely qualify additional manufacturing sites and sources of supply to reduce the risk of supply interruptions or price increases, and we closely monitor our suppliers’ key performance indicators. We seek to ensure that materials and manufacturing services are available from multiple sources and geographic locations.</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majority of our products are multi-chip modules utilizing multiple semiconductor and acoustic material processing technologies. These products have varying degrees of complexity and contain semiconductors and other components that are manufactured internally or sourced from outside supply chain partners.</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operate fabrication facilities for the production of BAW, GaN, GaAs, SAW and Temperature Compensated SAW wafers in North Carolina, Oregon and Texas. We also use multiple silicon-based process technologies, including SOI, SiGe and bulk CMOS, which are principally sourced from leading silicon foundries located throughout the world. We have a global supply chain and ship millions of units per day.</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our own flip chip, wire bond and wafer-level packaging technologies. We primarily use internal assembly facilities in China, Costa Rica, Germany and the U.S., and we also use external suppliers for these and other packaging technologies.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Manufacturing yields can vary significantly between products, based on a number of factors, including product complexity, performance requirements and the maturity of our manufacturing processes. To maximize wafer yields and quality, we test products multiple times, maintain continuous reliability monitoring and conduct numerous quality control inspections throughout the production flow.</w:t>
      </w:r>
    </w:p>
    <w:p>
      <w:pPr>
        <w:spacing w:after="0" w:line="20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Our internal manufacturing facilities require a high level of fixed costs, consisting primarily of occupancy costs, maintenance, repair, equipment depreciation, and labor costs related to manufacturing and process engineering.</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Semiconductor fabrication requires highly controlled and clean environments. Die on a wafer can be found to be nonfunctional or wafers can be rejected due to a number of reasons, including minute impurities, variances in the fabrication process or defects in the masks used to transfer circuit patterns onto the wafers.</w:t>
      </w:r>
    </w:p>
    <w:p>
      <w:pPr>
        <w:spacing w:after="0" w:line="20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manufacturing facilities worldwide are certified to the International Organization for Standardization ("ISO") 9001 quality standard, and select locations are certified to additional automotive (IATF 16949), aerospace (AS 9100) and environmental (ISO 14001) standards. These stringent standards are audited and certified by third-party auditors in addition to our continuous internal self-audits. The ISO 9001 standard is based on a number of quality management principles including a strong customer focus, the motivation of top management, the process approach and continual improvement. IATF 16949 is the highest international quality standard for the global automotive industry and incorporates specific additional requirements for the automotive industry. AS 9100 is the standardized quality management system for the aerospace industry. ISO 14001 is an internationally agreed upon standard for an environmental management system. We require that all of our key vendors and suppliers be compliant with applicable standards.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design, develop, manufacture and market products for leading U.S. and international OEMs and original design manufacturers ("ODMs"). We also collaborate with leading reference design partners.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provide products to our largest end customer, Apple Inc. ("Apple"), through sales to multiple contract manufacturers, which in the aggregate accounted for 33% and 30% of total revenue in fiscal years 2022 and 2021, respectively. Samsung Electronics Co., Ltd. ("Samsung") accounted for 11% and 7% of total revenue in fiscal years 2022 and 2021, respectively. These customers primarily purchase RF solutions for a variety of mobile devices.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sell our products worldwide both directly to customers and through a network of U.S. and foreign sales representative firms and distributors. We select our sales representatives based on technical skills and sales experience, the presence of complementary product lines and the customer base served. We provide ongoing educational training about our products to our internal and external sales representatives and distributors. We maintain an internal sales and marketing organization that is responsible for key account management, application engineering support for customers, sales and advertising literature, and technical presentations for industry conferences. Our sales and customer support centers are located near our customers throughout the world.</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website contains extensive product information and includes an online store where customers can learn about our products, download product catalogs, order product samples and request evaluation boards. Our global team of application engineers interacts with customers during all stages of design and production, maintains regular contact with customer engineers, provides product application notes and engineering data, and assists in the resolution of technical problems. We maintain close relationships with our customers and chipset suppliers and provide them strong technical support to enhance their customer experience and help anticipate future product needs.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sales are the result of standard purchase orders or specific agreements with customers. Our revenue fluctuates based on consumer demand for devices as well as the timing of customer device launches. Other factors such as macroeconomic effects and the timing of the next generation of technologies can also impact the fluctuations in demand.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operate in a competitive industry generally characterized by rapid advances in technology and new product introductions. Our customers’ product life cycles can be short,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and technical support and our ability to design customized products that address each customer’s particular requirements. The selection process for our products is highly competitive, and our customers provide no guarantees that our products will be included in the next-generation of products introduced.</w:t>
      </w:r>
    </w:p>
    <w:p>
      <w:pPr>
        <w:spacing w:after="0" w:line="21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MP competes primarily with Broadcom Inc.; Murata Manufacturing Co., Ltd.; NXP Semiconductors N.V.; Qualcomm Technologies, Inc.; and Skyworks Solutions, Inc. IDP competes primarily with Analog Devices, Inc.; Broadcom Inc.; Infineon Technologies AG; MACOM Technology Solutions Inc.; Murata Manufacturing Co., Ltd.; Nordic Semiconductor; NXP Semiconductors N.V.; ON Semiconductor Corporation; Qualcomm Technologies, Inc.; Silicon Laboratories Inc.; Skyworks Solutions, Inc.; STMicroelectronics N.V.; Sumitomo Electric Device Innovations; and Wolfspeed, Inc.</w:t>
      </w:r>
    </w:p>
    <w:p>
      <w:pPr>
        <w:spacing w:after="0" w:line="19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Many of our current and potential competitors have entrenched market positions and customer relationships, established patents and other IP and substantial technological capabilities. In some cases, our competitors are also our customers or suppliers. Additionally, many of our competitors may have significant financial, technical, manufacturing and marketing resources, which may allow them to more quickly implement new technologies and develop new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IP, including patents, copyrights, trademarks and trade secrets, is important to our business, and we actively seek opportunities to leverage our IP portfolio to promote our business interests. We also actively monitor and protect our global IP rights to deter unauthorized use of our IP and other assets. These efforts can be difficult because of the absence of consistent international standards and laws. In addition, the laws of some foreign countries do not protect IP rights to the same extent as U.S. laws. We respect the IP rights of others and have implemented policies and procedures to mitigate the risk of infringing or misappropriating third-party IP.</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Patent applications are filed within the U.S. and in other countries where we have a market presence. On occasion, some applications do not mature into patents for various reasons, including rejections based on prior art. We have approximately 2,200 patents that expire from 2022 to 2041. We also continue to acquire patents through acquisitions or direct prosecution efforts and engage in licensing transactions to secure the right to use third-parties’ patents. In view of our rapid innovation and product development and the comparative pace of governments’ patenting processes, there is no guarantee that our products will not be obsolete before the related patents expire or are granted. However, we believe the duration and scope of our most relevant patents are sufficient to support our business, which as a whole is not significantly dependent on any particular patent or other IP right. As we expand our products and offerings, we also seek to expand our patent prosecution efforts to cover such products.</w:t>
      </w:r>
    </w:p>
    <w:p>
      <w:pPr>
        <w:spacing w:after="0" w:line="21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periodically register federal trademarks, service marks and trade names that distinguish our product brand names in the market. We also monitor these marks for their proper and intended use. Additionally, we rely on non-disclosure and confidentiality agreements to protect our interest in confidential and proprietary information that gives us a competitive advantage, including business strategies, unpatented inventions, designs and process technology. Such information is closely monitored and made available only to those employees whose responsibilities require access to the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5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believe that our employees are our greatest assets, and we must continue to attract, develop, retain and motivate our employees to remain competitive and execute our business strategy. We strive to meet these objectives by offering competitive pay and benefits in a diverse, inclusive and safe workplace and by providing opportunities for our employees to grow and develop their careers.</w:t>
      </w:r>
    </w:p>
    <w:p>
      <w:pPr>
        <w:spacing w:after="0" w:line="203"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As of April 2, 2022, we employed over 8,900 full and part-time employees in 22 countries. By region, approximately 57% of our total employees were in the Americas, 37% in Asia and 6% in Europe. Approximately 60% of our global population was in engineering or technician roles.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Pay and Benefits</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provide compensation and benefits packages that we believe are competitive within the applicable market. We use a combination of compensation and other programs (which vary by region and salary grade) to attract, motivate and retain our employees, including semiannual performance bonuses, stock awards, an employee stock purchase plan, retirement programs, health savings and flexible spending accounts, paid time off, family leave, family care resources, flexible work schedules, employee assistance programs, tuition assistance, health and wellness benefits and programs, and on-site fitness centers. We benchmark our compensation and benefits packages annually to ensure we remain competitive with our peers and continue to attract and retain talent throughout our organization.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Recruitment, Retention and Development</w:t>
      </w:r>
    </w:p>
    <w:p>
      <w:pPr>
        <w:spacing w:after="0" w:line="29"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We are committed to recruiting, hiring, retaining, promoting and engaging a diverse workforce to best serve our global customers. We have established relationships with professional associations and industry groups to proactively attract talent, and we partner with universities for our internship program. We believe that our commitment to our internship program and university partnerships contributes to developing the next generation of talent, including engineers in our industry, and provides a pipeline of recent college graduates into our talent pool. We offered both remote and hybrid internship opportunities during the last two fiscal years that enabled us to continue building our talent pipeline despite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support a high-performance culture through learning and development solutions aligned with our strategic priorities. We offer e-learning libraries and on-demand training that provide our employees with real-time learning opportunities to help them achieve their career goals, build management skills and lead their organizations.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competitive compensation and benefits programs, along with career growth and development opportunities promote longer employee tenure and reduce turnover. We monitor employee turnover rates as our success depends upon retaining and investing in our worldwide talent. Our global attrition rate has consistently been below the technology industry average.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At Qorvo, we value diversity, equity and inclusion and respect the unique talents, experiences, cultures and ideas of our global team members. Diversity and inclusion principles are threaded across the entire company, and employees are equipped with the knowledge and capabilities to welcome and embrace diversity and advocate for inclusion. Through employee-driven groups called Qorvo Employee Networks, our employees have an opportunity to connect through shared interests and goals and spur growth through professional and personal development. Our efforts to foster a diverse and inclusive workplace include partnering with organizations in our surrounding communities that advocate for gender, race and ethnicity, socioeconomic, disability and LGBTQ+ equality. These and other efforts help promote an inclusive workplace of talented employees and drive employee engagement.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Health and Wellness</w:t>
      </w:r>
    </w:p>
    <w:p>
      <w:pPr>
        <w:spacing w:after="0" w:line="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are a member of the Responsible Business Alliance ("RBA"), an industry coalition dedicated to driving sustainable value for workers in global supply chains, among other things. As a member of the RBA, we have adopted the RBA Code of Conduct, which establishes standards to ensure that working conditions are safe, that employees are treated with respect and dignity, and that business operations are environmentally responsible and conducted ethically. The RBA Code of Conduct has been reflected in our employee policies and procedures.</w:t>
      </w:r>
    </w:p>
    <w:p>
      <w:pPr>
        <w:spacing w:after="0" w:line="2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prioritize safe working conditions for our employees as well as our on-site contractors and visitors. We are committed to an injury-free workplace and provide dedicated workplace training and leadership support to reduce or eliminate health and safety risks. In response to the COVID-19 pandemic, we instituted comprehensive safety protocols for all Qorvo facilities. We successfully transitioned a considerable number of our employees to work from home, and we invested in additional wellness benefits, including reimbursement programs to help employees improve home workspaces. In fiscal 2022, we achieved our safety goal for the fourth consecutive year, while providing a safe working environment for our many essential workers on-site through the COVID-19 pandemic. As we make plans to transition to return to the office, we will provide our employees with work arrangements that support flexibility, while maintaining our strong culture of innovation, collaboration, openness and camaraderie, in addition to a safe working environment for our employees.</w:t>
      </w:r>
    </w:p>
    <w:p>
      <w:pPr>
        <w:spacing w:after="0" w:line="219"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employees. We provide our employees and their families access to a variety of health and wellness programs that support their physical and mental health. These programs provide tools and resources that emphasize preventive care, encourage healthy behaviors, such as health coaches and wellness incentives, and are designed to help cultivate a productive work environment, while also focusing on the well-being of our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256"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We are subject to a variety of extensive and changing domestic and international federal, state and local governmental laws, regulations and ordinances related to the discharge of pollutants into the environment; the treatment, transport, and disposal of hazardous waste; recycling and product packaging; worker health and safety; and other activities affecting the environment, our workforce, and the management of our manufacturing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continuously improve the environmental aspects of our manufacturing processes and are dedicated to:</w:t>
      </w:r>
    </w:p>
    <w:p>
      <w:pPr>
        <w:spacing w:after="0" w:line="25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safe and healthy work environment for our employees;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regulatory and other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natural resources, energy, and materials efficiently;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substituting sustainable resources in place of non-renewable resources;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reusing or recycling materials wherever technically possible and economically reasonable;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minimizing waste and disposing of waste safely and responsibly;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raw material responsibly;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specific measures to prevent and minimize hazards to humans and the environment including pollution prevention.</w:t>
      </w:r>
    </w:p>
    <w:p>
      <w:pPr>
        <w:spacing w:after="0" w:line="2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that our operations and facilities comply in all material respects with applicable environmental laws and worker health and safety laws, and our efforts help to ensure that our products are compliant with the requirements of the markets into which the products will be sold and with our customers’ requirements. For example, our products are compliant with the European Union RoHS Directive (2011/65/EU on the Restriction of Use of Hazardous Substances), which prohibits the sale in the European Union market of new electrical and electronic equipment containing certain families of substances above a specified threshold. We are an ISO 14001:2015 certified manufacturer with a comprehensive Environmental Management System ("EMS") in place to help ensure control of the environmental aspects of the manufacturing process. Our EMS mandates compliance and establishes appropriate checks and balances to minimize the potential for non-compliance with environmental laws and regulations.</w:t>
      </w:r>
    </w:p>
    <w:p>
      <w:pPr>
        <w:spacing w:after="0" w:line="21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are also subject to import/export controls, tariffs and other trade-related regulations and restrictions in countries in which we have operations or otherwise do business. These controls, tariffs, regulations, and restrictions (including those related to, or affected by, United States-China relations, as discussed below in Item 1A, "Risk Factors") may have a material impact on our business, including our ability to sell products and to manufacture or source components.</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Government regulations are subject to change, and accordingly we are unable to assess the possible effect of compliance with future requirements or whether our compliance with such regulations will materially impact our business,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Qorvo’s cybersecurity program is built around the ISO and National Institute for Standards and Technology frameworks. Cybersecurity risks are routinely identified in the Qorvo Enterprise Risk Management Program and cybersecurity assessment and planning. Senior management and the Audit Committee of the Board of Directors receives regular briefings on cybersecurity matters. Qorvo’s cybersecurity program includes, but is not limited to:</w:t>
      </w: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cybersecurity budget planning across all information technology disciplines;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security policies and procedures that guide our protection strategy;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broad cybersecurity training (all employees) and targeted training for specific sensitive roles and functions;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prioritization of system and process criticality to apply enhanced security protections to the most business-critical areas of the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continually monitoring the security posture of critical third parties (e.g., suppliers and service providers);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Qorvo’s preparedness for incidents through incident response exercises and root cause analysis of actual and near-miss incidents;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in-house cybersecurity services with third-party security service providers;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internal and external cybersecurity audits and assessments, at the direction of the Audit Committee of the Board of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Public Information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through our website (https://www.qorvo.com), our annual and quarterly reports on Forms 10-K and 10-Q (including exhibits and related filings in iXBRL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United States Securities and Exchange Commission ("SEC"). The SEC maintains a website at https://www.sec.gov that contains reports, proxy and information statements, and other information regarding issuers that file electronically with the SEC. The public may also request a copy of our forms filed with the SEC, without charge upon written request, directed to: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 Inc., 7628 Thorndike Road, Greensboro, NC 27409-9421</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on, or that can be accessed through, our website is not incorporated by reference or considered to be a part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below in addition to the other information contained in this report before making an investment decision with respect to any of our securities. Our business, financial condition or results of operations could be materially impacted by any of these risks. The risks and uncertainties described below are not the only ones we face. Additional risks not currently known to us, or other factors not perceived by us to present material risks to our business at this time, may impair our business operations,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financial condition or results of operations.</w:t>
      </w:r>
    </w:p>
    <w:p>
      <w:pPr>
        <w:spacing w:after="0" w:line="252" w:lineRule="exact"/>
        <w:rPr>
          <w:sz w:val="20"/>
          <w:szCs w:val="20"/>
          <w:color w:val="auto"/>
        </w:rPr>
      </w:pPr>
    </w:p>
    <w:p>
      <w:pPr>
        <w:ind w:left="660" w:right="7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fluctuate and are substantially dependent on developing new products and achieving design wins as our customers' requirements can change rapidly and product life cycles can be short.</w:t>
      </w:r>
    </w:p>
    <w:p>
      <w:pPr>
        <w:spacing w:after="0" w:line="188"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several large customers for a substantial portion of our revenue and the loss of one or more of these customers could have a material adverse effect on our business, financial condition and results of operations.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of a loss of revenue if contracts with the United States government or defense and aerospace contractors are canceled or delayed or if defense spending is reduced.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continued volatility and uncertainty in customer demand, worldwide economies and financial markets resulting from the ongoing impact of the COVID-19 pandemic.</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sales through distributors.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operation of our manufacturing facilities, and if we experience poor manufacturing yields, our operating results may suffer.</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inventory risks and costs because we purchase materials and build our products based on forecasts provided by customers before receiving purchase orders for the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2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certain of our products based on reference designs of chipset suppliers, and our inability to effectively manage or maintain our evolving relationships with these companies may have an adverse effect on our business.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from international sales and operations.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debt or to fund capital expenditures and may be forced to take other actions to satisfy our debt obligations and financing requirements, which may not be successful or on terms favorable to us.</w:t>
      </w:r>
    </w:p>
    <w:p>
      <w:pPr>
        <w:spacing w:after="0" w:line="188"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other strategic investments could fail to achieve our financial or strategic objectives, disrupt our ongoing business, and adversely impact our results of operations.</w:t>
      </w:r>
    </w:p>
    <w:p>
      <w:pPr>
        <w:spacing w:after="0" w:line="188"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compete, we must attract, retain, and motivate key employees, and our failure to do so could harm our business and our results of operations.</w:t>
      </w:r>
    </w:p>
    <w:p>
      <w:pPr>
        <w:spacing w:after="0" w:line="18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intellectual property portfolio and may not be able to successfully protect against the use of our intellectual property by third parties, and we may be subject to claims of infringement of third-party intellectual property rights.</w:t>
      </w:r>
    </w:p>
    <w:p>
      <w:pPr>
        <w:spacing w:after="0" w:line="188"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could compromise our proprietary information, expose us to liability or disrupt our ability to operate critical business functions, which would cause our business and reputation to suffer.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complete discussion of the material risks facing our business, see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fluctuate.</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revenue, earnings, margins and other operating results have fluctuated significantly in the past and may fluctuate significantly in the future. If demand for our products fluctuates as a result of economic conditions or for other reasons, our revenue and profitability could be impacted. Our future operating results will depend on many factors, including the following:</w:t>
      </w:r>
    </w:p>
    <w:p>
      <w:pPr>
        <w:spacing w:after="0" w:line="203" w:lineRule="exact"/>
        <w:rPr>
          <w:sz w:val="20"/>
          <w:szCs w:val="20"/>
          <w:color w:val="auto"/>
        </w:rPr>
      </w:pPr>
    </w:p>
    <w:p>
      <w:pPr>
        <w:ind w:left="660" w:right="1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macroeconomic changes, including trade restrictions and recession or slowing growth in the semiconductor industry and the overall global economy;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and/or civil unrest, acts of war or other military actions, including any resulting sanctions or other restrictive actions;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confidence caused by many factors, including changes in interest rates, credit markets, unemployment levels, energy or other commodity prices as well as changes in existing and expected rates of inflation;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customers’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customers’ demand for our products accurately;</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third-party foundries and other third-party suppliers to manufacture, assemble and test our products and otherwise deliver on their commitments to us in a timely and cost-effective manner;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distributors’ ability to manage the inventory that they hold and to forecast accurately their demand for our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widespread deployment of commercial 5G networks or in consumer adoption of 5G-enabled devices;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cost savings and improve yields and margins on our new and existing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into our business, and realize the expected benefits of, our acquisitions and strategic investments;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capacity efficiently or to acquire additional capacity in response to customer demand.</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operating results have been and our future operating results could be adversely affected by one or more of the factors set forth above or other similar factors. If our future operating results are below the expectations of stock market analysts or our investors, our stock price may decline.</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substantially dependent on developing new products and achieving design wins as our customers' requirements can change rapidly and product life cycles can be short.</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largest markets are characterized by the frequent introduction of new products in response to evolving product requirements, driven by end user demand for more functionality, improved performance, lower costs and a variety of form factors. Our largest MP customers typically refresh some or all of their product portfolios by releasing new models each year. In some cases, product designs we pursue represent either opportunities to substantially increase our revenue by winning a new design or a risk of a substantial decrease in revenue by losing a product on which we are the incumbent.</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develop and introduce new products in a timely and cost-effective manner and secure production orders from our customers. The development of new products is a highly complex process, and we have experienced delays in completing the development and introduction of new products at times. Our successful product development depends on a number of factors, including the following:</w:t>
      </w:r>
    </w:p>
    <w:p>
      <w:pPr>
        <w:spacing w:after="0" w:line="20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market requirements and define and design new products that address those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products that meet our customers’ cost, size and performance requirements;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are competitive and can be manufactured at lower costs or that command higher prices based on superior performance;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new product designs;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product design engineers;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timely completion of product designs and ramp up of new products according to our customers’ needs with acceptable manufacturing yields;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customers’ products and the duration of the life cycle of such products.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not be able to design and introduce new products in a timely or cost-efficient manner, and our new products may fail to meet market or customer requirements. Most major product design opportunities that we pursue involve multiple competitors, and we could lose a new product design opportunity to a competitor that offers a lower cost or equal or superior performance. If we are unsuccessful in achieving design wins, our revenue and operating results will be adversely affected. Even when a design win is achieved, our success is not assured. Design wins may require significant expenditures by us and typically precede a higher volume revenue by six to nine months or more. Many customers seek a second source for all major components in their devices, which can significantly reduce the revenue obtained from a design win. In many cases, the average selling prices of our products decline over the products’ lives, and we must achieve yield improvements, cost reductions and other productivity enhancements in order to maintain profitability. The actual value of a design win to us will ultimately depend on the commercial success of our customers’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several large customers for a substantial portion of our revenue and the loss of one or more of these customers could have a material adverse effect on our business, financial condition and results of operations.</w:t>
      </w:r>
    </w:p>
    <w:p>
      <w:pPr>
        <w:spacing w:after="0" w:line="18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 substantial portion of our MP revenue is currently from several large customers. Our future operating results will be affected by both the success of our largest customers and on our success in diversifying our products and customer base. Collectively, our two largest end customers accounted for an aggregate of approximately 44%, 39% and 43% of our revenue for fiscal years 2022, 2021 and 2020, respectively. If demand for their products increases, our results are favorably impacted, while if demand for their products decreases, they may reduce their purchases of, or stop purchasing, our products and our operating results would suffer. Even if we achieve a design win, our customers can delay or cancel the release of a new handset for any reason. Most of our customers can cease incorporating our products into their devices with little notice to us and with little or no penalty. The loss of a large customer and failure to add new customers to replace lost revenue would have a material adverse effect on our business, financial condition and results of operations.</w:t>
      </w:r>
    </w:p>
    <w:p>
      <w:pPr>
        <w:spacing w:after="0" w:line="19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of a loss of revenue if contracts with the United States government or defense and aerospace contractors are canceled or delayed or if defense spending is reduced.</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receive a portion of our revenue from the United States government and from prime contractors on United States government-sponsored programs, principally for defense and aerospace applications. These programs are subject to delays or cancellation. Further, spending on defense and aerospace programs can vary significantly depending on funding from the United States government. We believe our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would have a material adverse effect on our operating results.</w:t>
      </w:r>
    </w:p>
    <w:p>
      <w:pPr>
        <w:spacing w:after="0" w:line="21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continued volatility and uncertainty in customer demand, worldwide economies and financial markets resulting from the ongoing impact of the COVID-19 pandemic.</w:t>
      </w:r>
    </w:p>
    <w:p>
      <w:pPr>
        <w:spacing w:after="0" w:line="18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COVID-19 pandemic has caused government authorities to implement numerous public health measures, including quarantines, business closures, travel bans and lockdowns to contain the virus. We have experienced and expect to continue to experience disruptions to our business as these measures have, and may continue to have, an effect on our customer demand and operations.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COVID-19 pandemic (including the recent COVID-19 lockdowns in China) has been a contributing factor of the semiconductor industry supply constraints and may continue to cause volatility and uncertainty in customer demand, worldwide economies and financial markets. We have experienced, and may continue to experience, disruptions to our supply chain and increased costs in connection with our sources of materials, components, logistics services and other services caused in part by the pandemic. To date, any negative impact of COVID-19 on the overall demand for our products, cash flows from operations, need for capital expenditures and our liquidity position has been limited, although we are addressing capacity constraints in our supply chain.</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spread of COVID-19 caused us to modify our business practices (including employee travel, employee work locations, and cancellation of events and conferences), and we may reinstitute these and take further actions as may be required by government authorities or that we determine are in the best interests of our employees, customers, partners, and suppliers. There is no certainty that such measures will be sufficient to mitigate the risks posed by the virus, and our ability to perform critical functions could be harmed.</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degree to which COVID-19 and its variants impact our results will depend on future developments, which are highly uncertain and cannot be predicted, including, but not limited to, the duration and spread of the pandemic, its severity, and the actions to contain the virus or immunize against or treat its impact.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heavily on third parties.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purchase numerous component parts, substrates and silicon-based products from external suppliers. We also utilize third-party suppliers for numerous services, including die processing, wafer bumping, test and tape and reel. The use of external suppliers involves a number of risks, including the possibility of material disruptions in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supply of key components and the lack of control over delivery schedules, capacity constraints, manufacturing yields, product quality and cost increases. Furthermore, the COVID-19 pandemic and related supply chain disruptions and labor market constraints have created heightened risk that external suppliers may be unable to meet their obligations to us. If we experience any significant difficulty in obtaining the materials or services used in the conduct of our business, these supply challenges may limit our ability to fully satisfy customer demand.</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the semiconductor industry continued to experience supply constraints for certain items during fiscal 2022, we have entered into certain supply agreements to address short- and long-term supply requirements. However, even with supply agreements, we are still subject to risks that a supplier will be unable to meet its supply commitments, achieve anticipated manufacturing yields, produce wafers on a timely basis, or provide additional wafer capacity beyond its current contractual commitments sufficient to meet our supply needs. If so, we may experience delays in product launches or supply shortages for certain products, which could cause an unanticipated decline in our sales and damage our existing customer relationships and our ability to establish new customer relationships. In addition, if a supplier experiences financial difficulties or goes into bankruptcy, it could be difficult or impossible, or may require substantial time and expense, for us to recover any or all of our fees and deposits made as part of any supply agreement.</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Although our key suppliers commit to us to be compliant with applicable ISO 9001 and/or TS-16949 quality standards, we have experienced quality and reliability issues with suppliers in the past. Quality or reliability issues in our supply chain could negatively affect our products, our reputation and our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sales through distributors.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sell a significant portion of our products through third-party distributors. We depend on these distributors to help us create end customer demand, provide technical support and other value-added services to customers, fill customer orders, and stock our products. We may rely on one or more key distributors for a product, and a material change in our relationship with one or more of these distributors or their failure to perform as expected could reduce our revenue. Our ability to add or replace distributors for some of our products may be limited because our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us to many risks, including competitive pressure, concentration, credit risk, and compliance risks. Other third parties may use one of our distributors to sell products that compete with our products, and we may need to provide financial and other incentives to the distributors to focus them on the sale of our products. Our distributors may face financial difficulties, including bankruptcy, which could harm our collection of accounts receivable and financial results. Violations of the Foreign Corrupt Practices Act or similar laws by our distributors or other third-party intermediaries could have a material impact on our business. Failure to manage risks related to our use of distributors may reduce sales, increase expenses, and weaken our competitive position.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operation of our manufacturing facilities.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operate wafer fabrication facilities in North Carolina, Oregon and Texas. We currently use several international and domestic assembly suppliers, as well as internal assembly facilities in China, Costa Rica, Germany and the U.S., to assemble and test our products. We currently have our own test and tape and reel facilities located in China, Costa Rica and the U.S., and we also utilize contract suppliers and partners in Asia to test our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factors related to our facilities will affect our business and financial results, including the following:</w:t>
      </w:r>
    </w:p>
    <w:p>
      <w:pPr>
        <w:spacing w:after="0" w:line="25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production capacity in a timely fashion in response to changes in demand for our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fixed costs of operating the facilities;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factory utilization rates;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our facilities for new products and new technologies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the impact of the volatility of commodity pricing and tariffs imposed on raw materials, including substrates, gold, platinum and high purity source materials such as gallium, aluminum, arsenic, indium, silicon, phosphorous and palladium;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cycle times;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yields;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regulatory and economic risks associated with our international manufacturing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by our international employees or third-party agents of international or U.S. laws relevant to foreign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manage qualified production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environmental and other laws and regulations;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prolonged periods of down-time in our facilities for any reason, including but not limited to, COVID-19.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harm our business, lead to a decline in revenues and increase our costs.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worldwide operations and business could be, and in some cases have been, disrupted by natural disasters, industrial accidents, cybersecurity incidents, telecommunications failures, power or water shortages, extreme weather conditions, public health issues (including the COVID-19 pandemic), terrorist attacks, political and/or civil unrest, acts of war or other military actions, political or regulatory issues and other man-made disasters or catastrophic events. Global climate change could result in certain natural disasters occurring more frequently or with greater intensity, such as drought, wildfires, storms and flooding.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a decline in revenue and an increase in our costs and expenses. Any disruptions from these events could require substantial expenditures and recovery time in order to fully resume operations and could also have a material adverse effect on our operations and financial results to the extent that losses are uninsured or exceed insurance recoveries and to the extent that such disruptions adversely impact our relationships with our customers. Furthermore, even if our own operations are unaffected or recover quickly, if our customers or suppliers cannot timely resume their own operations due to a business disruption, natural disaster or catastrophic event, customers may reduce or cancel their orders and suppliers may delay manufacturing and delivery of our products, which may adversely affect our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poor manufacturing yields, our operating results may suffer.</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products have unique designs and are fabricated using multiple process technologies that are highly complex. In many cases, our products are assembled in customized packages. Many of our products consist of multiple components in a single module and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we fail to discover the defect before the module is assembled. Due to the complexity of our products, we periodically experience difficulties in achieving acceptable yields and other quality issues, particularly with respect to new products. Furthermore, as our customers test our products once assembled into their products, we may be exposed to additional quality issues and costs.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usable products that result from our production process can fluctuate as a result of many factors, including:</w:t>
      </w:r>
    </w:p>
    <w:p>
      <w:pPr>
        <w:spacing w:after="0" w:line="25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errors;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photomasks (which are used to print circuits on a wafer);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 impurities and variations in materials used;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the manufacturing environment;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 or variations in the manufacturing processes;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broken wafers or other human error;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substrates and packaging.</w:t>
      </w:r>
    </w:p>
    <w:p>
      <w:pPr>
        <w:spacing w:after="0" w:line="25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constantly seek to improve our manufacturing yields. Typically, for a given level of sales, when our yields improve, our gross margins improve, and when our yields decrease, our unit costs are higher, our margins are lower, and our operating results are adversely affected. Costs of product defects and deviations from required specifications include the following:</w:t>
      </w:r>
    </w:p>
    <w:p>
      <w:pPr>
        <w:spacing w:after="0" w:line="20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off inventory;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scrapping products that cannot be reworked;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returns of products that have been shipped;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product replacements at no charge;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direct and indirect costs incurred by our customers in recalling or reworking their products due to defects in our products;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personnel costs to investigate potential product quality issues and to identify or confirm the failure mechanism or root cause of product defects;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litigation.</w:t>
      </w: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costs could be significant and could reduce our gross margins. Our reputation with customers also could be damaged as a result of product defects and quality issues, and product demand could be reduced, which could harm our business and financial results.</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inventory risks and costs because we purchase materials and build our products based on forecasts provided by customers before receiving purchase orders for the products.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ensure availability of our products for some of our largest end customers, we purchase materials and start manufacturing certain products in advance of receiving purchase orders based on forecasts provided by these customers. However, these forecasts do not represent binding purchase commitments and we do not recognize sales for these products until they are shipped to or consumed by the customer. As a result, we incur significant inventory and manufacturing costs in advance of anticipated sales. For example, amidst ongoing industry-wide supply constraints, we entered into a capacity reservation agreement with a foundry supplier during the second quarter ended October 2, 2021. Under the agreement we are required to purchase, and the supplier is required to supply, a certain number of wafers for calendar years 2022 through 2025. See Note 11 of the Notes to Consolidated Financial Statements for additional information. Because demand for our products may not materialize, or may be lower than expected, purchasing materials and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 If product demand decreases or we fail to forecast demand accurately, we could be required to write off inventory, which would have a negative impact on our gross margin and other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sell certain of our products based on reference designs of chipset suppliers, and our inability to effectively manage or maintain our evolving relationships with these companies may have an adverse effect on our business.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Chipset suppliers are typically large companies that provide system reference designs for OEMs and ODMs that include the chipset supplier's baseband and other complementary products. A chipset supplier may own or control IP that gives it a strong market position for its baseband products for certain air interface standards, which provides it with significant influence and control over sales of RF products for these standards. Chipset suppliers historically looked to us and our competitors to provide RF products to their customers as part of the overall system design, and we competed with other RF companies to have our products included in the chipset supplier's system reference design. This market dynamic has evolved as chipset suppliers have worked to develop more fully integrated solutions that include their own RF technologies and components.</w:t>
      </w: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Chipset suppliers may be in a different business from ours or we may be their customer or direct competitor. Accordingly, we must balance our interest in obtaining new business with competitive and other factors. Because chipset suppliers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 This requires us to work more closely with OEMs and ODMs to secure the design of our products in their handsets and other devices.</w:t>
      </w:r>
    </w:p>
    <w:p>
      <w:pPr>
        <w:spacing w:after="0" w:line="2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relationships with chipset suppliers are complex and evolving, and the inability to effectively manage or maintain these relationships could have an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industry and must continue to innovate.</w:t>
      </w:r>
    </w:p>
    <w:p>
      <w:pPr>
        <w:spacing w:after="0" w:line="25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compete with several companies primarily engaged in the business of designing, manufacturing and selling RF solutions, as well as suppliers of discrete integrated circuits and modules. In addition to our direct competitors, some of our largest end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losses of existing design slots with key customers and a corresponding reduction in our ability to recover development, engineering and manufacturing costs.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Many of our existing and potential competitors have entrenched market positions, historical affiliations with OEMs, considerable internal manufacturing capacity, established IP rights and substantial technological capabilities. The semiconductor industry has experienced increased industry consolidation over the last several years, a trend we expect to continue. Many of our existing and potential competitors may have greater financial, technical, manufacturing or marketing resources than we do. We cannot be sure that we will be able to compete successfully with our competitors.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Overcapacity could cause us to underutilize our manufacturing facilities and have a material adverse effect on our financial performance.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It is difficult to predict future demand for our products, which makes it difficult to estimate future requirements for production capacity and avoid periods of overcapacity. Fluctuations in the growth rate of industry capacity relative to the growth rate in demand for our products also can lead to overcapacity and contribute to cyclicality in the semiconductor market.</w:t>
      </w:r>
    </w:p>
    <w:p>
      <w:pPr>
        <w:spacing w:after="0" w:line="20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Capacity expansion projects have long lead times and require capital commitments based on forecasted product trends and demand well in advance of production orders from customers. In recent years, we have made significant capital investments to expand our premium filter capacity to address forecasted future demand patterns. In certain cases, these capacity additions exceeded the near-term demand requirements, leading to overcapacity situations and underutilization of our manufacturing facilities.</w:t>
      </w:r>
    </w:p>
    <w:p>
      <w:pPr>
        <w:spacing w:after="0" w:line="20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many of our manufacturing costs are fixed, these costs cannot be reduced in proportion to the reduced revenues experienced during periods of underutilization. Underutilization of our manufacturing facilities can adversely affect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gross margin and other operating results. If demand for our products experiences a prolonged decrease, we may be required to close or idle facilities and write down our long-lived assets or shorten the useful lives of underutilized assets and accelerate depreciation, which would increase our expenses. For example, to address manufacturing overcapacity, in the third quarter of fiscal 2019 we commenced a phased closure of a SAW filter manufacturing facility in Florida and a transfer of production to our North Carolina facility, which was completed in fiscal 2020. In fiscal 2021, we temporarily idled a BAW manufacturing facility in Texas. These actions resulted in impairment charges, accelerated depreciation and other restructuring related charges and expenses.</w:t>
      </w:r>
    </w:p>
    <w:p>
      <w:pPr>
        <w:spacing w:after="0" w:line="21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interest rates, pricing of certain precious metals, utility rates and foreign currency exchange rates may adversely affect our financial condition, liquidity and results of operations.</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may utilize hedging strategies from time to time to mitigate the impact due to underlying exposures such as interest rates, precious metal prices, utility rates, or currency exchange rates. However, the impact from these underlying exposures cannot always be predicted or hedged, and there can be no assurance that our hedging strategies will be effective in minimizing risk.</w:t>
      </w:r>
    </w:p>
    <w:p>
      <w:pPr>
        <w:spacing w:after="0" w:line="19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acquisitions and other strategic investments could fail to achieve our financial or strategic objectives, disrupt our ongoing business, and adversely impact our results of operations.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part of our business strategy, we expect to continue to review potential acquisitions and strategic investments that could complement our current product offerings, augment our market coverage or enhance our technical capabilities, or that may otherwise offer growth or margin improvement opportunities. In the event of future acquisitions of 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and strategic investments also entail numerous other risks that could adversely affect our business, results of operations and financial condition, including:</w:t>
      </w:r>
    </w:p>
    <w:p>
      <w:pPr>
        <w:spacing w:after="0" w:line="214" w:lineRule="exact"/>
        <w:rPr>
          <w:sz w:val="20"/>
          <w:szCs w:val="20"/>
          <w:color w:val="auto"/>
        </w:rPr>
      </w:pPr>
    </w:p>
    <w:p>
      <w:pPr>
        <w:ind w:left="660" w:right="1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a transaction in a timely manner, if at all, due to our inability to obtain required government or other approvals, IP disputes or other litigation, difficulty in obtaining financing on terms acceptable to us, or other unforeseen factors;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processes, and procedures of an acquired business may not adequately ensure compliance with laws and regulations, and we may fail to identify compliance issues or liabilities;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capital expenditures or working capital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charges and amortization of acquired technology and other intangibles;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from a company we acquire or in which we invest;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dis-synergies or other harm to existing business relationships with suppliers and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impairment of investments from unsuccessful research and development by companies in which we invest;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integrate acquired businesses, operations, products, technologies and personnel;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expected synergies.</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Moreover, our resources are limited and our decision to pursue a transaction has opportunity costs; accordingly, if we pursue a particular transaction, we may need to forgo the prospect of entering into other transactions that could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help us achieve our financial or strategic objectives. Any of these risks could have a material adverse effect on our business, results of operations, financial condition, or cash flows, particularly in the case of a large acquisition.</w:t>
      </w:r>
    </w:p>
    <w:p>
      <w:pPr>
        <w:spacing w:after="0" w:line="18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compete, we must attract, retain, and motivate key employees, and our failure to do so could harm our business and our results of operations.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compete effectively, we must hire and retain qualified employees, continue to develop leaders for key business units and functions, expand our presence in international locations and adapt to cultural norms of foreign locations and train and motivate our employee base. Labor is further subject to external factors that are beyond our control, including our industry's highly competitive market for skilled workers and leaders, cost inflation, the COVID-19 pandemic and workforce participation rates. Our future operating results and success depend on keeping key technical personnel and management and expanding our sales and marketing, R&amp;D and administrative support. We do not have employment agreements with the vast majority of our employees. We must also continue to attract qualified personnel. The competition for qualified personnel is intense, and the number of people with experience, particularly in RF engineering, software engineering, integrated circuit and filter design, and technical marketing and support, is limited. In addition, existing or new immigration laws, policies or regulations in the U.S. may limit the pool of available talent. Travel bans, difficulties obtaining visas and other restrictions on international travel could make it more difficult to effectively manage our international operations, operate as a global company or service our international customer base. Changes in the interpretation and application of employment-related laws to our workforce practices may also result in increased operating costs and less flexibility in how we meet our changing workforce needs. We cannot be sure that we will be able to attract and retain skilled personnel in the future, which could harm our business and our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claims, product recalls and product liability.</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warranty or product liability claims that could lead to significant expense. We may also be exposed to such claims as a result of any acquisition we may undertake in the future. Although we maintain reserves for reasonably estimable liabilities and purchase product liability insurance, we may elect to self-insure with respect to certain matters and our reserves may be inadequate to cover the uninsured portion of such claims.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Product liability insurance is subject to significant deductibles, and such insurance may be unavailable or inadequate to protect against all claims. If one of our customers recalls a product containing one of our devices, we may incur significant costs and expenses, including replacement costs, direct and indirect product recall-related costs, diversion of technical and other resources and reputational harm. Our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our largest end customers, are potentially unlimited. Any such liabilities may greatly exceed any revenue we receive from sale of the relevant products. Costs, payments or damages incurred or paid by us in connection with warranty and product liability claims and product recalls could materially and adversely affect our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adversely impact our results of operations.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subject to taxation in China, Germany, Singapore, the U.S. and numerous other foreign jurisdictions. Our effective tax rate is subject to fluctuations and impacted by a number of factors, including the following:</w:t>
      </w:r>
    </w:p>
    <w:p>
      <w:pPr>
        <w:spacing w:after="0" w:line="18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overall profitability and the amount of profit determined to be earned and taxed in jurisdictions with differing statutory tax rates;</w:t>
      </w:r>
    </w:p>
    <w:p>
      <w:pPr>
        <w:spacing w:after="0" w:line="252"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issues arising from tax audits with various tax authorities, including those described in Note 13 of the Notes to Consolidated Financial Statements;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either our gross deferred tax assets or gross deferred tax liabilities;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various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expenses not deductible for tax purposes;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 and</w:t>
      </w:r>
    </w:p>
    <w:p>
      <w:pPr>
        <w:spacing w:after="0" w:line="252" w:lineRule="exact"/>
        <w:rPr>
          <w:rFonts w:ascii="Times New Roman" w:cs="Times New Roman" w:eastAsia="Times New Roman" w:hAnsi="Times New Roman"/>
          <w:sz w:val="18"/>
          <w:szCs w:val="18"/>
          <w:color w:val="auto"/>
        </w:rPr>
      </w:pPr>
    </w:p>
    <w:p>
      <w:pPr>
        <w:ind w:right="640" w:firstLine="332"/>
        <w:spacing w:after="0" w:line="529"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domestic and foreign, or the interpretation of such tax laws, and changes in generally accepted accounting principles. Any significant increase in our future effective tax rates could reduce net income for future periods.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favorable tax status of our subsidiaries in Costa Rica and Singapore would have an adverse impact on our operating results.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subsidiaries in Costa Rica and Singapore have been granted tax holidays that minimize our tax expense and that are expected to be effective through December 2027 and December 2031, respectively. In their efforts to deal with budget deficits, governments around the world are focusing on increasing tax revenues through increased audits and, potentially, increased tax rates for corporations. As part of this effort, governments continue to review their policies on granting tax holidays. Future changes in the status of either tax holiday could have a negative effect on our net income in future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enactment of international or domestic tax legislation, or changes in regulatory guidance, may adversely impact our results of operations.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Corporate tax reform, base-erosion efforts, and increased tax transparency continue to be high priorities in many tax jurisdictions in which we have business operations. In 2017, the U.S. enacted comprehensive tax legislation, commonly referred to as the Tax Cuts and Jobs Act (the "Tax Act"), which included a number of changes to U.S. tax laws that impacted us, including the one-time transition tax on certain unrepatriated earnings of foreign subsidiaries (the "Transitional Repatriation Tax") and the Global Intangible Low-Taxed Income ("GILTI") provisions. In addition, other countries are beginning to implement legislation and other guidance to align their international tax rules with the Organisation for Economic Co-operation and Development’s Base Erosion and Profit Shifting recommendations and action plan, which aim to standardize and modernize global corporate tax policy, including changes to cross-border tax, transfer pricing documentation rules, nexus-based tax incentive practices, allocating greater taxing rights to countries where customers are located, and establishing a minimum tax on global income. Legislative changes, interpretations and guidance, and changes in prior tax rulings and decisions by tax authorities regarding treatments and positions of corporate income taxes resulting from these initiatives, could increase tax uncertainty, increase our effective tax rate, and result in taxes we previously paid being subject to change, which may adversely impact our financial position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environmental, health and safety regulations, including those related to climate change.</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subject to a broad array of U.S. and foreign environmental, health and safety laws and regulations. These laws and regulations include those related to the use, transportation, storage, handling, emission, discharge and recycling or disposal of hazardous materials used in our manufacturing, assembly and testing processes. Our failure to comply with any of these existing or future laws or regulations could result in:</w:t>
      </w:r>
    </w:p>
    <w:p>
      <w:pPr>
        <w:spacing w:after="0" w:line="20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penalties and fines;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liabilities, including financial responsibility for remedial measures if our properties are contaminated;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secure required permits and governmental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curtailment of our manufacturing, assembly and test processes; and</w:t>
      </w:r>
    </w:p>
    <w:p>
      <w:pPr>
        <w:spacing w:after="0" w:line="252"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acquire pollution abatement or remediation equipment or to modify our equipment, facilities or manufacturing processes to bring them into compliance with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Existing and future environmental laws and regulations could also impact our product designs and limit or restrict the materials or components that are included in our products. In addition, many of our largest end customers require us to comply with corporate social responsibility policies, which often include employment, health, safety, environmental and other requirements that exceed applicable legal requirements. Further, an increasing number of investors are also expecting companies to disclose environmental, social and governance ("ESG") policies, practices and metrics, on topics such as climate change, carbon emissions, water usage, waste management, and human capital. Compliance with these policies increases our operating expenses, and non-compliance can adversely affect customer and investor relationships and harm our business and the price of our common stock.</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Regulations in the U.S. currently require that we determine whether certain materials used in our products, referred to as conflict minerals, originated in the Democratic Republic of the Congo or adjoining countries, or were from recycled or scrap sources. We may face challenges with government regulators and our customers and suppliers if we are unable to sufficiently make any required determination that the metals used in our products are conflict free.</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New climate change laws and regulations could require us to change our manufacturing processes or procure substitute raw materials that may cost more or be more difficult to procure. In addition, new restrictions on emissions of carbon dioxide or other greenhouse gases could result in increased costs for us and our suppliers. Various jurisdictions are developing other climate change-based regulations that also may increase our expenses and adversely affect our operating results. We expect increased worldwide regulatory activity relating to climate change in the future. Future compliance with these laws and regulations, as well as meeting related customer and investor expectations, may adversely affect our business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Sales and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from international sales and operations.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operate globally with sales offices and R&amp;D activities as well as manufacturing, assembly and test facilities in multiple countries, and some of our business activities are concentrated in Asia. As a result, we are subject to regulatory, geopolitical and other risks associated with doing business outside the U.S., including:</w:t>
      </w:r>
    </w:p>
    <w:p>
      <w:pPr>
        <w:spacing w:after="0" w:line="20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local economic, social and political conditions and uncertainty;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currency exchange rate fluctuations;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as well as changes in existing and expected rates of inflation, which vary across the jurisdictions in which we do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or informal imposition of export, import or doing-business regulations, including trade sanctions, tariffs and other related restrictions;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market conditions and workers’ rights affecting our manufacturing operations or those of our customers or suppliers;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capital and securities and commodities trading markets;</w:t>
      </w:r>
    </w:p>
    <w:p>
      <w:pPr>
        <w:spacing w:after="0" w:line="252" w:lineRule="exact"/>
        <w:rPr>
          <w:rFonts w:ascii="Times New Roman" w:cs="Times New Roman" w:eastAsia="Times New Roman" w:hAnsi="Times New Roman"/>
          <w:sz w:val="18"/>
          <w:szCs w:val="18"/>
          <w:color w:val="auto"/>
        </w:rPr>
      </w:pPr>
    </w:p>
    <w:p>
      <w:pPr>
        <w:jc w:val="both"/>
        <w:ind w:left="660" w:right="360" w:hanging="328"/>
        <w:spacing w:after="0" w:line="312"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occurrences of geopolitical crises such as terrorist activity, armed conflict, civil or military unrest or political instability such as the conflict in Ukraine, which may disrupt manufacturing, assembly, logistics, security and communications and result in reduced demand for our products;</w:t>
      </w:r>
    </w:p>
    <w:p>
      <w:pPr>
        <w:spacing w:after="0" w:line="166" w:lineRule="exact"/>
        <w:rPr>
          <w:rFonts w:ascii="Times New Roman" w:cs="Times New Roman" w:eastAsia="Times New Roman" w:hAnsi="Times New Roman"/>
          <w:sz w:val="17"/>
          <w:szCs w:val="17"/>
          <w:color w:val="auto"/>
        </w:rPr>
      </w:pPr>
    </w:p>
    <w:p>
      <w:pPr>
        <w:ind w:left="660" w:right="200" w:hanging="328"/>
        <w:spacing w:after="0" w:line="312"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that differ among jurisdictions, including those covering taxes, intellectual property ownership and infringement, imports and exports, anti-corruption and anti-bribery, antitrust and competition, data privacy, and environment, health, and safety;</w:t>
      </w:r>
    </w:p>
    <w:p>
      <w:pPr>
        <w:spacing w:after="0" w:line="166" w:lineRule="exact"/>
        <w:rPr>
          <w:rFonts w:ascii="Times New Roman" w:cs="Times New Roman" w:eastAsia="Times New Roman" w:hAnsi="Times New Roman"/>
          <w:sz w:val="17"/>
          <w:szCs w:val="17"/>
          <w:color w:val="auto"/>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markets for 5G infrastructure not developing in the manner or in the time periods we anticipate, including as a result of unfavorable developments with evolving laws and regulations worldwide;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similar major health concerns, including COVID-19 and related mitigation actions (such as the recent lockdowns in China), which could adversely affect our business and our customer order patterns.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Sales to customers located outside the U.S. accounted for approximately 58% of our revenue in fiscal 2022, of which approximately 32% was attributable to sales to customers located in China. We expect that revenue from international sales to China and other markets will continue to be a significant part of our total revenue. Any weakness in the Chinese economy could result in a decrease in demand for consumer products that contain our products, which could materially and adversely affect our business. The imposition by the U.S. of tariffs on goods imported from China, countermeasures imposed by China in response, U.S. export restrictions on sales of products to China and other government actions that restrict or otherwise adversely affect our ability to sell our products to Chinese customers may have a material impact on our business, including our ability to sell products and to manufacture or source components.</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Europe and Central America,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Pound Sterling, Renminbi and Singapore Dollar. If the U.S. dollar weakens compared to these and other currencies, our operating expenses for foreign operations will be higher when remeasured back into U.S. dollars.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regulation in China could adversely impact our business and results of operations.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 significant portion of our assembly and testing capacity in China. For many years, the Chinese economy has experienced periods of rapid growth and wide fluctuations in the rate of inflation. In response to these factors, the Chinese government has, from time to time, adopted measures to regulate growth and to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foster the emergence of Chinese-based competitors, decrease the demand for our products in China and reduce the supply of critical materials for our products, which could have a material adverse effect on our business and results of operations.</w:t>
      </w:r>
    </w:p>
    <w:p>
      <w:pPr>
        <w:spacing w:after="0" w:line="21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have limited and could continue to limit our ability to sell or provide our products and other items to certain customers and suppliers, which may materially adversely affect our sales and results of operations.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U.S. or foreign governments have taken and may continue to take administrative, legislative or regulatory action that could materially interfere with our ability to export, reexport, and transfer products and other items in certain countries, particularly in China. For example, the imposition of tariffs has not had a direct, material adverse impact on our business; however, the direct and indirect effects of tariffs and other restrictive trade actions are difficult to measure and are only one part of economic and trade policy.</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Furthermore, we have experienced and may continue to experience restrictions on our ability to export, reexport, and transfer our products and other items to certain foreign customers and suppliers where exports, reexports, or transfers of products require export licenses or are prohibited by government action. The U.S. government has in the past imposed export restrictions that effectively banned American companies from exporting, reexporting, and transferring products to certain of our customers. If such restrictions are imposed again in the future and even if subsequently lifted, any financial or other penalties could have a continuing negative impact on our future revenue and results of operations. In addition, our customers or suppliers affected by future U.S. government sanctions or threats of sanctions may respond by developing their own solutions to replace our products or by adopting our foreign competitors'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cannot predict what further actions may ultimately be taken with respect to tariffs or other trade measures between the U.S. and China or other countries, what products or entities may be subject to such actions, or what actions may be taken by other countries in response. The loss of foreign customers or suppliers or the imposition of restrictions on our ability to sell or transfer products to such customers or suppliers as a result of tariffs, export restrictions or other U.S. regulatory actions could materially adversely affect our sales, business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debt or to fund capital expenditures and may be forced to take other actions to satisfy our debt obligations and financing requirements, which may not be successful or on terms favorable to us.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and to fund working capital, planned capital expenditures and expansion efforts and any strategic alliances or acquisitions we may make in the future depends on our ability to generate cash in the future and on our financial condition and operating performance, which are subject to prevailing economic and competitive conditions and to certain financial, business and other factors beyond our control. We cannot be sure that we will maintain a level of cash flows from operating activities sufficient to permit us to pay our debt. If our cash flows and capital resources are insufficient to fund our debt service obligations, we may face liquidity issues and be forced to reduce or delay investments and capital expenditures, or to sell assets, seek additional capital or restructure or refinance our debt. These alternative measures may not be successful and may not permit us to meet our scheduled debt service and other obligations. Additionally, our credit agreement and the indentures governing our senior notes limit the use of the proceeds from any disposition; as a result, we may not be allowed under these documents to use proceeds from such dispositions to satisfy our debt service obligations. Further, we may need to refinance all or a portion of our debt at or before maturity, and we cannot be sure that we will be able to refinance any of our debt on commercially reasonable terms or at all.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impose restrictions that may limit our operating and financial flexibility.</w:t>
      </w:r>
    </w:p>
    <w:p>
      <w:pPr>
        <w:spacing w:after="0" w:line="25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credit agreement governing our revolving facility and term loan and the indentures governing our senior notes contain a number of significant restrictions and covenants that limit our ability to:</w:t>
      </w:r>
    </w:p>
    <w:p>
      <w:pPr>
        <w:spacing w:after="0" w:line="18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make other distributions or repurchase or redeem our capital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permit to exist certain liens;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transactions with affiliates;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amalgamate, merge or sell all or substantially all of our assets.</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covenants could have the effect of limiting our flexibility in planning for or reacting to changes in our business and the markets in which we compete. In addition, our credit agreement requires us to comply with certain financial maintenance covenants. Operating results below current levels or other adverse factors, including a significant increase in interest rates, could result in our being unable to comply with the financial covenants contained in our revolving facility. If we violate covenants under our credit agreement and are unable to obtain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waiver from our lenders, our debt under our revolving facility would be in default and could be accelerated by our lenders. Because of cross-default provisions in the agreements and instruments governing our debt, a default under one agreement or instrument could result in a default under, and the acceleration of, our other debt. If our debt is accelerated, we may not be able to repay our debt or borrow sufficient funds to refinance it. Even if we are able to obtain new financing, it may not be on commercially reasonable terms, or terms that are acceptable to us. If our debt is in default for any reason, our business, financial condition and results of operations could be materially and adversely affected. In addition, complying with these covenants may also cause us to take actions that are not favorable to holders of the notes and may make it more difficult for us to successfully execute our business strategy and compete against companies that are not subject to such restrictions.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Information Technology and Data Privacy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intellectual property portfolio and may not be able to successfully protect against the use of our intellectual property by third parties.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patents, trademarks, trade secret laws, confidentiality procedures and licensing arrangements to protect our intellectual property rights. We cannot be certain that patents will be issued from any of our pending applications or that patents will be issued in all countries where our products can be sold. Further, we cannot be certain that any claims allowed from pending applications will be of sufficient scope or strength to provide meaningful protection against our competitors. Our competitors may also be able to design around our patents.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laws of some countries in which our products are developed, manufactured or sold may not protect our products or intellectual property rights to the same extent as U.S. laws. This increases the possibility of misappropriation or infringement of our technology and products. Although we intend to vigorously defend our intellectual property rights, we may not be able to prevent misappropriation of our technology. Additionally, our competitors may be able to independently develop non-infringing technologies that are substantially equivalent or superior to ours.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need to engage in legal actions to enforce or defend our intellectual property rights. Generally, intellectual property litigation is both expensive and unpredictable. Our involvement in intellectual property litigation could divert the attention of our management and technical personnel and have a material, adverse effect on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operating results may be adversely affected if third parties were to assert claims that our products infringed their patent, copyright or other intellectual property rights. Such assertions could lead to expensive and unpredictable litigation, diverting the attention of management and technical personnel. An unsuccessful result in any such litigation could have adverse effects on our business, which may include injunctions, exclusion orders and royalty payments to third parties. In addition, if one of our customers or another supplier to one of our customers were found to be infringing on third-party intellectual property rights, such a finding could adversely affect the demand for our products.</w:t>
      </w:r>
    </w:p>
    <w:p>
      <w:pPr>
        <w:spacing w:after="0" w:line="2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proprietary information, expose us to liability or disrupt our ability to operate critical business functions, which would cause our business and reputation to suffer.</w:t>
      </w:r>
    </w:p>
    <w:p>
      <w:pPr>
        <w:spacing w:after="0" w:line="18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dissemination of our proprietary information.</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face internal and external data security threats.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Security breaches, computer malware, phishing, spoofing, and other cyber-attacks have become more prevalent and sophisticated in recent years. While we defend against these threats on a daily basis, we do not believe that such attacks to date have caused us any material damage. Because the techniques used by computer hackers and others to access or sabotage networks constantly evolve and generally are not recognized until launched against a target, we may be unable to anticipate, counter or ameliorate all of these techniques. As a result, our and our customers’ proprietary information may be misappropriated and the impact of any future incident cannot be predicted.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We cannot, however, assure that such system improvements will be sufficient to prevent or limit the damage from any future cyber-attack or network disruptions.</w:t>
      </w:r>
    </w:p>
    <w:p>
      <w:pPr>
        <w:spacing w:after="0" w:line="21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Furthermore, we rely on products and services provided by third-party suppliers to operate certain critical business systems, including without limitation, cloud-based infrastructure, encryption and authentication technology, employee email, and other functions, which exposes us to supply-chain attacks or other business disruptions. We cannot guarantee that third parties and infrastructure in our supply chain or our partners’ supply chains have not been compromised or that they do not contain exploitable defects or bugs that could result in a breach of or disruption to our information technology systems, including our products and services, or the third-party information technology systems that support our services. Our ability to monitor these third parties’ information security practices is limited, and these may not have adequate information security measures in place. In addition, if one of our third-party suppliers suffers a security breach, our response may be limited or more difficult because we may not have direct access to their systems, logs and other information related to the security breach.</w:t>
      </w:r>
    </w:p>
    <w:p>
      <w:pPr>
        <w:spacing w:after="0" w:line="21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If any of our systems are damaged, fail to function properly or otherwise become unavailable, we may incur substantial costs to repair or replace them and may experience loss or corruption of critical data and interruptions or delays in our ability to perform critical functions, which could affect adversely our business and results of operations. Furthermore, the costs related to cyber-attacks or other security threats or computer systems disruptions typically would not be fully insured or indemnified by others. Occurrence of any of the events described above could also result in loss of competitive advantages derived from our R&amp;D efforts or our IP. Moreover, these events may result in the early obsolescence of our products, product development delays, or diversion of the attention of management and key information technology and other resources, or otherwise adversely affect our internal operations and reputation.</w:t>
      </w:r>
    </w:p>
    <w:p>
      <w:pPr>
        <w:spacing w:after="0" w:line="1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have access to sensitive, confidential or personal data or information regarding our employees and others that is subject to privacy and security laws and regulations, as well as our own policies and standards.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w:t>
      </w:r>
    </w:p>
    <w:p>
      <w:pPr>
        <w:spacing w:after="0" w:line="2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Complying with these changing laws has caused, and could continue to cause, us to incur substantial costs, which could have an adverse effect on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5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the General Corporation Law of the State of Delaware may discourage takeovers and business combinations that our stockholders might consider to be in their best interests.</w:t>
      </w:r>
    </w:p>
    <w:p>
      <w:pPr>
        <w:spacing w:after="0" w:line="1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amended and restated bylaws may have the effect of delaying, deterring, preventing or rendering more difficult, a change in control of Qorvo that our stockholders might consider to be in their best interests. These provisions include:</w:t>
      </w:r>
    </w:p>
    <w:p>
      <w:pPr>
        <w:spacing w:after="0" w:line="203" w:lineRule="exact"/>
        <w:rPr>
          <w:sz w:val="20"/>
          <w:szCs w:val="20"/>
          <w:color w:val="auto"/>
        </w:rPr>
      </w:pPr>
    </w:p>
    <w:p>
      <w:pPr>
        <w:ind w:left="660" w:right="2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to the board of directors sole power to set the number of directors and fill any vacancy on the board of directors, whether such vacancy occurs as a result of an increase in the number of directors or otherwise;</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designate and issue one or more series of preferred stock without stockholder approval, the terms of which may be determined at the sole discretion of the board of directors;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of stockholders;</w:t>
      </w:r>
    </w:p>
    <w:p>
      <w:pPr>
        <w:spacing w:after="0" w:line="252"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advance notice requirements for stockholder proposals and nominations for election to the board of directors at stockholder meetings;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25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the General Corporation Law of the State of Delaware contains provisions that regulate "business combinations" between corporations and interested stockholders who own 15% or more of the corporation’s voting stock, except under certain circumstances. These provisions could also discourage potential acquisition proposals and delay or prevent a change in control.</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provisions may prevent our stockholders from receiving the benefit of any premium to the market price of our common stock offered by a bidder in a takeover context and may also make it more difficult for a third party to replace directors on our board of directors. Further, the existence of these provisions may adversely affect the prevailing market price of our common stock if they are viewed as discouraging takeover attempts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recently been and may in the future be volatile.</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price of our common stock, which is traded on the Nasdaq Global Select Market, has been and may continue to be volatile and subject to wide fluctuations. In addition, the trading volume of our common stock may fluctuate and cause significant price variations to occur. Some of the factors that could cause fluctuations in the stock price or trading volume of our common stock include:</w:t>
      </w:r>
    </w:p>
    <w:p>
      <w:pPr>
        <w:spacing w:after="0" w:line="20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and political conditions, including market conditions in the semiconductor industry;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variations in quarterly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similar major health concerns, including the COVID-19 pandemic;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operating results and those expected by investors and analysts;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by securities analysts;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stock performance of competitors and major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charges, including charges relating to the impairment of goodwill and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strategic alliances, capital commitments, or new products announced by us or by our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whether actual or perceived, between our corporate social responsibility and ESG practices and disclosure and investor expectations;</w:t>
      </w:r>
    </w:p>
    <w:p>
      <w:pPr>
        <w:spacing w:after="0" w:line="263"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significant investors;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cannot assure that the price of our common stock will not fluctuate or decline significantly in the future. In addition, the stock market in general can experience considerable price and volume fluctuations that are unrelated to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corporate headquarters (leased) and our MP headquarters (owned) are in Greensboro, North Carolina, and our IDP headquarters (owned) is in Richardson, Texas.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primary production facilities as of April 2,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Owned/Leased</w:t>
            </w: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Primary Function</w:t>
            </w:r>
          </w:p>
        </w:tc>
      </w:tr>
      <w:tr>
        <w:trPr>
          <w:trHeight w:val="223"/>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Greensboro, North Carolina</w:t>
            </w:r>
          </w:p>
        </w:tc>
        <w:tc>
          <w:tcPr>
            <w:tcW w:w="24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26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Wafer fabrication</w:t>
            </w:r>
          </w:p>
        </w:tc>
      </w:tr>
      <w:tr>
        <w:trPr>
          <w:trHeight w:val="23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Hillsboro, Oregon</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Wafer fabrication</w:t>
            </w:r>
          </w:p>
        </w:tc>
      </w:tr>
      <w:tr>
        <w:trPr>
          <w:trHeight w:val="22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Richardson, Texas</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Wafer fabrication, assembly and test</w:t>
            </w:r>
          </w:p>
        </w:tc>
      </w:tr>
      <w:tr>
        <w:trPr>
          <w:trHeight w:val="230"/>
        </w:trPr>
        <w:tc>
          <w:tcPr>
            <w:tcW w:w="32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Beijing, China </w:t>
            </w:r>
            <w:r>
              <w:rPr>
                <w:rFonts w:ascii="Times New Roman" w:cs="Times New Roman" w:eastAsia="Times New Roman" w:hAnsi="Times New Roman"/>
                <w:sz w:val="23"/>
                <w:szCs w:val="23"/>
                <w:color w:val="auto"/>
                <w:vertAlign w:val="superscript"/>
              </w:rPr>
              <w:t>(1)</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Module assembly and test</w:t>
            </w:r>
          </w:p>
        </w:tc>
      </w:tr>
      <w:tr>
        <w:trPr>
          <w:trHeight w:val="22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Dezhou, China</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Module assembly and test</w:t>
            </w:r>
          </w:p>
        </w:tc>
      </w:tr>
      <w:tr>
        <w:trPr>
          <w:trHeight w:val="22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Heredia, Costa Rica</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Module and filter assembly and test</w:t>
            </w:r>
          </w:p>
        </w:tc>
      </w:tr>
      <w:tr>
        <w:trPr>
          <w:trHeight w:val="23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Nuremberg, Germany</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Packaging and test</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We hold land-use rights for the land associated with this property.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2021, we temporarily idled a BAW manufacturing facility (owned) in Farmers Branch, Texas.</w:t>
      </w:r>
    </w:p>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our properties have been well-maintained, are in sound operating condition and contain all equipment and facilities necessary to operate at present levels. While we believe all our facilities are suitable and adequate for our present purposes, we continually evaluate our business and facilities and may decide to expand, add or dispose of facilities in the future. The majority of our production facilities are shared by our operating segments.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information under the heading "Legal Matters" in Note 11 of the Notes to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"QRVO." As of May 13, 2022, there were 653 holders of record of our common stock, which does not include beneficial owners of stock held in street name (i.e., through a brokerage firm, bank, broker-dealer, trust or other similar organization).</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currently intend to retain any future earnings to invest in the growth and operation of our business and do not intend to pay any dividends for the foreseeable future. Any future determination related to our dividend policy will be made at the discretion of our board of directors.</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graph and table compare the cumulative total shareholder return of our common stock, the S&amp;P 500 Index, the Nasdaq Electronic Components Index (former industry index) and the S&amp;P Semiconductors Index (new industry index), for the five years ended April 2, 2022. We believe the new industry index is more representative of the industry in which we operate. The graph and table assume an initial investment of $100 was made on April 1, 2017 in each of our common stock and the indexes, reflecting compounded daily returns as well as reinvestment of all dividends. The indexes are reweighted daily using the market capitalization on the previous trading day. The comparisons in the graph and table are based on historical data and are not indicative of, or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328295</wp:posOffset>
            </wp:positionV>
            <wp:extent cx="5349240" cy="3600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980" w:type="dxa"/>
            <w:vAlign w:val="bottom"/>
          </w:tcPr>
          <w:p>
            <w:pPr>
              <w:spacing w:after="0"/>
              <w:rPr>
                <w:sz w:val="13"/>
                <w:szCs w:val="13"/>
                <w:color w:val="auto"/>
              </w:rPr>
            </w:pPr>
          </w:p>
        </w:tc>
        <w:tc>
          <w:tcPr>
            <w:tcW w:w="1320" w:type="dxa"/>
            <w:vAlign w:val="bottom"/>
            <w:tcBorders>
              <w:top w:val="single" w:sz="8" w:color="auto"/>
            </w:tcBorders>
          </w:tcPr>
          <w:p>
            <w:pPr>
              <w:ind w:left="440"/>
              <w:spacing w:after="0" w:line="15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400" w:type="dxa"/>
            <w:vAlign w:val="bottom"/>
            <w:tcBorders>
              <w:top w:val="single" w:sz="8" w:color="auto"/>
            </w:tcBorders>
          </w:tcPr>
          <w:p>
            <w:pPr>
              <w:ind w:left="40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tcBorders>
              <w:top w:val="single" w:sz="8" w:color="auto"/>
            </w:tcBorders>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420" w:type="dxa"/>
            <w:vAlign w:val="bottom"/>
            <w:tcBorders>
              <w:top w:val="single" w:sz="8" w:color="auto"/>
            </w:tcBorders>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320" w:type="dxa"/>
            <w:vAlign w:val="bottom"/>
            <w:tcBorders>
              <w:top w:val="single" w:sz="8" w:color="auto"/>
            </w:tcBorders>
          </w:tcPr>
          <w:p>
            <w:pPr>
              <w:ind w:left="400"/>
              <w:spacing w:after="0" w:line="15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380" w:type="dxa"/>
            <w:vAlign w:val="bottom"/>
            <w:tcBorders>
              <w:top w:val="single" w:sz="8" w:color="auto"/>
            </w:tcBorders>
          </w:tcPr>
          <w:p>
            <w:pPr>
              <w:ind w:left="460"/>
              <w:spacing w:after="0" w:line="151"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95"/>
        </w:trPr>
        <w:tc>
          <w:tcPr>
            <w:tcW w:w="29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3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Qorvo, Inc.</w:t>
            </w:r>
          </w:p>
        </w:tc>
        <w:tc>
          <w:tcPr>
            <w:tcW w:w="13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$100.00</w:t>
            </w:r>
          </w:p>
        </w:tc>
        <w:tc>
          <w:tcPr>
            <w:tcW w:w="140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$102.76</w:t>
            </w:r>
          </w:p>
        </w:tc>
        <w:tc>
          <w:tcPr>
            <w:tcW w:w="13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$104.62</w:t>
            </w:r>
          </w:p>
        </w:tc>
        <w:tc>
          <w:tcPr>
            <w:tcW w:w="14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$117.69</w:t>
            </w:r>
          </w:p>
        </w:tc>
        <w:tc>
          <w:tcPr>
            <w:tcW w:w="13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$281.36</w:t>
            </w:r>
          </w:p>
        </w:tc>
        <w:tc>
          <w:tcPr>
            <w:tcW w:w="138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$177.23</w:t>
            </w:r>
          </w:p>
        </w:tc>
      </w:tr>
    </w:tbl>
    <w:p>
      <w:pPr>
        <w:spacing w:after="0" w:line="1" w:lineRule="exact"/>
        <w:rPr>
          <w:sz w:val="20"/>
          <w:szCs w:val="20"/>
          <w:color w:val="auto"/>
        </w:rPr>
      </w:pPr>
    </w:p>
    <w:p>
      <w:pPr>
        <w:sectPr>
          <w:pgSz w:w="11900" w:h="16838" w:orient="portrait"/>
          <w:cols w:equalWidth="0" w:num="1">
            <w:col w:w="11220"/>
          </w:cols>
          <w:pgMar w:left="320" w:top="126" w:right="35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S&amp;P 500</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S&amp;P Semiconductors (new industry index)</w:t>
      </w:r>
    </w:p>
    <w:p>
      <w:pPr>
        <w:spacing w:after="0" w:line="42"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Nasdaq Electronic Components (former industry index)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6"/>
              </w:rPr>
              <w:t>$100.00</w:t>
            </w:r>
          </w:p>
        </w:tc>
        <w:tc>
          <w:tcPr>
            <w:tcW w:w="13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$113.99</w:t>
            </w: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$124.82</w:t>
            </w: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$116.11</w:t>
            </w:r>
          </w:p>
        </w:tc>
        <w:tc>
          <w:tcPr>
            <w:tcW w:w="13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$181.54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$209.94</w:t>
            </w:r>
          </w:p>
        </w:tc>
      </w:tr>
      <w:tr>
        <w:trPr>
          <w:trHeight w:val="193"/>
        </w:trPr>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6"/>
              </w:rPr>
              <w:t>$100.00</w:t>
            </w:r>
          </w:p>
        </w:tc>
        <w:tc>
          <w:tcPr>
            <w:tcW w:w="13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$136.49</w:t>
            </w: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$143.09</w:t>
            </w: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$152.66</w:t>
            </w:r>
          </w:p>
        </w:tc>
        <w:tc>
          <w:tcPr>
            <w:tcW w:w="13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$269.43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$343.53</w:t>
            </w:r>
          </w:p>
        </w:tc>
      </w:tr>
      <w:tr>
        <w:trPr>
          <w:trHeight w:val="270"/>
        </w:trPr>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6"/>
              </w:rPr>
              <w:t>$100.00</w:t>
            </w:r>
          </w:p>
        </w:tc>
        <w:tc>
          <w:tcPr>
            <w:tcW w:w="13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$135.34</w:t>
            </w: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$133.28</w:t>
            </w: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$139.93</w:t>
            </w:r>
          </w:p>
        </w:tc>
        <w:tc>
          <w:tcPr>
            <w:tcW w:w="13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$272.10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-284480</wp:posOffset>
            </wp:positionV>
            <wp:extent cx="711517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2840" w:space="600"/>
            <w:col w:w="7780"/>
          </w:cols>
          <w:pgMar w:left="320" w:top="126" w:right="359" w:bottom="1440" w:gutter="0" w:footer="0" w:header="0"/>
          <w:type w:val="continuous"/>
        </w:sectPr>
      </w:pPr>
    </w:p>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The graph and the table above shall not be deemed "filed" with the SEC for the purpose of Section 18 of the Exchange Act or otherwise subject to the liabilities of that section, nor shall they be deemed incorporated by reference in any filings made by us with the SEC,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12"/>
                <w:szCs w:val="12"/>
                <w:b w:val="1"/>
                <w:bCs w:val="1"/>
                <w:color w:val="auto"/>
              </w:rPr>
              <w:t>(in</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 xml:space="preserve">announced plans or programs </w:t>
            </w:r>
            <w:r>
              <w:rPr>
                <w:rFonts w:ascii="Times New Roman" w:cs="Times New Roman" w:eastAsia="Times New Roman" w:hAnsi="Times New Roman"/>
                <w:sz w:val="12"/>
                <w:szCs w:val="12"/>
                <w:b w:val="1"/>
                <w:bCs w:val="1"/>
                <w:color w:val="auto"/>
              </w:rPr>
              <w:t>(in</w:t>
            </w:r>
          </w:p>
        </w:tc>
        <w:tc>
          <w:tcPr>
            <w:tcW w:w="2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89"/>
        </w:trPr>
        <w:tc>
          <w:tcPr>
            <w:tcW w:w="3360" w:type="dxa"/>
            <w:vAlign w:val="bottom"/>
            <w:gridSpan w:val="2"/>
            <w:vMerge w:val="continue"/>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thousands)</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the plans or programs</w:t>
            </w:r>
          </w:p>
        </w:tc>
        <w:tc>
          <w:tcPr>
            <w:tcW w:w="0" w:type="dxa"/>
            <w:vAlign w:val="bottom"/>
          </w:tcPr>
          <w:p>
            <w:pPr>
              <w:spacing w:after="0"/>
              <w:rPr>
                <w:sz w:val="1"/>
                <w:szCs w:val="1"/>
                <w:color w:val="auto"/>
              </w:rPr>
            </w:pPr>
          </w:p>
        </w:tc>
      </w:tr>
      <w:tr>
        <w:trPr>
          <w:trHeight w:val="196"/>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2, 2022 to January 29, 2022</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140.92</w:t>
            </w:r>
          </w:p>
        </w:tc>
        <w:tc>
          <w:tcPr>
            <w:tcW w:w="10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$ 1,148.5 million</w:t>
            </w:r>
          </w:p>
        </w:tc>
        <w:tc>
          <w:tcPr>
            <w:tcW w:w="0" w:type="dxa"/>
            <w:vAlign w:val="bottom"/>
          </w:tcPr>
          <w:p>
            <w:pPr>
              <w:spacing w:after="0"/>
              <w:rPr>
                <w:sz w:val="1"/>
                <w:szCs w:val="1"/>
                <w:color w:val="auto"/>
              </w:rPr>
            </w:pPr>
          </w:p>
        </w:tc>
      </w:tr>
      <w:tr>
        <w:trPr>
          <w:trHeight w:val="19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30, 2022 to February 26,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132.89</w:t>
            </w: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1,010.5 million</w:t>
            </w:r>
          </w:p>
        </w:tc>
        <w:tc>
          <w:tcPr>
            <w:tcW w:w="0" w:type="dxa"/>
            <w:vAlign w:val="bottom"/>
          </w:tcPr>
          <w:p>
            <w:pPr>
              <w:spacing w:after="0"/>
              <w:rPr>
                <w:sz w:val="1"/>
                <w:szCs w:val="1"/>
                <w:color w:val="auto"/>
              </w:rPr>
            </w:pPr>
          </w:p>
        </w:tc>
      </w:tr>
      <w:tr>
        <w:trPr>
          <w:trHeight w:val="20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27, 2022 to April 2,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130.80</w:t>
            </w:r>
          </w:p>
        </w:tc>
        <w:tc>
          <w:tcPr>
            <w:tcW w:w="100" w:type="dxa"/>
            <w:vAlign w:val="bottom"/>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861.7 million</w:t>
            </w:r>
          </w:p>
        </w:tc>
        <w:tc>
          <w:tcPr>
            <w:tcW w:w="0" w:type="dxa"/>
            <w:vAlign w:val="bottom"/>
          </w:tcPr>
          <w:p>
            <w:pPr>
              <w:spacing w:after="0"/>
              <w:rPr>
                <w:sz w:val="1"/>
                <w:szCs w:val="1"/>
                <w:color w:val="auto"/>
              </w:rPr>
            </w:pPr>
          </w:p>
        </w:tc>
      </w:tr>
      <w:tr>
        <w:trPr>
          <w:trHeight w:val="203"/>
        </w:trPr>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132.85</w:t>
            </w:r>
          </w:p>
        </w:tc>
        <w:tc>
          <w:tcPr>
            <w:tcW w:w="100" w:type="dxa"/>
            <w:vAlign w:val="bottom"/>
          </w:tcPr>
          <w:p>
            <w:pPr>
              <w:spacing w:after="0"/>
              <w:rPr>
                <w:sz w:val="17"/>
                <w:szCs w:val="17"/>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tcPr>
          <w:p>
            <w:pPr>
              <w:spacing w:after="0"/>
              <w:rPr>
                <w:sz w:val="17"/>
                <w:szCs w:val="17"/>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$ 861.7 million</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May 5, 2021, we announced that our Board of Directors authorized a share repurchase program to repurchase up to $2.0 billion of our outstanding common stock, which included approximately $236.9 million authorized under a prior program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 See Note 16 of the Notes to Consolidated Financial Statements for further discussion of our share repurchase program.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reference to, our audited consolidated financial statements, including the notes thereto, set forth in Part II, Item 8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 is a global leader in the development and commercialization of technologies and products for wireless, wired and power markets.</w:t>
      </w:r>
    </w:p>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design, develop, manufacture and market our products to U.S. and international OEMs and ODMs in two operating segments, MP and IDP, which are also our reportable segments. MP is a global supplier of cellular, UWB, Wi-Fi and other wireless solutions for a variety of applications, including smartphones, wearables, laptops, tablets and IoT. IDP is a global supplier of RF, SoC and power management solutions for a wide range of markets, including cellular and IT infrastructure, automotive, renewable energy, defense and IoT.</w:t>
      </w:r>
    </w:p>
    <w:p>
      <w:pPr>
        <w:spacing w:after="0" w:line="20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fiscal 2022, the semiconductor industry continued to experience supply constraints, and we have taken actions to address short and long-term supply requirements. During the second quarter ended October 2, 2021, we entered into a long-term capacity agreement with a foundry supplier to reserve manufacturing supply capacity. Under the agreement we are required to purchase, and the foundry supplier is required to supply, a certain number of wafers for calendar years 2022 through 2025. See Note 11 of the Notes to Consolidated Financial Statements for additional information regarding this agreement.</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COVID-19 pandemic (including the recent COVID-19 lockdowns in China) has been a contributing factor of the semiconductor industry supply constraints and may continue to cause volatility and uncertainty in customer demand, worldwide economies and financial markets for an extended period of time. To date, any negative impact of COVID-19 on the overall demand for our products, cash flows from operations, need for capital expenditures and our liquidity position has been limited, although we are addressing capacity constraints in our supply chain as described above. However, the recent COVID-19 lockdowns in China could negatively impact the overall demand for our products, cash flows from operations, need for capital expenditures and our liquidity position in future periods.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2022 Financial Highlights</w:t>
      </w:r>
    </w:p>
    <w:p>
      <w:pPr>
        <w:spacing w:after="0" w:line="256" w:lineRule="exact"/>
        <w:rPr>
          <w:sz w:val="20"/>
          <w:szCs w:val="20"/>
          <w:color w:val="auto"/>
        </w:rPr>
      </w:pPr>
    </w:p>
    <w:p>
      <w:pPr>
        <w:ind w:left="660" w:right="12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15.7% in fiscal 2022 to $4,645.7 million, compared to $4,015.3 million in fiscal 2021, driven primarily by higher demand for our 5G mobile solutions and our power management, automotive and broadband products, partially offset by lower demand for our base station and defense and aerospace products.</w:t>
      </w:r>
    </w:p>
    <w:p>
      <w:pPr>
        <w:spacing w:after="0" w:line="20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fiscal 2022 was 49.2%, compared to 46.9% in fiscal 2021, primarily due to lower intangible amortization expense as well as lower unit costs on higher volume and productivity. The increase in gross margin was partially offset by average selling price erosion.</w:t>
      </w:r>
    </w:p>
    <w:p>
      <w:pPr>
        <w:spacing w:after="0" w:line="188"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$1,226.1 million in fiscal 2022, compared to $906.6 million in fiscal 2021. This increase was primarily due to higher revenue and favorable gross margin, partially offset by higher operating expenses. Operating expenses increased primarily due to higher personnel costs, a goodwill impairment charge and increased product development spend, partially offset by lower intangible amortization expense and lower incentive-based compensation.</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share was $9.26 for fiscal 2022, compared to net income per diluted share of $6.32 for fiscal 2021.</w:t>
      </w:r>
    </w:p>
    <w:p>
      <w:pPr>
        <w:spacing w:after="0" w:line="252"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 was $1,049.2 million for fiscal 2022, compared to $1,301.9 million for fiscal 2021. This year-over-year decrease was primarily due to increased inventory as well as prepayments of certain fees and deposits associated with a long-term capacity reservation agreement. The increased inventory related to the lower demand for 5G handsets from China-based OEMs and the build of inventory in anticipation of certain customers' product ramps.</w:t>
      </w:r>
    </w:p>
    <w:p>
      <w:pPr>
        <w:spacing w:after="0" w:line="206"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$213.5 million in fiscal 2022, compared to $187.0 million in fiscal 2021. Our capital expenditures in fiscal 2022 included investments in premium filter capacity.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acquisitions of NextInput and United SiC for a total of $389.1 million, net of cash acquired.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recorded a $48.0 million goodwill impairment charge associated with the NextInput acquisition.</w:t>
      </w:r>
    </w:p>
    <w:p>
      <w:pPr>
        <w:spacing w:after="0" w:line="252"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$500.0 million aggregate principal amount of 1.750% senior notes due 2024 (the "2024 Notes").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$197.5 million on the 2020 Term Loan (as defined below), plus accrued and unpaid interest.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approximately 7.3 million shares of our common stock for approximately $1,152.3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table below presents a summary of our results of operations for fiscal years 2022 and 2021 along with a year-over-year comparison. See Part II, Item 7, "Management's Discussion and Analysis of Financial Condition and Results of Operations" of our Annual Report on Form 10-K for the fiscal year ended April 3, 2021, filed with the SEC on May 24, 2021, which is incorporated by reference herein, for a summary of our results of operations for the fiscal year ended March 28, 2020 along with a year-over-year comparison between fiscal years 2021 and 2020.</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60" w:type="dxa"/>
            <w:vAlign w:val="bottom"/>
          </w:tcPr>
          <w:p>
            <w:pPr>
              <w:spacing w:after="0"/>
              <w:rPr>
                <w:sz w:val="16"/>
                <w:szCs w:val="16"/>
                <w:color w:val="auto"/>
              </w:rPr>
            </w:pPr>
          </w:p>
        </w:tc>
        <w:tc>
          <w:tcPr>
            <w:tcW w:w="24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260" w:type="dxa"/>
            <w:vAlign w:val="bottom"/>
          </w:tcPr>
          <w:p>
            <w:pPr>
              <w:spacing w:after="0"/>
              <w:rPr>
                <w:sz w:val="16"/>
                <w:szCs w:val="16"/>
                <w:color w:val="auto"/>
              </w:rPr>
            </w:pPr>
          </w:p>
        </w:tc>
        <w:tc>
          <w:tcPr>
            <w:tcW w:w="2300" w:type="dxa"/>
            <w:vAlign w:val="bottom"/>
            <w:gridSpan w:val="3"/>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6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Pr>
          <w:p>
            <w:pPr>
              <w:spacing w:after="0"/>
              <w:rPr>
                <w:sz w:val="11"/>
                <w:szCs w:val="11"/>
                <w:color w:val="auto"/>
              </w:rPr>
            </w:pPr>
          </w:p>
        </w:tc>
        <w:tc>
          <w:tcPr>
            <w:tcW w:w="10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0" w:type="dxa"/>
            <w:vAlign w:val="bottom"/>
          </w:tcPr>
          <w:p>
            <w:pPr>
              <w:spacing w:after="0"/>
              <w:rPr>
                <w:sz w:val="11"/>
                <w:szCs w:val="11"/>
                <w:color w:val="auto"/>
              </w:rPr>
            </w:pPr>
          </w:p>
        </w:tc>
        <w:tc>
          <w:tcPr>
            <w:tcW w:w="1180" w:type="dxa"/>
            <w:vAlign w:val="bottom"/>
          </w:tcPr>
          <w:p>
            <w:pPr>
              <w:jc w:val="right"/>
              <w:ind w:right="182"/>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4,645,714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4,015,307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630,407</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2,359,546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2,131,741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227,805</w:t>
            </w:r>
          </w:p>
        </w:tc>
        <w:tc>
          <w:tcPr>
            <w:tcW w:w="1300" w:type="dxa"/>
            <w:vAlign w:val="bottom"/>
            <w:tcBorders>
              <w:bottom w:val="single" w:sz="8" w:color="CCEEFF"/>
            </w:tcBorders>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2,286,168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1,883,566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402,602</w:t>
            </w:r>
          </w:p>
        </w:tc>
        <w:tc>
          <w:tcPr>
            <w:tcW w:w="13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623,636</w:t>
            </w: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570,395</w:t>
            </w: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53,241</w:t>
            </w:r>
          </w:p>
        </w:tc>
        <w:tc>
          <w:tcPr>
            <w:tcW w:w="13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367,238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13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47,439</w:t>
            </w:r>
          </w:p>
        </w:tc>
        <w:tc>
          <w:tcPr>
            <w:tcW w:w="1300" w:type="dxa"/>
            <w:vAlign w:val="bottom"/>
            <w:tcBorders>
              <w:bottom w:val="single" w:sz="8" w:color="CCEEFF"/>
            </w:tcBorders>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1,226,069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906,627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319,442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Revenue increased primarily due to higher demand for our 5G mobile solutions and our power management, automotive and broadband products, partially offset by lower demand for our base station and defense and aerospace products. The higher demand for our mobile solutions was driven by 5G content increases with our largest customers, and the increased demand for our power management products was driven by the migration to smaller and more efficient power solutions. The increased demand for our automotive and broadband products was driven by the proliferation of connected devices and the increasing requirements for higher efficiency, greater throughput and smaller size. The lower demand for our base station products was attributed to fewer 5G massive Multiple-Input/Multiple-Output ("mMIMO") deployments in China, and the lower demand for our defense and aerospace products was due to the timing of programs.</w:t>
      </w:r>
    </w:p>
    <w:p>
      <w:pPr>
        <w:spacing w:after="0" w:line="21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provided our products to our largest end customer (Apple) through sales to multiple contract manufacturers, which in the aggregate accounted for approximately 33% and 30% of total revenue in fiscal years 2022 and 2021, respectively. Samsung accounted for approximately 11% and 7% of total revenue in fiscal years 2022 and 2021, respectively. These customers primarily purchase RF solutions for a variety of mobile devices.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International shipments amounted to $2,717.3 million in fiscal 2022 (approximately 58% of revenue) compared to $2,384.2 million in fiscal 2021 (approximately 59% of revenue). Shipments to Asia totaled $2,465.7 million in fiscal 2022 (approximately 53% of revenue) compared to $2,191.2 million in fiscal 2021 (approximately 55% of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Gross margin increased primarily due to lower intangible amortization expense as well as lower unit costs on higher volume and productivity. The increase in gross margin was partially offset by average selling price erosion.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R&amp;D spending increased primarily due to additional headcount and higher design and development costs associated with our UWB solutions, biotechnology testing solutions and 5G mobile solutions as well as the acquisition of United SiC. These increases were partially offset by lower incentive-based compensation.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 decreased primarily due to lower intangible amortization expense and lower incentive-based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decreases were partially offset by higher personnel and commission expenses.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Other operating expense increased in fiscal 2022 primarily due to a goodwill impairment charge of $48.0 million. See Note 6 of the Notes to Consolidated Financial Statements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Segments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Products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3,545,253</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2,856,813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688,440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spacing w:after="0"/>
              <w:rPr>
                <w:sz w:val="19"/>
                <w:szCs w:val="19"/>
                <w:color w:val="auto"/>
              </w:rPr>
            </w:pPr>
          </w:p>
        </w:tc>
        <w:tc>
          <w:tcPr>
            <w:tcW w:w="13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1,290,132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1,008,171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 revenue increased primarily due to higher demand for our mobile solutions driven by 5G content increases with our largest customers.</w:t>
      </w:r>
    </w:p>
    <w:p>
      <w:pPr>
        <w:spacing w:after="0" w:line="25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MP operating income increased primarily due to the effects of increased revenue and lower unit costs on higher volume and productivity. These increases were partially offset by average selling price erosion and higher operating expenses. Operating expenses increased primarily due to additional headcount and higher design and development costs associated with our UWB solutions and 5G mobile solutions as well as the acquisition of NextInput. These increases were partially offset by lower incentive-based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and Defense Products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7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1,100,461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1,158,494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(58,033)</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261,511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283,507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(21,996)</w:t>
            </w:r>
          </w:p>
        </w:tc>
        <w:tc>
          <w:tcPr>
            <w:tcW w:w="120" w:type="dxa"/>
            <w:vAlign w:val="bottom"/>
          </w:tcPr>
          <w:p>
            <w:pPr>
              <w:spacing w:after="0"/>
              <w:rPr>
                <w:sz w:val="19"/>
                <w:szCs w:val="19"/>
                <w:color w:val="auto"/>
              </w:rPr>
            </w:pPr>
          </w:p>
        </w:tc>
        <w:tc>
          <w:tcPr>
            <w:tcW w:w="17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IDP revenue decreased primarily due to lower demand for our base station and defense and aerospace products, partially offset by increased demand for our power management, automotive and broadband products. The lower demand for our base station products was attributed to fewer 5G mMIMO deployments in China, and the lower demand for our defense and aerospace products was due to the timing of programs. The increased demand for our power management products was driven by the migration to smaller and more efficient power solutions. The increased demand for our automotive and broadband products was driven by the proliferation of connected devices and the increasing requirements for higher efficiency, greater throughput and smaller size.</w:t>
      </w:r>
    </w:p>
    <w:p>
      <w:pPr>
        <w:spacing w:after="0" w:line="21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IDP operating income decreased primarily due to decreased revenue and higher operating expenses, partially offset by favorable changes in gross margin. Operating expenses increased primarily due to increased expenses associated with the design and development of our biotechnology testing solutions as well as the acquisition of United SiC, partially offset by lower incentive-based compensation. Gross margin was favorable primarily due to improved product mix, average selling price expansion and lower costs from improved factory utilization.</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See Note 17 of the Notes to Consolidated Financial Statements for a reconciliation of segment operating income to the consolidated operating income for fiscal years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OTHER INCOME (EXPENSE) AND INCOME TAXES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(63,326)</w:t>
            </w:r>
          </w:p>
        </w:tc>
        <w:tc>
          <w:tcPr>
            <w:tcW w:w="2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(75,198)</w:t>
            </w: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(24,049)</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(147,731)</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(73,769)</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fiscal 2022, we recorded interest expense primarily related to our 4.375% senior notes due 2029 (the "2029 Notes") and our 3.375% senior notes due 2031 (the "2031 Notes"). During fiscal 2021, we recorded interest expense primarily related to our 5.50% senior notes due July 15, 2026 (the "2026 Notes"), the 2029 Notes and the 2031 Notes. Interest expense in the preceding table for fiscal years 2022 and 2021 is net of capitalized interest of $3.7 million and $4.1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income (expense) includes realized or unrealized gains and losses from investments, interest income, foreign currency changes and losses on debt extinguishments.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fiscal 2022, we recorded $12.0 million of income based on our share of the earnings from our limited partnership investments, and we recorded net gains of $2.7 million from other investments.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fiscal 2021, we recorded $21.5 million of income based on our share of the earnings from our limited partnership investments, and we recorded net gains of $9.1 million from other investments. In addition, we recognized a loss on debt extinguishment of $62.0 million primarily related to the redemption of our 2026 Notes on October 16,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Income tax expense for fiscal 2022 was $147.7 million. This was primarily comprised of tax expense related to domestic and international operations generating pre-tax book income (exclusive of nondeductible expenses associated with acquisition related adjustments), the impact of the Tax Act's GILTI provisions and an increase in gross unrecognized tax benefits, offset by a tax benefit related to international operations generating pre-tax book losses and domestic tax credits. For fiscal 2022, this resulted in an annual effective tax rate of 12.5%.</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 expense for fiscal 2021 was $73.8 million. This was primarily comprised of tax expense related to international operations generating pre-tax book income, the impact of the Tax Act's GILTI provisions, the reversal of the permanent reinvestment assertion with regards to certain unrepatriated foreign earnings and an increase in gross unrecognized tax benefits, offset by a tax benefit related to international operations generating pre-tax book losses and domestic tax credits. For fiscal 2021, this resulted in an annual effective tax rate of 9.1%.</w:t>
      </w:r>
    </w:p>
    <w:p>
      <w:pPr>
        <w:spacing w:after="0" w:line="2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deferred tax assets exist. Management reevaluates the ability to realize the benefit of these deferred tax assets on a quarterly basis. As of the end of fiscal years 2022 and 2021, the valuation allowance against domestic and foreign deferred tax assets was $36.3 million and $36.5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of the Notes to Consolidated Financial Statements for additional information regarding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4"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Under Accounting Standards Codification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20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April 2, 2022, total remaining unearned compensation cost related to unvested restricted stock units was $121.0 million, which will be amortized over the weighted-average remaining service period of approximately 1.2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Cash generated by operations is our primary source of liquidity. As of April 2, 2022, we had working capital of approximately $1,774.7 million, including $972.6 million in cash and cash equivalents, compared to working capital of approximately $1,802.2 million, including $1,397.9 million in cash and cash equivalents, as of April 3, 2021.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$972.6 million of total cash and cash equivalents as of April 2, 2022, includes $831.8 million held by our foreign subsidiaries, of which $709.5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September 29, 2020, we and certain of our U.S. subsidiaries (the “Guarantors”) entered into a five-year unsecured senior credit facility pursuant to a credit agreement (as amended, restated, modified or otherwise supplemented from time to time, the “2020 Credit Agreement”) with Bank of America, N.A., acting as administrative agent, and a syndicate of lenders. The 2020 Credit Agreement amended and restated the previous credit agreement dated as of December 5, 2017 (the “2017 Credit Agreement”). The 2020 Credit Agreement included a senior term loan (the “2020 Term Loan”) of $200.0 million and a senior revolving line of credit (the “Revolving Facility”) of up to $300.0 million (collectively the “Credit Facility”). The Revolving Facility includes a $25.0 million sublimit for the issuance of standby letters of credit and a $10.0 million sublimit for swing line loans. The Credit Facility is available to finance working capital, capital expenditures and other general corporate purposes.</w:t>
      </w:r>
    </w:p>
    <w:p>
      <w:pPr>
        <w:spacing w:after="0" w:line="21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Pursuant to the 2020 Credit Agreement, we may request one or more additional tranches of term loans or increases to the Revolving Facility, up to an aggregate of $500.0 million and subject to, among other things, securing additional funding commitments from the existing or new lenders.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there were no borrowings under the Revolving Facility.</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fiscal 2021, we made principal payments totaling $2.5 million on the term loan under the 2017 Credit Agreement (the "2017 Term Loan"). On the closing date of the 2020 Credit Agreement, we repaid the remaining principal balance of $97.5 million on the 2017 Term Loan and concurrently drew $200.0 million under the 2020 Term Loan.</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fiscal 2021, we made principal payments totaling $2.5 million on the 2020 Term Loan, and during fiscal 2022, we repaid the remaining principal balance of $197.5 million on the 2020 Term Loan.</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2020 Credit Agreement contains various conditions, covenants and representations with which we must be in compliance in order to borrow funds and to avoid an event of default. As of April 2, 2022, we were in compliance with these covenants. See Note 9 of the Notes to Consolidated Financial Statements for further information about the Credit Agreement, including applicable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October 31, 2019, we announced that our Board of Directors authorized a share repurchase program to repurchase up to $1.0 billion of our outstanding common stock, which included approximately $117.0 million authorized under a prior program which was terminated concurrent with this authorization.</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May 5, 2021, we announced that our Board of Directors authorized a new share repurchase program to repurchase up to $2.0 billion of our outstanding common stock, which included approximately $236.9 million authorized under the program announced on October 31, 2019, which was terminated concurrent with the new authorization. As of April 2, 2022, there was $861.7 million of availability under the share repurchase program.</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our share repurchase programs,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current program does not require us to repurchase a minimum number of shares, does not have a fixed term, and may be modified, suspended or terminated at any time without prior notice.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repurchased 7.3 million shares, 3.6 million shares and 6.4 million shares of our common stock during fiscal years 2022, 2021 and 2020, respectively, at an aggregate cost of $1,152.3 million, $515.1 million and $515.1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activities in fiscal 2022 generated cash of $1,049.2 million, compared to $1,301.9 million in fiscal 2021. This decrease in cash provided by operating activities was primarily due to increased inventory as well as prepayments of certain fees and deposits associated with a long-term capacity reservation agreement. The increased inventory related to the lower demand for 5G handsets from China-based OEMs and the build of inventory in anticipation of certain customers' product ramps. These decreases to cash provided by operating activities were partially offset by increased profitability as a result of demand and revenue growth.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 fiscal 2022 was $596.0 million, compared to $218.7 million in fiscal 2021. This increase in cash used in investing activities was primarily due to the acquisitions of NextInput and United SiC in fiscal 2022, which resulted in net cash outflows of $389.1 million, as compared to the acquisition of 7Hugs Labs S.A.S. in fiscal 2021, which resulted in net cash outflows of $47.7 million. See Note 5 of the Notes to Consolidated Financial Statements for additional information regarding our business acquisitions.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fiscal 2022 was $875.5 million, compared to $401.9 million in fiscal 2021. This increase in cash used in financing activities was primarily due to stock repurchases. See Note 16 of the Notes to Consolidated Financial Statements for additional information regarding our stock repurchases.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flows from operations, coupled with our existing cash and cash equivalents and our Credit Facility, we believe that we have sufficient liquidity to meet both our short-term and long-term cash requirements. However, if there is a significant decrease in demand for our products, or if our revenue grows faster than we anticipate,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and commitments (in thousands) as of April 2, 2022, and the effect such obligations are expected to have on our liquidity and cash flows in future periods.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Payments Due By Fiscal Period</w:t>
            </w: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Payments</w:t>
            </w: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2028 and thereafter</w:t>
            </w:r>
          </w:p>
        </w:tc>
      </w:tr>
      <w:tr>
        <w:trPr>
          <w:trHeight w:val="22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Capital commitments </w:t>
            </w:r>
            <w:r>
              <w:rPr>
                <w:rFonts w:ascii="Times New Roman" w:cs="Times New Roman" w:eastAsia="Times New Roman" w:hAnsi="Times New Roman"/>
                <w:sz w:val="9"/>
                <w:szCs w:val="9"/>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137,176</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116,482</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9"/>
                <w:szCs w:val="9"/>
                <w:color w:val="auto"/>
              </w:rPr>
              <w:t>(2)</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2,019,516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902,162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31,404</w:t>
            </w:r>
          </w:p>
        </w:tc>
      </w:tr>
      <w:tr>
        <w:trPr>
          <w:trHeight w:val="22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9"/>
                <w:szCs w:val="9"/>
                <w:color w:val="auto"/>
              </w:rPr>
              <w:t>(3)</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2,586,399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627,313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133,437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1,756,062</w:t>
            </w:r>
          </w:p>
        </w:tc>
      </w:tr>
      <w:tr>
        <w:trPr>
          <w:trHeight w:val="248"/>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4,847,977</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1,109,070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1,559,038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392,403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1,787,466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80" w:firstLine="8"/>
        <w:spacing w:after="0" w:line="267" w:lineRule="auto"/>
        <w:tabs>
          <w:tab w:leader="none" w:pos="2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commitments represent obligations for the purchase of property and equipment, a majority of which are not recorded as liabilities on our Consolidated Balance Sheet because we had not received the related goods or services as of April 2, 2022.</w:t>
      </w:r>
    </w:p>
    <w:p>
      <w:pPr>
        <w:jc w:val="both"/>
        <w:ind w:right="220" w:firstLine="8"/>
        <w:spacing w:after="0" w:line="252" w:lineRule="auto"/>
        <w:tabs>
          <w:tab w:leader="none" w:pos="2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obligations represent payments due related to the purchase of materials and manufacturing services, a majority of which are not recorded as liabilities on our Consolidated Balance Sheet because we had not received the related goods or services as of April 2, 2022. See Note 11 of the Notes to Consolidated Financial Statements for further information.</w:t>
      </w:r>
    </w:p>
    <w:p>
      <w:pPr>
        <w:ind w:right="80" w:firstLine="8"/>
        <w:spacing w:after="0" w:line="260" w:lineRule="auto"/>
        <w:tabs>
          <w:tab w:leader="none" w:pos="2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debt obligations represent future cash payments of principal and interest over the life of the 2024 Notes, the 2029 Notes and the 2031 Notes, including anticipated interest payments not recorded as liabilities on our Consolidated Balance Sheet as of April 2, 2022. Debt obligations are classified based on their stated maturity date, and any future redemptions would impact our cash payments. See Note 9 of the Notes to Consolidated Financial Statements for further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April 2, 2022, in addition to the amounts shown in the contractual obligations table above, we have $13.8 million of unrecognized income tax benefits and accrued interest and penalties which has been recorded as a liability. We are uncertain as to if, or when, such amounts may be settled. We also have an obligation related to the Transitional Repatriation Tax that we elected to pay over eight years which has been recorded as a liability. The remaining obligation of $5.4 million is to be paid over the next four years.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discussed in Note 10 of the Notes to Consolidated Financial Statements, we have two pension plans in Germany with a combined benefit obligation of approximately $12.1 million as of April 2, 2022. Pension benefit payments are not included in the schedule above due to the uncertainty regarding the amount and timing of any future cash outflows. Pension benefit payments were approximately $0.3 million in fiscal 2022 and are expected to be approximately $0.3 million in fiscal 2023.</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also offer a non-qualified deferred compensation plan to eligible participants to defer and invest a specified percentage of their cash compensation. We record an obligation under the plan for the distributions to be made to participants upon certain triggering events. Although participants are required to make distribution elections at the time of enrollment, the amount and timing of any future cash outflows is uncertain until such triggering events occur. The total deferred compensation obligation as of April 2, 2022 was $39.4 million, of which $1.5 million is estimated to be paid in fiscal 2023. See Note 10 of the Notes to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PARENT AND GUARANTOR FINANCIAL INFORMATION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accordance with the indentures governing the 2024 Notes, the 2029 Notes and the 2031 Notes (together, the "Notes"), our obligations under the Notes are fully and unconditionally guaranteed on a joint and several unsecured basis by the Guarantors, which are listed on Exhibit 22 to this Annual Report on Form 10-K.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2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presents summarized financial information for the Parent and the Guarantors on a combined basis as of and for the periods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Summarized Balance Sheets</w:t>
      </w:r>
    </w:p>
    <w:tbl>
      <w:tblPr>
        <w:tblLayout w:type="fixed"/>
        <w:tblInd w:w="20" w:type="dxa"/>
        <w:tblCellMar>
          <w:top w:w="0" w:type="dxa"/>
          <w:left w:w="0" w:type="dxa"/>
          <w:bottom w:w="0" w:type="dxa"/>
          <w:right w:w="0" w:type="dxa"/>
        </w:tblCellMar>
      </w:tblPr>
      <w:tr>
        <w:trPr>
          <w:trHeight w:val="193"/>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280" w:type="dxa"/>
            <w:vAlign w:val="bottom"/>
          </w:tcPr>
          <w:p>
            <w:pPr>
              <w:spacing w:after="0"/>
              <w:rPr>
                <w:sz w:val="16"/>
                <w:szCs w:val="16"/>
                <w:color w:val="auto"/>
              </w:rPr>
            </w:pP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April 3, 2021</w:t>
            </w:r>
          </w:p>
        </w:tc>
      </w:tr>
      <w:tr>
        <w:trPr>
          <w:trHeight w:val="21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771,528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1,143,086</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2,450,960</w:t>
            </w:r>
          </w:p>
        </w:tc>
      </w:tr>
      <w:tr>
        <w:trPr>
          <w:trHeight w:val="270"/>
        </w:trPr>
        <w:tc>
          <w:tcPr>
            <w:tcW w:w="7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240,943</w:t>
            </w:r>
          </w:p>
        </w:tc>
      </w:tr>
      <w:tr>
        <w:trPr>
          <w:trHeight w:val="230"/>
        </w:trPr>
        <w:tc>
          <w:tcPr>
            <w:tcW w:w="7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liabilities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2,250,666</w:t>
            </w:r>
          </w:p>
        </w:tc>
      </w:tr>
    </w:tbl>
    <w:p>
      <w:pPr>
        <w:spacing w:after="0" w:line="162" w:lineRule="exact"/>
        <w:rPr>
          <w:sz w:val="20"/>
          <w:szCs w:val="20"/>
          <w:color w:val="auto"/>
        </w:rPr>
      </w:pP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from Non-Guarantor subsidiaries of $286.8 million and $532.4 million as of April 2, 2022 and April 3, 2021, respectively.</w:t>
      </w:r>
    </w:p>
    <w:p>
      <w:pPr>
        <w:spacing w:after="0" w:line="9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to Non-Guarantor subsidiaries of $433.5 million and $395.3 million as of April 2, 2022 and April 3, 2021, respectively.</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Statement of Income</w:t>
            </w:r>
          </w:p>
        </w:tc>
        <w:tc>
          <w:tcPr>
            <w:tcW w:w="320" w:type="dxa"/>
            <w:vAlign w:val="bottom"/>
          </w:tcPr>
          <w:p>
            <w:pPr>
              <w:spacing w:after="0"/>
              <w:rPr>
                <w:sz w:val="18"/>
                <w:szCs w:val="18"/>
                <w:color w:val="auto"/>
              </w:rPr>
            </w:pPr>
          </w:p>
        </w:tc>
        <w:tc>
          <w:tcPr>
            <w:tcW w:w="14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196"/>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1,126,193</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268,025</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management to use judgment and estimates. The level of uncertainty in estimates and assumptions increases with the length of time until the underlying transactions are completed. Actual results could materially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 typically do not require us to make estimates or judgments that are difficult or subjective. See Note 1 of the Notes to Consolidated Financial Statements.</w:t>
      </w:r>
    </w:p>
    <w:p>
      <w:pPr>
        <w:spacing w:after="0" w:line="212" w:lineRule="exact"/>
        <w:rPr>
          <w:sz w:val="20"/>
          <w:szCs w:val="20"/>
          <w:color w:val="auto"/>
        </w:rPr>
      </w:pPr>
    </w:p>
    <w:p>
      <w:pPr>
        <w:ind w:left="66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Reserves. </w:t>
      </w:r>
      <w:r>
        <w:rPr>
          <w:rFonts w:ascii="Times New Roman" w:cs="Times New Roman" w:eastAsia="Times New Roman" w:hAnsi="Times New Roman"/>
          <w:sz w:val="18"/>
          <w:szCs w:val="18"/>
          <w:color w:val="auto"/>
        </w:rPr>
        <w:t>The valuation of inventory requires us to estimate obsolete or excess inventory. The determination of obsolete or excess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requires us to estimate the future demand for our products within specific time horizons, generally 12 to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valuation process include a review of the customer base, market conditions and customer acceptance of our products and technologies, as well as an assessment of the selling price in relation to the product cost.</w:t>
      </w:r>
    </w:p>
    <w:p>
      <w:pPr>
        <w:spacing w:after="0" w:line="189"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Historically, inventory reserves have fluctuated as new technologies have been introduced and customers’ demand has shifted. Inventory reserves had an impact on margins of less than 2% in fiscal years 2022 and 2021.</w:t>
      </w:r>
    </w:p>
    <w:p>
      <w:pPr>
        <w:spacing w:after="0" w:line="185" w:lineRule="exact"/>
        <w:rPr>
          <w:sz w:val="20"/>
          <w:szCs w:val="20"/>
          <w:color w:val="auto"/>
        </w:rPr>
      </w:pPr>
    </w:p>
    <w:p>
      <w:pPr>
        <w:ind w:left="660"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Periodically, we evaluate the period over which we expect to recover the economic value of our property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considering factors such as changes in machinery and equipment technology, our ability to re-use equipment across generations of process technology and historical usage trends. When we determine that the useful lives of assets are shorter or longer than we had originally estimated, we adjust the rate of depreciation to reflect the revised useful lives of the assets.</w:t>
      </w:r>
    </w:p>
    <w:p>
      <w:pPr>
        <w:spacing w:after="0" w:line="207" w:lineRule="exact"/>
        <w:rPr>
          <w:sz w:val="20"/>
          <w:szCs w:val="20"/>
          <w:color w:val="auto"/>
        </w:rPr>
      </w:pPr>
    </w:p>
    <w:p>
      <w:pPr>
        <w:ind w:left="660" w:right="40"/>
        <w:spacing w:after="0" w:line="254" w:lineRule="auto"/>
        <w:rPr>
          <w:sz w:val="20"/>
          <w:szCs w:val="20"/>
          <w:color w:val="auto"/>
        </w:rPr>
      </w:pPr>
      <w:r>
        <w:rPr>
          <w:rFonts w:ascii="Times New Roman" w:cs="Times New Roman" w:eastAsia="Times New Roman" w:hAnsi="Times New Roman"/>
          <w:sz w:val="18"/>
          <w:szCs w:val="18"/>
          <w:color w:val="auto"/>
        </w:rPr>
        <w:t>We assess property and equipment for impairment when events or changes in circumstances indicate that the carrying value of the assets or the asset group may not be recoverable. Factors that we consider in deciding when to perform an impairment review include an adverse change in our use of the assets or an expectation that the assets will be sold or otherwise disposed. We assess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if any, is based on the excess of the carrying amount over the fair value of those assets. The process of evaluating property and equipment for impairment is highly subjective and requires significant judgment as we are required to make assumptions about items such as future demand for our products and industry trends.</w:t>
      </w:r>
    </w:p>
    <w:p>
      <w:pPr>
        <w:spacing w:after="0" w:line="215" w:lineRule="exact"/>
        <w:rPr>
          <w:sz w:val="20"/>
          <w:szCs w:val="20"/>
          <w:color w:val="auto"/>
        </w:rPr>
      </w:pPr>
    </w:p>
    <w:p>
      <w:pPr>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Acquisitions. </w:t>
      </w:r>
      <w:r>
        <w:rPr>
          <w:rFonts w:ascii="Times New Roman" w:cs="Times New Roman" w:eastAsia="Times New Roman" w:hAnsi="Times New Roman"/>
          <w:sz w:val="18"/>
          <w:szCs w:val="18"/>
          <w:color w:val="auto"/>
        </w:rPr>
        <w:t>We allocate the fair value of the purchase price to the assets acquired and liabilities assumed based on their estimated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The excess of the purchase price over the fair values of the identifiable assets and liabilities is recorded to goodwill. Goodwill is assigned to the reporting unit that is expected to benefit from the synergies of the business combination.</w:t>
      </w:r>
    </w:p>
    <w:p>
      <w:pPr>
        <w:spacing w:after="0" w:line="202"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A number of assumptions, estimates and judgments are used in determining the fair value of acquired assets and liabilities, particularly with respect to the intangible assets acquired. The valuation of intangible assets requires the use of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207" w:lineRule="exact"/>
        <w:rPr>
          <w:sz w:val="20"/>
          <w:szCs w:val="20"/>
          <w:color w:val="auto"/>
        </w:rPr>
      </w:pPr>
    </w:p>
    <w:p>
      <w:pPr>
        <w:ind w:left="660" w:right="200"/>
        <w:spacing w:after="0" w:line="266" w:lineRule="auto"/>
        <w:rPr>
          <w:sz w:val="20"/>
          <w:szCs w:val="20"/>
          <w:color w:val="auto"/>
        </w:rPr>
      </w:pPr>
      <w:r>
        <w:rPr>
          <w:rFonts w:ascii="Times New Roman" w:cs="Times New Roman" w:eastAsia="Times New Roman" w:hAnsi="Times New Roman"/>
          <w:sz w:val="18"/>
          <w:szCs w:val="18"/>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203"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After the measurement period, any purchase price adjustments are recognized in our Consolidated Statements of Income.</w:t>
      </w:r>
    </w:p>
    <w:p>
      <w:pPr>
        <w:spacing w:after="0" w:line="206" w:lineRule="exact"/>
        <w:rPr>
          <w:sz w:val="20"/>
          <w:szCs w:val="20"/>
          <w:color w:val="auto"/>
        </w:rPr>
      </w:pPr>
    </w:p>
    <w:p>
      <w:pPr>
        <w:ind w:left="66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Impairment Testing. </w:t>
      </w:r>
      <w:r>
        <w:rPr>
          <w:rFonts w:ascii="Times New Roman" w:cs="Times New Roman" w:eastAsia="Times New Roman" w:hAnsi="Times New Roman"/>
          <w:sz w:val="18"/>
          <w:szCs w:val="18"/>
          <w:color w:val="auto"/>
        </w:rPr>
        <w:t>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("ASC 350"), goodwill is not amortized,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rather is reviewed for impairment at the reporting unit level on the first day of our fourth quarter of each fiscal year, or when there is evidence that events or changes in circumstances indicate that the carrying amount of the goodwill may not be recovered.</w:t>
      </w:r>
    </w:p>
    <w:p>
      <w:pPr>
        <w:spacing w:after="0" w:line="202"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Under ASC 350, we have the option to first assess qualitatively whether it is more likely than not that the fair value of a reporting unit is less than its carrying amount, including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60" w:right="120"/>
        <w:spacing w:after="0" w:line="281" w:lineRule="auto"/>
        <w:rPr>
          <w:sz w:val="20"/>
          <w:szCs w:val="20"/>
          <w:color w:val="auto"/>
        </w:rPr>
      </w:pPr>
      <w:r>
        <w:rPr>
          <w:rFonts w:ascii="Times New Roman" w:cs="Times New Roman" w:eastAsia="Times New Roman" w:hAnsi="Times New Roman"/>
          <w:sz w:val="17"/>
          <w:szCs w:val="17"/>
          <w:color w:val="auto"/>
        </w:rPr>
        <w:t>We establish our reporting units based on our current organizational structure, product and technology characteristics and segment management's view of the business. As of January 2, 2022, we identified three reporting units within the MP operating segment and two reporting units within the IDP operating segment, and we performed the optional qualitative assessment to determine whether the existence of events or circumstances indicated that it was more likely than not that the fair value of each reporting unit was less than its respective carrying value.</w:t>
      </w:r>
    </w:p>
    <w:p>
      <w:pPr>
        <w:spacing w:after="0" w:line="191"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In performing qualitative assessments, we consider (i) our overall historical and projected future operating results, (ii) if there was a significant decline in our stock price for a sustained period, (iii) if there was a significant change in our market capitalization relative to our net book value, and (iv) if there was a prolonged or more significant slowdown in the worldwide economy of the semiconductor industry, as well as other relevant events and factors affecting the reporting unit.</w:t>
      </w:r>
    </w:p>
    <w:p>
      <w:pPr>
        <w:spacing w:after="0" w:line="207"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242424"/>
        </w:rPr>
        <w:t xml:space="preserve">In fiscal 2022, </w:t>
      </w:r>
      <w:r>
        <w:rPr>
          <w:rFonts w:ascii="Times New Roman" w:cs="Times New Roman" w:eastAsia="Times New Roman" w:hAnsi="Times New Roman"/>
          <w:sz w:val="18"/>
          <w:szCs w:val="18"/>
          <w:color w:val="000000"/>
        </w:rPr>
        <w:t>we completed our annual qualitative assessments and concluded that based on the relevant events and circumstances, it was more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likely than not that four of our five reporting units’ fair values exceeded their related carrying values. However, for one of our MP reporting units (the acquired NextInput business), it was determined that the market adoption of the acquired technology into mobile handsets is expected to be delayed compared to the previous assumptions. Therefore, we determined that it was more likely than not that the fair value of the reporting unit was less than its carrying amount, and we performed a quantitative assessment to calculate the fair value of the reporting unit.</w:t>
      </w:r>
    </w:p>
    <w:p>
      <w:pPr>
        <w:spacing w:after="0" w:line="210"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Our quantitative assessment considered both the income and market approaches to estimate the fair value of the reporting unit. The income approach is based on the discounted cash flow method that uses estimates of the reporting unit's forecasted future financial performance including revenues, operating expenses, taxes and capital expenditures. These estimates are developed as part of our long-term planning process based on assumed market segment growth rates and our assumed market segment share, estimated costs based on historical data and various internal estimates. Projected cash flows are then discounted to a present value employing a discount rate that properly accounts for the estimated market weighted-average cost of capital, as well as any risk unique to the cash flows. The market approach is based on financial multiples (i.e., multiples of revenue or earnings before income taxes, depreciation and amortization) of comparable companies.</w:t>
      </w:r>
    </w:p>
    <w:p>
      <w:pPr>
        <w:spacing w:after="0" w:line="216" w:lineRule="exact"/>
        <w:rPr>
          <w:sz w:val="20"/>
          <w:szCs w:val="20"/>
          <w:color w:val="auto"/>
        </w:rPr>
      </w:pPr>
    </w:p>
    <w:p>
      <w:pPr>
        <w:ind w:left="660" w:right="460"/>
        <w:spacing w:after="0" w:line="266" w:lineRule="auto"/>
        <w:rPr>
          <w:sz w:val="20"/>
          <w:szCs w:val="20"/>
          <w:color w:val="auto"/>
        </w:rPr>
      </w:pPr>
      <w:r>
        <w:rPr>
          <w:rFonts w:ascii="Times New Roman" w:cs="Times New Roman" w:eastAsia="Times New Roman" w:hAnsi="Times New Roman"/>
          <w:sz w:val="18"/>
          <w:szCs w:val="18"/>
          <w:color w:val="auto"/>
        </w:rPr>
        <w:t>Based on the quantitative assessment performed, we determined that the carrying amount of the reporting unit exceeded its fair value, which resulted in a goodwill impairment charge of approximately $48.0 million. The goodwill impairment charge is recorded in “Other operating expense” in the Statement of Income for the fiscal year ended April 2, 2022.</w:t>
      </w:r>
    </w:p>
    <w:p>
      <w:pPr>
        <w:spacing w:after="0" w:line="203" w:lineRule="exact"/>
        <w:rPr>
          <w:sz w:val="20"/>
          <w:szCs w:val="20"/>
          <w:color w:val="auto"/>
        </w:rPr>
      </w:pPr>
    </w:p>
    <w:p>
      <w:pPr>
        <w:jc w:val="both"/>
        <w:ind w:left="660" w:right="60"/>
        <w:spacing w:after="0" w:line="266" w:lineRule="auto"/>
        <w:rPr>
          <w:sz w:val="20"/>
          <w:szCs w:val="20"/>
          <w:color w:val="auto"/>
        </w:rPr>
      </w:pPr>
      <w:r>
        <w:rPr>
          <w:rFonts w:ascii="Times New Roman" w:cs="Times New Roman" w:eastAsia="Times New Roman" w:hAnsi="Times New Roman"/>
          <w:sz w:val="18"/>
          <w:szCs w:val="18"/>
          <w:color w:val="auto"/>
        </w:rPr>
        <w:t>Inherent in the fair value determination are significant judgments and estimates, including assumptions about our future revenue, profitability and cash flows, our operational plans and our interpretation of current economic indicators and market valuations. To the extent these assumptions are incorrect or there are further declines in our business outlook, additional goodwill impairment charges may be recorded in future periods.</w:t>
      </w:r>
    </w:p>
    <w:p>
      <w:pPr>
        <w:spacing w:after="0" w:line="203"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In fiscal 2021, we completed qualitative assessments and concluded that based on the relevant events and circumstances, it was more likely than not that each of the reporting unit’s fair value exceeded its related carrying value, and no further impairment testing was required.</w:t>
      </w:r>
    </w:p>
    <w:p>
      <w:pPr>
        <w:spacing w:after="0" w:line="185" w:lineRule="exact"/>
        <w:rPr>
          <w:sz w:val="20"/>
          <w:szCs w:val="20"/>
          <w:color w:val="auto"/>
        </w:rPr>
      </w:pPr>
    </w:p>
    <w:p>
      <w:pPr>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Identified Intangible Assets. </w:t>
      </w:r>
      <w:r>
        <w:rPr>
          <w:rFonts w:ascii="Times New Roman" w:cs="Times New Roman" w:eastAsia="Times New Roman" w:hAnsi="Times New Roman"/>
          <w:sz w:val="18"/>
          <w:szCs w:val="18"/>
          <w:color w:val="auto"/>
        </w:rPr>
        <w:t>We amortize definite-lived intangible assets (including developed technology, customer relationships,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licenses, backlog and trade names) over their estimated useful lives. In-process research and development ("IPRD") assets represent the fair value of incomplete R&amp;D projects that had not reached technological feasibility as of the date of the acquisition; initially, these are classified as IPRD and are not subject to amortization. Upon completion of development, IPRD assets are transferred to developed technology and are amortized over their useful lives. The asset balances relating to abandoned projects are impaired and expensed to 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20"/>
        <w:spacing w:after="0" w:line="257" w:lineRule="auto"/>
        <w:rPr>
          <w:sz w:val="20"/>
          <w:szCs w:val="20"/>
          <w:color w:val="auto"/>
        </w:rPr>
      </w:pPr>
      <w:r>
        <w:rPr>
          <w:rFonts w:ascii="Times New Roman" w:cs="Times New Roman" w:eastAsia="Times New Roman" w:hAnsi="Times New Roman"/>
          <w:sz w:val="18"/>
          <w:szCs w:val="18"/>
          <w:color w:val="auto"/>
        </w:rPr>
        <w:t>We evaluate definite-lived intangible assets for impairment in accordance with ASC 360-10-35,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to determine whether facts and circumstances (including external factors such as industry and economic trends and internal factors such as changes in our business strategy and forecasts) indicate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occur in the period in which the impairment determination was made.</w:t>
      </w:r>
    </w:p>
    <w:p>
      <w:pPr>
        <w:spacing w:after="0" w:line="184" w:lineRule="exact"/>
        <w:rPr>
          <w:sz w:val="20"/>
          <w:szCs w:val="20"/>
          <w:color w:val="auto"/>
        </w:rPr>
      </w:pPr>
    </w:p>
    <w:p>
      <w:pPr>
        <w:ind w:left="660" w:right="360"/>
        <w:spacing w:after="0" w:line="266" w:lineRule="auto"/>
        <w:rPr>
          <w:sz w:val="20"/>
          <w:szCs w:val="20"/>
          <w:color w:val="auto"/>
        </w:rPr>
      </w:pPr>
      <w:r>
        <w:rPr>
          <w:rFonts w:ascii="Times New Roman" w:cs="Times New Roman" w:eastAsia="Times New Roman" w:hAnsi="Times New Roman"/>
          <w:sz w:val="18"/>
          <w:szCs w:val="18"/>
          <w:color w:val="auto"/>
        </w:rPr>
        <w:t>In connection with completing our fiscal 2022 annual goodwill impairment assessment, we also evaluated our long-lived intangible assets and determined that the forecasted undiscounted net cash flows related to these assets were in excess of their carrying values. No definite-lived intangible asset impairment charges were recorded for fiscal years 2022 or 2021.</w:t>
      </w:r>
    </w:p>
    <w:p>
      <w:pPr>
        <w:spacing w:after="0" w:line="199"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generate revenue primarily from the sale of semiconductor products, either directly to a customer or to a distributor,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completion of a consignment process. Revenue is recognized when control of the promised goods or services is transferred to our customers, in an amount that reflects the consideration we expect to be entitled in exchange for those goods or services. A majority of our revenue is recognized at a point in time, either on shipment or delivery of the product, depending on individual customer terms and conditions. Revenue from sales to our distributors is recognized upon shipment of the product to the distributors (sell-in). Revenue is recognized from our consignment programs at a point in time when the products are pulled from consignment inventory by the customer. Revenue recognized for products and services over-time is immaterial (less than 3% of overall revenue). We apply a five-step approach as defined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216"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Sales agreements are in place with certain customers and contain terms and conditions with respect to payment, delivery, warranty and supply, but typically do not require minimum purchase commitments. In the absence of a sales agreement, our standard terms and conditions apply. We consider a customer's purchase order, which is governed by a sales agreement or our standard terms and conditions, to be the contract with the customer.</w:t>
      </w:r>
    </w:p>
    <w:p>
      <w:pPr>
        <w:spacing w:after="0" w:line="207"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Our pricing terms are negotiated independently, on a stand-alone basis. In determining the transaction price, we evaluate whether the price is subject to a refund or adjustment to determine the net consideration to which we expect to be entitled. Variable consideration in the form of rebate programs is offered to certain customers, including distributors, and represents less than 7% of net revenue. We determine variable consideration by estimating the most likely amount of consideration we expect to receive from the customer. Our terms and conditions do not give our customers a right of return associated with the original sale of our products. However, we may authorize sales returns under certain circumstances, which include courtesy returns and like-kind exchanges. We reduce revenue and record reserves for product returns and allowances, rebate programs and scrap allowance based on historical experience or specific identification depending on the contractual terms of the arrangement.</w:t>
      </w:r>
    </w:p>
    <w:p>
      <w:pPr>
        <w:spacing w:after="0" w:line="216" w:lineRule="exact"/>
        <w:rPr>
          <w:sz w:val="20"/>
          <w:szCs w:val="20"/>
          <w:color w:val="auto"/>
        </w:rPr>
      </w:pPr>
    </w:p>
    <w:p>
      <w:pPr>
        <w:ind w:left="660" w:right="200"/>
        <w:spacing w:after="0" w:line="258" w:lineRule="auto"/>
        <w:rPr>
          <w:sz w:val="20"/>
          <w:szCs w:val="20"/>
          <w:color w:val="auto"/>
        </w:rPr>
      </w:pPr>
      <w:r>
        <w:rPr>
          <w:rFonts w:ascii="Times New Roman" w:cs="Times New Roman" w:eastAsia="Times New Roman" w:hAnsi="Times New Roman"/>
          <w:sz w:val="18"/>
          <w:szCs w:val="18"/>
          <w:color w:val="auto"/>
        </w:rPr>
        <w:t>Our accounts receivable balance is from contracts with customers and represents our unconditional right to receive consideration from our customers. Payments are due upon completion of the performance obligation and subsequent invoicing. Substantially all payments are collected within our standard terms, which do not include any financing components. To date, there have been no material impairment losses on accounts receivable. Contract assets and contract liabilities recorded on the Consolidated Balance Sheets were immaterial as of April 2, 2022 and April 3, 2021.</w:t>
      </w:r>
    </w:p>
    <w:p>
      <w:pPr>
        <w:spacing w:after="0" w:line="210"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We invoice customers upon shipment and recognize revenues in accordance with delivery terms. As of April 2, 2022, we had $424.7 million in remaining unsatisfied performance obligations with an original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duration greater than one year, of which the majority is expected to be recognized as income over the next 12 months.</w:t>
      </w:r>
    </w:p>
    <w:p>
      <w:pPr>
        <w:spacing w:after="0" w:line="252"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We include shipping charges billed to customers in "Revenue" and include the related shipping costs in "Cost of goods sold" in the Consolidated Statements of Income. Taxes assessed by government authorities on revenue-producing transactions, including tariffs, value-added and excise taxes, are excluded from revenue in the Consolidated Statements of Income.</w:t>
      </w:r>
    </w:p>
    <w:p>
      <w:pPr>
        <w:spacing w:after="0" w:line="203" w:lineRule="exact"/>
        <w:rPr>
          <w:sz w:val="20"/>
          <w:szCs w:val="20"/>
          <w:color w:val="auto"/>
        </w:rPr>
      </w:pPr>
    </w:p>
    <w:p>
      <w:pPr>
        <w:jc w:val="both"/>
        <w:ind w:left="660" w:right="40"/>
        <w:spacing w:after="0" w:line="261" w:lineRule="auto"/>
        <w:rPr>
          <w:sz w:val="20"/>
          <w:szCs w:val="20"/>
          <w:color w:val="auto"/>
        </w:rPr>
      </w:pPr>
      <w:r>
        <w:rPr>
          <w:rFonts w:ascii="Times New Roman" w:cs="Times New Roman" w:eastAsia="Times New Roman" w:hAnsi="Times New Roman"/>
          <w:sz w:val="18"/>
          <w:szCs w:val="18"/>
          <w:color w:val="auto"/>
        </w:rPr>
        <w:t>We incur commission expense that is incremental to obtaining contracts with customers. Sales commissions (which are recorded in the "Selling, general and administrative" expense line item in the Consolidated Statements of Income) are expensed when incurred because such commissions are not owed until the performance obligation is satisfied, which coincides with the end of the contract term; therefore, no remaining period exists over which to amortize the commissions.</w:t>
      </w:r>
    </w:p>
    <w:p>
      <w:pPr>
        <w:spacing w:after="0" w:line="203" w:lineRule="exact"/>
        <w:rPr>
          <w:sz w:val="20"/>
          <w:szCs w:val="20"/>
          <w:color w:val="auto"/>
        </w:rPr>
      </w:pPr>
    </w:p>
    <w:p>
      <w:pPr>
        <w:ind w:left="66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 determining income for financial statement purposes, we must make certain estimates and judgments in the calculation of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the resultant tax liabilities and the recoverability of deferred tax assets that arise from temporary differences between the tax and financial statement recognition of revenue and expense.</w:t>
      </w:r>
    </w:p>
    <w:p>
      <w:pPr>
        <w:spacing w:after="0" w:line="202" w:lineRule="exact"/>
        <w:rPr>
          <w:sz w:val="20"/>
          <w:szCs w:val="20"/>
          <w:color w:val="auto"/>
        </w:rPr>
      </w:pPr>
    </w:p>
    <w:p>
      <w:pPr>
        <w:ind w:left="660" w:right="60"/>
        <w:spacing w:after="0" w:line="253" w:lineRule="auto"/>
        <w:rPr>
          <w:sz w:val="20"/>
          <w:szCs w:val="20"/>
          <w:color w:val="auto"/>
        </w:rPr>
      </w:pPr>
      <w:r>
        <w:rPr>
          <w:rFonts w:ascii="Times New Roman" w:cs="Times New Roman" w:eastAsia="Times New Roman" w:hAnsi="Times New Roman"/>
          <w:sz w:val="18"/>
          <w:szCs w:val="18"/>
          <w:color w:val="auto"/>
        </w:rPr>
        <w:t>As part of our financial process, we assess on a tax jurisdictional basis the likelihood that our deferred tax assets can be recovered. If recovery is not more likely than not (a likelihood of less than 50 percent), the provision for taxes must be increased by recording a reserve in the form of a valuation allowance for the deferred tax assets that are estimated not to ultimately be recoverable. In this process, certain relevant criteria 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 These changes, if any, may require material adjustments to the net deferred tax assets and an accompanying reduction or increase in income tax expense which will result in a corresponding increase or decrease in net income in the period when such determinations are made. See Note 13 of the Notes to Consolidated Financial Statements for additional information regarding changes in the valuation allowance and net deferred tax assets.</w:t>
      </w:r>
    </w:p>
    <w:p>
      <w:pPr>
        <w:spacing w:after="0" w:line="194"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As part of our financial process, we also assess the likelihood that our tax reporting positions will ultimately be sustained. To the extent it is determined it is more likely than not (a likelihood of more than 50 percent) that some portion, or all, of a tax reporting position will ultimately not be recognized and 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determinations are made. See Note 13 of the Notes to Consolidated Financial Statements for additional information regarding our uncertain tax positions and the amount of unrecognized tax benefits.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primary objective of our financial risk management activities is to reduce the negative financial impact resulting from changes in interest rates, foreign currency exchange rates, equity prices and commodity prices (the "Underlying Exposures"). We manage these Underlying Exposures through operational means as well as through the use of various financial instruments when deemed appropriate. The method and extent to which we are able to reduce the financial impact related to the Underlying Exposures may vary over time. Similarly, there can be no assurance that our financial risk management activities will be successful in mitigating the financial impact resulting from movements in the Underlying Exposures.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may be exposed to interest rate risk via the terms of our Credit Facility. If the Credit Facility were to be drawn (through a term loan or our Revolving Facility), it would bear interest at a variable rate. See Note 9 of the Notes to Consolidated Financial Statements for further information. As of April 2, 2022, we did not have any outstanding borrowings under the Credit Facility.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56"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Central America and Europe,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Pound Sterling, Renminbi, and Singapore Dollar. If the U.S. dollar weakens compared to these and other currencies, our operating expenses for foreign operations will be higher when remeasured back into U.S. dollars. We seek to manage our foreign currency exchange risk in part through operational means.</w:t>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fiscal 2022, we incurred a foreign currency loss of $1.5 million as compared to a loss of $3.8 million in fiscal 2021, which is recorded in "Other income (expense), net."</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financial instrument holdings, including foreign receivables, cash and payables at April 2, 2022,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decreased by approximately $4.4 million in fiscal 2022. If the U.S. dollar increased in value 10% in relation to the re-measured foreign currency instruments, our net income would have increased by approximately $3.6 million in fiscal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marketable equity investments in publicly traded companies are subject to equity market price risk. Accordingly, a fluctuation in the price of each equity security could have an adverse impact on the fair value of our investments. As of April 2, 2022, our marketable equity investments were immaterial. See Note 7 of the Notes to Consolidated Financial Statements for further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5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routinely use precious metals in the manufacture of our products. Supplies for such commodities may from time to time become restricted, or general market factors and conditions may affect the pricing of such commodities. We also have an active reclamation process to capture any unused gold. While we attempt to mitigate the risk of increases in commodities-related costs, there can be no assurance that we will be able to successfully safeguard against potential short-term and long-term commodity price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880" w:type="dxa"/>
            <w:vAlign w:val="bottom"/>
          </w:tcPr>
          <w:p>
            <w:pPr>
              <w:spacing w:after="0"/>
              <w:rPr>
                <w:sz w:val="20"/>
                <w:szCs w:val="2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880" w:type="dxa"/>
            <w:vAlign w:val="bottom"/>
            <w:gridSpan w:val="7"/>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10"/>
        </w:trPr>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48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0"/>
        </w:trPr>
        <w:tc>
          <w:tcPr>
            <w:tcW w:w="2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8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0" w:type="dxa"/>
            <w:vAlign w:val="bottom"/>
          </w:tcPr>
          <w:p>
            <w:pPr>
              <w:spacing w:after="0"/>
              <w:rPr>
                <w:sz w:val="1"/>
                <w:szCs w:val="1"/>
                <w:color w:val="auto"/>
              </w:rPr>
            </w:pPr>
          </w:p>
        </w:tc>
      </w:tr>
      <w:tr>
        <w:trPr>
          <w:trHeight w:val="210"/>
        </w:trPr>
        <w:tc>
          <w:tcPr>
            <w:tcW w:w="37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2240" w:type="dxa"/>
            <w:vAlign w:val="bottom"/>
            <w:gridSpan w:val="2"/>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09"/>
        </w:trPr>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0" w:type="dxa"/>
            <w:vAlign w:val="bottom"/>
            <w:tcBorders>
              <w:top w:val="single" w:sz="8" w:color="0000FF"/>
            </w:tcBorders>
            <w:gridSpan w:val="2"/>
          </w:tcPr>
          <w:p>
            <w:pPr>
              <w:spacing w:after="0"/>
              <w:rPr>
                <w:sz w:val="18"/>
                <w:szCs w:val="18"/>
                <w:color w:val="auto"/>
              </w:rPr>
            </w:pPr>
          </w:p>
        </w:tc>
        <w:tc>
          <w:tcPr>
            <w:tcW w:w="2460" w:type="dxa"/>
            <w:vAlign w:val="bottom"/>
            <w:gridSpan w:val="3"/>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820" w:type="dxa"/>
            <w:vAlign w:val="bottom"/>
            <w:gridSpan w:val="4"/>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168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PCAOB ID: 42</w:t>
            </w: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320" w:type="dxa"/>
            <w:vAlign w:val="bottom"/>
          </w:tcPr>
          <w:p>
            <w:pPr>
              <w:spacing w:after="0"/>
              <w:rPr>
                <w:sz w:val="16"/>
                <w:szCs w:val="16"/>
                <w:color w:val="auto"/>
              </w:rPr>
            </w:pPr>
          </w:p>
        </w:tc>
        <w:tc>
          <w:tcPr>
            <w:tcW w:w="15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April 3, 2021</w:t>
            </w:r>
          </w:p>
        </w:tc>
        <w:tc>
          <w:tcPr>
            <w:tcW w:w="0" w:type="dxa"/>
            <w:vAlign w:val="bottom"/>
          </w:tcPr>
          <w:p>
            <w:pPr>
              <w:spacing w:after="0"/>
              <w:rPr>
                <w:sz w:val="1"/>
                <w:szCs w:val="1"/>
                <w:color w:val="auto"/>
              </w:rPr>
            </w:pPr>
          </w:p>
        </w:tc>
      </w:tr>
      <w:tr>
        <w:trPr>
          <w:trHeight w:val="2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1,397,880</w:t>
            </w:r>
          </w:p>
        </w:tc>
        <w:tc>
          <w:tcPr>
            <w:tcW w:w="0" w:type="dxa"/>
            <w:vAlign w:val="bottom"/>
          </w:tcPr>
          <w:p>
            <w:pPr>
              <w:spacing w:after="0"/>
              <w:rPr>
                <w:sz w:val="1"/>
                <w:szCs w:val="1"/>
                <w:color w:val="auto"/>
              </w:rPr>
            </w:pPr>
          </w:p>
        </w:tc>
      </w:tr>
      <w:tr>
        <w:trPr>
          <w:trHeight w:val="176"/>
        </w:trPr>
        <w:tc>
          <w:tcPr>
            <w:tcW w:w="71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of $402 and $331 as of April 2, 2022 and April 3,</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2021, respectively</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568,850</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457,431</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755,748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507,787</w:t>
            </w:r>
          </w:p>
        </w:tc>
        <w:tc>
          <w:tcPr>
            <w:tcW w:w="0" w:type="dxa"/>
            <w:vAlign w:val="bottom"/>
          </w:tcPr>
          <w:p>
            <w:pPr>
              <w:spacing w:after="0"/>
              <w:rPr>
                <w:sz w:val="1"/>
                <w:szCs w:val="1"/>
                <w:color w:val="auto"/>
              </w:rPr>
            </w:pPr>
          </w:p>
        </w:tc>
      </w:tr>
      <w:tr>
        <w:trPr>
          <w:trHeight w:val="229"/>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27,324</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70,685</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51,810</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2,449,865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2,483,804</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1,253,591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1,266,031</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2,775,634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2,642,708</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674,786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611,155</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35,370</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324,110</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182,402</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7,509,072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7,221,470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327,915</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313,868</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255,060</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107,026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112,653</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675,127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681,581</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2,047,098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1,742,550</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233,629</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167,914</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2,955,854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2,592,045</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(Note 11)</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and outstanding</w:t>
            </w:r>
          </w:p>
        </w:tc>
        <w:tc>
          <w:tcPr>
            <w:tcW w:w="3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1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and additional paid-in capital, $.0001 par value; 405,000 shares authorized;</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0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106,303 and 112,557 shares issued and outstanding at April 2, 2022 and April 3, 2021,</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4,035,849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4,244,740</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512,137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355,036</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4,553,218</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4,629,425</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7,509,072</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7,221,470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6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4,645,714</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4,015,307</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3,239,141</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2,359,546</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2,131,741</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1,917,378</w:t>
            </w:r>
          </w:p>
        </w:tc>
      </w:tr>
      <w:tr>
        <w:trPr>
          <w:trHeight w:val="22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2,286,168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1,883,566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1,321,763</w:t>
            </w:r>
          </w:p>
        </w:tc>
      </w:tr>
      <w:tr>
        <w:trPr>
          <w:trHeight w:val="257"/>
        </w:trPr>
        <w:tc>
          <w:tcPr>
            <w:tcW w:w="6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623,636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570,395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484,414</w:t>
            </w:r>
          </w:p>
        </w:tc>
      </w:tr>
      <w:tr>
        <w:trPr>
          <w:trHeight w:val="229"/>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367,238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343,569</w:t>
            </w: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86,745</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39,306</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70,564</w:t>
            </w: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1,060,099</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976,939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898,547</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1,226,069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906,627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423,216</w:t>
            </w:r>
          </w:p>
        </w:tc>
      </w:tr>
      <w:tr>
        <w:trPr>
          <w:trHeight w:val="257"/>
        </w:trPr>
        <w:tc>
          <w:tcPr>
            <w:tcW w:w="6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(60,392)</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32,265</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1,181,084</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807,380</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395,089</w:t>
            </w:r>
          </w:p>
        </w:tc>
      </w:tr>
      <w:tr>
        <w:trPr>
          <w:trHeight w:val="236"/>
        </w:trPr>
        <w:tc>
          <w:tcPr>
            <w:tcW w:w="6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(60,764)</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1,033,353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733,611</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334,325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r>
              <w:rPr>
                <w:rFonts w:ascii="Times New Roman" w:cs="Times New Roman" w:eastAsia="Times New Roman" w:hAnsi="Times New Roman"/>
                <w:sz w:val="18"/>
                <w:szCs w:val="18"/>
                <w:i w:val="1"/>
                <w:iCs w:val="1"/>
                <w:color w:val="auto"/>
              </w:rPr>
              <w: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4"/>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0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9.26</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6.32</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5"/>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114,034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117,007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0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111,546</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116,016</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119,293</w:t>
            </w: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1,033,353</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733,611</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334,325</w:t>
            </w: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pension liability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176"/>
        </w:trPr>
        <w:tc>
          <w:tcPr>
            <w:tcW w:w="65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including intra-entity foreign currency</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transactions that are of a long-term investment nature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(gain) loss realized upon liquidation of subsidiary</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pension actuarial loss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1,008,936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760,972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90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gridSpan w:val="2"/>
            <w:vMerge w:val="restart"/>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7"/>
                <w:szCs w:val="7"/>
                <w:color w:val="auto"/>
              </w:rPr>
            </w:pPr>
          </w:p>
        </w:tc>
        <w:tc>
          <w:tcPr>
            <w:tcW w:w="1320" w:type="dxa"/>
            <w:vAlign w:val="bottom"/>
            <w:gridSpan w:val="2"/>
            <w:vMerge w:val="restart"/>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14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line="20" w:lineRule="exact"/>
              <w:rPr>
                <w:sz w:val="1"/>
                <w:szCs w:val="1"/>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0"/>
        </w:trPr>
        <w:tc>
          <w:tcPr>
            <w:tcW w:w="39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30, 2019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4,687,455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(321,152)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4,359,679</w:t>
            </w:r>
          </w:p>
        </w:tc>
        <w:tc>
          <w:tcPr>
            <w:tcW w:w="0" w:type="dxa"/>
            <w:vAlign w:val="bottom"/>
          </w:tcPr>
          <w:p>
            <w:pPr>
              <w:spacing w:after="0"/>
              <w:rPr>
                <w:sz w:val="1"/>
                <w:szCs w:val="1"/>
                <w:color w:val="auto"/>
              </w:rPr>
            </w:pPr>
          </w:p>
        </w:tc>
      </w:tr>
      <w:tr>
        <w:trPr>
          <w:trHeight w:val="229"/>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334,325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334,325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employee 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0" w:type="dxa"/>
            <w:vAlign w:val="bottom"/>
          </w:tcPr>
          <w:p>
            <w:pPr>
              <w:spacing w:after="0"/>
              <w:rPr>
                <w:sz w:val="1"/>
                <w:szCs w:val="1"/>
                <w:color w:val="auto"/>
              </w:rPr>
            </w:pPr>
          </w:p>
        </w:tc>
      </w:tr>
      <w:tr>
        <w:trPr>
          <w:trHeight w:val="229"/>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Cumulative-effect adoption of ASU 2016-02</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(501,868)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(515,131)</w:t>
            </w: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March 28, 2020</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114,625</w:t>
            </w:r>
          </w:p>
        </w:tc>
        <w:tc>
          <w:tcPr>
            <w:tcW w:w="16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4,290,377</w:t>
            </w:r>
          </w:p>
        </w:tc>
        <w:tc>
          <w:tcPr>
            <w:tcW w:w="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4,292,665</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733,611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733,611</w:t>
            </w: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 employee taxes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(29,163)</w:t>
            </w:r>
          </w:p>
        </w:tc>
        <w:tc>
          <w:tcPr>
            <w:tcW w:w="0" w:type="dxa"/>
            <w:vAlign w:val="bottom"/>
          </w:tcPr>
          <w:p>
            <w:pPr>
              <w:spacing w:after="0"/>
              <w:rPr>
                <w:sz w:val="1"/>
                <w:szCs w:val="1"/>
                <w:color w:val="auto"/>
              </w:rPr>
            </w:pPr>
          </w:p>
        </w:tc>
      </w:tr>
      <w:tr>
        <w:trPr>
          <w:trHeight w:val="176"/>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Cumulative-effect adoption of ASU 2016-13</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(136,568)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(378,516)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(515,084)</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88,728</w:t>
            </w: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3,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112,557</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4,244,740</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355,036</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4,629,425</w:t>
            </w:r>
          </w:p>
        </w:tc>
        <w:tc>
          <w:tcPr>
            <w:tcW w:w="0" w:type="dxa"/>
            <w:vAlign w:val="bottom"/>
          </w:tcPr>
          <w:p>
            <w:pPr>
              <w:spacing w:after="0"/>
              <w:rPr>
                <w:sz w:val="1"/>
                <w:szCs w:val="1"/>
                <w:color w:val="auto"/>
              </w:rPr>
            </w:pPr>
          </w:p>
        </w:tc>
      </w:tr>
      <w:tr>
        <w:trPr>
          <w:trHeight w:val="223"/>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1,033,353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1,033,353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employee 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(49,798)</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33,288</w:t>
            </w:r>
          </w:p>
        </w:tc>
        <w:tc>
          <w:tcPr>
            <w:tcW w:w="0" w:type="dxa"/>
            <w:vAlign w:val="bottom"/>
          </w:tcPr>
          <w:p>
            <w:pPr>
              <w:spacing w:after="0"/>
              <w:rPr>
                <w:sz w:val="1"/>
                <w:szCs w:val="1"/>
                <w:color w:val="auto"/>
              </w:rPr>
            </w:pPr>
          </w:p>
        </w:tc>
      </w:tr>
      <w:tr>
        <w:trPr>
          <w:trHeight w:val="176"/>
        </w:trPr>
        <w:tc>
          <w:tcPr>
            <w:tcW w:w="39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(276,035)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(876,252)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(1,152,287)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83,654</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April 2, 2022</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106,303</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4,035,849</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512,137</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4,553,218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1,033,353</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733,611</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334,325</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221,632</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150,466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247,299</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Cavendish investment</w:t>
            </w: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(43,008)</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equity investment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18,339</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75,978</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21,029</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(236,196)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(176,742)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48,670</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r>
      <w:tr>
        <w:trPr>
          <w:trHeight w:val="229"/>
        </w:trPr>
        <w:tc>
          <w:tcPr>
            <w:tcW w:w="7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(15,149)</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1,049,243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1,301,853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945,646</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(213,466)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(164,104)</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(946,043)</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(218,658)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(1,105,742)</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and payment of debt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(1,087,994)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borrowings and debt issuances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499,070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1,206,750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659,000</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(1,152,287)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(515,084)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(515,131)</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50,198</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withholding paid on behalf of employees for restricted stock units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(21,791)</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165,559</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(425,504)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682,697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1,398,309</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715,612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711,382</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972,805</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1,398,309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715,612</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1,397,880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714,939</w:t>
            </w:r>
          </w:p>
        </w:tc>
      </w:tr>
      <w:tr>
        <w:trPr>
          <w:trHeight w:val="230"/>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972,805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1,398,309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715,612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interest, net of amounts capitalized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59,393</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81,232</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48,871</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income taxes, net of refunds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55,513</w:t>
            </w: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included in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56,469</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22,904</w:t>
            </w:r>
          </w:p>
        </w:tc>
      </w:tr>
    </w:tbl>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2, 2022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ITS SIGNIFICANT ACCOUNTING POLICIES</w:t>
      </w:r>
    </w:p>
    <w:p>
      <w:pPr>
        <w:spacing w:after="0" w:line="2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Qorvo, Inc. was formed as the result of a business combination (the "Business Combination") of RF Micro Devices, Inc. ("RFMD") and TriQuint Semiconductor, Inc. ("TriQuint"), which closed on January 1, 2015.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global leader in the development and commercialization of technologies and products for wireless, wired and power markets.</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design expertise and manufacturing capabilities span multiple process technologies. The Company's primary wafer fabrication facilities are in North Carolina, Oregon and Texas. The Company's primary assembly and test facilities are in China, Costa Rica, Germany and Texas. The Company also sources products and materials through external suppliers. The Company operates design, sales and other manufacturing facilities throughout Asia, Europe and North America.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2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significant intercompany accounts and transactions have been eliminated in consolidation. Certain items in the fiscal years 2021 and 2020 financial statements have been reclassified to conform to the fiscal 2022 presentation.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Periods</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uses a 52- or 53-week fiscal year ending on the Saturday closest to March 31 of each year. The most recent three fiscal years ended on April 2, 2022, April 3, 2021 and March 28, 2020. Fiscal years 2022 and 2020 were 52-week years, and fiscal 2021 was a 53-week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of assets, liabilities, revenue and expenses, and the disclosure of contingent liabilities. The Company evaluates its estimates on an ongoing basis, including those related to revenue recognition, product warranty obligations, valuation of inventories, tax related contingencies, valuation of long-lived and intangible assets, other contingencies and litigation, among others. The Company generally bases its estimates on historical experience, expected future conditions and third-party evaluations. The inputs into certain of these estimates and assumptions include the consideration of the economic impact of the COVID-19 pandemic. Actual results could differ materially from these estimates, and such differences could affect the operations reported in future periods. As the impact of the COVID-19 pandemic continues to develop, many of these estimates could require increased judgment and carry a higher degree of variability and volatility, and may change materially in future periods.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demand deposit accounts, money market funds, and other temporary, highly liquid investments with original maturities of three months or less when purchased.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Marketable equity securities consist of common stock in publicly-traded companies and are carried at fair value with both the realized and unrealized gains and losses reported in "Other income (expense), net." Fair values of publicly-traded equity securities are determined using quoted prices in active markets. The marketable equity securities are classified as short-term based on their highly liquid nature and are recorded in "Other current assets" in the Consolidated Balance Sheets.</w:t>
      </w:r>
    </w:p>
    <w:p>
      <w:pPr>
        <w:spacing w:after="0" w:line="11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invests in limited partnerships which are accounted for using the equity method. These equity method investments are classified as "Long-term investments" in the Consolidated Balance Sheets.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records its share of the financial results of the limited partnerships in "Other income (expense), net" in the Company's Consolidated Statements of Income.</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also invests in privately held companies for which the fair value of the investment is not readily determinable. These equity investments without a readily determinable fair value are measured at cost less impairment, adjusted for any changes in observable prices, and are classified as "Long-term investments" in the Consolidated Balance Sheets. The Company assesses these investments for impairment on a quarterly basis and considers both qualitative and quantitative factors that may have a significant impact on the investee's fair value. Qualitative factors considered include the investee's financial condition and business outlook, market for technology and other relevant events and factors affecting the investee. Investments are impaired when their fair value is less than their carrying value.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measures and reports certain financial assets and liabilities on a recurring basis. Fair value is the price that would be received to sell an asset or paid to transfer a liability in an orderly transaction between market participants at the measurement date. The Company categorizes its financial instruments carried at fair value into a three-level fair value hierarchy, based on the priority of inputs to the respective valuation technique. The three-level hierarchy for fair value measurement is described as follows:</w:t>
      </w:r>
    </w:p>
    <w:p>
      <w:pPr>
        <w:spacing w:after="0" w:line="207" w:lineRule="exact"/>
        <w:rPr>
          <w:sz w:val="20"/>
          <w:szCs w:val="20"/>
          <w:color w:val="auto"/>
        </w:rPr>
      </w:pPr>
    </w:p>
    <w:p>
      <w:pPr>
        <w:ind w:left="660" w:right="4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includes instruments for which inputs are quoted prices in active markets for identical assets or liabilities that the Company has the ability to access.</w:t>
      </w:r>
    </w:p>
    <w:p>
      <w:pPr>
        <w:spacing w:after="0" w:line="18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includes instruments for which the inputs are other than quoted prices that are observable for the asset or liability, either directly or indirectly, and fair value can be determined through the use of models or other valuation methodologies that do not require significant judgment since the inputs are corroborated by readily observable data.</w:t>
      </w:r>
    </w:p>
    <w:p>
      <w:pPr>
        <w:spacing w:after="0" w:line="202"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includes instruments for which the valuations are based on inputs that are unobservable and significant to the overall fair value measurement. These inputs are supported by little or no market activity and reflect the use of significant management judgment.</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also holds assets whose fair value is measured and recorded on a nonrecurring basis. These assets include equity method investments, equity investments without a readily determinable fair value and certain non-financial assets, such as intangible assets and property and equipment.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carrying values of cash, cash equivalents and restricted cash, accounts receivable, accounts payable and other accrued liabilities approximate fair values because of the relatively short-term maturities of these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based on standard cost, which approximates actual average cost). Cost includes labor, materials and manufacturing overhead related to the purchase and production of inventories. Abnormal production levels are charged to "Cost of goods sold" in the period incurred rather than as a portion of inventory cost.</w:t>
      </w:r>
    </w:p>
    <w:p>
      <w:pPr>
        <w:spacing w:after="0" w:line="20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Company’s business is subject to the risk of technological and design changes. The Company evaluates inventory levels quarterly against demand forecasts on a material or product family basis to evaluate its overall inventory risk. Reserves are adjusted to reflect inventory values in excess of demand forecasts and management's analysis and assessment of overall inventory risk. In the event the Company sells inventory that had been covered by a specific inventory reserve, the sale is recorded at the actual selling price and the related cost of goods sold is recorded at the full inventory cost, net of the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25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generally sells products with a limited warranty against defects in materials and workmanship and non-conformance to applicable specifications. The majority of the Company’s product warranty claims are settled through the return of the defective product and the shipment of replacement product. Accruals are estimated based upon both our historical experience as well as specifically identified claims. If there is a material increase in the rate of customer claims compared with the Company's historical experience or if the Company's estimates of probable losses relating to specifically identified warranty exposures require revision, the Company may record a charge against future cost of sales. Product warranty accruals and related expenses were immaterial for the periods presented.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5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property and equipment is computed using the straight-line method over the estimated useful lives of the assets, ranging from one to 39 years. The Company capitalizes interest on borrowings related to eligible capital expenditures. Capitalized interest is added to the cost of qualified assets and depreciated together with that asset cost. The Company’s assets acquired under finance leases and leasehold improvements are amortized over the lesser of the asset life or lease term (which is reasonably assured) and included in depreciation. The Company records capital-related government grants earned as a reduction to property and equipment and depreciates such grants over the estimated useful lives of the associated assets.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period over which it expects to recover the economic value of the Company’s property and equipment, considering factors such as changes in machinery and equipment technology, the ability to re-use equipment across generations of process technology and historical usage trends. If the Company determines that the useful lives of its assets are shorter or longer than originally estimated, the rate of depreciation is adjusted to reflect the revised useful lives of the assets.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for impairment when events or changes in circumstances indicate that the carrying amount of its assets may not be recoverable. Factors that are considered in deciding when to perform an impairment review include an adverse change in the use of the Company’s assets or an expectation that the assets will be sold or otherwise disposed. The Company assesses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if any, is based on the excess of the carrying amount over the fair value of those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Right-of-use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 The Company elected the practical expedient not to separate lease and non-lease components for substantially all of its classes of leases and to account for the combined lease and non-lease components as a single lease component. In addition, the Company made an accounting policy election to exclude leases with an initial term of 12 months or less from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allocates the fair value of the purchase price to the assets acquired and liabilities assumed based on their estimated fair value. The excess of the purchase price over the fair values of the identifiable assets and liabilities is recorded to goodwill. Goodwill is assigned to the Company's reporting unit that is expected to benefit from the synergies of the business combination.</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number of assumptions, estimates and judgments are used in determining the fair value of acquired assets and liabilities, particularly with respect to the intangible assets acquired. The valuation of intangible assets requires the Company to use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20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value assets acquired and liabilities assumed at the acquisition date as well as contingent consideration, where applicable, the Company’s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After the measurement period, any purchase price adjustments are recognized in the Consolidated Statements of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Testing</w:t>
      </w:r>
    </w:p>
    <w:p>
      <w:pPr>
        <w:spacing w:after="0" w:line="22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In accordance with Accounting Standards Codification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("ASC 350"), goodwill is not amortized, but rather is reviewed for impairment at the reporting unit level on the first day of the Company's fourth quarter of each fiscal year, or when there is evidence that events or changes in circumstances indicate that the carrying amount of the goodwill may not be recovered.</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Under ASC 350, the Company has the option to first assess qualitatively whether it is more likely than not that the fair value of a reporting unit is less than its carrying amount, including goodwill.</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establishes its reporting units based on its current organizational structure, product and technology characteristics and the segment management's view of the business. As of January 2, 2022, the Company identified three reporting units within the Mobile Products ("MP") operating segment and two reporting units within the Infrastructure and Defense Products ("IDP") operating segment, and the optional qualitative assessment under ASC 350 was performed to determine whether the existence of events or circumstances indicated that it was more likely than not that the fair value of each reporting unit was less than its respective carrying value.</w:t>
      </w:r>
    </w:p>
    <w:p>
      <w:pPr>
        <w:spacing w:after="0" w:line="2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performing qualitative assessments, the Company considers (i) its overall historical and projected future operating results, (ii) if there was a significant decline in its stock price for a sustained period, (iii) if there was a significant change in its market capitalization relative to its net book value, and (iv) if there was a prolonged or more significant slowdown in the worldwide economy of the semiconductor industry, as well as other relevant events and factors affecting the reporting unit.</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fiscal 2022, the Company completed its annual qualitative assessments and concluded that based on the relevant events and circumstances, it was more likely than not that four of its five reporting units’ fair values exceeded their related carrying values. However, for one of the Company's MP reporting units (the acquired NextInput, Inc. ("NextInput") business), it was determined that the market adoption of the acquired technology into mobile handsets is expected to be delayed compared to the previous assumptions. Therefore, it was determined that it was more likely than not that the fair value of the reporting unit was less than its carrying amount, and a quantitative assessment was performed to calculate the fair value of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quantitative assessment considered both the income and market approaches to estimate the fair value of the reporting unit. The income approach is based on the discounted cash flow method that uses estimates of the reporting unit's forecasted future financial performance including revenues, operating expenses, taxes and capital expenditures. These estimates are developed as part of the Company's long-term planning process based on assumed market segment growth rates and its assumed market segment share, estimated costs based on historical data and various internal estimates. Projected cash flows are then discounted to a present value employing a discount rate that properly accounts for the estimated market weighted-average cost of capital, as well as any risk unique to the cash flows. The market approach is based on financial multiples (i.e., multiples of revenue or earnings before income taxes, depreciation and amortization) of comparable companies.</w:t>
      </w:r>
    </w:p>
    <w:p>
      <w:pPr>
        <w:spacing w:after="0" w:line="21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Based on the quantitative assessment performed, it was determined that the carrying amount of the reporting unit exceeded its fair value, which resulted in a goodwill impairment charge of $48.0 million. The goodwill impairment charge is recorded in “Other operating expense” in the Statement of Income for the fiscal year ended April 2, 2022.</w:t>
      </w:r>
    </w:p>
    <w:p>
      <w:pPr>
        <w:spacing w:after="0" w:line="20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Inherent in such fair value determinations of the Company's reporting units are significant judgments and estimates, including assumptions about future revenue, profitability and cash flows, operational plans and the Company's interpretation of current economic indicators and market valuations. To the extent these assumptions are incorrect or there are further declines in the Company's business outlook, additional goodwill impairment charges may be recorded in future periods.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fiscal 2021, the Company completed qualitative assessments and concluded that based on the relevant events and circumstances, it was more likely than not that each of the reporting unit’s fair value exceeded its related carrying value, and no further impairment testing was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Intangible Assets</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amortizes definite-lived intangible assets (including developed technology, customer relationships, technology licenses, backlog and trade names) over their estimated useful lives. In-process research and development ("IPRD") assets represent the fair value of incomplete research and development ("R&amp;D") projects that had not reached technological feasibility as of the date of the acquisition and are initially not subject to amortization. Upon completion of development, IPRD assets are transferred to developed technology and are amortized over their useful lives. The asset balances relating to abandoned projects are impaired and expensed to R&amp;D.</w:t>
      </w:r>
    </w:p>
    <w:p>
      <w:pPr>
        <w:spacing w:after="0" w:line="20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 evaluates definite-lived intangible assets for impairment in accordance with ASC 360-10-35,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to determine whether facts and circumstances (including external factors such as industry and economic trends and internal factors such as changes in the Company’s business strategy and forecasts) indicate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occur in the period in which the impairment determination was made.</w:t>
      </w:r>
    </w:p>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completing the Company's fiscal 2022 annual goodwill impairment assessment, the Company also evaluated its long-lived intangible assets and determined that the forecasted undiscounted net cash flows related to these assets were in excess of their carrying values. No definite-lived intangible asset impairment charges were recorded for fiscal years 2022 or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"Accrued liabilities" balance as of April 2, 2022 and April 3, 2021, includes accrued compensation and benefits of $113.6 million and $135.4 million, respectively, and interest payable of $19.8 million and $17.5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"Other current liabilities" balance as of April 2, 2022 and April 3, 2021, includes income taxes payable of $87.8 million and $86.7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to which the Company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products and services over time is immaterial (less than 3% of overall revenue). The Company applies a five-step approach as defined in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in determining the amount and timing of revenue to be recognized: (1) identifying the contract with a customer; (2) identifying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2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Sales agreements are in place with certain customers and contain terms and conditions with respect to payment, delivery, warranty and supply, but typically do not require minimum purchase commitments. In the absence of a sales agreement, the Company’s standard terms and conditions apply. The Company considers a customer's purchase order, which is governed by a sales agreement or the Company’s standard terms and conditions, to be the contract with the customer.</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 including distributors, and represents less than 7% of net revenue. The Company determines variable consideration by estimating the most likely amount of consideration it expects to receive from the customer. The Company's terms and conditions do not give its customers a right of return associated with the original sale of its products. However, the Company may authorize sales returns under certain circumstances, which include courtesy returns and like-kind exchanges. The Company reduces revenue and records reserves for product returns and allowances, rebate programs and scrap allowance based on historical experience or specific identification depending on the contractual terms of the arrangement.</w:t>
      </w:r>
    </w:p>
    <w:p>
      <w:pPr>
        <w:spacing w:after="0" w:line="21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Company’s accounts receivable balance is from contracts with customers and represents the Company’s unconditional right to receive consideration from its customers. Payments are due upon completion of the performance obligation and subsequent invoicing. Substantially all payments are collected within the Company’s standard terms, which do not include any financing components. To date, there have been no material impairment losses on accounts receivable. Contract assets and contract liabilities recorded on the Consolidated Balance Sheets were immaterial as of April 2, 2022 and April 3, 2021.</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invoices customers upon shipment and recognizes revenue in accordance with delivery terms. As of April 2, 2022, the Company had $424.7 million in remaining unsatisfied performance obligations with an original duration greater than one year, of which the majority is expected to be recognized as income over the next 12 months.</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includes shipping charges billed to customers in "Revenue" and includes the related shipping costs in "Cost of goods sold" in the Consolidated Statements of Income. Taxes assessed by government authorities on revenue-producing transactions, including tariffs, value-added and excise taxes, are excluded from revenue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incurs commission expense that is incremental to obtaining contracts with customers. Sales commissions (which are recorded in the "Selling, general and administrative" expense line item in the Consolidated Statements of Income)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charges all R&amp;D costs to expense as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 allowance is provided against deferred tax assets to the extent the Company determines it is more likely than not that some portion or all of its deferred tax assets will not be realized.</w:t>
      </w:r>
    </w:p>
    <w:p>
      <w:pPr>
        <w:spacing w:after="0" w:line="2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more likely than not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20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It is the Company’s current intent and policy to repatriate certain previously taxed earnings of foreign subsidiaries from outside the U.S. Accordingly, the Company recognizes a deferred tax liability for income taxes on certain unremitted foreign earnings of foreign subsidiaries. For earnings which remain permanently reinvested, it is not practical to estimate the additional tax that would be incurred, if any, if the permanently reinvested earnings were repatriated.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April 2, 2022, total remaining unearned compensation cost related to unvested restricted stock units was $121.0 million, which will be amortized over the weighted-average remaining service period of approximately 1.2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financial statements of foreign subsidiaries have been translated into U.S. dollars in accordance with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Revenues and expenses are translated using the weighted average exchange rates throughout the year. Translation adjustments are shown separately as a component of "Accumulated other comprehensive income" within "Stockholders’ equity" in the Consolidated Balance Sheets. Foreign currency transaction gains or losses (transactions denominated in a currency other than the functional currency) are reported in "Other income (expense),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2019, the Financial Accounting Standards Board issued Accounting Standards Update 2019-12, "</w:t>
      </w:r>
      <w:r>
        <w:rPr>
          <w:rFonts w:ascii="Times New Roman" w:cs="Times New Roman" w:eastAsia="Times New Roman" w:hAnsi="Times New Roman"/>
          <w:sz w:val="18"/>
          <w:szCs w:val="18"/>
          <w:i w:val="1"/>
          <w:iCs w:val="1"/>
          <w:color w:val="auto"/>
        </w:rPr>
        <w:t>Simplifying the Accounting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which eliminated certain exceptions within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clarified and simplified other aspects of the current accounting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adopted this standard in the first quarter of fiscal 2022, and it did not have a material impact on the Company's consolidated financial statements.</w:t>
      </w: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CONCENTRATIONS OF CREDIT RISK</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Company's trade receivables are evaluated on a collective (pool) basis and aggregated on the basis of similar risk characteristics, adjusting for broad-based economic indicators as well as customer specific factors. The Company has adopted credit policies and standards intended to accommodate industry growth and inherent risk and it believes that credit risks are moderated by the financial stability of its major customers, conservative payment terms and the Company’s strict credit policies.</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products to its largest end customer, Apple Inc., through sales to multiple contract manufacturers, which in the aggregate accounted for approximately 33%, 30% and 33% of total revenue in fiscal years 2022, 2021 and 2020, respectively. Samsung Electronics Co., Ltd., accounted for approximately 11%, 7% and 8% of total revenue in fiscal years 2022, 2021 and 2020, respectively. These customers primarily purchase radio frequency ("RF") solutions for a variety of mobile devices.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three largest accounts receivable balances comprised approximately 57% and 58% of aggregate gross accounts receivable as of April 2, 2022 and April 3, 2021,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net of reserves, are as follows (in thousands):</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22"/>
        </w:trPr>
        <w:tc>
          <w:tcPr>
            <w:tcW w:w="7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300" w:type="dxa"/>
            <w:vAlign w:val="bottom"/>
          </w:tcPr>
          <w:p>
            <w:pPr>
              <w:spacing w:after="0"/>
              <w:rPr>
                <w:sz w:val="24"/>
                <w:szCs w:val="24"/>
                <w:color w:val="auto"/>
              </w:rPr>
            </w:pPr>
          </w:p>
        </w:tc>
        <w:tc>
          <w:tcPr>
            <w:tcW w:w="15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April 3, 2021</w:t>
            </w:r>
          </w:p>
        </w:tc>
      </w:tr>
      <w:tr>
        <w:trPr>
          <w:trHeight w:val="23"/>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134,959</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357,332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283,067</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89,761</w:t>
            </w: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755,748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507,787</w:t>
            </w:r>
          </w:p>
        </w:tc>
      </w:tr>
      <w:tr>
        <w:trPr>
          <w:trHeight w:val="20"/>
        </w:trPr>
        <w:tc>
          <w:tcPr>
            <w:tcW w:w="7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300" w:type="dxa"/>
            <w:vAlign w:val="bottom"/>
          </w:tcPr>
          <w:p>
            <w:pPr>
              <w:spacing w:after="0"/>
              <w:rPr>
                <w:sz w:val="16"/>
                <w:szCs w:val="16"/>
                <w:color w:val="auto"/>
              </w:rPr>
            </w:pPr>
          </w:p>
        </w:tc>
        <w:tc>
          <w:tcPr>
            <w:tcW w:w="15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April 3, 2021</w:t>
            </w:r>
          </w:p>
        </w:tc>
      </w:tr>
      <w:tr>
        <w:trPr>
          <w:trHeight w:val="23"/>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411,180</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2,401,735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2,282,059</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128,317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108,563</w:t>
            </w:r>
          </w:p>
        </w:tc>
      </w:tr>
      <w:tr>
        <w:trPr>
          <w:trHeight w:val="223"/>
        </w:trPr>
        <w:tc>
          <w:tcPr>
            <w:tcW w:w="7500" w:type="dxa"/>
            <w:vAlign w:val="bottom"/>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2,988,199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2,827,644</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(1,734,608)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(1,561,613)</w:t>
            </w:r>
          </w:p>
        </w:tc>
      </w:tr>
      <w:tr>
        <w:trPr>
          <w:trHeight w:val="248"/>
        </w:trPr>
        <w:tc>
          <w:tcPr>
            <w:tcW w:w="7500" w:type="dxa"/>
            <w:vAlign w:val="bottom"/>
            <w:tcBorders>
              <w:bottom w:val="single" w:sz="8" w:color="CCEEFF"/>
            </w:tcBorders>
            <w:shd w:val="clear" w:color="auto" w:fill="CCEEFF"/>
          </w:tcPr>
          <w:p>
            <w:pPr>
              <w:jc w:val="right"/>
              <w:ind w:right="461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1,253,591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1,266,031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BUSINESS ACQUISITIONS</w:t>
      </w:r>
    </w:p>
    <w:p>
      <w:pPr>
        <w:spacing w:after="0" w:line="3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During fiscal 2022, the Company completed the acquisitions of United Silicon Carbide, Inc. ("United SiC") and NextInput. During fiscal 2021, the Company completed the acquisition of 7Hugs Labs S.A.S. ("7Hugs"). During fiscal 2020, the Company completed the acquisitions of Decawave Limited ("Decawave"), Custom MMIC Design Services, Inc. ("Custom MMIC"), Cavendish Kinetics Limited ("Cavendish") and Active-Semi International, Inc. ("Active-Semi"). The goodwill resulting from these acquisitions is attributed to synergies and other benefits that are expected to be generated from these transactions.</w:t>
      </w:r>
    </w:p>
    <w:p>
      <w:pPr>
        <w:spacing w:after="0" w:line="210"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The operating results of these companies, which were not material either individually or in the aggregate, have been included in the Company's consolidated financial statements as of the acquisition dates. As a result, pro forma results of operations for these acquisitions have not been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Silicon Carbide, Inc.</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19, 2021, the Company acquired all the outstanding equity interests of United SiC, a leading manufacturer of silicon carbide ("SiC") power semiconductors, for a total purchase price of $236.6 million. The acquisition expands the Company's offerings to include SiC power products for a range of applications such as electric vehicles, battery charging, IT infrastructure, renewables and circuit protection.</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purchase price was comprised of cash consideration of $227.1 million and contingent consideration of up to $31.3 million which is expected to be paid to the sellers (in the first quarter of fiscal 2024) if certain revenue and gross margin targets are achieved over the period beginning on the acquisition date through December 31, 2022. The estimated fair value of the contingent consideration was $9.5 million as of the acquisition date. At April 2, 2022, the contingent consideration liability was remeasured to a fair value of $17.6 million and is included in "Other long-term liabilities" in the Consolidated Balance Sheet. The increase in the fair value was recognized in "Other operating expense" in the Consolidated Statement of Income. See Note 7 for further information related to the fair value measurement.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was preliminarily allocated based on the estimated fair values of the assets acquired and liabilities assumed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145,780</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96,755</w:t>
            </w:r>
          </w:p>
        </w:tc>
      </w:tr>
      <w:tr>
        <w:trPr>
          <w:trHeight w:val="230"/>
        </w:trPr>
        <w:tc>
          <w:tcPr>
            <w:tcW w:w="9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tangible assets </w:t>
            </w:r>
            <w:r>
              <w:rPr>
                <w:rFonts w:ascii="Times New Roman" w:cs="Times New Roman" w:eastAsia="Times New Roman" w:hAnsi="Times New Roman"/>
                <w:sz w:val="23"/>
                <w:szCs w:val="23"/>
                <w:color w:val="auto"/>
                <w:vertAlign w:val="superscript"/>
              </w:rPr>
              <w:t>(1)</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(24,036)</w:t>
            </w:r>
          </w:p>
        </w:tc>
      </w:tr>
      <w:tr>
        <w:trPr>
          <w:trHeight w:val="248"/>
        </w:trPr>
        <w:tc>
          <w:tcPr>
            <w:tcW w:w="9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purchase price</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236,626</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cash acquired of $5.5 million.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more significant intangible assets acquired included developed technology of $126.1 million and customer relationships of $19.2 million.</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the developed technology acquired was determined based on an income approach using the "excess earnings method" which estimated the value of the intangible asset by discounting the future projected earnings of the asset to present value as of the valuation date. The acquired developed technology asset is being amortized on a straight-line basis over its estimated useful life of eleven years.</w:t>
      </w:r>
    </w:p>
    <w:p>
      <w:pPr>
        <w:spacing w:after="0" w:line="20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fair value of the customer relationships acquired was determined based on an income approach using the "with and without method" in which the value of the intangible asset is determined by the difference in discounted cash flows of the profitability of the Company "with" the asset and the profitability of the Company "without" the asset. These customer relationships are being amortized on a straight-line basis over their estimated useful life of three years.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continue to evaluate certain assets, liabilities and tax estimates over the measurement period (up to one year from the acquisition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recognized from the acquisition of United SiC has been assigned to the IDP segment and is not deductible for income tax purposes.</w:t>
      </w:r>
    </w:p>
    <w:p>
      <w:pPr>
        <w:spacing w:after="0" w:line="2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fiscal 2022, the Company recorded acquisition and integration related costs associated with the acquisition of United SiC totaling $12.2 million in "Other operating expense" in the Consolidated Statement of Income. During fiscal 2022, the Company also recorded $3.6 million of acquisition and integration related costs in "Cost of goods sold" in the Consolidated Statement of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NextInput, Inc.</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April 5, 2021, the Company acquired all the outstanding equity interests of NextInput, a leader in microelectromechanical system ("MEMS")-based sensing solutions, for a total cash purchase price of $173.3 million. The acquisition expands the Company's offerings of MEMS-based products for mobile applications and provides sensing solutions for a broad range of applications in other markets.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was preliminarily allocated based on the estimated fair values of the assets acquired and liabilities assumed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95,211</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tangible assets </w:t>
            </w:r>
            <w:r>
              <w:rPr>
                <w:rFonts w:ascii="Times New Roman" w:cs="Times New Roman" w:eastAsia="Times New Roman" w:hAnsi="Times New Roman"/>
                <w:sz w:val="10"/>
                <w:szCs w:val="10"/>
                <w:color w:val="auto"/>
              </w:rPr>
              <w:t>(1)</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w:t>
            </w:r>
          </w:p>
        </w:tc>
      </w:tr>
      <w:tr>
        <w:trPr>
          <w:trHeight w:val="248"/>
        </w:trPr>
        <w:tc>
          <w:tcPr>
            <w:tcW w:w="9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purchase price</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173,314</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cash acquired of $5.8 million.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more significant intangible assets acquired included developed technology of $73.0 million and customer relationships of $7.5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developed technology acquired was determined based on an income approach using the "excess earnings method" described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developed technology asset is being amortized on a straight-line basis over its estimated useful life of seven years.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customer relationships acquired was determined based on an income approach using the "with and without method" described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customer relationships are being amortized on a straight-line basis over their estimated useful life of one year.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recognized from the acquisition of NextInput has been assigned to the MP segment and is not deductible for income tax purposes.</w:t>
      </w:r>
    </w:p>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fiscal years 2022 and 2021, the Company recorded acquisition and integration related costs associated with the acquisition of NextInput totaling $2.7 million and $1.8 million, respectively, in "Other operating expense" in the Consolidated Statements of Income.</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annual qualitative goodwill impairment assessment, it was determined that the market adoption of the acquired NextInput technology into mobile handsets is expected to be delayed compared to the previous assumptions. As a result, the Company completed a quantitative assessment of its reporting unit, which resulted in a goodwill impairment charge of $48.0 million. See Note 6 for further information on this goodwill impairment charge.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7Hugs Labs S.A.S.</w:t>
      </w:r>
    </w:p>
    <w:p>
      <w:pPr>
        <w:spacing w:after="0" w:line="25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In fiscal 2021, the Company acquired all the outstanding equity interests of 7Hugs, a private developer of ultra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wideband ("UWB") software and solutions, for a total cash purchase price of $48.7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fiscal years 2022 and 2021, the Company recorded acquisition and integration related costs associated with the acquisition of 7Hugs totaling $0.2 million and $2.4 million, respectively, in "Other operating expense" in the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Decawave Limited</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fiscal 2020, the Company acquired all the outstanding equity interests of Decawave, a pioneer in UWB technology and provider of UWB solutions for mobile, automotive and Internet of Things ("IoT") applications, for a total cash purchase price of $372.2 million.</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fiscal years 2022, 2021 and 2020, the Company recorded acquisition and integration related costs associated with the acquisition of Decawave totaling $6.7 million, $11.3 million and $12.4 million, respectively, in "Other operating expense" in the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 MMIC Design Services, Inc.</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fiscal 2020, the Company acquired all the outstanding equity interests of Custom MMIC, a supplier of high-performance gallium arsenide and gallium nitride monolithic microwave integrated circuits for defense, aerospace and commercial applications, for a total purchase price of $91.7 million.</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fiscal years 2021 and 2020, the Company recorded acquisition and integration related costs associated with the acquisition of Custom MMIC totaling $10.3 million and $9.4 million, respectively, in "Other operating expense" in the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Cavendish Kinetics Limited</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fiscal 2020, the Company completed the acquisition of the remaining issued and outstanding capital of Cavendish for cash consideration of $198.4 million. The purchase of the remaining equity interest in Cavendish was considered to be an acquisition achieved in stages, whereby the previously held equity interest was remeasured at its acquisition-date fair value. This resulted in recognition of a gain of $43.0 million in fiscal 2020, which is recorded in "Other income (expense), net" in the Consolidated Statement of Income.</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fiscal years 2022, 2021 and 2020, the Company recorded acquisition and integration related costs associated with the acquisition of Cavendish totaling less than $0.1 million, $0.7 million and $3.8 million, respectively, in "Other operating expense" in the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Active-Semi International, Inc.</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fiscal 2020, the Company acquired all the outstanding equity interests of Active-Semi, a private fabless supplier of programmable analog power management solutions, for a total cash purchase price of $307.9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years 2022, 2021 and 2020, the Company recorded acquisition and integration related costs associated with the acquisition of Active-Semi of $0.2 million, $0.8 million and $25.3 million, respectively, in "Other operating expense" in the Consolidated Statements of Income. During fiscal 2020, the Company also recorded $4.2 million of acquisition and integration related costs in "Cost of goods sold"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fiscal 2022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Mobile Products</w:t>
            </w:r>
          </w:p>
        </w:tc>
        <w:tc>
          <w:tcPr>
            <w:tcW w:w="1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Infrastructure and Defense</w:t>
            </w:r>
          </w:p>
        </w:tc>
        <w:tc>
          <w:tcPr>
            <w:tcW w:w="420" w:type="dxa"/>
            <w:vAlign w:val="bottom"/>
          </w:tcPr>
          <w:p>
            <w:pPr>
              <w:spacing w:after="0"/>
              <w:rPr>
                <w:sz w:val="13"/>
                <w:szCs w:val="13"/>
                <w:color w:val="auto"/>
              </w:rPr>
            </w:pPr>
          </w:p>
        </w:tc>
        <w:tc>
          <w:tcPr>
            <w:tcW w:w="1380" w:type="dxa"/>
            <w:vAlign w:val="bottom"/>
            <w:vMerge w:val="restart"/>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4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Balance as of April 3, 2021 </w:t>
            </w:r>
            <w:r>
              <w:rPr>
                <w:rFonts w:ascii="Times New Roman" w:cs="Times New Roman" w:eastAsia="Times New Roman" w:hAnsi="Times New Roman"/>
                <w:sz w:val="10"/>
                <w:szCs w:val="10"/>
                <w:color w:val="auto"/>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2,034,383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608,325</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2,642,708</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Goodwill resulting from NextInput acquisition </w:t>
            </w:r>
            <w:r>
              <w:rPr>
                <w:rFonts w:ascii="Times New Roman" w:cs="Times New Roman" w:eastAsia="Times New Roman" w:hAnsi="Times New Roman"/>
                <w:sz w:val="18"/>
                <w:szCs w:val="18"/>
                <w:i w:val="1"/>
                <w:iCs w:val="1"/>
                <w:color w:val="auto"/>
              </w:rPr>
              <w:t>(Note 5)</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Goodwill resulting from United SiC acquisition </w:t>
            </w:r>
            <w:r>
              <w:rPr>
                <w:rFonts w:ascii="Times New Roman" w:cs="Times New Roman" w:eastAsia="Times New Roman" w:hAnsi="Times New Roman"/>
                <w:sz w:val="18"/>
                <w:szCs w:val="18"/>
                <w:i w:val="1"/>
                <w:iCs w:val="1"/>
                <w:color w:val="auto"/>
              </w:rPr>
              <w:t>(Note 5)</w:t>
            </w:r>
          </w:p>
        </w:tc>
        <w:tc>
          <w:tcPr>
            <w:tcW w:w="26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96,755</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7Hugs measurement period adjustments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changes in foreign currency exchange rates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Balance as of April 2, 2022 </w:t>
            </w:r>
            <w:r>
              <w:rPr>
                <w:rFonts w:ascii="Times New Roman" w:cs="Times New Roman" w:eastAsia="Times New Roman" w:hAnsi="Times New Roman"/>
                <w:sz w:val="10"/>
                <w:szCs w:val="10"/>
                <w:color w:val="auto"/>
              </w:rPr>
              <w:t>(1)</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2,070,554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705,080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2,775,634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right="240" w:firstLine="8"/>
        <w:spacing w:after="0" w:line="280" w:lineRule="auto"/>
        <w:tabs>
          <w:tab w:leader="none" w:pos="22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goodwill balance is presented net of accumulated impairment losses and write-offs totaling $669.6 million and $621.6 million as of April 2, 2022 and April 3, 2021, respectively, which were recognized in fiscal years 2009, 2013, 2014 and 2022.</w:t>
      </w: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accordance with ASC 350, the Company reviewed its goodwill for impairment at the reporting unit level on the first day of its fourth quarter of fiscal 2022. The Company first performed the optional qualitative impairment assessments and concluded that based on the relevant events and circumstances it was more likely than not that four of its five reporting units' fair values exceeded their related carrying values. However, for one of its reporting units within the MP segment (the NextInput business), it was determined that the adoption of the acquired NextInput technology into mobile handsets is expected to be delayed compared to the previous assumptions. As a result, the Company determined that it was more likely than not that the fair value of the reporting unit was less than its carrying amount. Therefore, the Company performed a quantitative assessment to calculate the fair value of the reporting unit.</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quantitative assessment considered both the income and market approaches to estimate the fair value of the reporting unit. The income approach is based on the discounted cash flow method that uses estimates of the reporting unit’s forecasted future financial performance including revenues, operating expenses, taxes and capital expenditures. These estimates are developed as part of the Company's long-term planning process based on assumed market segment growth rates and its assumed market segment share, estimated costs based on historical data and various internal estimates. Projected cash flows are then discounted to a present value employing a discount rate that properly accounts for the estimated market weighted-average cost of capital, as well as any risk unique to the cash flows. The market approach is based on financial multiples (i.e., multiples of revenue or earnings before income taxes, depreciation and amortization) of comparable companies.</w:t>
      </w:r>
    </w:p>
    <w:p>
      <w:pPr>
        <w:spacing w:after="0" w:line="21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the quantitative assessment performed, the carrying amount of the reporting unit exceeded its fair value, which resulted in a goodwill impairment charge of $48.0 million. The goodwill impairment charge is recorded in "Other operating expense" in the fiscal 2022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information regarding the gross carrying amounts and accumulated amortization of intangible assets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 2021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00" w:type="dxa"/>
            <w:vAlign w:val="bottom"/>
          </w:tcPr>
          <w:p>
            <w:pPr>
              <w:spacing w:after="0"/>
              <w:rPr>
                <w:sz w:val="11"/>
                <w:szCs w:val="11"/>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56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20" w:type="dxa"/>
            <w:vAlign w:val="bottom"/>
          </w:tcPr>
          <w:p>
            <w:pPr>
              <w:spacing w:after="0"/>
              <w:rPr>
                <w:sz w:val="11"/>
                <w:szCs w:val="11"/>
                <w:color w:val="auto"/>
              </w:rPr>
            </w:pPr>
          </w:p>
        </w:tc>
        <w:tc>
          <w:tcPr>
            <w:tcW w:w="13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6"/>
                <w:szCs w:val="16"/>
                <w:color w:val="auto"/>
              </w:rPr>
            </w:pPr>
          </w:p>
        </w:tc>
        <w:tc>
          <w:tcPr>
            <w:tcW w:w="13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1,026,690</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420,255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1,295,113</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750,044</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403,407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licenses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IPRD</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1,145,776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1,157,763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include the impact of foreign currency translation.</w:t>
      </w:r>
    </w:p>
    <w:p>
      <w:pPr>
        <w:spacing w:after="0" w:line="2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intangible assets amortization expense was $150.5 million, $252.9 million and $247.3 million in fiscal years 2022, 2021 and 2020, respectively.</w:t>
      </w:r>
    </w:p>
    <w:p>
      <w:pPr>
        <w:spacing w:after="0" w:line="2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estimated amortization expense for intangible assets based on current amortization periods for the periods indicated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9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2"/>
                <w:szCs w:val="12"/>
                <w:color w:val="auto"/>
              </w:rPr>
            </w:pPr>
          </w:p>
        </w:tc>
        <w:tc>
          <w:tcPr>
            <w:tcW w:w="1500" w:type="dxa"/>
            <w:vAlign w:val="bottom"/>
          </w:tcPr>
          <w:p>
            <w:pPr>
              <w:jc w:val="center"/>
              <w:ind w:right="237"/>
              <w:spacing w:after="0" w:line="146"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6"/>
        </w:trPr>
        <w:tc>
          <w:tcPr>
            <w:tcW w:w="944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134,000</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INVESTMENTS AND FAIR VALUE OF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invests in limited partnerships and accounts for these investments using the equity method. The carrying amounts of these investments as of April 2, 2022 and April 3, 2021 were $27.1 million and $29.8 million, respectively, and are classified as "Long-term investments" in the Consolidated Balance Sheets. During fiscal years 2022 and 2021, the Company recorded income of $12.0 million and $21.5 million, respectively, based on its share of the limited partnerships' earnings in "Other income (expense), net" in the Consolidated Statements of Income. The Company received cash distributions totaling $14.8 million and $5.9 million during fiscal years 2022 and 2021, respectively. The cash distributions were recognized as reductions to the carrying value of the investments and included in the cash flows from investing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the financial assets and liabilities measured on a recurring basis as determined using the following levels of inputs (in thousands):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April 2, 2022</w:t>
      </w:r>
    </w:p>
    <w:p>
      <w:pPr>
        <w:spacing w:after="0" w:line="31" w:lineRule="exact"/>
        <w:rPr>
          <w:sz w:val="20"/>
          <w:szCs w:val="20"/>
          <w:color w:val="auto"/>
        </w:rPr>
      </w:pPr>
    </w:p>
    <w:p>
      <w:pPr>
        <w:jc w:val="right"/>
        <w:spacing w:after="0"/>
        <w:tabs>
          <w:tab w:leader="none" w:pos="80" w:val="left"/>
        </w:tabs>
        <w:rPr>
          <w:sz w:val="20"/>
          <w:szCs w:val="20"/>
          <w:color w:val="auto"/>
        </w:rPr>
      </w:pPr>
      <w:r>
        <w:rPr>
          <w:rFonts w:ascii="Times New Roman" w:cs="Times New Roman" w:eastAsia="Times New Roman" w:hAnsi="Times New Roman"/>
          <w:sz w:val="18"/>
          <w:szCs w:val="18"/>
          <w:color w:val="auto"/>
        </w:rPr>
        <w:t>Marketable equity securities</w:t>
      </w:r>
      <w:r>
        <w:rPr>
          <w:sz w:val="20"/>
          <w:szCs w:val="20"/>
          <w:color w:val="auto"/>
        </w:rPr>
        <w:tab/>
      </w:r>
      <w:r>
        <w:rPr>
          <w:rFonts w:ascii="Times New Roman" w:cs="Times New Roman" w:eastAsia="Times New Roman" w:hAnsi="Times New Roman"/>
          <w:sz w:val="18"/>
          <w:szCs w:val="18"/>
          <w:color w:val="auto"/>
        </w:rPr>
        <w:t>$</w:t>
      </w:r>
    </w:p>
    <w:p>
      <w:pPr>
        <w:ind w:left="440"/>
        <w:spacing w:after="0" w:line="195" w:lineRule="auto"/>
        <w:rPr>
          <w:sz w:val="20"/>
          <w:szCs w:val="20"/>
          <w:color w:val="auto"/>
        </w:rPr>
      </w:pPr>
      <w:r>
        <w:rPr>
          <w:rFonts w:ascii="Times New Roman" w:cs="Times New Roman" w:eastAsia="Times New Roman" w:hAnsi="Times New Roman"/>
          <w:sz w:val="18"/>
          <w:szCs w:val="18"/>
          <w:color w:val="auto"/>
        </w:rPr>
        <w:t>Invested funds in deferred compensation plan</w:t>
      </w:r>
    </w:p>
    <w:p>
      <w:pPr>
        <w:ind w:left="600"/>
        <w:spacing w:after="0"/>
        <w:rPr>
          <w:sz w:val="20"/>
          <w:szCs w:val="20"/>
          <w:color w:val="auto"/>
        </w:rPr>
      </w:pPr>
      <w:r>
        <w:rPr>
          <w:rFonts w:ascii="Times New Roman" w:cs="Times New Roman" w:eastAsia="Times New Roman" w:hAnsi="Times New Roman"/>
          <w:sz w:val="9"/>
          <w:szCs w:val="9"/>
          <w:color w:val="auto"/>
        </w:rPr>
        <w:t>(1)</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Contingent earn-out liability </w:t>
      </w:r>
      <w:r>
        <w:rPr>
          <w:rFonts w:ascii="Times New Roman" w:cs="Times New Roman" w:eastAsia="Times New Roman" w:hAnsi="Times New Roman"/>
          <w:sz w:val="9"/>
          <w:szCs w:val="9"/>
          <w:color w:val="auto"/>
        </w:rPr>
        <w:t>(2)</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April 3, 2021</w:t>
      </w:r>
    </w:p>
    <w:p>
      <w:pPr>
        <w:spacing w:after="0" w:line="31" w:lineRule="exact"/>
        <w:rPr>
          <w:sz w:val="20"/>
          <w:szCs w:val="20"/>
          <w:color w:val="auto"/>
        </w:rPr>
      </w:pPr>
    </w:p>
    <w:p>
      <w:pPr>
        <w:jc w:val="right"/>
        <w:spacing w:after="0"/>
        <w:tabs>
          <w:tab w:leader="none" w:pos="80" w:val="left"/>
        </w:tabs>
        <w:rPr>
          <w:sz w:val="20"/>
          <w:szCs w:val="20"/>
          <w:color w:val="auto"/>
        </w:rPr>
      </w:pPr>
      <w:r>
        <w:rPr>
          <w:rFonts w:ascii="Times New Roman" w:cs="Times New Roman" w:eastAsia="Times New Roman" w:hAnsi="Times New Roman"/>
          <w:sz w:val="18"/>
          <w:szCs w:val="18"/>
          <w:color w:val="auto"/>
        </w:rPr>
        <w:t>Marketable equity securities</w:t>
      </w:r>
      <w:r>
        <w:rPr>
          <w:sz w:val="20"/>
          <w:szCs w:val="20"/>
          <w:color w:val="auto"/>
        </w:rPr>
        <w:tab/>
      </w:r>
      <w:r>
        <w:rPr>
          <w:rFonts w:ascii="Times New Roman" w:cs="Times New Roman" w:eastAsia="Times New Roman" w:hAnsi="Times New Roman"/>
          <w:sz w:val="18"/>
          <w:szCs w:val="18"/>
          <w:color w:val="auto"/>
        </w:rPr>
        <w:t>$</w:t>
      </w:r>
    </w:p>
    <w:p>
      <w:pPr>
        <w:ind w:left="440"/>
        <w:spacing w:after="0" w:line="195" w:lineRule="auto"/>
        <w:rPr>
          <w:sz w:val="20"/>
          <w:szCs w:val="20"/>
          <w:color w:val="auto"/>
        </w:rPr>
      </w:pPr>
      <w:r>
        <w:rPr>
          <w:rFonts w:ascii="Times New Roman" w:cs="Times New Roman" w:eastAsia="Times New Roman" w:hAnsi="Times New Roman"/>
          <w:sz w:val="18"/>
          <w:szCs w:val="18"/>
          <w:color w:val="auto"/>
        </w:rPr>
        <w:t>Invested funds in deferred compensation plan</w:t>
      </w:r>
    </w:p>
    <w:p>
      <w:pPr>
        <w:ind w:left="600"/>
        <w:spacing w:after="0"/>
        <w:rPr>
          <w:sz w:val="20"/>
          <w:szCs w:val="20"/>
          <w:color w:val="auto"/>
        </w:rPr>
      </w:pPr>
      <w:r>
        <w:rPr>
          <w:rFonts w:ascii="Times New Roman" w:cs="Times New Roman" w:eastAsia="Times New Roman" w:hAnsi="Times New Roman"/>
          <w:sz w:val="9"/>
          <w:szCs w:val="9"/>
          <w:color w:val="auto"/>
        </w:rPr>
        <w:t>(1)</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Contingent earn-out liability </w:t>
      </w:r>
      <w:r>
        <w:rPr>
          <w:rFonts w:ascii="Times New Roman" w:cs="Times New Roman" w:eastAsia="Times New Roman" w:hAnsi="Times New Roman"/>
          <w:sz w:val="9"/>
          <w:szCs w:val="9"/>
          <w:color w:val="auto"/>
        </w:rPr>
        <w:t>(3)</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80" w:type="dxa"/>
            <w:vAlign w:val="bottom"/>
            <w:vMerge w:val="restart"/>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6"/>
        </w:trPr>
        <w:tc>
          <w:tcPr>
            <w:tcW w:w="1160" w:type="dxa"/>
            <w:vAlign w:val="bottom"/>
            <w:vMerge w:val="restart"/>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80" w:type="dxa"/>
            <w:vAlign w:val="bottom"/>
          </w:tcPr>
          <w:p>
            <w:pPr>
              <w:jc w:val="center"/>
              <w:ind w:left="221"/>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ind w:right="217"/>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116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444"/>
        </w:trPr>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2,906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Pr>
          <w:p>
            <w:pPr>
              <w:spacing w:after="0"/>
              <w:rPr>
                <w:sz w:val="24"/>
                <w:szCs w:val="24"/>
                <w:color w:val="auto"/>
              </w:rPr>
            </w:pPr>
          </w:p>
        </w:tc>
        <w:tc>
          <w:tcPr>
            <w:tcW w:w="1480" w:type="dxa"/>
            <w:vAlign w:val="bottom"/>
          </w:tcPr>
          <w:p>
            <w:pPr>
              <w:jc w:val="right"/>
              <w:ind w:right="130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9"/>
        </w:trPr>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39,356</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39,356</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(17,600)</w:t>
            </w: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(17,600)</w:t>
            </w:r>
          </w:p>
        </w:tc>
        <w:tc>
          <w:tcPr>
            <w:tcW w:w="0" w:type="dxa"/>
            <w:vAlign w:val="bottom"/>
          </w:tcPr>
          <w:p>
            <w:pPr>
              <w:spacing w:after="0"/>
              <w:rPr>
                <w:sz w:val="1"/>
                <w:szCs w:val="1"/>
                <w:color w:val="auto"/>
              </w:rPr>
            </w:pPr>
          </w:p>
        </w:tc>
      </w:tr>
      <w:tr>
        <w:trPr>
          <w:trHeight w:val="716"/>
        </w:trPr>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3,802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Pr>
          <w:p>
            <w:pPr>
              <w:spacing w:after="0"/>
              <w:rPr>
                <w:sz w:val="24"/>
                <w:szCs w:val="24"/>
                <w:color w:val="auto"/>
              </w:rPr>
            </w:pPr>
          </w:p>
        </w:tc>
        <w:tc>
          <w:tcPr>
            <w:tcW w:w="1480" w:type="dxa"/>
            <w:vAlign w:val="bottom"/>
          </w:tcPr>
          <w:p>
            <w:pPr>
              <w:jc w:val="right"/>
              <w:ind w:right="130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9"/>
        </w:trPr>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32,824</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32,824</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-1156970</wp:posOffset>
            </wp:positionV>
            <wp:extent cx="713232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-805180</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-496570</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-145415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-1448435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3860" w:space="620"/>
            <w:col w:w="6760"/>
          </w:cols>
          <w:pgMar w:left="320" w:top="126" w:right="339" w:bottom="1440" w:gutter="0" w:footer="0" w:header="0"/>
          <w:type w:val="continuous"/>
        </w:sectPr>
      </w:pPr>
    </w:p>
    <w:p>
      <w:pPr>
        <w:ind w:right="80" w:firstLine="8"/>
        <w:spacing w:after="0" w:line="260" w:lineRule="auto"/>
        <w:tabs>
          <w:tab w:leader="none" w:pos="22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Invested funds under the Company's non-qualified deferred compensation plan are held in a rabbi trust and consist of mutual funds. The fair value of the mutual funds is calculated using the net asset value per share as determined by quoted active market prices of the underlying investments. See Note 10 for further information on the Company's non-qualified deferred compensation plan.</w:t>
      </w:r>
    </w:p>
    <w:p>
      <w:pPr>
        <w:ind w:right="60" w:firstLine="8"/>
        <w:spacing w:after="0" w:line="255" w:lineRule="auto"/>
        <w:tabs>
          <w:tab w:leader="none" w:pos="22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recorded a contingent earn-out liability in conjunction with the acquisition of United SiC (see Note 5). The fair value of this liability is estimated using an option pricing model.</w:t>
      </w:r>
    </w:p>
    <w:p>
      <w:pPr>
        <w:ind w:right="600" w:firstLine="8"/>
        <w:spacing w:after="0" w:line="257" w:lineRule="auto"/>
        <w:tabs>
          <w:tab w:leader="none" w:pos="22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recorded a contingent earn-out liability in conjunction with the acquisition of Custom MMIC. As of April 3, 2021, the fair value of the contingent consideration liability was equal to the maximum amount payable which was paid during fiscal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leases certain of its corporate, manufacturing and other facilities from multiple third-party real estate developers. The Company also leases various machinery and office equipment. These operating leases expire at various dates through 2036, and some of these leases have renewal options, with the longest ranging up to two, ten-year periods.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 are classified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300" w:type="dxa"/>
            <w:vAlign w:val="bottom"/>
          </w:tcPr>
          <w:p>
            <w:pPr>
              <w:spacing w:after="0"/>
              <w:rPr>
                <w:sz w:val="16"/>
                <w:szCs w:val="16"/>
                <w:color w:val="auto"/>
              </w:rPr>
            </w:pP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April 3, 2021</w:t>
            </w:r>
          </w:p>
        </w:tc>
      </w:tr>
      <w:tr>
        <w:trPr>
          <w:trHeight w:val="23"/>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62,925</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15,068</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operating leases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
        </w:trPr>
        <w:tc>
          <w:tcPr>
            <w:tcW w:w="5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17,382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r>
      <w:tr>
        <w:trPr>
          <w:trHeight w:val="257"/>
        </w:trPr>
        <w:tc>
          <w:tcPr>
            <w:tcW w:w="5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175"/>
        </w:trPr>
        <w:tc>
          <w:tcPr>
            <w:tcW w:w="5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4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18,697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16,504</w:t>
            </w:r>
          </w:p>
        </w:tc>
      </w:tr>
      <w:tr>
        <w:trPr>
          <w:trHeight w:val="257"/>
        </w:trPr>
        <w:tc>
          <w:tcPr>
            <w:tcW w:w="5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12,899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r>
      <w:tr>
        <w:trPr>
          <w:trHeight w:val="729"/>
        </w:trPr>
        <w:tc>
          <w:tcPr>
            <w:tcW w:w="94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rates for operating leases are as follows:</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01"/>
        </w:trPr>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260" w:type="dxa"/>
            <w:vAlign w:val="bottom"/>
          </w:tcPr>
          <w:p>
            <w:pPr>
              <w:spacing w:after="0"/>
              <w:rPr>
                <w:sz w:val="24"/>
                <w:szCs w:val="24"/>
                <w:color w:val="auto"/>
              </w:rPr>
            </w:pPr>
          </w:p>
        </w:tc>
        <w:tc>
          <w:tcPr>
            <w:tcW w:w="15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April 3, 2021</w:t>
            </w:r>
          </w:p>
        </w:tc>
      </w:tr>
      <w:tr>
        <w:trPr>
          <w:trHeight w:val="23"/>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r>
      <w:tr>
        <w:trPr>
          <w:trHeight w:val="643"/>
        </w:trPr>
        <w:tc>
          <w:tcPr>
            <w:tcW w:w="7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aggregate future lease payments for operating leases as of April 2, 2022 are as follows (in thousands):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01"/>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Lease Payments</w:t>
            </w:r>
          </w:p>
        </w:tc>
      </w:tr>
      <w:tr>
        <w:trPr>
          <w:trHeight w:val="23"/>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19,449</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16,305</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21,522</w:t>
            </w:r>
          </w:p>
        </w:tc>
      </w:tr>
      <w:tr>
        <w:trPr>
          <w:trHeight w:val="22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88,316</w:t>
            </w: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w:t>
            </w:r>
          </w:p>
        </w:tc>
      </w:tr>
      <w:tr>
        <w:trPr>
          <w:trHeight w:val="248"/>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fiscal 2018, the Company entered into a lease for a facility in Beijing, China that will allow the Company to consolidate several leased facilities as well as provide additional manufacturing space. The lease term is expected to commence in fiscal 2023 and therefore, is not recorded on the Consolidated Balance Sheets as of April 2, 2022 and April 3, 2021. The lease has an initial term of five years and includes multiple renewal options, with the maximum lease term not to exceed 30 years. Upon lease commencement, $10.0 million of right-of-use assets and lease liabilities is expected to be recognized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is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300" w:type="dxa"/>
            <w:vAlign w:val="bottom"/>
          </w:tcPr>
          <w:p>
            <w:pPr>
              <w:spacing w:after="0"/>
              <w:rPr>
                <w:sz w:val="16"/>
                <w:szCs w:val="16"/>
                <w:color w:val="auto"/>
              </w:rPr>
            </w:pPr>
          </w:p>
        </w:tc>
        <w:tc>
          <w:tcPr>
            <w:tcW w:w="15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April 3, 2021</w:t>
            </w:r>
          </w:p>
        </w:tc>
      </w:tr>
      <w:tr>
        <w:trPr>
          <w:trHeight w:val="23"/>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1.750% senior notes due 2024</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and other</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premium, discount and issuance costs,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2,047,098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1,742,550</w:t>
            </w:r>
          </w:p>
        </w:tc>
      </w:tr>
      <w:tr>
        <w:trPr>
          <w:trHeight w:val="20"/>
        </w:trPr>
        <w:tc>
          <w:tcPr>
            <w:tcW w:w="7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43"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On September 29, 2020, the Company and certain of its U.S. subsidiaries (the "Guarantors") entered into a five-year unsecured senior credit facility pursuant to a credit agreement (as amended, restated, modified or otherwise supplemented from time to time, the "2020 Credit Agreement") with Bank of America, N.A., acting as administrative agent (the "Administrative Agent"), and a syndicate of lenders. The 2020 Credit Agreement amended and restated the previous credit agreement dated as of December 5, 2017 (the "2017 Credit Agreement"). The 2020 Credit Agreement included a senior term loan (the "2020 Term Loan") of $200.0 million and a senior revolving line of credit (the "Revolving Facility") of up to $300.0 million (collectively the "Credit Facility"). The Revolving Facility includes a $25.0 million sublimit for the issuance of standby letters of credit and a $10.0 million sublimit for swing line loans. The Credit Facility is available to finance working capital, capital expenditures and other general corporate purposes.</w:t>
      </w:r>
    </w:p>
    <w:p>
      <w:pPr>
        <w:spacing w:after="0" w:line="23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2020 Credit Agreement, the Company may request one or more additional tranches of term loans or increases to the Revolving Facility, up to an aggregate of $500.0 million and subject to, among other things, securing additional funding commitments from the existing or new lenders.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6, 2022, the Company and the Administrative Agent entered into an amendment to the 2020 Credit Agreement (the “LIBOR Transition Amendment”) to replace the London Interbank Offered Rate as a reference rate available for use in the computation of interest under the 2020 Credit Agreement. As a result of the LIBOR Transition Amendment, at the Company’s option, loans under the 2020 Credit Agreement will bear interest at (i) the Applicable Rate (as defined in the 2020 Credit Agreement) plus the Term SOFR (as defined in the 2020 Credit Agreement) or (ii) the Applicable Rate plus a rate equal to the highest of (a) the federal funds rate plus 0.50%, (b) the prime rate as set by the Administrative Agent, and (c) the Term SOFR plus 1.0% (the "Base Rate"). All swing line loans will bear interest at a rate equal to the Applicable Rate plus the Base Rate. The Term SOFR is the rate per annum equal to the forward-looking Secured Overnight Financing Rate term rate for interest periods of one, three or six months (as selected by the Company) plus an adjustment (as defined in the 2020 Credit Agreement). The Applicable Rate for Term SOFR loans ranges from 1.000% per annum to 1.250% per annum, and the Applicable Rate for Base Rate loans ranges from 0.000% per annum to 0.250% per annum. Undrawn amounts under the Credit Facility are subject to a commitment fee ranging from 0.150% to 0.200%.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there were no borrowings under the Revolving Facility.</w:t>
      </w:r>
    </w:p>
    <w:p>
      <w:pPr>
        <w:spacing w:after="0" w:line="25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fiscal 2021, the Company made principal payments totaling $2.5 million on the term loan under the 2017 Credit Agreement (the "2017 Term Loan"). On the closing date of the 2020 Credit Agreement, the Company repaid the remaining principal balance of $97.5 million on the 2017 Term Loan and concurrently drew $200.0 million under the 2020 Term Loan.</w:t>
      </w:r>
    </w:p>
    <w:p>
      <w:pPr>
        <w:spacing w:after="0" w:line="20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fiscal 2021, the Company made principal payments totaling $2.5 million on the 2020 Term Loan. During fiscal 2022, the Company repaid the remaining principal balance of $197.5 million on the 2020 Term Loan. Interest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paid on the 2017 Term Loan and the 2020 Term Loan during fiscal years 2022, 2021 and 2020 was $1.7 million, $2.1 million and $2.4 million, respectively.</w:t>
      </w:r>
    </w:p>
    <w:p>
      <w:pPr>
        <w:spacing w:after="0" w:line="26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2020 Credit Agreement contains various conditions, covenants and representations with which the Company must be in compliance in order to borrow funds and to avoid an event of default. As of April 2, 2022, the Company was in compliance with these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2024</w:t>
      </w:r>
    </w:p>
    <w:p>
      <w:pPr>
        <w:spacing w:after="0" w:line="25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December 14, 2021, the Company issued $500.0 million aggregate principal amount of its 1.750% senior notes due 2024 (the "2024 Notes"). Interest is payable on the 2024 Notes on June 15 and December 15 of each year, commencing June 15, 2022. The 2024 Notes will mature on December 15, 2024, unless earlier redeemed in accordance with their terms. The 2024 Notes are senior unsecured obligations of the Company and are guaranteed, jointly and severally, by the Guarantors.</w:t>
      </w:r>
    </w:p>
    <w:p>
      <w:pPr>
        <w:spacing w:after="0" w:line="2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used a portion of the net proceeds of the offering of the 2024 Notes to repay all of the outstanding 2020 Term Loan, as described above, and will use the remainder of the net proceeds for general corporate purposes.</w:t>
      </w:r>
    </w:p>
    <w:p>
      <w:pPr>
        <w:spacing w:after="0" w:line="1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2024 Notes were issued pursuant to an indenture, dated as of December 14, 2021 (the "2021 Indenture"), by and among the Company, the Guarantors and Computershare Trust Company, N.A., as trustee. The 2021 Indenture contains customary events of default, including payment default, exchange default, failure to provide certain notices thereunder and certain provisions related to bankruptcy events. The 2021 Indenture also contains customary negative covenants.</w:t>
      </w:r>
    </w:p>
    <w:p>
      <w:pPr>
        <w:spacing w:after="0" w:line="204"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2024 Notes have not been registered under the Securities Act of 1933, as amended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spacing w:after="0" w:line="20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of the 2024 Notes, the Company entered into a Registration Rights Agreement, dated as of December 14, 2021 (the "Registration Rights Agreement"), by and among the Company and the Guarantors, on the one hand, and BofA Securities, Inc., as representative of the initial purchasers of the 2024 Notes, on the other hand.</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Registration Rights Agreement, the Company and the Guarantors have agreed to use their commercially reasonable efforts to (i) file with the SEC a registration statement (the "Exchange Offer Registration Statement") relating to the registered exchange offer (the "Exchange Offer") to exchange the 2024 Notes for a new series of the Company’s exchange notes having terms substantially identical in all material respects to, and in the same aggregate principal amount as, the 2024 Notes; (ii) cause the Exchange Offer Registration Statement to be declared effective by the SEC; and (iii) cause the Exchange Offer to be consummated no later than the 720th day after December 14, 2021 (or if such 720th day is not a business day, the next succeeding business day).</w:t>
      </w:r>
    </w:p>
    <w:p>
      <w:pPr>
        <w:spacing w:after="0" w:line="2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and the Guarantors have agreed to use their commercially reasonable efforts to (i) file a shelf registration statement relating to the resale of the 2024 Notes as promptly as practicable, and (ii) cause the shelf registration statement to be declared effective by the SEC as promptly as practicable.</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the Company fails to meet any of these targets, the annual interest rate on the 2024 Notes will increase by 0.25% during the 90-day period following the default and will increase by an additional 0.25% for each subsequent 90-day period during which the default continues, up to a maximum additional interest rate of 1.00% per year. If the Company cures the default, the interest rate on the 2024 Notes will revert to the original level.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2029</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substantially the same customary events of default and negative covenants as the 2021 Indenture.</w:t>
      </w:r>
    </w:p>
    <w:p>
      <w:pPr>
        <w:spacing w:after="0" w:line="2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At any time prior to October 15, 2024, the Company may redeem all or part of the 2029 Notes, at a redemption price equal to 100% of their principal amount, plus a "make whole" premium as of the redemption date, and accrued and unpaid interest. In addition, at any time prior to October 15, 2024, the Company may redeem up to 35% of the original aggregate principal amount of the 2029 Notes with the proceeds of one or more equity offerings, at a redemption price equal to 104.375%, plus accrued and unpaid interest. Furthermore, at any time on or after October 15, 2024, the Company may redeem the 2029 Notes, in whole or in part, at the redemption prices specified in the 2019 Indenture, plus accrued and unpaid interest.</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is payable on the 2029 Notes on April 15 and October 15 of each year. Interest paid on the 2029 Notes during fiscal years 2022 and 2021 was $37.2 million and $31.6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2031</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2021 Indenture.</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any time prior to April 1, 2026, the Company may redeem all or part of the 2031 Notes, at a redemption price equal to 100% of their principal amount, plus a "make whole" premium as of the redemption date, and accrued and unpaid interest. In addition, at any time prior to April 1, 2026, the Company may redeem up to 40% of the original aggregate principal amount of the 2031 Notes with the proceeds of one or more equity offerings, at a redemption price equal to 103.375%, plus accrued and unpaid interest. Furthermore, at any time on or after April 1, 2026, the Company may redeem the 2031 Notes, in whole or in part, at the redemption prices specified in the 2020 Indenture, plus accrued and unpaid interest.</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2031 Notes have not been and will not be registered under the Securities Act, or any state securities laws, and may not be offered or sold in the United States absent an applicable exemption from the registration requirements of the Securities Act and applicable state securities laws.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is payable on the 2031 Notes on April 1 and October 1 of each year. Interest paid on the 2031 Notes during fiscal years 2022 and 2021 was $23.6 million and $11.9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 2020, the Company redeemed the remaining $23.4 million principal amount of its 7.00% senior notes due December 1, 2025 (the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using cash on hand, at a redemption price equal to 103.50% of the principal amount, plus accrued and unpaid interest. Interest paid on the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during both fiscal years 2021 and 2020 was $1.6 million.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2026</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16, 2020, the Company redeemed the $900.0 million aggregate principal amount of its 5.50% senior notes due July 15, 2026 (the "2026 Notes") at a redemption price equal to 106.363% of the $900.0 million principal amount, plus accrued and unpaid interest. The 2026 Notes were redeemed using proceeds from the issuance of the 2031 Notes combined with cash on hand plus borrowings under the 2020 Term Loan. In connection with the redemption, the Company recognized a loss on debt extinguishment of $61.0 million as "Other (expense) income, net" in the fiscal 2021 Consolidated Statement of Income. The loss on debt extinguishment consisted of a $57.3 million redemption premium and a $3.7 million net write-off of unamortized debt issuance costs and bond premium. The primary purpose of the redemption was to reduce future interest expense.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on the 2026 Notes during fiscal years 2021 and 2020 was $37.3 million and $49.5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 of the 2024 Notes, the 2029 Notes and the 2031 Notes as of April 2, 2022 was $476.9 million, $852.6 million and $638.6 million, respectively (compared to the outstanding principal amount of $500.0 million, $850.0 million and $700.0 million, respectively). The estimated fair value of the 2029 Notes and the 2031 Notes as of April 3, 2021 was $905.3 million and $689.5 million, respectively (compared to the outstanding principal amount of $850.0 million and $700.0 million, respectively). The Company considers its debt to be Level 2 in the fair value hierarchy. Fair values are estimated based on quoted market prices for identical or similar instruments. The 2024 Notes, the 2029 Notes and the 2031 Notes currently trade over-the-counter and the fair values were estimated based upon the value of the last trade at the end of the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fiscal 2022, the Company recognized $67.0 million of interest expense primarily related to the 2029 Notes and the 2031 Notes, which was partially offset by $3.7 million of interest capitalized to property and equipment. During fiscal 2021, the Company recognized $79.3 million of interest expense primarily related to the 2026 Notes (redeemed on October 16, 2020), the 2029 Notes and the 2031 Notes, which was partially offset by $4.1 million of interest capitalized to property and equipment. During fiscal 2020, the Company recognized $66.0 million of interest expense primarily related to the 2026 Notes and the 2029 Notes, which was partially offset by $5.6 million of interest capitalized to property and equipment.</w:t>
      </w:r>
    </w:p>
    <w:p>
      <w:pPr>
        <w:spacing w:after="0" w:line="206"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offers tax-beneficial retirement contribution plans to eligible employees in the U.S. and certain other countries. Eligible employees in certain countries outside of the U.S. are eligible to participate in stakeholder, group or national pension plans with differing eligibility and contributory requirements based on local and national regulations. U.S. employees are eligible to participate in the Company's fully qualified 401(k) plan 30 days after their date of hire. An employee may contribute and invest pretax and/or Roth dollars into the 401(k) plan up to the maximum legal limits (as defined by Federal regulations). Employer contributions to the 401(k) plan are made at the discretion of the Company’s Board of Directors. Employees are immediately vested in their own contributions as well as employer matching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total, the Company contributed $17.6 million, $15.6 million and $14.4 million to its domestic and foreign defined contribution plans during fiscal years 2022, 2021 and 2020,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maintains two qualified defined benefit pension plans for its subsidiaries located in Germany. One of the plans is funded through a self-paid reinsurance program with assets valued at $3.8 million as of April 2, 2022 and April 3, 2021 (included in "Other non-current assets" in the Consolidated Balance Sheets). The pension benefit obligations of both plans were $12.1 million and $14.0 million as of April 2, 2022 and April 3, 2021, respectively, which is included in "Accrued liabilities" and "Other long-term liabilities" in the Consolidated Balance Sheets. The benefit obligations for the plans are calculated annually by an independent actuary and require the use of significant judgement including assumptions based on local economic conditions. The net periodic benefit cost was approximately $0.6 million for each of the last three fiscal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employees and members of the Board of Directors are eligible to participate in the Company's Non-Qualified Deferred Compensation Plan ("NQDC Plan"). The NQDC Plan provides eligible participants the opportunity to defer and invest a specified percentage of their cash compensation. The NQDC Plan is a non-qualified plan that is maintained in a rabbi trust, which restricts the Company's use and access to the assets held, but is subject to the claims of the Company's creditors in the event that the Company becomes insolvent. The amount of compensation to be deferred by each participant is based on their own elections and is adjusted for any investment changes that the participant directs. This plan does not provide for employer contributions. The deferred compensation obligation and the fair value of the investments held in the rabbi trust were $39.4 million and $32.8 million as of April 2, 2022 and April 3, 2021, respectively. The current portion of the deferred compensation obligation and fair value of the assets held in the rabbi trust were $1.5 million and $1.2 million as of April 2, 2022 and April 3, 2021, respectively, and are included in "Other current assets" and "Accrued liabilities" in the Consolidated Balance Sheets. The non-current portion of the deferred compensation obligation and fair value of the assets held in the rabbi trust were $37.9 million and $31.6 million as of April 2, 2022 and April 3, 2021, respectively, and are included in "Other non-current assets" and "Other long-term liabilities" in the Consolidated Balance Sheets.</w:t>
      </w:r>
    </w:p>
    <w:p>
      <w:pPr>
        <w:spacing w:after="0" w:line="215"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April 2, 2022, the Company's purchase obligations (including capital commitments) totaled approximately $2,156.7 million, of which approximately $1,018.6 million is expected to be paid during fiscal 2023. In subsequent years, the Company expects to pay approximately $495.3 million, $405.9 million, $236.6 million and $0.3 million related to these purchase obligations during fiscal years 2024, 2025, 2026 and 2027, respectively. Noncancelable purchase obligations represent payments due related to the purchase of materials, manufacturing services and property and equipment, a majority of which are not recorded as liabilities in the Consolidated Balance Sheet because the Company has not received the related goods or services as of April 2, 2022.</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Amidst ongoing industry-wide supply constraints, the Company entered into a long-term capacity reservation agreement with a foundry supplier during the second quarter ended October 2, 2021. The Company agreed to pay certain fees and deposits which are recorded in "Prepaid expenses" and "Other non-current assets" in the Consolidated Balance Sheet as of April 2, 2022. Under the agreement the Company is required to purchase, and the foundry supplier is required to supply, a certain number of wafers (at predetermined sales prices) for calendar years 2022 through 2025. As of April 2, 2022, the Company estimates that it is obligated to purchase approximately $1.4 billion of wafers (included in the total purchase obligations above) under the capacity reservation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for disclosures related to lease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RESTRUCTURING</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fiscal years 2022, 2021 and 2020, the Company recorded restructuring related charges totaling approximately $2.1 million, $2.7 million and $47.9 million, respectively, related primarily to fiscal 2019 actions to reduce operating expenses and improve manufacturing cost structure and other individually immaterial restructuring plans. Restructuring accrual balances were immaterial as of April 2, 2022 and April 3, 2021.</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 consists of the following components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69,938</w:t>
            </w:r>
          </w:p>
        </w:tc>
        <w:tc>
          <w:tcPr>
            <w:tcW w:w="1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(226,005)</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1,111,146</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682,018</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621,094</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1,181,084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807,380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395,089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income tax provision are as follows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1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(98,696)</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(80,722)</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(65,065)</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(91,905)</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(71,863)</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0" w:type="dxa"/>
            <w:vAlign w:val="bottom"/>
          </w:tcPr>
          <w:p>
            <w:pPr>
              <w:spacing w:after="0"/>
              <w:rPr>
                <w:sz w:val="1"/>
                <w:szCs w:val="1"/>
                <w:color w:val="auto"/>
              </w:rPr>
            </w:pP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57,452</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(147,731)</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(73,769)</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income tax expense computed by applying the statutory federal income tax rate to pre-tax income for fiscal years 2022, 2021 and 2020 is as follows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3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96"/>
        </w:trPr>
        <w:tc>
          <w:tcPr>
            <w:tcW w:w="3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0"/>
        </w:trPr>
        <w:tc>
          <w:tcPr>
            <w:tcW w:w="30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Income tax expense at statutory federal</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4"/>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(248,028)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84"/>
        </w:trPr>
        <w:tc>
          <w:tcPr>
            <w:tcW w:w="3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State (expense)/benefit, net of federal</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34"/>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118,877</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92,532</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64,017</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(16.2)</w:t>
            </w:r>
          </w:p>
        </w:tc>
      </w:tr>
      <w:tr>
        <w:trPr>
          <w:trHeight w:val="184"/>
        </w:trPr>
        <w:tc>
          <w:tcPr>
            <w:tcW w:w="3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Effect of changes in income tax rate</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34"/>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applied to net deferred tax assets </w:t>
            </w:r>
            <w:r>
              <w:rPr>
                <w:rFonts w:ascii="Times New Roman" w:cs="Times New Roman" w:eastAsia="Times New Roman" w:hAnsi="Times New Roman"/>
                <w:sz w:val="10"/>
                <w:szCs w:val="10"/>
                <w:color w:val="auto"/>
              </w:rPr>
              <w:t>(1)</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22,286</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difference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148,932</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85,851</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75,247</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(19.0)</w:t>
            </w:r>
          </w:p>
        </w:tc>
      </w:tr>
      <w:tr>
        <w:trPr>
          <w:trHeight w:val="184"/>
        </w:trPr>
        <w:tc>
          <w:tcPr>
            <w:tcW w:w="3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Foreign permanent differences and</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34"/>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items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Expiration of state and foreign attributes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reserve adjustments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r>
      <w:tr>
        <w:trPr>
          <w:trHeight w:val="184"/>
        </w:trPr>
        <w:tc>
          <w:tcPr>
            <w:tcW w:w="3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U.S. tax on foreign earnings, including</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GILTI &amp; FDII </w:t>
            </w:r>
            <w:r>
              <w:rPr>
                <w:rFonts w:ascii="Times New Roman" w:cs="Times New Roman" w:eastAsia="Times New Roman" w:hAnsi="Times New Roman"/>
                <w:sz w:val="10"/>
                <w:szCs w:val="10"/>
                <w:color w:val="auto"/>
              </w:rPr>
              <w:t>(2)</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(130,874)</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(100,830)</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(81,916)</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reinvestment assertion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184"/>
        </w:trPr>
        <w:tc>
          <w:tcPr>
            <w:tcW w:w="3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Impairments and acquisition related</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4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4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30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(147,731)</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(73,769)</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460" w:firstLine="8"/>
        <w:spacing w:after="0" w:line="260" w:lineRule="auto"/>
        <w:tabs>
          <w:tab w:leader="none" w:pos="22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fiscal 2022, the Company negotiated an extension to its tax holiday in Singapore, resulting in the revaluation of its deferred tax assets. As a result, the Company recognized an income tax expense of $26.4 million due to the reduced tax rate, in part from a reversal of the tax benefit recognized in fiscal 2021. In fiscal 2021, the Company completed the restructuring of the Cavendish intellectual property, resulting in the recognition of an income tax benefit of $22.1 million in Singapore.</w:t>
      </w:r>
    </w:p>
    <w:p>
      <w:pPr>
        <w:ind w:right="240" w:firstLine="8"/>
        <w:spacing w:after="0" w:line="275" w:lineRule="auto"/>
        <w:tabs>
          <w:tab w:leader="none" w:pos="22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Global Intangible Low-Taxed Income ("GILTI") and Foreign-Derived Intangible Income ("FDII") provisions became effective for the Company in fiscal 2019, at which time the Company elected to treat taxes due on future GILTI inclusions in U.S. taxable income as current-period expense (the "period cost method").</w:t>
      </w:r>
    </w:p>
    <w:p>
      <w:pPr>
        <w:spacing w:after="0" w:line="190"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net deferred income taxes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22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April 3, 2021</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compensation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other credits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106,825</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19,357</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deferred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199,341</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(36,281)</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 net of valuation allowance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121,496</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162,829</w:t>
            </w:r>
          </w:p>
        </w:tc>
      </w:tr>
      <w:tr>
        <w:trPr>
          <w:trHeight w:val="237"/>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and purchase accounting basis difference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(73,412)</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(25,553)</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depreciation/basis difference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(59,756)</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tax on unremitted foreign earnings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(21,747)</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Deferred intercompany revenue </w:t>
            </w:r>
            <w:r>
              <w:rPr>
                <w:rFonts w:ascii="Times New Roman" w:cs="Times New Roman" w:eastAsia="Times New Roman" w:hAnsi="Times New Roman"/>
                <w:sz w:val="10"/>
                <w:szCs w:val="10"/>
                <w:color w:val="auto"/>
              </w:rPr>
              <w:t>(1)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(22,284)</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deferred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(169,300)</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(145,684)</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(liability) asset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the Consolidated Balance Sheets: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36,824</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59,056</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(84,628)</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(liability) asset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(47,804)</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17,145</w:t>
            </w: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40" w:firstLine="8"/>
        <w:spacing w:after="0" w:line="280" w:lineRule="auto"/>
        <w:tabs>
          <w:tab w:leader="none" w:pos="22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fiscal 2021, the Company completed the intercompany restructuring of the Cavendish intellectual property. Due to this transaction, a portion of revenue recognized by the intercompany seller is taxable in future years. The remaining deferred intercompany revenue was taxed during fiscal 2022.</w:t>
      </w:r>
    </w:p>
    <w:p>
      <w:pPr>
        <w:spacing w:after="0" w:line="18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has recorded a valuation allowance against certain U.S. and foreign deferred tax assets as of April 2, 2022 and April 3, 2021. These valuation allowances were established based upon management's opinion that it is more likely than not (a likelihood of more than 50 percent) that the benefit of these deferred tax assets may not be realized.</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valuation allowance against deferred tax assets decreased by approximately $0.2 million in fiscal 2022. The decrease was comprised of a $1.6 million decrease for the valuation allowance against deferred tax assets for net operating losses and other deferred tax assets at foreign subsidiaries and a $1.4 million increase in the valuation allowance against certain domestic deferred tax assets for net operating losses and credits. At the end of fiscal 2022, a $1.3 million valuation allowance remained against deferred tax assets at foreign subsidiaries, and a $34.9 million valuation allowance remained against domestic deferred tax assets.</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valuation allowance against deferred tax assets increased by $1.2 million in fiscal 2021. The increase was comprised of a $2.1 million increase in the valuation allowance against certain domestic deferred tax assets for net operating losses and credits and a $0.9 million decrease for the valuation allowance against deferred tax assets for net operating losses at foreign subsidiaries. At the end of fiscal 2021, a $2.9 million valuation allowance remained against deferred tax assets at foreign subsidiaries, and a $33.6 million valuation allowance remained against state deferred tax assets.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valuation allowance against deferred tax assets decreased by $5.2 million in fiscal 2020. The decrease was comprised of a $7.9 million decrease in the valuation allowance against state deferred tax assets for net operating losses and tax credits and a $2.7 million increase for the valuation allowance against deferred tax assets for net operating losses at foreign subsidiaries. At the end of fiscal 2020, a $3.8 million valuation allowance remained against deferred tax assets at foreign subsidiaries, and a $31.5 million valuation allowance remained against state deferred tax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 2022, the Company had federal loss carryovers of approximately $53.3 million that expire in fiscal years 2023 to 2042, if unused, and state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of approximately $122.2 million that expire in fiscal years 2023 to 2042, if unused. Federal research credits of $110.2 million, and state credits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$65.4 million expire in fiscal years 2031 to 2042 and 2023 to 2042, respectively. The Company had foreign losses of $100.0 million, which expire in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2023 to 2032, if unused. The utilization of acquired domestic tax assets is subject to certain annual limitations as required under Section 382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Revenue Code of 1986, as amended (the "Code") and similar state income tax provisions.</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continued to expand its operations and increase its investments in numerous international jurisdictions. These activities expose the Company to taxation in multiple foreign jurisdictions. As a result, management has concluded that it is not permanently reinvested on certain earnings of its foreign subsidiaries which have been subject to U.S. federal taxation. The remainder of the Company's untaxed foreign earnings and historic investments will continue to be permanently reinvested to fund working capital requirements and operations abroad. It is not practical to estimate the additional tax that would be incurred, if any, if the remainder of the permanently reinvested earnings were repatriated.</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foreign subsidiaries with tax holiday agreements in Costa Rica and Singapore. The Company’s tax holiday in Costa Rica is set to expire in December 2027. During fiscal 2022, the Company negotiated an extension to its tax holiday in Singapore, now expiring in December 2031. Incentives from these countries are subject to the Company meeting certain employment and investment requirements. Relative to the statutory tax rate, income tax expense decreased by $128.4 million (an impact of approximately $1.17 and $1.15 per basic and diluted share, respectively) in fiscal 2022 and $74.3 million (an impact of approximately $0.65 and $0.64 per basic and diluted share, respectively) in fiscal 2021 as a result of these agreements.</w:t>
      </w:r>
    </w:p>
    <w:p>
      <w:pPr>
        <w:spacing w:after="0" w:line="2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gross unrecognized tax benefits totaled $144.1 million as of April 2, 2022, $134.1 million as of April 3, 2021, and $119.2 million as of March 28, 2020. Of these amounts, $137.5 million, $128.7 million and $114.8 million as of April 2, 2022, April 3, 2021 and March 28, 2020, respectively, represent the amounts of unrecognized tax benefits that, if recognized, would impact the effective tax rate in each of the fiscal years.</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gross unrecognized tax benefits increased from $134.1 million as of April 3, 2021 to $144.1 million as of April 2, 2022, primarily due to increases related to current year tax positions, the effect of provision-to-return adjustments on prior year positions and increases related to business combinations recognized as part of purchase accounting.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fiscal 2020 through fiscal 2022 beginning and ending amount of gross unrecognized tax benefits is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103,178</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positions related to current year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in prior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It is the Company’s policy to recognize interest and penalties related to uncertain tax positions as a component of income tax expense. During fiscal years 2022, 2021 and 2020, the Company recognized $(5.1) million, $0.8 million and $0.7 million, respectively, of interest and penalties related to uncertain tax positions. Accrued interest and penalties related to unrecognized tax benefits totaled $1.0 million, $6.2 million and $5.4 million as of April 2, 2022, April 3, 2021 and March 28, 2020, respectively.</w:t>
      </w:r>
    </w:p>
    <w:p>
      <w:pPr>
        <w:spacing w:after="0" w:line="207"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The unrecognized tax benefits of $144.1 million and accrued interest and penalties of $1.0 million at the end of fiscal 2022 are recorded on the Consolidated Balance Sheet as a $13.8 million other long-term liability, with the balance reducing the carrying value of the gross deferred tax assets.</w:t>
      </w:r>
    </w:p>
    <w:p>
      <w:pPr>
        <w:spacing w:after="0" w:line="1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Due to uncertainties regarding the timing of examinations and the amount of settlements that may be paid, if any, to tax authorities, the Company currently believes it is reasonably possible that only a minimal amount of gross unrecognized tax benefits will be reduced for tax positions taken in prior years within the next 12 months.</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Qorvo files a consolidated U.S. federal income tax return, as well as separate and combined income tax returns in numerous state and international jurisdictions. Qorvo’s fiscal 2019 U.S. federal and state tax returns and subsequent tax years remain open for examination, as well as all attributes brought forward into those years. The Company is also subject to examination by various international tax authorities. The tax years subject to examination vary by jurisdiction.</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Numerator for basic and diluted net income per share — net income available to</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1,033,353</w:t>
            </w:r>
          </w:p>
        </w:tc>
        <w:tc>
          <w:tcPr>
            <w:tcW w:w="1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733,611</w:t>
            </w:r>
          </w:p>
        </w:tc>
        <w:tc>
          <w:tcPr>
            <w:tcW w:w="18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334,325</w:t>
            </w:r>
          </w:p>
        </w:tc>
        <w:tc>
          <w:tcPr>
            <w:tcW w:w="0" w:type="dxa"/>
            <w:vAlign w:val="bottom"/>
          </w:tcPr>
          <w:p>
            <w:pPr>
              <w:spacing w:after="0"/>
              <w:rPr>
                <w:sz w:val="1"/>
                <w:szCs w:val="1"/>
                <w:color w:val="auto"/>
              </w:rPr>
            </w:pPr>
          </w:p>
        </w:tc>
      </w:tr>
      <w:tr>
        <w:trPr>
          <w:trHeight w:val="221"/>
        </w:trPr>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stockholders</w:t>
            </w: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 for basic net income per share — weighted average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Stock-based awards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155"/>
        </w:trPr>
        <w:tc>
          <w:tcPr>
            <w:tcW w:w="65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Denominator for diluted net income per share — adjusted weighted average shares and</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111,546</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116,016</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119,293</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assumed conversions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9.38</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6.43</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computation of diluted net income per share for fiscal years 2022, 2021 and 2020, an immaterial number of shares were excluded because the effect of their inclusion would have been antidilutive.</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Plans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2009 and 2012 Incentive Plans - TriQuint Semiconductor, Inc.</w:t>
      </w:r>
    </w:p>
    <w:p>
      <w:pPr>
        <w:spacing w:after="0" w:line="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Effective upon the closing of the Business Combination, the Company assumed the TriQuint, Inc. 2009 Incentive Plan and the TriQuint, Inc. 2012 Incentive Plan (the "TriQuint Incentive Plans"), originally adopted by TriQuint. The TriQuint Incentive Plans provided for the grant of stock options, restricted stock units, stock appreciation rights and other stock or cash awards to employees, officers, directors, consultants, agents, advisors and independent contractors of TriQuint and its subsidiaries and affiliates. The options granted thereunder were required to have an exercise price per share no less than 100% of the fair market value per share on the date of grant. The terms of each</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under the TriQuint Incentive Plans could not exceed ten years. No further awards can be granted under these plans.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Stock Incentive Plan - Qorvo, Inc.</w:t>
      </w:r>
    </w:p>
    <w:p>
      <w:pPr>
        <w:spacing w:after="0" w:line="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Company currently grants stock options and restricted stock units to employees and directors under the 2012 Stock Incentive Plan (the "2012 Plan"), which was approved by the Company's stockholders on August 16, 2012, assumed by the Company in connection with the Business Combination and reapproved by the Company's stockholders on August 8, 2017 for purposes of Section 162(m) of the Code. Under the 2012 Plan, the Company is permitted to grant stock options and other types of equity incentive awards, such as stock appreciation rights, restricted stock awards, performance shares and performance units. The maximum number of shares issuable under the 2012 Plan may not exceed the sum of (a) 4.3 million shares, plus (b) any shares of common stock (i) remaining available for issuance as of the effective date of the 2012 Plan under the Company's prior plans and (ii) subject to an award granted under a prior plan, which awards are forfeited, canceled, terminated, expire or lapse for any reason. As of April 2, 2022, 2.6 million shares were available for issuance under the 2012 Plan. The aggregate number of shares subject to performance-based restricted stock units awarded for fiscal 2022 under the 2012 Plan was 0.1 million shares.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Incentive Plan - Qorvo, Inc.</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Effective upon the closing of the Business Combination, the Company assumed the TriQuint, Inc. 2013 Incentive Plan (the "2013 Incentive Plan"), originally adopted by TriQuint, allowing Qorvo to issue awards under this plan. The 2013 Incentive Plan replaces the TriQuint 2012 Incentive Plan and provides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become employed by the Company or its affiliates after the closing of the Business Combination. Former employees, officers and directors of RFMD are not eligible for awards under the 2013 Incentive Plan. The options granted thereunder must have an exercise price per share no less than 100% of the fair market value per share on the date of grant. The terms of each grant under the 2013 Incentive Plan may not exceed ten years. As of April 2, 2022, 0.5 million shares were available for issuance under the 2013 Incentive Plan.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Inducement Stock Plan - Qorvo, Inc.</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2015 Inducement Stock Plan (the "2015 Inducement Plan") provides for the grant of equity awards to persons as a material inducement to become employees of the Company or its affiliates. The plan provides for the grant of stock options, restricted stock units, stock appreciation rights and other stock-based awards. The maximum number of shares issuable under the 2015 Inducement Plan may not exceed the sum of (a) 0.3 million shares, plus (b) any shares of common stock (i) remaining available for issuance as of the effective date of the 2015 Inducement Stock Plan under the TriQuint 2008 Inducement Award Plan and (ii) subject to an award granted under the TriQuint 2008 Inducement Award Plan, which awards are forfeited, canceled, terminated, expire or lapse for any reason. No awards were made under the 2015 Inducement Plan in fiscal years 2022, 2021 and 2020. As of April 2, 2022, 0.3 million shares were available for issuance under the 2015 Inducement Plan.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 - Qorvo, Inc.</w:t>
      </w:r>
    </w:p>
    <w:p>
      <w:pPr>
        <w:spacing w:after="0" w:line="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Effective upon closing of the Business Combination, the Company assumed the TriQuint Employee Stock Purchase Plan ("ESPP"), which is intended to qualify as an "employee stock purchase plan" under Section 423 of the Code. All regular full-time employees of the Company (including officers) and all other employees who meet the eligibility requirements of the plan may participate in the ESPP. The ESPP provides eligible employees an opportunity to acquire the Company’s common stock at 85.0% of the lower of the closing price per share of the Company’s common stock on the first or last day of each six-month purchase period. At April 2, 2022, 3.0 million shares were available for future issuance under this plan. The Company makes no cash contributions to the ESPP, but bears the expenses of its administration. The Company issued 0.3 million shares under the ESPP in fiscal 2022, 0.4 million shares in fiscal 2021 and 0.5 million shares in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fiscal years 2022, 2021 and 2020, the primary stock-based awards and their general terms and conditions are as follows: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Restricted stock units granted by the Company in fiscal years 2022, 2021 and 2020 are either service-based or performance and service-based. Service-based restricted stock units generally vest over a four-year period from the grant date. Performance and service-based restricted stock units are earned based on Company performance of stated metrics during the fiscal year and, if earned, generally vest one-half when earned and the balance over two years. Restricted stock units granted to non-employee directors generally vest over a one-year period from the grant date. In fiscal 2022, each non-employee director was eligible to receive an annual grant of restricted stock units.</w:t>
      </w:r>
    </w:p>
    <w:p>
      <w:pPr>
        <w:spacing w:after="0" w:line="21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options and restricted stock units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2022, stock-based compensation of $19.7 million was recognized upon the grant of 0.1 million restricted share units to certain officers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 ASC 718 covers a wide range of stock-based compensation arrangements including stock options, restricted share plans, performance-based awards, share appreciation rights and employee stock purchase plans.</w:t>
      </w:r>
    </w:p>
    <w:p>
      <w:pPr>
        <w:spacing w:after="0" w:line="20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Total pre-tax stock-based compensation expense recognized in the Consolidated Statements of Income was $83.5 million, $89.3 million and $76.0 million, for fiscal years 2022, 2021 and 2020, respectively, net of expense capitalized into inventory.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summary of activity with respect to stock options under the Company’s director and employee stock plans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9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1240" w:type="dxa"/>
            <w:vAlign w:val="bottom"/>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860" w:type="dxa"/>
            <w:vAlign w:val="bottom"/>
          </w:tcPr>
          <w:p>
            <w:pPr>
              <w:spacing w:after="0"/>
              <w:rPr>
                <w:sz w:val="17"/>
                <w:szCs w:val="17"/>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7"/>
                <w:szCs w:val="17"/>
                <w:color w:val="auto"/>
              </w:rPr>
            </w:pPr>
          </w:p>
        </w:tc>
        <w:tc>
          <w:tcPr>
            <w:tcW w:w="12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April 3,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April 2, 2022</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8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April 2,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as of April 2, 2022</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15.67</w:t>
            </w:r>
          </w:p>
        </w:tc>
        <w:tc>
          <w:tcPr>
            <w:tcW w:w="180" w:type="dxa"/>
            <w:vAlign w:val="bottom"/>
          </w:tcPr>
          <w:p>
            <w:pPr>
              <w:spacing w:after="0"/>
              <w:rPr>
                <w:sz w:val="17"/>
                <w:szCs w:val="17"/>
                <w:color w:val="auto"/>
              </w:rPr>
            </w:pPr>
          </w:p>
        </w:tc>
        <w:tc>
          <w:tcPr>
            <w:tcW w:w="1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based upon the Company’s closing stock price of $121.51 as of April 1, 2022 (the last Nasdaq trading day prior to the fiscal year end on April 2, 2022), that would have been received by the option holders had all option holders with in-the-money options exercised their options as of that date. As of April 2, 2022, there was no remaining unearned compensation cost related to unvested option awards.</w:t>
      </w:r>
    </w:p>
    <w:p>
      <w:pPr>
        <w:spacing w:after="0" w:line="20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a Black-Scholes option-pricing model based on the expected volatility, dividend yield, term and risk-free interest rate. There were no options granted during fiscal years 2022, 2021 and 2020.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during fiscal years 2022, 2021 and 2020 was $27.1 million, $66.7 million and $65.1 million,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Cash received from the exercise of stock options and from participation in the employee stock purchase plan (excluding accrued unremitted employee funds) was approximately $36.9 million for fiscal 2022 and is reflected in cash flows from financing activities in the Consolidated Statement of Cash Flows. The Company settles employee stock options with newly issued shares of the Company's common stock.</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ASC 718 requires forfeitures to be estimated at the time of grant and revised, if necessary, in subsequent periods if actual forfeitures differ from those estimates. Based upon historical pre-vesting forfeiture experience, the Company assumed an annualized forfeiture rate of 1.4% for both stock options and restricted stock units.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summary of activity with respect to restricted stock unit awards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under the Company’s director and employee stock plans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00" w:type="dxa"/>
            <w:vAlign w:val="bottom"/>
          </w:tcPr>
          <w:p>
            <w:pPr>
              <w:spacing w:after="0"/>
              <w:rPr>
                <w:sz w:val="13"/>
                <w:szCs w:val="13"/>
                <w:color w:val="auto"/>
              </w:rPr>
            </w:pPr>
          </w:p>
        </w:tc>
        <w:tc>
          <w:tcPr>
            <w:tcW w:w="16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500" w:type="dxa"/>
            <w:vAlign w:val="bottom"/>
          </w:tcPr>
          <w:p>
            <w:pPr>
              <w:spacing w:after="0"/>
              <w:rPr>
                <w:sz w:val="16"/>
                <w:szCs w:val="16"/>
                <w:color w:val="auto"/>
              </w:rPr>
            </w:pP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6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3, 2021</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0" w:type="dxa"/>
            <w:vAlign w:val="bottom"/>
          </w:tcPr>
          <w:p>
            <w:pPr>
              <w:spacing w:after="0"/>
              <w:rPr>
                <w:sz w:val="1"/>
                <w:szCs w:val="1"/>
                <w:color w:val="auto"/>
              </w:rPr>
            </w:pPr>
          </w:p>
        </w:tc>
      </w:tr>
      <w:tr>
        <w:trPr>
          <w:trHeight w:val="230"/>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April 2, 2022, total remaining unearned compensation cost related to unvested restricted stock units was $121.0 million, which will be amortized over the weighted-average remaining service period of approximately 1.2 years.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total intrinsic value of restricted stock units that vested during fiscal years 2022, 2021 and 2020 was $163.6 million, $121.8 million and $67.7 million, respectively, based upon the fair market value of the Company’s common stock on the vesting date.</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October 31, 2019, the Company announced that its Board of Directors authorized a share repurchase program to repurchase up to $1.0 billion of the Company's outstanding common stock, which included approximately $117.0 million authorized under a prior program which was terminated concurrent with this authorization. On May 5, 2021, the Company announced that its Board of Directors authorized a new share repurchase program to repurchase up to $2.0 billion of the Company's outstanding common stock, which included approximately $236.9 million authorized under the program announced on October 31, 2019, which was terminated concurrent with the new authorization. As of April 2, 2022, there was $861.7 million of availability under the share repurchase program.</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Company's share repurchase programs,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current program does not require the Company to repurchase a minimum number of shares, does not have a fixed term, and may be modified, suspended or terminated at any time without prior notice.</w:t>
      </w:r>
    </w:p>
    <w:p>
      <w:pPr>
        <w:spacing w:after="0" w:line="2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repurchased 7.3 million shares, 3.6 million shares and 6.4 million shares of its common stock during fiscal years 2022, 2021 and 2020, respectively, at an aggregate cost of $1,152.3 million, $515.1 million and $515.1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April 2, 2022, the Company had reserved a total of approximately 8.2 million of its authorized 405.0 million shares of common stock for future issuance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under formal directors’ and employees’ stock option plans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Possible future issuance under Company stock incentive plans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stock-based units outstanding</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48"/>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shares reserved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OPERATING SEGMENT AND GEOGRAPHIC INFORMATION</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operating and reportable segments as of April 2, 2022 are MP and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operating income.</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MP is a global supplier of cellular, UWB, Wi-Fi and other wireless solutions for a variety of applications, including smartphones, wearables, laptops, tablets and IoT.</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IDP is a global supplier of RF, system-on-a-chip and power management solutions for a wide range of markets, including cellular and IT infrastructure, automotive, renewable energy, defense and IoT.</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"All other" category includes operating expenses such as stock-based compensation expense, amortization of intangible assets, acquisition and integration related costs, restructuring related charges, goodwill impairment, fixed asset impairments, (loss) gain on sale of fixed assets, start-up costs and other miscellaneous corporate overhead expenses that the Company does not allocate to its operating segments because these expenses are not included in the segment operating performance measures evaluated by the Company’s CODM. The Company’s operating segments do not record intercompany revenue. The Company does not allocate gains and losses from investments, interest and other income (expense) or taxes to operating segments. The CODM does not evaluate operating segments using discrete asset information.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details of the Company’s operating and reportable segments and a reconciliation of the "All other" category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MP</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3,545,253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2,856,813</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2,397,740</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IDP</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1,158,494</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841,401</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4,645,714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4,015,307</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3,239,141</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5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MP</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1,008,171</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715,514</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IDP</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283,507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145,295</w:t>
            </w:r>
          </w:p>
        </w:tc>
      </w:tr>
      <w:tr>
        <w:trPr>
          <w:trHeight w:val="229"/>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(325,574)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(385,051)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(437,593)</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906,627</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423,216</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(60,392)</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(24,049)</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32,265</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1,181,084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807,380</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395,089</w:t>
            </w:r>
          </w:p>
        </w:tc>
      </w:tr>
      <w:tr>
        <w:trPr>
          <w:trHeight w:val="21"/>
        </w:trPr>
        <w:tc>
          <w:tcPr>
            <w:tcW w:w="5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18"/>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"All other" category:</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(89,322)</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(75,978)</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(252,137)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(246,563)</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(61,891)</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related charges</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(47,869)</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 for "All other"</w:t>
            </w: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(325,574)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(385,051)</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(437,593)</w:t>
            </w:r>
          </w:p>
        </w:tc>
      </w:tr>
      <w:tr>
        <w:trPr>
          <w:trHeight w:val="21"/>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Other includes fixed asset impairments, (loss) gain on sale of fixed assets, start-up costs and other miscellaneous corporate overhead expenses.</w:t>
      </w:r>
    </w:p>
    <w:p>
      <w:pPr>
        <w:spacing w:after="0" w:line="217"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The consolidated financial statements include revenue to customers by geographic region (based on the location of the customers' headquarters) that are summarized as follows (in thousands):</w:t>
      </w: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1,928,403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1,631,110</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1,468,358</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1,579,017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1,106,679</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Asia</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363,523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340,400</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Taiwan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248,708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169,337</w:t>
            </w:r>
          </w:p>
        </w:tc>
      </w:tr>
      <w:tr>
        <w:trPr>
          <w:trHeight w:val="23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192,949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154,367</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4,015,307</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3,239,141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following long-lived tangible asset amounts related to operations of the Company by geographic region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300" w:type="dxa"/>
            <w:vAlign w:val="bottom"/>
          </w:tcPr>
          <w:p>
            <w:pPr>
              <w:spacing w:after="0"/>
              <w:rPr>
                <w:sz w:val="16"/>
                <w:szCs w:val="16"/>
                <w:color w:val="auto"/>
              </w:rPr>
            </w:pP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April 3, 2021</w:t>
            </w:r>
          </w:p>
        </w:tc>
      </w:tr>
      <w:tr>
        <w:trPr>
          <w:trHeight w:val="23"/>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tangible assets:</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1,007,463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1,011,686</w:t>
            </w: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200,346</w:t>
            </w:r>
          </w:p>
        </w:tc>
      </w:tr>
      <w:tr>
        <w:trPr>
          <w:trHeight w:val="234"/>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countries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340" w:firstLine="3364"/>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Qorvo,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Qorvo, Inc. and subsidiaries (the Company) as of April 2, 2022 and April 3, 2021, the related consolidated statements of income, comprehensive income, stockholders’ equity and cash flows for each of the three years in the period ended April 2, 2022, and the related notes (collectively referred to as the "consolidated financial statements"). In our opinion, the consolidated financial statements present fairly, in all material respects, the financial position of the Company at April 2, 2022 and April 3, 2021, and the results of its operations and its cash flows for each of the three years in the period ended April 2, 2022, in conformity with U.S. generally accepted accounting principles.</w:t>
      </w:r>
    </w:p>
    <w:p>
      <w:pPr>
        <w:spacing w:after="0" w:line="21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April 2, 2022, based on criteria established in Internal Control-Integrated Framework issued by the Committee of Sponsoring Organizations of the Treadway Commission (2013 framework) and our report dated May 20, 2022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 Valuation</w:t>
      </w:r>
    </w:p>
    <w:p>
      <w:pPr>
        <w:sectPr>
          <w:pgSz w:w="11900" w:h="16838" w:orient="portrait"/>
          <w:cols w:equalWidth="0" w:num="1">
            <w:col w:w="11200"/>
          </w:cols>
          <w:pgMar w:left="320" w:top="121" w:right="379" w:bottom="1440" w:gutter="0" w:footer="0" w:header="0"/>
        </w:sectPr>
      </w:pP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right="180"/>
        <w:spacing w:after="0" w:line="26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The Company’s inventory, net totaled $755.7 million as of April 2, 2022, representing approximately 10% of total assets. As explained in Note 1 to the consolidated financial statements, the Company assesses the valuation of all inventories including manufacturing raw materials, work-in-process, and finished goods each reporting period. Obsolete inventory or inventory in excess of management’s estimated demand forecasts is written down to its estimated net realizable value if less than cost by recording an inventory reserve at each reporting period.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Auditing management’s estimates for inventory reserves involved subjective auditor judgment because the assessment considers a number of factors, including estimated customer demand forecasts, technological obsolescence risks, and possible alternative uses that are affected at least partially by market and economic conditions outside the Company’s control.</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inventory reserve process. This included testing controls over management's review of the assumptions and data underlying the inventory reserves, such as demand forecasts and consideration of how factors outside of the Company’s control might affect the valuation of obsolete and excess inventory.</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audit procedures included, among others, evaluating the significant assumptions (e.g., customer demand forecasts, technological and/or market obsolescence, and possible alternative uses) and the accuracy and completeness of underlying data used in management’s assessment of inventory reserves. We evaluated inventory levels compared to forecasted demand, historical sales and specific product considerations. We also assessed the historical accuracy of management’s estimates for both the forecast assumptions and the reserve estimate.</w:t>
      </w:r>
    </w:p>
    <w:p>
      <w:pPr>
        <w:spacing w:after="0" w:line="200" w:lineRule="exact"/>
        <w:rPr>
          <w:sz w:val="20"/>
          <w:szCs w:val="20"/>
          <w:color w:val="auto"/>
        </w:rPr>
      </w:pPr>
    </w:p>
    <w:p>
      <w:pPr>
        <w:sectPr>
          <w:pgSz w:w="11900" w:h="16838" w:orient="portrait"/>
          <w:cols w:equalWidth="0" w:num="2">
            <w:col w:w="1860" w:space="80"/>
            <w:col w:w="9260"/>
          </w:cols>
          <w:pgMar w:left="320" w:top="121" w:right="379" w:bottom="1440" w:gutter="0" w:footer="0" w:header="0"/>
          <w:type w:val="continuous"/>
        </w:sectPr>
      </w:pPr>
    </w:p>
    <w:p>
      <w:pPr>
        <w:spacing w:after="0" w:line="1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320" w:firstLine="3364"/>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Qorvo, Inc. </w:t>
      </w:r>
      <w:r>
        <w:rPr>
          <w:rFonts w:ascii="Times New Roman" w:cs="Times New Roman" w:eastAsia="Times New Roman" w:hAnsi="Times New Roman"/>
          <w:sz w:val="18"/>
          <w:szCs w:val="18"/>
          <w:b w:val="1"/>
          <w:bCs w:val="1"/>
          <w:color w:val="auto"/>
        </w:rPr>
        <w:t>Opinion on Internal Control over Financial Reporting</w:t>
      </w:r>
    </w:p>
    <w:p>
      <w:pPr>
        <w:spacing w:after="0" w:line="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Qorvo, Inc. and subsidiaries’ internal control over financial reporting as of April 2, 2022, based on criteria established in Internal Control-Integrated Framework issued by the Committee of Sponsoring Organizations of the Treadway Commission (2013 framework) (the COSO criteria). In our opinion, Qorvo, Inc. and subsidiaries (the Company) maintained, in all material respects, effective internal control over financial reporting as of April 2, 2022, based on the COSO criteria.</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April 2, 2022 and April 3, 2021, the related consolidated statements of income, comprehensive income, stockholders’ equity and cash flows for each of the three years in the period ended April 2, 2022, and the related notes and our report dated May 20, 2022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6"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Interim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Company’s management, including our Chief Executive Officer and Interim Chief Financial Officer, evaluated the effectiveness of the Company’s disclosure controls and procedures in accordance with Rule 13a-15 under the Exchange Act. Based on this evaluation, our Chief Executive Officer and Interim Chief Financial Officer concluded that the Company’s disclosure controls and procedures were effective, as of such date, to enable the Company to record, process, summarize and report in a timely manner the information that the Company is required to disclose in its Exchange Act reports. Our Chief Executive Officer and Interim Chief Financial Officer also concluded that the Company’s disclosure controls and procedures were effective, as of the end of the period covered by this report, in ensuring that information required to be disclosed by the Company in the reports that it files or submits under the Exchange Act is accumulated and communicated to the Company’s management, including our Chief Executive Officer and Interim Chief Financial Officer, as appropriate, to allow timely decisions regarding required disclosure.</w:t>
      </w:r>
    </w:p>
    <w:p>
      <w:pPr>
        <w:spacing w:after="0" w:line="219" w:lineRule="exact"/>
        <w:rPr>
          <w:sz w:val="20"/>
          <w:szCs w:val="20"/>
          <w:color w:val="auto"/>
        </w:rPr>
      </w:pPr>
    </w:p>
    <w:p>
      <w:pPr>
        <w:ind w:left="300" w:hanging="25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Management's assessment of internal control over financial reporting</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and for the assessment of the effectiveness of internal control over financial reporting as defined in Rules 13a-15(f) and 15d-15(f) under the Exchange Act. Our internal control over financial reporting is a process designed by and under the supervision of our Chief Executive Officer and Interim Chief Financial Officer and effected by our board of directors, management and other personnel,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consolidated financial statements for external purposes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assets that could have a material effect on the consolidated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April 2, 2022. Management based this assessment on criteria for effective internal control over financial reporting described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Based on this assessment, management concluded that the Company's internal control over financial reporting was effective as of April 2, 2022, based on the criteria in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jc w:val="both"/>
        <w:spacing w:after="0" w:line="266"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issued an unqualified opinion on the effectiveness of the Company’s internal control over financial reporting, as of April 2, 2022, which is included in this Annual Report on Form 10-K under Part II, Item 8, "Financial Statements and Supplementary Data."</w:t>
      </w:r>
    </w:p>
    <w:p>
      <w:pPr>
        <w:spacing w:after="0" w:line="203" w:lineRule="exact"/>
        <w:rPr>
          <w:sz w:val="20"/>
          <w:szCs w:val="20"/>
          <w:color w:val="auto"/>
        </w:rPr>
      </w:pPr>
    </w:p>
    <w:p>
      <w:pPr>
        <w:ind w:left="300" w:hanging="25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Company's internal control over financial reporting during the quarter ended April 2,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Information required by this Item may be found in our definitive proxy statement for our 2022 Annual Meeting of Stockholders under the captions "Corporate Governance," "Executive Officers" and "Proposal 1 - Election of Directors," and the information therein is incorporated herein by reference.</w:t>
      </w:r>
    </w:p>
    <w:p>
      <w:pPr>
        <w:spacing w:after="0" w:line="16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SEC rules or Nasdaq listing standards, we intend to disclose such amendment on our website. Any waiver of the Code of Business Conduct and Ethics for any executive officer or director must be approved by the Board and will be promptly disclosed, along with the reasons for the waiver, as required by applicable law or Nasdaq rules.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2022 Annual Meeting of Stockholders under the captions "Executive Compensation" and "Compensation Committee Interlocks and Insider Participation," and the information therein is incorporated herein by reference.</w:t>
      </w:r>
    </w:p>
    <w:p>
      <w:pPr>
        <w:spacing w:after="0" w:line="19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2022 Annual Meeting of Stockholders under the captions "Security Ownership of Certain Beneficial Owners and Management" and "Equity Compensation Plan Information," and the information therein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2022 Annual Meeting of Stockholders under the captions "Related Person Transactions" and "Corporate Governance," and the information therein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may be found in our definitive proxy statement for our 2022 Annual Meeting of Stockholders under the captions "Proposal 3 - Ratification of Appointment of Independent Registered Public Accounting Firm" and "Corporate Governance," and the information therein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52"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April 2, 2022 and April 3, 2021.</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for fiscal years 2022, 2021 and 2020.</w:t>
      </w:r>
    </w:p>
    <w:p>
      <w:pPr>
        <w:spacing w:after="0" w:line="25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fiscal years 2022, 2021 and 2020.</w:t>
      </w:r>
    </w:p>
    <w:p>
      <w:pPr>
        <w:spacing w:after="0" w:line="25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fiscal years 2022, 2021 and 2020.</w:t>
      </w:r>
    </w:p>
    <w:p>
      <w:pPr>
        <w:spacing w:after="0" w:line="252"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fiscal years 2022, 2021 and 2020.</w:t>
      </w:r>
    </w:p>
    <w:p>
      <w:pPr>
        <w:spacing w:after="0" w:line="252"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8"/>
        <w:spacing w:after="0" w:line="282" w:lineRule="auto"/>
        <w:tabs>
          <w:tab w:leader="none" w:pos="7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are not included in this item as they are either included within the consolidated financial statements or the notes thereto in this Annual Report on Form 10-K or are inapplicable and, therefore, have been omitted.</w:t>
      </w:r>
    </w:p>
    <w:p>
      <w:pPr>
        <w:spacing w:after="0" w:line="18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accompanying Exhibit Index are filed as a part of this Annual Report on Form 10-K.</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68" w:lineRule="exact"/>
        <w:rPr>
          <w:sz w:val="20"/>
          <w:szCs w:val="20"/>
          <w:color w:val="auto"/>
        </w:rPr>
      </w:pPr>
    </w:p>
    <w:p>
      <w:pPr>
        <w:ind w:left="340" w:right="7320" w:hanging="332"/>
        <w:spacing w:after="0" w:line="282" w:lineRule="auto"/>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Financial Statements and Schedules. 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6" w:right="7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80" w:type="dxa"/>
            <w:vAlign w:val="bottom"/>
            <w:gridSpan w:val="31"/>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75"/>
        </w:trPr>
        <w:tc>
          <w:tcPr>
            <w:tcW w:w="92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 w:type="dxa"/>
            <w:vAlign w:val="bottom"/>
            <w:tcBorders>
              <w:bottom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w w:val="90"/>
              </w:rPr>
              <w:t>No.</w:t>
            </w:r>
          </w:p>
        </w:tc>
        <w:tc>
          <w:tcPr>
            <w:tcW w:w="560" w:type="dxa"/>
            <w:vAlign w:val="bottom"/>
          </w:tcPr>
          <w:p>
            <w:pPr>
              <w:spacing w:after="0"/>
              <w:rPr>
                <w:sz w:val="16"/>
                <w:szCs w:val="16"/>
                <w:color w:val="auto"/>
              </w:rPr>
            </w:pPr>
          </w:p>
        </w:tc>
        <w:tc>
          <w:tcPr>
            <w:tcW w:w="10340" w:type="dxa"/>
            <w:vAlign w:val="bottom"/>
            <w:gridSpan w:val="39"/>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17"/>
                <w:szCs w:val="17"/>
                <w:color w:val="auto"/>
              </w:rPr>
            </w:pPr>
          </w:p>
        </w:tc>
        <w:tc>
          <w:tcPr>
            <w:tcW w:w="10340" w:type="dxa"/>
            <w:vAlign w:val="bottom"/>
            <w:gridSpan w:val="39"/>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Amended and Restated Certificate of Incorporation of Qorvo, Inc., as amended (incorporated by reference to Exhibit 3.1 to the Company’s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Quarterly Report on Form 10-Q filed with the SEC on February 3, 2015)</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Amended and Restated Bylaws of Qorvo, Inc., effective as of May 13, 2016 (incorporated by reference to Exhibit 3.1 to the Company's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7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Current Report on Form 8-K filed with the SEC on May 19,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Specimen Certificate of Common Stock of Qorvo, Inc. (incorporated by reference to Exhibit 4.1 to the Company's Annual Report on Form 10-</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2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K filed with the SEC on May 27,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Indenture, dated as of September 30, 2019, among Qorvo, Inc., the Guarantors party thereto and Computershare Trust Company, N.A., as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Successor Trustee to MUFG Union Bank, N.A. (incorporated by reference to Exhibit 4.1 to the Company's Current Report on Form 8-K</w:t>
              </w:r>
            </w:hyperlink>
          </w:p>
        </w:tc>
        <w:tc>
          <w:tcPr>
            <w:tcW w:w="440" w:type="dxa"/>
            <w:vAlign w:val="bottom"/>
            <w:gridSpan w:val="15"/>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filed</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with the SEC on October 1, 2019)</w:t>
              </w:r>
            </w:hyperlink>
          </w:p>
        </w:tc>
        <w:tc>
          <w:tcPr>
            <w:tcW w:w="7720" w:type="dxa"/>
            <w:vAlign w:val="bottom"/>
            <w:tcBorders>
              <w:top w:val="single" w:sz="8" w:color="0000FF"/>
            </w:tcBorders>
            <w:gridSpan w:val="2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18"/>
                <w:szCs w:val="18"/>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Supplemental Indenture, dated as of December 20, 2019, among Qorvo, Inc., the Guarantors party thereto and Computershare Trust Company,</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N.A., as Successor Trustee to MUFG Union Bank, N.A. (incorporated by reference to Exhibit 4.1 to the Company’s Current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14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8-K filed with the SEC on December 20, 2019)</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18"/>
                <w:szCs w:val="18"/>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Second Supplemental Indenture, dated as of June 11, 2020, among Qorvo, Inc., the Guarantors party thereto and Computershare Trust</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114">
              <w:r>
                <w:rPr>
                  <w:rFonts w:ascii="Times New Roman" w:cs="Times New Roman" w:eastAsia="Times New Roman" w:hAnsi="Times New Roman"/>
                  <w:sz w:val="18"/>
                  <w:szCs w:val="18"/>
                  <w:color w:val="0000FF"/>
                  <w:w w:val="98"/>
                </w:rPr>
                <w:t>Company, N.A., as Successor Trustee to MUFG Union Bank, N.A. (incorporated by reference to Exhibit 4.1 to the Company’s Current</w:t>
              </w:r>
            </w:hyperlink>
          </w:p>
        </w:tc>
        <w:tc>
          <w:tcPr>
            <w:tcW w:w="20" w:type="dxa"/>
            <w:vAlign w:val="bottom"/>
          </w:tcPr>
          <w:p>
            <w:pPr>
              <w:spacing w:after="0"/>
              <w:rPr>
                <w:sz w:val="13"/>
                <w:szCs w:val="13"/>
                <w:color w:val="auto"/>
              </w:rPr>
            </w:pPr>
          </w:p>
        </w:tc>
        <w:tc>
          <w:tcPr>
            <w:tcW w:w="680" w:type="dxa"/>
            <w:vAlign w:val="bottom"/>
            <w:gridSpan w:val="20"/>
          </w:tcPr>
          <w:p>
            <w:pPr>
              <w:ind w:left="100"/>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Report</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on Form 8-K filed with the SEC on June 11, 2020)</w:t>
              </w:r>
            </w:hyperlink>
          </w:p>
        </w:tc>
        <w:tc>
          <w:tcPr>
            <w:tcW w:w="6580" w:type="dxa"/>
            <w:vAlign w:val="bottom"/>
            <w:tcBorders>
              <w:top w:val="single" w:sz="8" w:color="0000FF"/>
            </w:tcBorders>
            <w:gridSpan w:val="2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tcPr>
          <w:p>
            <w:pPr>
              <w:spacing w:after="0"/>
              <w:rPr>
                <w:sz w:val="18"/>
                <w:szCs w:val="18"/>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Indenture, dated as of September 29, 2020, among Qorvo, Inc., the Guarantors and Computershare Trust Company, N.A., as Successor Trustee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0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to MUFG Union Bank, N.A. (incorporated by reference to Exhibit 4.1 to the Company’s Current Report on Form 8-K filed with the SEC on</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8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September 29, 2020)</w:t>
              </w:r>
            </w:hyperlink>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tcPr>
          <w:p>
            <w:pPr>
              <w:spacing w:after="0"/>
              <w:rPr>
                <w:sz w:val="18"/>
                <w:szCs w:val="18"/>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Indenture, dated as of December 14, 2021, among Qorvo, Inc., the Guarantors party thereto and Computershare Trust Company, N.A., as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Trustee (incorporated by reference to Exhibit 4.1 to the Current Report on Form 8-K filed with the SEC on December 14, 2021)</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540" w:type="dxa"/>
            <w:vAlign w:val="bottom"/>
            <w:gridSpan w:val="6"/>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Registration Rights Agreement, dated as of December 14, 2021, by and among Qorvo, Inc., the Guarantors named therein and BofA</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540" w:type="dxa"/>
            <w:vAlign w:val="bottom"/>
            <w:gridSpan w:val="6"/>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40" w:type="dxa"/>
            <w:vAlign w:val="bottom"/>
            <w:gridSpan w:val="39"/>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Securities, Inc., as representative of the several Initial Purchasers named therein (incorporated by reference to Exhibit 4.2 to the Current</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7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Report on Form 8-K filed with the SEC on December 14, 2021)</w:t>
              </w:r>
            </w:hyperlink>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540" w:type="dxa"/>
            <w:vAlign w:val="bottom"/>
            <w:gridSpan w:val="6"/>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tcPr>
          <w:p>
            <w:pPr>
              <w:spacing w:after="0"/>
              <w:rPr>
                <w:sz w:val="18"/>
                <w:szCs w:val="18"/>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Description of Securities (incorporated by reference to Exhibit 4.11 to the Company’s Annual Report on Form 10-K filed with the SEC on</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May 17, 2019)</w:t>
              </w:r>
            </w:hyperlink>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Qorvo, Inc. 2007 Employee Stock Purchase Plan (As Assumed and Amended by Qorvo, Inc., and as further amended, effective February 8,</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2017) (incorporated by reference to Exhibit 10.1 to the Company's Annual Report on Form 10-K filed with the SEC on May 23, 2017)*</w:t>
              </w:r>
            </w:hyperlink>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54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Qorvo, Inc. 2013 Incentive Plan (As Assumed and Amended by Qorvo, Inc.) (incorporated by reference to Exhibit 99.2 to the Company’s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Registration Statement on Form S-8 filed with the SEC on January 5, 2015 (File No. 333-201357))*</w:t>
              </w:r>
            </w:hyperlink>
          </w:p>
        </w:tc>
        <w:tc>
          <w:tcPr>
            <w:tcW w:w="2700" w:type="dxa"/>
            <w:vAlign w:val="bottom"/>
            <w:tcBorders>
              <w:top w:val="single" w:sz="8" w:color="0000FF"/>
            </w:tcBorders>
            <w:gridSpan w:val="11"/>
          </w:tcPr>
          <w:p>
            <w:pPr>
              <w:spacing w:after="0"/>
              <w:rPr>
                <w:sz w:val="13"/>
                <w:szCs w:val="13"/>
                <w:color w:val="auto"/>
              </w:rPr>
            </w:pPr>
          </w:p>
        </w:tc>
        <w:tc>
          <w:tcPr>
            <w:tcW w:w="18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Qorvo, Inc. 2012 Incentive Plan (As Assumed by Qorvo, Inc.) (incorporated by reference to Exhibit 99.3 to the Company’s Registration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Statement on Form S-8 filed with the SEC on January 5, 2015 (File No. 333-201357))*</w:t>
              </w:r>
            </w:hyperlink>
          </w:p>
        </w:tc>
        <w:tc>
          <w:tcPr>
            <w:tcW w:w="3480" w:type="dxa"/>
            <w:vAlign w:val="bottom"/>
            <w:tcBorders>
              <w:top w:val="single" w:sz="8" w:color="0000FF"/>
            </w:tcBorders>
            <w:gridSpan w:val="9"/>
          </w:tcPr>
          <w:p>
            <w:pPr>
              <w:spacing w:after="0"/>
              <w:rPr>
                <w:sz w:val="13"/>
                <w:szCs w:val="13"/>
                <w:color w:val="auto"/>
              </w:rPr>
            </w:pPr>
          </w:p>
        </w:tc>
        <w:tc>
          <w:tcPr>
            <w:tcW w:w="300" w:type="dxa"/>
            <w:vAlign w:val="bottom"/>
            <w:gridSpan w:val="8"/>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Qorvo, Inc. 2009 Incentive Plan (As Assumed by Qorvo, Inc.) (incorporated by reference to Exhibit 99.4 to the Company’s Registration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Statement on Form S-8 filed with the SEC on January 5, 2015 (File No. 333-201357))*</w:t>
              </w:r>
            </w:hyperlink>
          </w:p>
        </w:tc>
        <w:tc>
          <w:tcPr>
            <w:tcW w:w="3480" w:type="dxa"/>
            <w:vAlign w:val="bottom"/>
            <w:tcBorders>
              <w:top w:val="single" w:sz="8" w:color="0000FF"/>
            </w:tcBorders>
            <w:gridSpan w:val="9"/>
          </w:tcPr>
          <w:p>
            <w:pPr>
              <w:spacing w:after="0"/>
              <w:rPr>
                <w:sz w:val="13"/>
                <w:szCs w:val="13"/>
                <w:color w:val="auto"/>
              </w:rPr>
            </w:pPr>
          </w:p>
        </w:tc>
        <w:tc>
          <w:tcPr>
            <w:tcW w:w="300" w:type="dxa"/>
            <w:vAlign w:val="bottom"/>
            <w:gridSpan w:val="8"/>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Qorvo, Inc. 2008 Inducement Program (As Assumed by Qorvo, Inc.) (incorporated by reference to Exhibit 99.5 to the Company’s Registration</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Statement on Form S-8 filed with the SEC on January 5, 2015 (File No. 333-201357))*</w:t>
              </w:r>
            </w:hyperlink>
          </w:p>
        </w:tc>
        <w:tc>
          <w:tcPr>
            <w:tcW w:w="398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Qorvo, Inc. 1996 Stock Incentive Program (As Assumed by Qorvo, Inc.) (incorporated by reference to Exhibit 99.6 to the Company’s</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Registration Statement on Form S-8 filed with the SEC on January 5, 2015 (File No. 333-201357))*</w:t>
              </w:r>
            </w:hyperlink>
          </w:p>
        </w:tc>
        <w:tc>
          <w:tcPr>
            <w:tcW w:w="240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gridSpan w:val="11"/>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Qorvo, Inc. 2012 Stock Incentive Plan (As Assumed by Qorvo, Inc. and Amended and Restated Effective January 1, 2015) (incorporated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reference to Exhibit 99.1 to the Company’s Registration Statement on Form S-8 filed with the SEC on January 5, 2015 (File No. 333-</w:t>
              </w:r>
            </w:hyperlink>
          </w:p>
        </w:tc>
        <w:tc>
          <w:tcPr>
            <w:tcW w:w="12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201358)</w:t>
              </w:r>
              <w:r>
                <w:rPr>
                  <w:rFonts w:ascii="Times New Roman" w:cs="Times New Roman" w:eastAsia="Times New Roman" w:hAnsi="Times New Roman"/>
                  <w:sz w:val="18"/>
                  <w:szCs w:val="18"/>
                  <w:u w:val="single" w:color="auto"/>
                  <w:color w:val="0000FF"/>
                  <w:w w:val="98"/>
                </w:rPr>
                <w:t>)*</w:t>
              </w:r>
            </w:hyperlink>
          </w:p>
        </w:tc>
        <w:tc>
          <w:tcPr>
            <w:tcW w:w="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60" w:type="dxa"/>
            <w:vAlign w:val="bottom"/>
          </w:tcPr>
          <w:p>
            <w:pPr>
              <w:spacing w:after="0"/>
              <w:rPr>
                <w:sz w:val="18"/>
                <w:szCs w:val="18"/>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2003 Stock Incentive Plan of Qorvo, Inc. (As Assumed and Amended by Qorvo, Inc. Effective January 1, 2015) (incorporated by reference to</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Exhibit 99.2 to the Company’s Registration Statement on Form S-8 filed with the SEC on January 5, 2015 (File No. 333-201358))*</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60" w:type="dxa"/>
            <w:vAlign w:val="bottom"/>
            <w:gridSpan w:val="1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Pr>
          <w:p>
            <w:pPr>
              <w:spacing w:after="0"/>
              <w:rPr>
                <w:sz w:val="19"/>
                <w:szCs w:val="19"/>
                <w:color w:val="auto"/>
              </w:rPr>
            </w:pPr>
          </w:p>
        </w:tc>
        <w:tc>
          <w:tcPr>
            <w:tcW w:w="10340" w:type="dxa"/>
            <w:vAlign w:val="bottom"/>
            <w:gridSpan w:val="3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Qorvo, Inc. 2006 Directors Stock Option Plan (As Assumed by Qorvo, Inc. and Amended Effective January 1, 2015) (incorporated by</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reference to Exhibit 99.3 to the Company’s Registration Statement on Form S-8 filed with the SEC on January 5, 2015 (File No. 333-</w:t>
              </w:r>
            </w:hyperlink>
          </w:p>
        </w:tc>
        <w:tc>
          <w:tcPr>
            <w:tcW w:w="68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201358)</w:t>
              </w:r>
              <w:r>
                <w:rPr>
                  <w:rFonts w:ascii="Times New Roman" w:cs="Times New Roman" w:eastAsia="Times New Roman" w:hAnsi="Times New Roman"/>
                  <w:sz w:val="18"/>
                  <w:szCs w:val="18"/>
                  <w:u w:val="single" w:color="auto"/>
                  <w:color w:val="0000FF"/>
                  <w:w w:val="98"/>
                </w:rPr>
                <w:t>)*</w:t>
              </w:r>
            </w:hyperlink>
          </w:p>
        </w:tc>
        <w:tc>
          <w:tcPr>
            <w:tcW w:w="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0" w:right="100" w:hanging="917"/>
        <w:spacing w:after="0" w:line="236"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29">
        <w:r>
          <w:rPr>
            <w:rFonts w:ascii="Times New Roman" w:cs="Times New Roman" w:eastAsia="Times New Roman" w:hAnsi="Times New Roman"/>
            <w:sz w:val="17"/>
            <w:szCs w:val="17"/>
            <w:u w:val="single" w:color="auto"/>
            <w:color w:val="0000FF"/>
          </w:rPr>
          <w:t>Nonemployee Directors’ Stock Option Plan of Qorvo, Inc. (As Assumed by Qorvo, Inc. and Amended Effective January 1, 2015)</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(incorporated by reference to Exhibit 99.4 to the Company’s Registration Statement on Form S-8 filed with the SEC on January 5, 2015 (File</w:t>
        </w:r>
      </w:hyperlink>
    </w:p>
    <w:p>
      <w:pPr>
        <w:ind w:left="94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No. 333-201358))*</w:t>
        </w:r>
      </w:hyperlink>
    </w:p>
    <w:p>
      <w:pPr>
        <w:spacing w:after="0" w:line="7" w:lineRule="exact"/>
        <w:rPr>
          <w:sz w:val="20"/>
          <w:szCs w:val="20"/>
          <w:color w:val="auto"/>
        </w:rPr>
      </w:pPr>
    </w:p>
    <w:p>
      <w:pPr>
        <w:ind w:left="940" w:right="28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30">
        <w:r>
          <w:rPr>
            <w:rFonts w:ascii="Times New Roman" w:cs="Times New Roman" w:eastAsia="Times New Roman" w:hAnsi="Times New Roman"/>
            <w:sz w:val="18"/>
            <w:szCs w:val="18"/>
            <w:u w:val="single" w:color="auto"/>
            <w:color w:val="0000FF"/>
          </w:rPr>
          <w:t>Qorvo, Inc. 2015 Inducement Stock Plan (incorporated by reference to Exhibit 99.5 to the Company’s Registration Statement on Form S-8</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filed with the SEC on January 5, 2015 (File No. 333-201358))*</w:t>
        </w:r>
      </w:hyperlink>
    </w:p>
    <w:p>
      <w:pPr>
        <w:spacing w:after="0" w:line="10" w:lineRule="exact"/>
        <w:rPr>
          <w:sz w:val="20"/>
          <w:szCs w:val="20"/>
          <w:color w:val="auto"/>
        </w:rPr>
      </w:pPr>
    </w:p>
    <w:p>
      <w:pPr>
        <w:ind w:left="940" w:right="26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31">
        <w:r>
          <w:rPr>
            <w:rFonts w:ascii="Times New Roman" w:cs="Times New Roman" w:eastAsia="Times New Roman" w:hAnsi="Times New Roman"/>
            <w:sz w:val="18"/>
            <w:szCs w:val="18"/>
            <w:u w:val="single" w:color="auto"/>
            <w:color w:val="0000FF"/>
          </w:rPr>
          <w:t>Qorvo, Inc. Form of Indemnification Agreement (incorporated by reference to Exhibit 10.1 to the Company’s Current Report on Form 8-K</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filed with the SEC on January 5, 2015)*</w:t>
        </w:r>
      </w:hyperlink>
    </w:p>
    <w:p>
      <w:pPr>
        <w:spacing w:after="0" w:line="10" w:lineRule="exact"/>
        <w:rPr>
          <w:sz w:val="20"/>
          <w:szCs w:val="20"/>
          <w:color w:val="auto"/>
        </w:rPr>
      </w:pPr>
    </w:p>
    <w:p>
      <w:pPr>
        <w:ind w:left="940" w:right="8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32">
        <w:r>
          <w:rPr>
            <w:rFonts w:ascii="Times New Roman" w:cs="Times New Roman" w:eastAsia="Times New Roman" w:hAnsi="Times New Roman"/>
            <w:sz w:val="18"/>
            <w:szCs w:val="18"/>
            <w:u w:val="single" w:color="auto"/>
            <w:color w:val="0000FF"/>
          </w:rPr>
          <w:t>Qorvo, Inc. Form of Change in Control Agreement (incorporated by reference to Exhibit 10.1 to the Company’s Current Report on Form 8-K</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filed with the SEC on February 10, 2015)*</w:t>
        </w:r>
      </w:hyperlink>
    </w:p>
    <w:p>
      <w:pPr>
        <w:spacing w:after="0" w:line="10" w:lineRule="exact"/>
        <w:rPr>
          <w:sz w:val="20"/>
          <w:szCs w:val="20"/>
          <w:color w:val="auto"/>
        </w:rPr>
      </w:pPr>
    </w:p>
    <w:p>
      <w:pPr>
        <w:ind w:left="940" w:right="8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33">
        <w:r>
          <w:rPr>
            <w:rFonts w:ascii="Times New Roman" w:cs="Times New Roman" w:eastAsia="Times New Roman" w:hAnsi="Times New Roman"/>
            <w:sz w:val="18"/>
            <w:szCs w:val="18"/>
            <w:u w:val="single" w:color="auto"/>
            <w:color w:val="0000FF"/>
          </w:rPr>
          <w:t>Qorvo, Inc. Nonqualified Deferred Compensation Plan (As Assumed and Amended and Restated Effective January 1, 2015) (incorporated by</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reference to Exhibit 10.15 to the Company’s Annual Report on Form 10-K filed with the SEC on May 27, 2015)*</w:t>
        </w:r>
      </w:hyperlink>
    </w:p>
    <w:p>
      <w:pPr>
        <w:spacing w:after="0" w:line="10" w:lineRule="exact"/>
        <w:rPr>
          <w:sz w:val="20"/>
          <w:szCs w:val="20"/>
          <w:color w:val="auto"/>
        </w:rPr>
      </w:pPr>
    </w:p>
    <w:p>
      <w:pPr>
        <w:ind w:left="94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34">
        <w:r>
          <w:rPr>
            <w:rFonts w:ascii="Times New Roman" w:cs="Times New Roman" w:eastAsia="Times New Roman" w:hAnsi="Times New Roman"/>
            <w:sz w:val="18"/>
            <w:szCs w:val="18"/>
            <w:u w:val="single" w:color="auto"/>
            <w:color w:val="0000FF"/>
          </w:rPr>
          <w:t>Qorvo, Inc. Cash Bonus Plan (As Assumed and Amended and Restated Effective January 1, 2015) (incorporated by reference to Exhibit 10.16</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to the Company’s Annual Report on Form 10-K filed with the SEC on May 27, 2015)*</w:t>
        </w:r>
      </w:hyperlink>
    </w:p>
    <w:p>
      <w:pPr>
        <w:spacing w:after="0" w:line="10" w:lineRule="exact"/>
        <w:rPr>
          <w:sz w:val="20"/>
          <w:szCs w:val="20"/>
          <w:color w:val="auto"/>
        </w:rPr>
      </w:pPr>
    </w:p>
    <w:p>
      <w:pPr>
        <w:ind w:left="940" w:right="240" w:hanging="917"/>
        <w:spacing w:after="0" w:line="236"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35">
        <w:r>
          <w:rPr>
            <w:rFonts w:ascii="Times New Roman" w:cs="Times New Roman" w:eastAsia="Times New Roman" w:hAnsi="Times New Roman"/>
            <w:sz w:val="17"/>
            <w:szCs w:val="17"/>
            <w:u w:val="single" w:color="auto"/>
            <w:color w:val="0000FF"/>
          </w:rPr>
          <w:t>Employment Agreement, dated as of November 12, 2008, between RF Micro Devices, Inc. and Robert A. Bruggeworth (As Assumed by</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Qorvo, Inc.) (incorporated by reference to Exhibit 10.1 to RFMD’s Current Report on Form 8-K filed with the SEC on November 14, 2008</w:t>
        </w:r>
      </w:hyperlink>
    </w:p>
    <w:p>
      <w:pPr>
        <w:ind w:left="94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(File No. 000-22511))*</w:t>
        </w:r>
      </w:hyperlink>
    </w:p>
    <w:p>
      <w:pPr>
        <w:spacing w:after="0" w:line="7" w:lineRule="exact"/>
        <w:rPr>
          <w:sz w:val="20"/>
          <w:szCs w:val="20"/>
          <w:color w:val="auto"/>
        </w:rPr>
      </w:pPr>
    </w:p>
    <w:p>
      <w:pPr>
        <w:ind w:left="940" w:right="50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36">
        <w:r>
          <w:rPr>
            <w:rFonts w:ascii="Times New Roman" w:cs="Times New Roman" w:eastAsia="Times New Roman" w:hAnsi="Times New Roman"/>
            <w:sz w:val="18"/>
            <w:szCs w:val="18"/>
            <w:u w:val="single" w:color="auto"/>
            <w:color w:val="0000FF"/>
          </w:rPr>
          <w:t>Form of Stock Option Agreement (Senior Officers) pursuant to the Qorvo, Inc. 2012 Stock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Exhibit 10.3 to the Company’s Quarterly Report on Form 10-Q filed with the SEC on August 5, 2015)*</w:t>
        </w:r>
      </w:hyperlink>
    </w:p>
    <w:p>
      <w:pPr>
        <w:spacing w:after="0" w:line="10" w:lineRule="exact"/>
        <w:rPr>
          <w:sz w:val="20"/>
          <w:szCs w:val="20"/>
          <w:color w:val="auto"/>
        </w:rPr>
      </w:pPr>
    </w:p>
    <w:p>
      <w:pPr>
        <w:ind w:left="940" w:right="18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37">
        <w:r>
          <w:rPr>
            <w:rFonts w:ascii="Times New Roman" w:cs="Times New Roman" w:eastAsia="Times New Roman" w:hAnsi="Times New Roman"/>
            <w:sz w:val="18"/>
            <w:szCs w:val="18"/>
            <w:u w:val="single" w:color="auto"/>
            <w:color w:val="0000FF"/>
          </w:rPr>
          <w:t>Form of Restricted Stock Unit Agreement (Service-Based Award for Senior Officers) pursuant to the Qorvo, Inc. 2012 Stock Incentive Plan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(incorporated by reference to Exhibit 10.4 to the Company’s Quarterly Report on Form 10-Q filed with the SEC on August 5, 2015)*</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38">
        <w:r>
          <w:rPr>
            <w:rFonts w:ascii="Times New Roman" w:cs="Times New Roman" w:eastAsia="Times New Roman" w:hAnsi="Times New Roman"/>
            <w:sz w:val="17"/>
            <w:szCs w:val="17"/>
            <w:u w:val="single" w:color="auto"/>
            <w:color w:val="0000FF"/>
          </w:rPr>
          <w:t>Form of Restricted Stock Unit Agreement (Performance-Based and Service-Based Award for Senior Officers) pursuant to the Qorvo, Inc.</w:t>
        </w:r>
      </w:hyperlink>
    </w:p>
    <w:p>
      <w:pPr>
        <w:ind w:left="940"/>
        <w:spacing w:after="0" w:line="219"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2012 Stock Incentive Plan (incorporated by reference to Exhibit 10.5 to the Company’s Quarterly Report on Form 10-Q filed with the SEC on</w:t>
        </w:r>
      </w:hyperlink>
    </w:p>
    <w:p>
      <w:pPr>
        <w:ind w:left="94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August 5, 2015)*</w:t>
        </w:r>
      </w:hyperlink>
    </w:p>
    <w:p>
      <w:pPr>
        <w:spacing w:after="0" w:line="7" w:lineRule="exact"/>
        <w:rPr>
          <w:sz w:val="20"/>
          <w:szCs w:val="20"/>
          <w:color w:val="auto"/>
        </w:rPr>
      </w:pPr>
    </w:p>
    <w:p>
      <w:pPr>
        <w:ind w:left="940" w:right="140" w:hanging="917"/>
        <w:spacing w:after="0" w:line="233"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39">
        <w:r>
          <w:rPr>
            <w:rFonts w:ascii="Times New Roman" w:cs="Times New Roman" w:eastAsia="Times New Roman" w:hAnsi="Times New Roman"/>
            <w:sz w:val="17"/>
            <w:szCs w:val="17"/>
            <w:u w:val="single" w:color="auto"/>
            <w:color w:val="0000FF"/>
          </w:rPr>
          <w:t>Form of Restricted Stock Unit Agreement (Performance-Based Award for Senior Officers (TSR)) pursuant to the Qorvo, Inc. 2012 Stock</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Incentive Plan (incorporated by reference to Exhibit 10.6 to the Company’s Quarterly Report on Form 10-Q filed with the SEC on August 5,</w:t>
        </w:r>
      </w:hyperlink>
    </w:p>
    <w:p>
      <w:pPr>
        <w:ind w:left="94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2015)*</w:t>
        </w:r>
      </w:hyperlink>
    </w:p>
    <w:p>
      <w:pPr>
        <w:spacing w:after="0" w:line="7" w:lineRule="exact"/>
        <w:rPr>
          <w:sz w:val="20"/>
          <w:szCs w:val="20"/>
          <w:color w:val="auto"/>
        </w:rPr>
      </w:pPr>
    </w:p>
    <w:p>
      <w:pPr>
        <w:ind w:left="940" w:right="22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40">
        <w:r>
          <w:rPr>
            <w:rFonts w:ascii="Times New Roman" w:cs="Times New Roman" w:eastAsia="Times New Roman" w:hAnsi="Times New Roman"/>
            <w:sz w:val="18"/>
            <w:szCs w:val="18"/>
            <w:u w:val="single" w:color="auto"/>
            <w:color w:val="0000FF"/>
          </w:rPr>
          <w:t>Qorvo, Inc. Severance Benefits Plan and Summary Plan Description (incorporated by reference to Exhibit 10.8 to the Company’s Quarterly</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Report on Form 10-Q filed with the SEC on August 5, 2015)*</w:t>
        </w:r>
      </w:hyperlink>
    </w:p>
    <w:p>
      <w:pPr>
        <w:spacing w:after="0" w:line="10" w:lineRule="exact"/>
        <w:rPr>
          <w:sz w:val="20"/>
          <w:szCs w:val="20"/>
          <w:color w:val="auto"/>
        </w:rPr>
      </w:pPr>
    </w:p>
    <w:p>
      <w:pPr>
        <w:ind w:left="940" w:right="50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41">
        <w:r>
          <w:rPr>
            <w:rFonts w:ascii="Times New Roman" w:cs="Times New Roman" w:eastAsia="Times New Roman" w:hAnsi="Times New Roman"/>
            <w:sz w:val="18"/>
            <w:szCs w:val="18"/>
            <w:u w:val="single" w:color="auto"/>
            <w:color w:val="0000FF"/>
          </w:rPr>
          <w:t>Form of Stock Option Agreement (Senior Officers) pursuant to the Qorvo, Inc. 2012 Stock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Exhibit 10.30 to the Company’s Annual Report on Form 10-K filed with the SEC on May 31, 2016)*</w:t>
        </w:r>
      </w:hyperlink>
    </w:p>
    <w:p>
      <w:pPr>
        <w:spacing w:after="0" w:line="10" w:lineRule="exact"/>
        <w:rPr>
          <w:sz w:val="20"/>
          <w:szCs w:val="20"/>
          <w:color w:val="auto"/>
        </w:rPr>
      </w:pPr>
    </w:p>
    <w:p>
      <w:pPr>
        <w:ind w:left="940" w:right="18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42">
        <w:r>
          <w:rPr>
            <w:rFonts w:ascii="Times New Roman" w:cs="Times New Roman" w:eastAsia="Times New Roman" w:hAnsi="Times New Roman"/>
            <w:sz w:val="18"/>
            <w:szCs w:val="18"/>
            <w:u w:val="single" w:color="auto"/>
            <w:color w:val="0000FF"/>
          </w:rPr>
          <w:t>Form of Restricted Stock Unit Agreement (Service-Based Award for Senior Officers) pursuant to the Qorvo, Inc. 2012 Stock Incentive Plan</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(incorporated by reference to Exhibit 10.31 to the Company’s Annual Report on Form 10-K filed with the SEC on May 31, 2016)*</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43">
        <w:r>
          <w:rPr>
            <w:rFonts w:ascii="Times New Roman" w:cs="Times New Roman" w:eastAsia="Times New Roman" w:hAnsi="Times New Roman"/>
            <w:sz w:val="17"/>
            <w:szCs w:val="17"/>
            <w:u w:val="single" w:color="auto"/>
            <w:color w:val="0000FF"/>
          </w:rPr>
          <w:t>Form of Restricted Stock Unit Agreement (Performance-Based and Service-Based Award for Senior Officers) pursuant to the Qorvo, Inc.</w:t>
        </w:r>
      </w:hyperlink>
    </w:p>
    <w:p>
      <w:pPr>
        <w:ind w:left="940"/>
        <w:spacing w:after="0" w:line="219"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2012 Stock Incentive Plan (incorporated by reference to Exhibit 10.32 to the Company’s Annual Report on Form 10-K filed with the SEC on</w:t>
        </w:r>
      </w:hyperlink>
    </w:p>
    <w:p>
      <w:pPr>
        <w:ind w:left="94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May 31, 2016)*</w:t>
        </w:r>
      </w:hyperlink>
    </w:p>
    <w:p>
      <w:pPr>
        <w:spacing w:after="0" w:line="7" w:lineRule="exact"/>
        <w:rPr>
          <w:sz w:val="20"/>
          <w:szCs w:val="20"/>
          <w:color w:val="auto"/>
        </w:rPr>
      </w:pPr>
    </w:p>
    <w:p>
      <w:pPr>
        <w:ind w:left="940" w:right="320" w:hanging="917"/>
        <w:spacing w:after="0" w:line="233"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44">
        <w:r>
          <w:rPr>
            <w:rFonts w:ascii="Times New Roman" w:cs="Times New Roman" w:eastAsia="Times New Roman" w:hAnsi="Times New Roman"/>
            <w:sz w:val="17"/>
            <w:szCs w:val="17"/>
            <w:u w:val="single" w:color="auto"/>
            <w:color w:val="0000FF"/>
          </w:rPr>
          <w:t>Form of Restricted Stock Unit Agreement (Performance-Based Award for Senior Officers (TSR)) pursuant to the Qorvo, Inc. 2012 Stock</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Incentive Plan (incorporated by reference to Exhibit 10.33 to the Company’s Annual Report on Form 10-K filed with the SEC on May 31,</w:t>
        </w:r>
      </w:hyperlink>
    </w:p>
    <w:p>
      <w:pPr>
        <w:ind w:left="94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2016)*</w:t>
        </w:r>
      </w:hyperlink>
    </w:p>
    <w:p>
      <w:pPr>
        <w:spacing w:after="0" w:line="7" w:lineRule="exact"/>
        <w:rPr>
          <w:sz w:val="20"/>
          <w:szCs w:val="20"/>
          <w:color w:val="auto"/>
        </w:rPr>
      </w:pPr>
    </w:p>
    <w:p>
      <w:pPr>
        <w:ind w:left="940" w:right="2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45">
        <w:r>
          <w:rPr>
            <w:rFonts w:ascii="Times New Roman" w:cs="Times New Roman" w:eastAsia="Times New Roman" w:hAnsi="Times New Roman"/>
            <w:sz w:val="18"/>
            <w:szCs w:val="18"/>
            <w:u w:val="single" w:color="auto"/>
            <w:color w:val="0000FF"/>
          </w:rPr>
          <w:t>Form of Restricted Stock Unit Award Agreement (Director Annual/Supplemental RSU) pursuant to the Qorvo, Inc. 2012 Stock Incentive Plan</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(incorporated by reference to Exhibit 10.34 to the Company’s Annual Report on Form 10-K filed with the SEC on May 31, 2016)*</w:t>
        </w:r>
      </w:hyperlink>
    </w:p>
    <w:p>
      <w:pPr>
        <w:spacing w:after="0" w:line="10" w:lineRule="exact"/>
        <w:rPr>
          <w:sz w:val="20"/>
          <w:szCs w:val="20"/>
          <w:color w:val="auto"/>
        </w:rPr>
      </w:pPr>
    </w:p>
    <w:p>
      <w:pPr>
        <w:ind w:left="940" w:right="140" w:hanging="917"/>
        <w:spacing w:after="0" w:line="236"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46">
        <w:r>
          <w:rPr>
            <w:rFonts w:ascii="Times New Roman" w:cs="Times New Roman" w:eastAsia="Times New Roman" w:hAnsi="Times New Roman"/>
            <w:sz w:val="17"/>
            <w:szCs w:val="17"/>
            <w:u w:val="single" w:color="auto"/>
            <w:color w:val="0000FF"/>
          </w:rPr>
          <w:t>Form of Restricted Stock Unit Award Agreement (Director Annual/Supplemental RSUs) (deferral election) pursuant to the Qorvo, Inc. 2012</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Stock Incentive Plan (incorporated by reference to Exhibit 10.1 to the Company’s Quarterly Report on Form 10-Q filed with the SEC on</w:t>
        </w:r>
      </w:hyperlink>
    </w:p>
    <w:p>
      <w:pPr>
        <w:ind w:left="94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August 5, 2016)*</w:t>
        </w:r>
      </w:hyperlink>
    </w:p>
    <w:p>
      <w:pPr>
        <w:spacing w:after="0" w:line="7" w:lineRule="exact"/>
        <w:rPr>
          <w:sz w:val="20"/>
          <w:szCs w:val="20"/>
          <w:color w:val="auto"/>
        </w:rPr>
      </w:pPr>
    </w:p>
    <w:p>
      <w:pPr>
        <w:ind w:left="940" w:right="6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47">
        <w:r>
          <w:rPr>
            <w:rFonts w:ascii="Times New Roman" w:cs="Times New Roman" w:eastAsia="Times New Roman" w:hAnsi="Times New Roman"/>
            <w:sz w:val="18"/>
            <w:szCs w:val="18"/>
            <w:u w:val="single" w:color="auto"/>
            <w:color w:val="0000FF"/>
          </w:rPr>
          <w:t>Qorvo, Inc. Cash Bonus Plan (As Amended and Restated Through June 9, 2016) (incorporated by reference to Exhibit 10.1 to the Company’s</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Quarterly Report on Form 10-Q filed with the SEC on November 7, 2016)*</w:t>
        </w:r>
      </w:hyperlink>
    </w:p>
    <w:p>
      <w:pPr>
        <w:spacing w:after="0" w:line="10" w:lineRule="exact"/>
        <w:rPr>
          <w:sz w:val="20"/>
          <w:szCs w:val="20"/>
          <w:color w:val="auto"/>
        </w:rPr>
      </w:pPr>
    </w:p>
    <w:p>
      <w:pPr>
        <w:ind w:left="940" w:right="18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48">
        <w:r>
          <w:rPr>
            <w:rFonts w:ascii="Times New Roman" w:cs="Times New Roman" w:eastAsia="Times New Roman" w:hAnsi="Times New Roman"/>
            <w:sz w:val="18"/>
            <w:szCs w:val="18"/>
            <w:u w:val="single" w:color="auto"/>
            <w:color w:val="0000FF"/>
          </w:rPr>
          <w:t>Qorvo, Inc. Short-Term Incentive Plan (As Amended and Restated Through May 11, 2017)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Company’s Current Report on Form 8-K filed with the SEC on May 17, 2017)*</w:t>
        </w:r>
      </w:hyperlink>
    </w:p>
    <w:p>
      <w:pPr>
        <w:spacing w:after="0" w:line="10" w:lineRule="exact"/>
        <w:rPr>
          <w:sz w:val="20"/>
          <w:szCs w:val="20"/>
          <w:color w:val="auto"/>
        </w:rPr>
      </w:pPr>
    </w:p>
    <w:p>
      <w:pPr>
        <w:ind w:left="940" w:right="34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49">
        <w:r>
          <w:rPr>
            <w:rFonts w:ascii="Times New Roman" w:cs="Times New Roman" w:eastAsia="Times New Roman" w:hAnsi="Times New Roman"/>
            <w:sz w:val="18"/>
            <w:szCs w:val="18"/>
            <w:u w:val="single" w:color="auto"/>
            <w:color w:val="0000FF"/>
          </w:rPr>
          <w:t>2018 Declaration of Amendment to Qorvo, Inc. Nonqualified Deferred Compensation Plan, effective as of April 1, 2018 (incorporated by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reference to Exhibit 10.37 to the Company's Annual Report on Form 10-K filed with the SEC on May 21, 2018)*</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0" w:right="6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51">
        <w:r>
          <w:rPr>
            <w:rFonts w:ascii="Times New Roman" w:cs="Times New Roman" w:eastAsia="Times New Roman" w:hAnsi="Times New Roman"/>
            <w:sz w:val="18"/>
            <w:szCs w:val="18"/>
            <w:u w:val="single" w:color="auto"/>
            <w:color w:val="0000FF"/>
          </w:rPr>
          <w:t>Second 2018 Declaration of Amendment to Qorvo, Inc. Nonqualified Deferred Compensation Plan, dated as of October 8, 2018 (incorporated</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by reference to Exhibit 10.1 to the Company’s Quarterly Report on Form 10-Q filed with the SEC on February 7, 2019)*</w:t>
        </w:r>
      </w:hyperlink>
    </w:p>
    <w:p>
      <w:pPr>
        <w:spacing w:after="0" w:line="15" w:lineRule="exact"/>
        <w:rPr>
          <w:sz w:val="20"/>
          <w:szCs w:val="20"/>
          <w:color w:val="auto"/>
        </w:rPr>
      </w:pPr>
    </w:p>
    <w:p>
      <w:pPr>
        <w:ind w:left="940" w:right="40" w:hanging="917"/>
        <w:spacing w:after="0" w:line="23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52">
        <w:r>
          <w:rPr>
            <w:rFonts w:ascii="Times New Roman" w:cs="Times New Roman" w:eastAsia="Times New Roman" w:hAnsi="Times New Roman"/>
            <w:sz w:val="18"/>
            <w:szCs w:val="18"/>
            <w:u w:val="single" w:color="auto"/>
            <w:color w:val="0000FF"/>
          </w:rPr>
          <w:t>2019 Declaration of Amendment to Qorvo, Inc. 2007 Employee Stock Purchase Plan, dated as of October 30, 2019 (incorporated by reference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to Exhibit 10.1 to the Company’s Quarterly Report on Form 10-Q filed with the SEC on January 30, 2020)*</w:t>
        </w:r>
      </w:hyperlink>
    </w:p>
    <w:p>
      <w:pPr>
        <w:spacing w:after="0" w:line="10" w:lineRule="exact"/>
        <w:rPr>
          <w:sz w:val="20"/>
          <w:szCs w:val="20"/>
          <w:color w:val="auto"/>
        </w:rPr>
      </w:pPr>
    </w:p>
    <w:p>
      <w:pPr>
        <w:ind w:left="940" w:right="32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53">
        <w:r>
          <w:rPr>
            <w:rFonts w:ascii="Times New Roman" w:cs="Times New Roman" w:eastAsia="Times New Roman" w:hAnsi="Times New Roman"/>
            <w:sz w:val="18"/>
            <w:szCs w:val="18"/>
            <w:u w:val="single" w:color="auto"/>
            <w:color w:val="0000FF"/>
          </w:rPr>
          <w:t>2019 Declaration of Amendment to Qorvo, Inc. Nonqualified Deferred Compensation Plan, dated as of October 30, 2019 (incorporated by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reference to Exhibit 10.2 to the Company’s Quarterly Report on Form 10-Q filed with the SEC on January 30, 2020)*</w:t>
        </w:r>
      </w:hyperlink>
    </w:p>
    <w:p>
      <w:pPr>
        <w:spacing w:after="0" w:line="10" w:lineRule="exact"/>
        <w:rPr>
          <w:sz w:val="20"/>
          <w:szCs w:val="20"/>
          <w:color w:val="auto"/>
        </w:rPr>
      </w:pPr>
    </w:p>
    <w:p>
      <w:pPr>
        <w:ind w:left="940" w:right="40" w:hanging="917"/>
        <w:spacing w:after="0" w:line="236"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54">
        <w:r>
          <w:rPr>
            <w:rFonts w:ascii="Times New Roman" w:cs="Times New Roman" w:eastAsia="Times New Roman" w:hAnsi="Times New Roman"/>
            <w:sz w:val="17"/>
            <w:szCs w:val="17"/>
            <w:u w:val="single" w:color="auto"/>
            <w:color w:val="0000FF"/>
          </w:rPr>
          <w:t>Amended and Restated Credit Agreement, dated as of September 29, 2020, by and among Qorvo, Inc., as the Borrower, certain subsidiaries of</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the Borrower identified therein, as the Guarantors, Bank of America, N.A., as Administrative Agent, Swing Line Lender and L/C Issuer, the</w:t>
        </w:r>
      </w:hyperlink>
    </w:p>
    <w:p>
      <w:pPr>
        <w:jc w:val="both"/>
        <w:ind w:left="940" w:right="100"/>
        <w:spacing w:after="0" w:line="218"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other lenders party thereto, and Wells Fargo Bank, National Association, Citibank, N.A., TD Bank, National Association, MUFG Bank, Ltd.,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PNC Bank, National Association, Bank of the West and Morgan Stanley Bank, N.A., as Co-Syndication Agents (incorporated by reference to</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Exhibit 10.1 to the Company’s Current Report on Form 8-K filed with the SEC on September 29, 2020)</w:t>
        </w:r>
      </w:hyperlink>
    </w:p>
    <w:p>
      <w:pPr>
        <w:spacing w:after="0" w:line="10" w:lineRule="exact"/>
        <w:rPr>
          <w:rFonts w:ascii="Times New Roman" w:cs="Times New Roman" w:eastAsia="Times New Roman" w:hAnsi="Times New Roman"/>
          <w:sz w:val="18"/>
          <w:szCs w:val="18"/>
          <w:u w:val="single" w:color="auto"/>
          <w:color w:val="0000FF"/>
        </w:rPr>
      </w:pPr>
    </w:p>
    <w:p>
      <w:pPr>
        <w:ind w:left="940" w:right="16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55">
        <w:r>
          <w:rPr>
            <w:rFonts w:ascii="Times New Roman" w:cs="Times New Roman" w:eastAsia="Times New Roman" w:hAnsi="Times New Roman"/>
            <w:sz w:val="18"/>
            <w:szCs w:val="18"/>
            <w:u w:val="single" w:color="auto"/>
            <w:color w:val="0000FF"/>
          </w:rPr>
          <w:t>2020 Declaration of Amendment to Qorvo, Inc. Nonqualified Deferred Compensation Plan, dated as of December 17, 2020 (incorporated by</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reference to Exhibit 10.1 to the Company’s Quarterly Report on Form 10-Q filed with the SEC on February 4, 2021)*</w:t>
        </w:r>
      </w:hyperlink>
    </w:p>
    <w:p>
      <w:pPr>
        <w:spacing w:after="0" w:line="10" w:lineRule="exact"/>
        <w:rPr>
          <w:sz w:val="20"/>
          <w:szCs w:val="20"/>
          <w:color w:val="auto"/>
        </w:rPr>
      </w:pPr>
    </w:p>
    <w:p>
      <w:pPr>
        <w:ind w:left="940" w:right="540" w:hanging="917"/>
        <w:spacing w:after="0" w:line="23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56">
        <w:r>
          <w:rPr>
            <w:rFonts w:ascii="Times New Roman" w:cs="Times New Roman" w:eastAsia="Times New Roman" w:hAnsi="Times New Roman"/>
            <w:sz w:val="18"/>
            <w:szCs w:val="18"/>
            <w:u w:val="single" w:color="auto"/>
            <w:color w:val="0000FF"/>
          </w:rPr>
          <w:t>2021 Declaration of Amendment to Qorvo, Inc. 2007 Employee Stock Purchase Plan (incorporated by reference to Exhibit 10.38 to the</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Company’s Annual Report on Form 10-K filed with the SEC on May 24, 2021)*</w:t>
        </w:r>
      </w:hyperlink>
    </w:p>
    <w:p>
      <w:pPr>
        <w:spacing w:after="0" w:line="10"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10.37</w:t>
      </w:r>
      <w:r>
        <w:rPr>
          <w:sz w:val="20"/>
          <w:szCs w:val="20"/>
          <w:color w:val="auto"/>
        </w:rPr>
        <w:tab/>
      </w:r>
      <w:r>
        <w:rPr>
          <w:rFonts w:ascii="Times New Roman" w:cs="Times New Roman" w:eastAsia="Times New Roman" w:hAnsi="Times New Roman"/>
          <w:sz w:val="18"/>
          <w:szCs w:val="18"/>
          <w:u w:val="single" w:color="auto"/>
          <w:color w:val="0000FF"/>
        </w:rPr>
        <w:t>Severance Agreement and Release of All Claims, dated February 27, 2022, by and between James Klein and Qorvo US, Inc.*</w:t>
      </w:r>
    </w:p>
    <w:p>
      <w:pPr>
        <w:spacing w:after="0" w:line="27"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10.38</w:t>
      </w:r>
      <w:r>
        <w:rPr>
          <w:sz w:val="20"/>
          <w:szCs w:val="20"/>
          <w:color w:val="auto"/>
        </w:rPr>
        <w:tab/>
      </w:r>
      <w:r>
        <w:rPr>
          <w:rFonts w:ascii="Times New Roman" w:cs="Times New Roman" w:eastAsia="Times New Roman" w:hAnsi="Times New Roman"/>
          <w:sz w:val="18"/>
          <w:szCs w:val="18"/>
          <w:u w:val="single" w:color="auto"/>
          <w:color w:val="0000FF"/>
        </w:rPr>
        <w:t>Advisory Agreement, dated March 1, 2022, by and between James L. Klein and Qorvo Biotechnologies, LLC</w:t>
      </w:r>
    </w:p>
    <w:p>
      <w:pPr>
        <w:spacing w:after="0" w:line="23" w:lineRule="exact"/>
        <w:rPr>
          <w:sz w:val="20"/>
          <w:szCs w:val="20"/>
          <w:color w:val="auto"/>
        </w:rPr>
      </w:pPr>
    </w:p>
    <w:p>
      <w:pPr>
        <w:ind w:left="940" w:right="760" w:hanging="917"/>
        <w:spacing w:after="0" w:line="234" w:lineRule="auto"/>
        <w:tabs>
          <w:tab w:leader="none" w:pos="920" w:val="left"/>
        </w:tabs>
        <w:rPr>
          <w:sz w:val="20"/>
          <w:szCs w:val="20"/>
          <w:color w:val="auto"/>
        </w:rPr>
      </w:pPr>
      <w:r>
        <w:rPr>
          <w:rFonts w:ascii="Times New Roman" w:cs="Times New Roman" w:eastAsia="Times New Roman" w:hAnsi="Times New Roman"/>
          <w:sz w:val="18"/>
          <w:szCs w:val="18"/>
          <w:color w:val="auto"/>
        </w:rPr>
        <w:t>10.39</w:t>
      </w:r>
      <w:r>
        <w:rPr>
          <w:sz w:val="20"/>
          <w:szCs w:val="20"/>
          <w:color w:val="auto"/>
        </w:rPr>
        <w:tab/>
      </w:r>
      <w:r>
        <w:rPr>
          <w:rFonts w:ascii="Times New Roman" w:cs="Times New Roman" w:eastAsia="Times New Roman" w:hAnsi="Times New Roman"/>
          <w:sz w:val="18"/>
          <w:szCs w:val="18"/>
          <w:u w:val="single" w:color="auto"/>
          <w:color w:val="0000FF"/>
        </w:rPr>
        <w:t>LIBOR Transition Amendment, dated April 6, 2022, to Amended and Restated Credit Agreement, by and among Qorvo, Inc., as the Borrower, and Bank of America, N.A., as Administrative Agent</w:t>
      </w:r>
    </w:p>
    <w:p>
      <w:pPr>
        <w:spacing w:after="0" w:line="10" w:lineRule="exact"/>
        <w:rPr>
          <w:sz w:val="20"/>
          <w:szCs w:val="20"/>
          <w:color w:val="auto"/>
        </w:rPr>
      </w:pPr>
    </w:p>
    <w:p>
      <w:pPr>
        <w:ind w:left="940" w:hanging="914"/>
        <w:spacing w:after="0"/>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Qorvo, Inc.</w:t>
      </w:r>
    </w:p>
    <w:p>
      <w:pPr>
        <w:spacing w:after="0" w:line="27" w:lineRule="exact"/>
        <w:rPr>
          <w:rFonts w:ascii="Times New Roman" w:cs="Times New Roman" w:eastAsia="Times New Roman" w:hAnsi="Times New Roman"/>
          <w:sz w:val="18"/>
          <w:szCs w:val="18"/>
          <w:color w:val="auto"/>
        </w:rPr>
      </w:pPr>
    </w:p>
    <w:p>
      <w:pPr>
        <w:ind w:left="940" w:hanging="914"/>
        <w:spacing w:after="0"/>
        <w:tabs>
          <w:tab w:leader="none" w:pos="9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Subsidiary Guarantors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23.1</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92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31.1</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Periodic Report by Robert A. Bruggeworth, as Chief Executive Officer, pursuant to Rule 13a-14(a) or 15d-14(a) of the</w:t>
            </w:r>
          </w:p>
        </w:tc>
      </w:tr>
      <w:tr>
        <w:trPr>
          <w:trHeight w:val="156"/>
        </w:trPr>
        <w:tc>
          <w:tcPr>
            <w:tcW w:w="92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Exchange Act, as adopted pursuant to Section 302 of the Sarbanes-Oxley Act of 2002</w:t>
            </w:r>
          </w:p>
        </w:tc>
        <w:tc>
          <w:tcPr>
            <w:tcW w:w="352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31.2</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Periodic Report by Grant A. Brown, as Interim Chief Financial Officer, pursuant to Rule 13a-14(a) or 15d-14(a) of the</w:t>
            </w:r>
          </w:p>
        </w:tc>
      </w:tr>
      <w:tr>
        <w:trPr>
          <w:trHeight w:val="155"/>
        </w:trPr>
        <w:tc>
          <w:tcPr>
            <w:tcW w:w="92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Exchange Act, as adopted pursuant to Section 302 of the Sarbanes-Oxley Act of 2002</w:t>
            </w:r>
          </w:p>
        </w:tc>
        <w:tc>
          <w:tcPr>
            <w:tcW w:w="3500" w:type="dxa"/>
            <w:vAlign w:val="bottom"/>
            <w:tcBorders>
              <w:top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32.1</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Periodic Report by Robert A. Bruggeworth, as Chief Executive Officer, pursuant to 18 U.S.C. Section 1350, as adopted</w:t>
            </w:r>
          </w:p>
        </w:tc>
      </w:tr>
      <w:tr>
        <w:trPr>
          <w:trHeight w:val="155"/>
        </w:trPr>
        <w:tc>
          <w:tcPr>
            <w:tcW w:w="920" w:type="dxa"/>
            <w:vAlign w:val="bottom"/>
          </w:tcPr>
          <w:p>
            <w:pPr>
              <w:spacing w:after="0"/>
              <w:rPr>
                <w:sz w:val="13"/>
                <w:szCs w:val="13"/>
                <w:color w:val="auto"/>
              </w:rPr>
            </w:pPr>
          </w:p>
        </w:tc>
        <w:tc>
          <w:tcPr>
            <w:tcW w:w="97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32.2</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Periodic Report by Grant A. Brown, as Interim Chief Financial Officer, pursuant to 18 U.S.C. Section 1350, as adopted</w:t>
            </w:r>
          </w:p>
        </w:tc>
      </w:tr>
      <w:tr>
        <w:trPr>
          <w:trHeight w:val="156"/>
        </w:trPr>
        <w:tc>
          <w:tcPr>
            <w:tcW w:w="920" w:type="dxa"/>
            <w:vAlign w:val="bottom"/>
          </w:tcPr>
          <w:p>
            <w:pPr>
              <w:spacing w:after="0"/>
              <w:rPr>
                <w:sz w:val="13"/>
                <w:szCs w:val="13"/>
                <w:color w:val="auto"/>
              </w:rPr>
            </w:pPr>
          </w:p>
        </w:tc>
        <w:tc>
          <w:tcPr>
            <w:tcW w:w="97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40" w:type="dxa"/>
            <w:vAlign w:val="bottom"/>
            <w:gridSpan w:val="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940" w:hanging="914"/>
        <w:spacing w:after="0" w:line="224"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our Annual Report on Form 10-K for the fiscal year ended April 2, 2022, formatted in iXBRL (Inline eXtensible Business Reporting Language): (i) the Consolidated Balance Sheets; (ii) the Consolidated Statements of Income; (iii) the Consolidated Statements of Comprehensive Income; (iv) the Consolidated Statements of Stockholders' Equity; (v) the Consolidated Statements of Cash Flows; and (vi) the Notes to Consolidated Financial Statements.</w:t>
      </w:r>
    </w:p>
    <w:p>
      <w:pPr>
        <w:spacing w:after="0" w:line="2"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our Annual Report on Form 10-K for the year ended April 2, 2022, formatted in iXBRL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5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Executive compensation plan or agreement</w:t>
      </w:r>
    </w:p>
    <w:p>
      <w:pPr>
        <w:spacing w:after="0" w:line="200" w:lineRule="exact"/>
        <w:rPr>
          <w:sz w:val="20"/>
          <w:szCs w:val="20"/>
          <w:color w:val="auto"/>
        </w:rPr>
      </w:pPr>
    </w:p>
    <w:p>
      <w:pPr>
        <w:spacing w:after="0" w:line="29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SEC file number for documents filed with the SEC pursuant to the Securities Exchange Act of 1934, as amended, is 001-36801. The SEC file number for RFMD is 000-22511.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Qorvo, Inc.</w:t>
            </w:r>
          </w:p>
        </w:tc>
      </w:tr>
      <w:tr>
        <w:trPr>
          <w:trHeight w:val="44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2022</w:t>
            </w:r>
          </w:p>
        </w:tc>
        <w:tc>
          <w:tcPr>
            <w:tcW w:w="284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A. Bruggeworth</w:t>
            </w:r>
          </w:p>
        </w:tc>
      </w:tr>
      <w:tr>
        <w:trPr>
          <w:trHeight w:val="218"/>
        </w:trPr>
        <w:tc>
          <w:tcPr>
            <w:tcW w:w="3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Robert A. Bruggeworth</w:t>
            </w:r>
          </w:p>
        </w:tc>
      </w:tr>
      <w:tr>
        <w:trPr>
          <w:trHeight w:val="234"/>
        </w:trPr>
        <w:tc>
          <w:tcPr>
            <w:tcW w:w="3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53"/>
        </w:trPr>
        <w:tc>
          <w:tcPr>
            <w:tcW w:w="3160" w:type="dxa"/>
            <w:vAlign w:val="bottom"/>
          </w:tcPr>
          <w:p>
            <w:pPr>
              <w:spacing w:after="0"/>
              <w:rPr>
                <w:sz w:val="24"/>
                <w:szCs w:val="24"/>
                <w:color w:val="auto"/>
              </w:rPr>
            </w:pPr>
          </w:p>
        </w:tc>
        <w:tc>
          <w:tcPr>
            <w:tcW w:w="7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POWER OF ATTORNEY</w:t>
            </w:r>
          </w:p>
        </w:tc>
      </w:tr>
    </w:tbl>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Robert A. Bruggeworth and Grant A. Brown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May 20, 2022.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A. Bruggeworth</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Robert A. Bruggeworth</w:t>
            </w:r>
          </w:p>
        </w:tc>
      </w:tr>
      <w:tr>
        <w:trPr>
          <w:trHeight w:val="205"/>
        </w:trPr>
        <w:tc>
          <w:tcPr>
            <w:tcW w:w="4520" w:type="dxa"/>
            <w:vAlign w:val="bottom"/>
          </w:tcPr>
          <w:p>
            <w:pPr>
              <w:spacing w:after="0"/>
              <w:rPr>
                <w:sz w:val="17"/>
                <w:szCs w:val="17"/>
                <w:color w:val="auto"/>
              </w:rPr>
            </w:pPr>
          </w:p>
        </w:tc>
        <w:tc>
          <w:tcPr>
            <w:tcW w:w="90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A. Brown</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 A. Brown</w:t>
            </w:r>
          </w:p>
        </w:tc>
      </w:tr>
      <w:tr>
        <w:trPr>
          <w:trHeight w:val="205"/>
        </w:trPr>
        <w:tc>
          <w:tcPr>
            <w:tcW w:w="4520" w:type="dxa"/>
            <w:vAlign w:val="bottom"/>
          </w:tcPr>
          <w:p>
            <w:pPr>
              <w:spacing w:after="0"/>
              <w:rPr>
                <w:sz w:val="17"/>
                <w:szCs w:val="17"/>
                <w:color w:val="auto"/>
              </w:rPr>
            </w:pPr>
          </w:p>
        </w:tc>
        <w:tc>
          <w:tcPr>
            <w:tcW w:w="90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w w:val="99"/>
              </w:rPr>
              <w:t>Vice President of Treasury and Interim Chief Financial Officer</w:t>
            </w:r>
          </w:p>
        </w:tc>
      </w:tr>
      <w:tr>
        <w:trPr>
          <w:trHeight w:val="234"/>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Gina B. Harrison</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Gina B. Harrison</w:t>
            </w:r>
          </w:p>
        </w:tc>
      </w:tr>
      <w:tr>
        <w:trPr>
          <w:trHeight w:val="205"/>
        </w:trPr>
        <w:tc>
          <w:tcPr>
            <w:tcW w:w="4520" w:type="dxa"/>
            <w:vAlign w:val="bottom"/>
          </w:tcPr>
          <w:p>
            <w:pPr>
              <w:spacing w:after="0"/>
              <w:rPr>
                <w:sz w:val="17"/>
                <w:szCs w:val="17"/>
                <w:color w:val="auto"/>
              </w:rPr>
            </w:pPr>
          </w:p>
        </w:tc>
        <w:tc>
          <w:tcPr>
            <w:tcW w:w="90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Vice President and Corporate Controller</w:t>
            </w:r>
          </w:p>
        </w:tc>
      </w:tr>
      <w:tr>
        <w:trPr>
          <w:trHeight w:val="234"/>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00"/>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Ralph G. Quinsey</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Ralph G. Quinsey</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495"/>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Judy Bruner</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Judy Bruner</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81"/>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Jeffery R. Gardner</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Jeffery R. Gardner</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95"/>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R. Harding</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John R. Harding</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95"/>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H. Y. Ho</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David H. Y. Ho</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95"/>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Roderick D. Nelson</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Roderick D. Nelson</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95"/>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 Walden C. Rhines</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 Walden C. Rhines</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495"/>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L. Spradley</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Susan L. Spradley</w:t>
            </w:r>
          </w:p>
        </w:tc>
      </w:tr>
      <w:tr>
        <w:trPr>
          <w:trHeight w:val="214"/>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2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SEVERANCE AGREEMENT</w:t>
      </w:r>
    </w:p>
    <w:p>
      <w:pPr>
        <w:jc w:val="center"/>
        <w:spacing w:after="0"/>
        <w:rPr>
          <w:sz w:val="20"/>
          <w:szCs w:val="20"/>
          <w:color w:val="auto"/>
        </w:rPr>
      </w:pPr>
      <w:r>
        <w:rPr>
          <w:rFonts w:ascii="Arial" w:cs="Arial" w:eastAsia="Arial" w:hAnsi="Arial"/>
          <w:sz w:val="23"/>
          <w:szCs w:val="23"/>
          <w:b w:val="1"/>
          <w:bCs w:val="1"/>
          <w:color w:val="auto"/>
        </w:rPr>
        <w:t>AND RELEASE OF ALL CLAIMS</w:t>
      </w:r>
    </w:p>
    <w:p>
      <w:pPr>
        <w:spacing w:after="0" w:line="2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Severance Agreement and Release of All Claims (this “Agreement”) is made by and between James Klein (“Employee”) and Qorvo US, Inc., a Delaware corporation (“Employer”).</w:t>
      </w:r>
    </w:p>
    <w:p>
      <w:pPr>
        <w:spacing w:after="0" w:line="151"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Employee has provided notice of his retirement from Employer, and by executing this Agreement, Employee confirms that he has resigned as an officer and employee and from any other position or capacity with any Employer Parties as of the Termination Date.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In consideration of the mutual promises herein, the Parties agree as follows:</w:t>
      </w:r>
    </w:p>
    <w:p>
      <w:pPr>
        <w:spacing w:after="0" w:line="177"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Parties.</w:t>
      </w:r>
      <w:r>
        <w:rPr>
          <w:rFonts w:ascii="Arial" w:cs="Arial" w:eastAsia="Arial" w:hAnsi="Arial"/>
          <w:sz w:val="22"/>
          <w:szCs w:val="22"/>
          <w:b w:val="1"/>
          <w:bCs w:val="1"/>
          <w:color w:val="auto"/>
        </w:rPr>
        <w:t xml:space="preserve"> </w:t>
      </w:r>
      <w:r>
        <w:rPr>
          <w:rFonts w:ascii="Arial" w:cs="Arial" w:eastAsia="Arial" w:hAnsi="Arial"/>
          <w:sz w:val="22"/>
          <w:szCs w:val="22"/>
          <w:color w:val="auto"/>
        </w:rPr>
        <w:t>As used in this Agreement, the following terms shall have the following meanings:</w:t>
      </w:r>
    </w:p>
    <w:p>
      <w:pPr>
        <w:spacing w:after="0" w:line="181" w:lineRule="exact"/>
        <w:rPr>
          <w:rFonts w:ascii="Arial" w:cs="Arial" w:eastAsia="Arial" w:hAnsi="Arial"/>
          <w:sz w:val="22"/>
          <w:szCs w:val="22"/>
          <w:b w:val="1"/>
          <w:bCs w:val="1"/>
          <w:color w:val="auto"/>
        </w:rPr>
      </w:pPr>
    </w:p>
    <w:p>
      <w:pPr>
        <w:jc w:val="both"/>
        <w:ind w:left="1300" w:hanging="385"/>
        <w:spacing w:after="0" w:line="226" w:lineRule="auto"/>
        <w:tabs>
          <w:tab w:leader="none" w:pos="1297" w:val="left"/>
        </w:tabs>
        <w:numPr>
          <w:ilvl w:val="1"/>
          <w:numId w:val="46"/>
        </w:numPr>
        <w:rPr>
          <w:rFonts w:ascii="Arial" w:cs="Arial" w:eastAsia="Arial" w:hAnsi="Arial"/>
          <w:sz w:val="22"/>
          <w:szCs w:val="22"/>
          <w:color w:val="auto"/>
        </w:rPr>
      </w:pPr>
      <w:r>
        <w:rPr>
          <w:rFonts w:ascii="Arial" w:cs="Arial" w:eastAsia="Arial" w:hAnsi="Arial"/>
          <w:sz w:val="22"/>
          <w:szCs w:val="22"/>
          <w:color w:val="auto"/>
        </w:rPr>
        <w:t>“Employee Parties” shall mean Employee and any spouse, heirs, executors, representatives, administrators, agents, attorneys and assigns and any other person or entity acting with or on behalf of Employee, and any other person claiming by, through or under Employee.</w:t>
      </w:r>
    </w:p>
    <w:p>
      <w:pPr>
        <w:spacing w:after="0" w:line="149" w:lineRule="exact"/>
        <w:rPr>
          <w:rFonts w:ascii="Arial" w:cs="Arial" w:eastAsia="Arial" w:hAnsi="Arial"/>
          <w:sz w:val="22"/>
          <w:szCs w:val="22"/>
          <w:color w:val="auto"/>
        </w:rPr>
      </w:pPr>
    </w:p>
    <w:p>
      <w:pPr>
        <w:jc w:val="both"/>
        <w:ind w:left="1300" w:hanging="385"/>
        <w:spacing w:after="0" w:line="215" w:lineRule="auto"/>
        <w:tabs>
          <w:tab w:leader="none" w:pos="1297" w:val="left"/>
        </w:tabs>
        <w:numPr>
          <w:ilvl w:val="1"/>
          <w:numId w:val="46"/>
        </w:numPr>
        <w:rPr>
          <w:rFonts w:ascii="Arial" w:cs="Arial" w:eastAsia="Arial" w:hAnsi="Arial"/>
          <w:sz w:val="22"/>
          <w:szCs w:val="22"/>
          <w:color w:val="auto"/>
        </w:rPr>
      </w:pPr>
      <w:r>
        <w:rPr>
          <w:rFonts w:ascii="Arial" w:cs="Arial" w:eastAsia="Arial" w:hAnsi="Arial"/>
          <w:sz w:val="22"/>
          <w:szCs w:val="22"/>
          <w:color w:val="auto"/>
        </w:rPr>
        <w:t>“Employer Parties” shall mean Employer, its parent corporation Qorvo, Inc., their respective current and former parents, subsidiaries, affiliates and related corporations, firms, partnerships, associations, joint ventures, trusts or other entities or enterprises (including any employee benefit plan) and all of their respective current and former owners, shareholders, officers, directors, partners, managers, members, employees, contractors, agents, insurers, predecessors, successors, heirs, executors, administrators and assigns, both in their individual and in their representative capacities.</w:t>
      </w:r>
    </w:p>
    <w:p>
      <w:pPr>
        <w:spacing w:after="0" w:line="152" w:lineRule="exact"/>
        <w:rPr>
          <w:rFonts w:ascii="Arial" w:cs="Arial" w:eastAsia="Arial" w:hAnsi="Arial"/>
          <w:sz w:val="22"/>
          <w:szCs w:val="22"/>
          <w:color w:val="auto"/>
        </w:rPr>
      </w:pPr>
    </w:p>
    <w:p>
      <w:pPr>
        <w:ind w:left="1300" w:hanging="385"/>
        <w:spacing w:after="0"/>
        <w:tabs>
          <w:tab w:leader="none" w:pos="13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“Parties” shall mean Employee and Employer.</w:t>
      </w:r>
    </w:p>
    <w:p>
      <w:pPr>
        <w:spacing w:after="0" w:line="177" w:lineRule="exact"/>
        <w:rPr>
          <w:rFonts w:ascii="Arial" w:cs="Arial" w:eastAsia="Arial" w:hAnsi="Arial"/>
          <w:sz w:val="22"/>
          <w:szCs w:val="22"/>
          <w:color w:val="auto"/>
        </w:rPr>
      </w:pPr>
    </w:p>
    <w:p>
      <w:pPr>
        <w:ind w:left="640" w:hanging="632"/>
        <w:spacing w:after="0"/>
        <w:tabs>
          <w:tab w:leader="none" w:pos="64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Retirement and Payments upon Retirement.</w:t>
      </w:r>
    </w:p>
    <w:p>
      <w:pPr>
        <w:spacing w:after="0" w:line="181" w:lineRule="exact"/>
        <w:rPr>
          <w:rFonts w:ascii="Arial" w:cs="Arial" w:eastAsia="Arial" w:hAnsi="Arial"/>
          <w:sz w:val="22"/>
          <w:szCs w:val="22"/>
          <w:b w:val="1"/>
          <w:bCs w:val="1"/>
          <w:color w:val="auto"/>
        </w:rPr>
      </w:pPr>
    </w:p>
    <w:p>
      <w:pPr>
        <w:jc w:val="both"/>
        <w:ind w:left="1300" w:hanging="385"/>
        <w:spacing w:after="0" w:line="214" w:lineRule="auto"/>
        <w:tabs>
          <w:tab w:leader="none" w:pos="1297" w:val="left"/>
        </w:tabs>
        <w:numPr>
          <w:ilvl w:val="1"/>
          <w:numId w:val="46"/>
        </w:numPr>
        <w:rPr>
          <w:rFonts w:ascii="Arial" w:cs="Arial" w:eastAsia="Arial" w:hAnsi="Arial"/>
          <w:sz w:val="22"/>
          <w:szCs w:val="22"/>
          <w:color w:val="auto"/>
        </w:rPr>
      </w:pPr>
      <w:r>
        <w:rPr>
          <w:rFonts w:ascii="Arial" w:cs="Arial" w:eastAsia="Arial" w:hAnsi="Arial"/>
          <w:sz w:val="22"/>
          <w:szCs w:val="22"/>
          <w:color w:val="auto"/>
        </w:rPr>
        <w:t>Employee will retire from Employer effective as of, and Employee’s final date of employment with Employer will be, November 30, 2021 (the “Termination Date”). Following the Termination Date, Employee will perform no other employment function or duties for Employer. Commencing on the Termination Date, Employer is giving Employee a period of ninety (90) days to consider this Agreement. Employee may accept and sign this Agreement before the expiration of the ninety (90) day period. This Agreement may not be executed prior to Employee’s Termination Date and the commencement of the ninety (90) day period.</w:t>
      </w:r>
    </w:p>
    <w:p>
      <w:pPr>
        <w:spacing w:after="0" w:line="149" w:lineRule="exact"/>
        <w:rPr>
          <w:rFonts w:ascii="Arial" w:cs="Arial" w:eastAsia="Arial" w:hAnsi="Arial"/>
          <w:sz w:val="22"/>
          <w:szCs w:val="22"/>
          <w:color w:val="auto"/>
        </w:rPr>
      </w:pPr>
    </w:p>
    <w:p>
      <w:pPr>
        <w:jc w:val="both"/>
        <w:ind w:left="1300" w:hanging="385"/>
        <w:spacing w:after="0" w:line="217" w:lineRule="auto"/>
        <w:tabs>
          <w:tab w:leader="none" w:pos="1297" w:val="left"/>
        </w:tabs>
        <w:numPr>
          <w:ilvl w:val="1"/>
          <w:numId w:val="46"/>
        </w:numPr>
        <w:rPr>
          <w:rFonts w:ascii="Arial" w:cs="Arial" w:eastAsia="Arial" w:hAnsi="Arial"/>
          <w:sz w:val="22"/>
          <w:szCs w:val="22"/>
          <w:color w:val="auto"/>
        </w:rPr>
      </w:pPr>
      <w:r>
        <w:rPr>
          <w:rFonts w:ascii="Arial" w:cs="Arial" w:eastAsia="Arial" w:hAnsi="Arial"/>
          <w:sz w:val="22"/>
          <w:szCs w:val="22"/>
          <w:color w:val="auto"/>
        </w:rPr>
        <w:t>Employee will be paid a lump sum cash amount, payable no later than the next scheduled payroll processing period following the Termination Date, equal to the sum of (i) any accrued but unpaid base salary through the Termination Date, plus (ii) any accrued but unpaid paid time off (PTO) and any other applicable vacation pay as of the Termination Date in accordance with Employer’s PTO policy. This lump sum payment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4" w:right="339" w:bottom="1440" w:gutter="0" w:footer="0" w:header="0"/>
        </w:sectPr>
      </w:pPr>
    </w:p>
    <w:bookmarkStart w:id="96" w:name="page97"/>
    <w:bookmarkEnd w:id="96"/>
    <w:p>
      <w:pPr>
        <w:ind w:left="1300"/>
        <w:spacing w:after="0"/>
        <w:rPr>
          <w:sz w:val="20"/>
          <w:szCs w:val="20"/>
          <w:color w:val="auto"/>
        </w:rPr>
      </w:pPr>
      <w:r>
        <w:rPr>
          <w:rFonts w:ascii="Arial" w:cs="Arial" w:eastAsia="Arial" w:hAnsi="Arial"/>
          <w:sz w:val="22"/>
          <w:szCs w:val="22"/>
          <w:color w:val="auto"/>
        </w:rPr>
        <w:t>subject to reduction for applicable withholdings for taxes and other amounts.</w:t>
      </w:r>
    </w:p>
    <w:p>
      <w:pPr>
        <w:spacing w:after="0" w:line="179" w:lineRule="exact"/>
        <w:rPr>
          <w:sz w:val="20"/>
          <w:szCs w:val="20"/>
          <w:color w:val="auto"/>
        </w:rPr>
      </w:pPr>
    </w:p>
    <w:p>
      <w:pPr>
        <w:ind w:left="1300" w:hanging="385"/>
        <w:spacing w:after="0" w:line="236" w:lineRule="auto"/>
        <w:tabs>
          <w:tab w:leader="none" w:pos="1298" w:val="left"/>
        </w:tabs>
        <w:numPr>
          <w:ilvl w:val="0"/>
          <w:numId w:val="47"/>
        </w:numPr>
        <w:rPr>
          <w:rFonts w:ascii="Arial" w:cs="Arial" w:eastAsia="Arial" w:hAnsi="Arial"/>
          <w:sz w:val="22"/>
          <w:szCs w:val="22"/>
          <w:color w:val="auto"/>
        </w:rPr>
      </w:pPr>
      <w:r>
        <w:rPr>
          <w:rFonts w:ascii="Arial" w:cs="Arial" w:eastAsia="Arial" w:hAnsi="Arial"/>
          <w:sz w:val="22"/>
          <w:szCs w:val="22"/>
          <w:color w:val="auto"/>
        </w:rPr>
        <w:t>Employee will not be eligible to receive a cash bonus under the Employer’s short-term incentive plan for the second half of Fiscal 2022 or for any period thereafter.</w:t>
      </w:r>
    </w:p>
    <w:p>
      <w:pPr>
        <w:spacing w:after="0" w:line="15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Employee acknowledges and agrees that he is not entitled to any severance pay under any severance plan, program or arrangement of Employer. Employee acknowledges that except as specified in Paragraph 2(b), Employee has received full payment for all wages and salary due to Employee for Employee’s services to Employer up to and including the Termination Date and all bonuses, accrued and unused PTO or other amount due under any Employer plan and that Employee is not otherwise owed any additional wages, salary, severance pay, bonus, PTO, flex time, vacation pay or other amounts. Employee also acknowledges and agrees that Employee has been properly provided all leaves of absence required by law and by Employer’s policies.</w:t>
      </w:r>
    </w:p>
    <w:p>
      <w:pPr>
        <w:spacing w:after="0" w:line="147"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Qorvo Equity Awards.</w:t>
      </w:r>
    </w:p>
    <w:p>
      <w:pPr>
        <w:spacing w:after="0" w:line="181" w:lineRule="exact"/>
        <w:rPr>
          <w:rFonts w:ascii="Arial" w:cs="Arial" w:eastAsia="Arial" w:hAnsi="Arial"/>
          <w:sz w:val="22"/>
          <w:szCs w:val="22"/>
          <w:b w:val="1"/>
          <w:bCs w:val="1"/>
          <w:color w:val="auto"/>
        </w:rPr>
      </w:pPr>
    </w:p>
    <w:p>
      <w:pPr>
        <w:jc w:val="both"/>
        <w:ind w:left="1300" w:hanging="385"/>
        <w:spacing w:after="0" w:line="212" w:lineRule="auto"/>
        <w:tabs>
          <w:tab w:leader="none" w:pos="1297" w:val="left"/>
        </w:tabs>
        <w:numPr>
          <w:ilvl w:val="1"/>
          <w:numId w:val="48"/>
        </w:numPr>
        <w:rPr>
          <w:rFonts w:ascii="Arial" w:cs="Arial" w:eastAsia="Arial" w:hAnsi="Arial"/>
          <w:sz w:val="22"/>
          <w:szCs w:val="22"/>
          <w:color w:val="auto"/>
        </w:rPr>
      </w:pPr>
      <w:r>
        <w:rPr>
          <w:rFonts w:ascii="Arial" w:cs="Arial" w:eastAsia="Arial" w:hAnsi="Arial"/>
          <w:sz w:val="22"/>
          <w:szCs w:val="22"/>
          <w:color w:val="auto"/>
        </w:rPr>
        <w:t>Exhibit A to this Agreement shows all the restricted stock unit awards granted to Employee by Qorvo, Inc. that have unvested installments as of the Termination Date and that are evidenced by an Award Agreement that contains post-termination vesting provisions (the “Awards”). These post-termination vesting provisions provide that the Awards will continue to vest following the Termination Date, subject to satisfaction by Employee of certain conditions both initially and on an ongoing basis. To be eligible for such post-termination vesting, Employee must execute and deliver this Agreement and Employee must satisfy the other conditions specified in the Award Agreements, including the “Post-Employment Condition” (as defined in the Award Agreements).</w:t>
      </w:r>
    </w:p>
    <w:p>
      <w:pPr>
        <w:spacing w:after="0" w:line="156" w:lineRule="exact"/>
        <w:rPr>
          <w:rFonts w:ascii="Arial" w:cs="Arial" w:eastAsia="Arial" w:hAnsi="Arial"/>
          <w:sz w:val="22"/>
          <w:szCs w:val="22"/>
          <w:color w:val="auto"/>
        </w:rPr>
      </w:pPr>
    </w:p>
    <w:p>
      <w:pPr>
        <w:jc w:val="both"/>
        <w:ind w:left="1300" w:hanging="385"/>
        <w:spacing w:after="0" w:line="209" w:lineRule="auto"/>
        <w:tabs>
          <w:tab w:leader="none" w:pos="1297" w:val="left"/>
        </w:tabs>
        <w:numPr>
          <w:ilvl w:val="1"/>
          <w:numId w:val="48"/>
        </w:numPr>
        <w:rPr>
          <w:rFonts w:ascii="Arial" w:cs="Arial" w:eastAsia="Arial" w:hAnsi="Arial"/>
          <w:sz w:val="22"/>
          <w:szCs w:val="22"/>
          <w:color w:val="auto"/>
        </w:rPr>
      </w:pPr>
      <w:r>
        <w:rPr>
          <w:rFonts w:ascii="Arial" w:cs="Arial" w:eastAsia="Arial" w:hAnsi="Arial"/>
          <w:sz w:val="22"/>
          <w:szCs w:val="22"/>
          <w:color w:val="auto"/>
        </w:rPr>
        <w:t>Employee acknowledges and agrees that the Awards are subject to so-called “clawback” provisions. If Employer determines in the exercise of its discretion that Employee has committed a breach or violation of this Agreement, the ICN Agreement or the Post-Employment Condition at any time on or prior to the end of the Post-Termination Period (without regard to when Employer first discovers or has notice of any such breach or violation), then, in addition to any other remedies available to Employer at law or in equity as a result of such breach or violation, (1) all unvested Awards (and any remaining rights to underlying Shares) shall immediately be forfeited in their entirety; (2) any Shares and any other benefit subject to an Award that vested following the Termination Date and that is then owned, held or controlled by Employee shall immediately be forfeited and returned to Employer (without the payment of any consideration for such Shares, including repayment of any amount paid by Employee with respect to taxes related to the grant or vesting of the Award), and Employee shall cease to have any interest in or right to such Shares and shall cease to be recognized as the legal owner of such Shares; and (3) any “Gain” (as defined in the Award Agreement) realized by Employee with respect to any Shares issued following the Termination Date and subsequently sold shall immediately be paid by Employee to Employer.</w:t>
      </w:r>
    </w:p>
    <w:p>
      <w:pPr>
        <w:spacing w:after="0" w:line="151" w:lineRule="exact"/>
        <w:rPr>
          <w:rFonts w:ascii="Arial" w:cs="Arial" w:eastAsia="Arial" w:hAnsi="Arial"/>
          <w:sz w:val="22"/>
          <w:szCs w:val="22"/>
          <w:color w:val="auto"/>
        </w:rPr>
      </w:pPr>
    </w:p>
    <w:p>
      <w:pPr>
        <w:ind w:left="1300" w:hanging="385"/>
        <w:spacing w:after="0" w:line="236" w:lineRule="auto"/>
        <w:tabs>
          <w:tab w:leader="none" w:pos="1298" w:val="left"/>
        </w:tabs>
        <w:numPr>
          <w:ilvl w:val="1"/>
          <w:numId w:val="48"/>
        </w:numPr>
        <w:rPr>
          <w:rFonts w:ascii="Arial" w:cs="Arial" w:eastAsia="Arial" w:hAnsi="Arial"/>
          <w:sz w:val="22"/>
          <w:szCs w:val="22"/>
          <w:color w:val="auto"/>
        </w:rPr>
      </w:pPr>
      <w:r>
        <w:rPr>
          <w:rFonts w:ascii="Arial" w:cs="Arial" w:eastAsia="Arial" w:hAnsi="Arial"/>
          <w:sz w:val="22"/>
          <w:szCs w:val="22"/>
          <w:color w:val="auto"/>
        </w:rPr>
        <w:t>To avoid any inadvertent violation of the Post-Employment Condition, Employee is encouraged to pre-clear any proposed employment,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6" w:right="339" w:bottom="1440" w:gutter="0" w:footer="0" w:header="0"/>
        </w:sectPr>
      </w:pPr>
    </w:p>
    <w:bookmarkStart w:id="97" w:name="page98"/>
    <w:bookmarkEnd w:id="97"/>
    <w:p>
      <w:pPr>
        <w:ind w:left="1300"/>
        <w:spacing w:after="0"/>
        <w:rPr>
          <w:sz w:val="20"/>
          <w:szCs w:val="20"/>
          <w:color w:val="auto"/>
        </w:rPr>
      </w:pPr>
      <w:r>
        <w:rPr>
          <w:rFonts w:ascii="Arial" w:cs="Arial" w:eastAsia="Arial" w:hAnsi="Arial"/>
          <w:sz w:val="22"/>
          <w:szCs w:val="22"/>
          <w:color w:val="auto"/>
        </w:rPr>
        <w:t>service or other activity through Employer’s General Counsel before commencing any such activity.</w:t>
      </w:r>
    </w:p>
    <w:p>
      <w:pPr>
        <w:spacing w:after="0" w:line="179" w:lineRule="exact"/>
        <w:rPr>
          <w:sz w:val="20"/>
          <w:szCs w:val="20"/>
          <w:color w:val="auto"/>
        </w:rPr>
      </w:pPr>
    </w:p>
    <w:p>
      <w:pPr>
        <w:jc w:val="both"/>
        <w:ind w:left="1300" w:hanging="385"/>
        <w:spacing w:after="0" w:line="226" w:lineRule="auto"/>
        <w:tabs>
          <w:tab w:leader="none" w:pos="1297" w:val="left"/>
        </w:tabs>
        <w:numPr>
          <w:ilvl w:val="1"/>
          <w:numId w:val="49"/>
        </w:numPr>
        <w:rPr>
          <w:rFonts w:ascii="Arial" w:cs="Arial" w:eastAsia="Arial" w:hAnsi="Arial"/>
          <w:sz w:val="22"/>
          <w:szCs w:val="22"/>
          <w:color w:val="auto"/>
        </w:rPr>
      </w:pPr>
      <w:r>
        <w:rPr>
          <w:rFonts w:ascii="Arial" w:cs="Arial" w:eastAsia="Arial" w:hAnsi="Arial"/>
          <w:sz w:val="22"/>
          <w:szCs w:val="22"/>
          <w:color w:val="auto"/>
        </w:rPr>
        <w:t>If, during the Post-Termination Period, Employee dies, to the extent an Award is not fully vested as of the date of Employee’s death, the Award shall automatically fully vest effective as of the date of Employee’s death.</w:t>
      </w:r>
    </w:p>
    <w:p>
      <w:pPr>
        <w:spacing w:after="0" w:line="149" w:lineRule="exact"/>
        <w:rPr>
          <w:rFonts w:ascii="Arial" w:cs="Arial" w:eastAsia="Arial" w:hAnsi="Arial"/>
          <w:sz w:val="22"/>
          <w:szCs w:val="22"/>
          <w:color w:val="auto"/>
        </w:rPr>
      </w:pPr>
    </w:p>
    <w:p>
      <w:pPr>
        <w:jc w:val="both"/>
        <w:ind w:left="1300" w:hanging="385"/>
        <w:spacing w:after="0" w:line="226" w:lineRule="auto"/>
        <w:tabs>
          <w:tab w:leader="none" w:pos="1297" w:val="left"/>
        </w:tabs>
        <w:numPr>
          <w:ilvl w:val="1"/>
          <w:numId w:val="49"/>
        </w:numPr>
        <w:rPr>
          <w:rFonts w:ascii="Arial" w:cs="Arial" w:eastAsia="Arial" w:hAnsi="Arial"/>
          <w:sz w:val="22"/>
          <w:szCs w:val="22"/>
          <w:color w:val="auto"/>
        </w:rPr>
      </w:pPr>
      <w:r>
        <w:rPr>
          <w:rFonts w:ascii="Arial" w:cs="Arial" w:eastAsia="Arial" w:hAnsi="Arial"/>
          <w:sz w:val="22"/>
          <w:szCs w:val="22"/>
          <w:color w:val="auto"/>
        </w:rPr>
        <w:t>For additional information concerning the Awards, Employee should refer to his individual Fidelity account, the stock incentive plan under which the Awards were granted and his individual Award Agreements.</w:t>
      </w:r>
    </w:p>
    <w:p>
      <w:pPr>
        <w:spacing w:after="0" w:line="149" w:lineRule="exact"/>
        <w:rPr>
          <w:rFonts w:ascii="Arial" w:cs="Arial" w:eastAsia="Arial" w:hAnsi="Arial"/>
          <w:sz w:val="22"/>
          <w:szCs w:val="22"/>
          <w:color w:val="auto"/>
        </w:rPr>
      </w:pPr>
    </w:p>
    <w:p>
      <w:pPr>
        <w:ind w:left="1300" w:right="20" w:hanging="385"/>
        <w:spacing w:after="0" w:line="236" w:lineRule="auto"/>
        <w:tabs>
          <w:tab w:leader="none" w:pos="1291" w:val="left"/>
        </w:tabs>
        <w:numPr>
          <w:ilvl w:val="1"/>
          <w:numId w:val="49"/>
        </w:numPr>
        <w:rPr>
          <w:rFonts w:ascii="Arial" w:cs="Arial" w:eastAsia="Arial" w:hAnsi="Arial"/>
          <w:sz w:val="22"/>
          <w:szCs w:val="22"/>
          <w:color w:val="auto"/>
        </w:rPr>
      </w:pPr>
      <w:r>
        <w:rPr>
          <w:rFonts w:ascii="Arial" w:cs="Arial" w:eastAsia="Arial" w:hAnsi="Arial"/>
          <w:sz w:val="22"/>
          <w:szCs w:val="22"/>
          <w:color w:val="auto"/>
        </w:rPr>
        <w:t>In addition to other terms defined in this Agreement, the following terms shall have the meanings given below:</w:t>
      </w:r>
    </w:p>
    <w:p>
      <w:pPr>
        <w:spacing w:after="0" w:line="150" w:lineRule="exact"/>
        <w:rPr>
          <w:rFonts w:ascii="Arial" w:cs="Arial" w:eastAsia="Arial" w:hAnsi="Arial"/>
          <w:sz w:val="22"/>
          <w:szCs w:val="22"/>
          <w:color w:val="auto"/>
        </w:rPr>
      </w:pPr>
    </w:p>
    <w:p>
      <w:pPr>
        <w:ind w:left="1560" w:hanging="645"/>
        <w:spacing w:after="0" w:line="236" w:lineRule="auto"/>
        <w:tabs>
          <w:tab w:leader="none" w:pos="1554" w:val="left"/>
        </w:tabs>
        <w:numPr>
          <w:ilvl w:val="0"/>
          <w:numId w:val="50"/>
        </w:numPr>
        <w:rPr>
          <w:rFonts w:ascii="Arial" w:cs="Arial" w:eastAsia="Arial" w:hAnsi="Arial"/>
          <w:sz w:val="22"/>
          <w:szCs w:val="22"/>
          <w:color w:val="auto"/>
        </w:rPr>
      </w:pPr>
      <w:r>
        <w:rPr>
          <w:rFonts w:ascii="Arial" w:cs="Arial" w:eastAsia="Arial" w:hAnsi="Arial"/>
          <w:sz w:val="22"/>
          <w:szCs w:val="22"/>
          <w:color w:val="auto"/>
        </w:rPr>
        <w:t>“Award Agreement” means the Restricted Stock Unit Agreement (Service-Based Award for Senior Officers) or other similar agreement that evidences an Award.</w:t>
      </w:r>
    </w:p>
    <w:p>
      <w:pPr>
        <w:spacing w:after="0" w:line="150" w:lineRule="exact"/>
        <w:rPr>
          <w:rFonts w:ascii="Arial" w:cs="Arial" w:eastAsia="Arial" w:hAnsi="Arial"/>
          <w:sz w:val="22"/>
          <w:szCs w:val="22"/>
          <w:color w:val="auto"/>
        </w:rPr>
      </w:pPr>
    </w:p>
    <w:p>
      <w:pPr>
        <w:ind w:left="1560" w:right="20" w:hanging="645"/>
        <w:spacing w:after="0" w:line="236" w:lineRule="auto"/>
        <w:tabs>
          <w:tab w:leader="none" w:pos="1554" w:val="left"/>
        </w:tabs>
        <w:numPr>
          <w:ilvl w:val="0"/>
          <w:numId w:val="50"/>
        </w:numPr>
        <w:rPr>
          <w:rFonts w:ascii="Arial" w:cs="Arial" w:eastAsia="Arial" w:hAnsi="Arial"/>
          <w:sz w:val="22"/>
          <w:szCs w:val="22"/>
          <w:color w:val="auto"/>
        </w:rPr>
      </w:pPr>
      <w:r>
        <w:rPr>
          <w:rFonts w:ascii="Arial" w:cs="Arial" w:eastAsia="Arial" w:hAnsi="Arial"/>
          <w:sz w:val="22"/>
          <w:szCs w:val="22"/>
          <w:color w:val="auto"/>
        </w:rPr>
        <w:t>“ICN Agreement” means the Inventions, Confidentiality and Nonsolicitation Agreement dated July 5, 2011 between Employee and Employer, successor by merger to TriQuint Semiconductor, Inc.</w:t>
      </w:r>
    </w:p>
    <w:p>
      <w:pPr>
        <w:spacing w:after="0" w:line="150" w:lineRule="exact"/>
        <w:rPr>
          <w:rFonts w:ascii="Arial" w:cs="Arial" w:eastAsia="Arial" w:hAnsi="Arial"/>
          <w:sz w:val="22"/>
          <w:szCs w:val="22"/>
          <w:color w:val="auto"/>
        </w:rPr>
      </w:pPr>
    </w:p>
    <w:p>
      <w:pPr>
        <w:jc w:val="both"/>
        <w:ind w:left="1560" w:hanging="645"/>
        <w:spacing w:after="0" w:line="226" w:lineRule="auto"/>
        <w:tabs>
          <w:tab w:leader="none" w:pos="1554" w:val="left"/>
        </w:tabs>
        <w:numPr>
          <w:ilvl w:val="0"/>
          <w:numId w:val="50"/>
        </w:numPr>
        <w:rPr>
          <w:rFonts w:ascii="Arial" w:cs="Arial" w:eastAsia="Arial" w:hAnsi="Arial"/>
          <w:sz w:val="22"/>
          <w:szCs w:val="22"/>
          <w:color w:val="auto"/>
        </w:rPr>
      </w:pPr>
      <w:r>
        <w:rPr>
          <w:rFonts w:ascii="Arial" w:cs="Arial" w:eastAsia="Arial" w:hAnsi="Arial"/>
          <w:sz w:val="22"/>
          <w:szCs w:val="22"/>
          <w:color w:val="auto"/>
        </w:rPr>
        <w:t>“Post-Termination Period” means the period commencing on Employee’s Termination Date and ending on the date the last installment of an Award vests in accordance with the terms of the applicable Award Agreement.</w:t>
      </w:r>
    </w:p>
    <w:p>
      <w:pPr>
        <w:spacing w:after="0" w:line="149" w:lineRule="exact"/>
        <w:rPr>
          <w:rFonts w:ascii="Arial" w:cs="Arial" w:eastAsia="Arial" w:hAnsi="Arial"/>
          <w:sz w:val="22"/>
          <w:szCs w:val="22"/>
          <w:color w:val="auto"/>
        </w:rPr>
      </w:pPr>
    </w:p>
    <w:p>
      <w:pPr>
        <w:ind w:left="1560" w:hanging="645"/>
        <w:spacing w:after="0"/>
        <w:tabs>
          <w:tab w:leader="none" w:pos="15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“Share” means a share of Common Stock, $0.0001 par value per share, of Qorvo, Inc.</w:t>
      </w:r>
    </w:p>
    <w:p>
      <w:pPr>
        <w:spacing w:after="0" w:line="177" w:lineRule="exact"/>
        <w:rPr>
          <w:sz w:val="20"/>
          <w:szCs w:val="20"/>
          <w:color w:val="auto"/>
        </w:rPr>
      </w:pPr>
    </w:p>
    <w:p>
      <w:pPr>
        <w:ind w:firstLine="8"/>
        <w:spacing w:after="0" w:line="237" w:lineRule="auto"/>
        <w:tabs>
          <w:tab w:leader="none" w:pos="639"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Benefit Matters.</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which is provided for information purposes only, is a summary of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that may be available to Employee as a result of Employee’s retirement:</w:t>
      </w:r>
    </w:p>
    <w:p>
      <w:pPr>
        <w:spacing w:after="0" w:line="150" w:lineRule="exact"/>
        <w:rPr>
          <w:rFonts w:ascii="Arial" w:cs="Arial" w:eastAsia="Arial" w:hAnsi="Arial"/>
          <w:sz w:val="22"/>
          <w:szCs w:val="22"/>
          <w:b w:val="1"/>
          <w:bCs w:val="1"/>
          <w:color w:val="auto"/>
        </w:rPr>
      </w:pPr>
    </w:p>
    <w:p>
      <w:pPr>
        <w:jc w:val="both"/>
        <w:ind w:left="1300" w:hanging="385"/>
        <w:spacing w:after="0" w:line="209" w:lineRule="auto"/>
        <w:tabs>
          <w:tab w:leader="none" w:pos="1297" w:val="left"/>
        </w:tabs>
        <w:numPr>
          <w:ilvl w:val="1"/>
          <w:numId w:val="51"/>
        </w:numPr>
        <w:rPr>
          <w:rFonts w:ascii="Times New Roman" w:cs="Times New Roman" w:eastAsia="Times New Roman" w:hAnsi="Times New Roman"/>
          <w:sz w:val="22"/>
          <w:szCs w:val="22"/>
          <w:color w:val="auto"/>
        </w:rPr>
      </w:pPr>
      <w:r>
        <w:rPr>
          <w:rFonts w:ascii="Arial" w:cs="Arial" w:eastAsia="Arial" w:hAnsi="Arial"/>
          <w:sz w:val="22"/>
          <w:szCs w:val="22"/>
          <w:u w:val="single" w:color="auto"/>
          <w:color w:val="auto"/>
        </w:rPr>
        <w:t>Group Medical and Dental Insurance.</w:t>
      </w:r>
      <w:r>
        <w:rPr>
          <w:rFonts w:ascii="Arial" w:cs="Arial" w:eastAsia="Arial" w:hAnsi="Arial"/>
          <w:sz w:val="22"/>
          <w:szCs w:val="22"/>
          <w:color w:val="auto"/>
        </w:rPr>
        <w:t xml:space="preserve"> Employee’s medical and dental coverage under Employer’s group health plans (United Healthcare, Vision Service Plan and Delta Dental/Moda Health) will continue until November 30, 2021. Under a federal law known as COBRA, effective as of December 1, 2021, Employee and his covered dependents will be entitled to elect to continue medical and dental coverage for a minimum of eighteen months (the “COBRA Period”). COBRA is administered through Businessolver, which will mail enrollment forms and instructions to Employee’s home address following the Termination Date. To elect COBRA coverage, Employee must complete, sign and mail the application form to Businessolver within 60 days of the Termination Date. Employee’s medical and dental insurance providers will be notified and Employee’s coverage will be reinstated retroactively to the group health plan termination date upon their receipt of Employee’s enrollment election and first premium payment. Employee will be responsible for submitting premium payments to Businessolver to obtain COBRA coverage. Employee acknowledges that Employer has furnished Employee with a COBRA rate sheet for medical and dental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6" w:right="339" w:bottom="1440" w:gutter="0" w:footer="0" w:header="0"/>
        </w:sectPr>
      </w:pPr>
    </w:p>
    <w:bookmarkStart w:id="98" w:name="page99"/>
    <w:bookmarkEnd w:id="98"/>
    <w:p>
      <w:pPr>
        <w:jc w:val="both"/>
        <w:ind w:left="1300" w:hanging="385"/>
        <w:spacing w:after="0" w:line="215" w:lineRule="auto"/>
        <w:tabs>
          <w:tab w:leader="none" w:pos="1297"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u w:val="single" w:color="auto"/>
          <w:color w:val="auto"/>
        </w:rPr>
        <w:t>401(k) Plan.</w:t>
      </w:r>
      <w:r>
        <w:rPr>
          <w:rFonts w:ascii="Arial" w:cs="Arial" w:eastAsia="Arial" w:hAnsi="Arial"/>
          <w:sz w:val="22"/>
          <w:szCs w:val="22"/>
          <w:color w:val="auto"/>
        </w:rPr>
        <w:t xml:space="preserve"> Assuming it exceeds $5,000, Employee’s account balance in Qorvo’s 401(k) Plan may remain in such Plan or be transferred to another qualified plan or IRA at Employee’s election. To transfer an account balance to another qualified plan or IRA or to obtain a distribution from the account, Employee should visit Fidelity’s website at www.401k.com or call the Fidelity Retirement Benefits Line at 1-800-890-4015. Outstanding loans against Employee’s 401(k) Plan balance must be repaid within 30 days of the Termination Date.</w:t>
      </w:r>
    </w:p>
    <w:p>
      <w:pPr>
        <w:spacing w:after="0" w:line="151" w:lineRule="exact"/>
        <w:rPr>
          <w:rFonts w:ascii="Times New Roman" w:cs="Times New Roman" w:eastAsia="Times New Roman" w:hAnsi="Times New Roman"/>
          <w:sz w:val="22"/>
          <w:szCs w:val="22"/>
          <w:color w:val="auto"/>
        </w:rPr>
      </w:pPr>
    </w:p>
    <w:p>
      <w:pPr>
        <w:jc w:val="both"/>
        <w:ind w:left="1300" w:hanging="385"/>
        <w:spacing w:after="0" w:line="215" w:lineRule="auto"/>
        <w:tabs>
          <w:tab w:leader="none" w:pos="1297"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u w:val="single" w:color="auto"/>
          <w:color w:val="auto"/>
        </w:rPr>
        <w:t>Group Life Insurance and Accidental Death &amp; Dismemberment (AD&amp;D)</w:t>
      </w:r>
      <w:r>
        <w:rPr>
          <w:rFonts w:ascii="Arial" w:cs="Arial" w:eastAsia="Arial" w:hAnsi="Arial"/>
          <w:sz w:val="22"/>
          <w:szCs w:val="22"/>
          <w:color w:val="auto"/>
        </w:rPr>
        <w:t>. Employee’s Life and Accidental Death and Dismemberment coverage ends on the Termination Date. Employee has the option to port or convert the group coverage in force at the Termination Date into individual coverage, including Basic Life, AD&amp;D, Additional Life, and Dependent Life. Employee must apply for portability within 31 days of the Termination Date. If Employee is interested in porting Employee’s life insurance coverage, Employee should call the Unum Conversion Unit at 800-343-5406.</w:t>
      </w:r>
    </w:p>
    <w:p>
      <w:pPr>
        <w:spacing w:after="0" w:line="151" w:lineRule="exact"/>
        <w:rPr>
          <w:rFonts w:ascii="Times New Roman" w:cs="Times New Roman" w:eastAsia="Times New Roman" w:hAnsi="Times New Roman"/>
          <w:sz w:val="22"/>
          <w:szCs w:val="22"/>
          <w:color w:val="auto"/>
        </w:rPr>
      </w:pPr>
    </w:p>
    <w:p>
      <w:pPr>
        <w:jc w:val="both"/>
        <w:ind w:left="1300" w:hanging="385"/>
        <w:spacing w:after="0" w:line="225" w:lineRule="auto"/>
        <w:tabs>
          <w:tab w:leader="none" w:pos="1297"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u w:val="single" w:color="auto"/>
          <w:color w:val="auto"/>
        </w:rPr>
        <w:t>Voluntary Accident, Critical Illness and Hospital Indemnity Insurance.</w:t>
      </w:r>
      <w:r>
        <w:rPr>
          <w:rFonts w:ascii="Arial" w:cs="Arial" w:eastAsia="Arial" w:hAnsi="Arial"/>
          <w:sz w:val="22"/>
          <w:szCs w:val="22"/>
          <w:color w:val="auto"/>
        </w:rPr>
        <w:t xml:space="preserve"> If Employee is enrolled in Voluntary Accident, Critical Illness and/or Hospital Indemnity Insurance, Employee’s coverage ends on the Termination Date.</w:t>
      </w:r>
    </w:p>
    <w:p>
      <w:pPr>
        <w:spacing w:after="0" w:line="151" w:lineRule="exact"/>
        <w:rPr>
          <w:rFonts w:ascii="Times New Roman" w:cs="Times New Roman" w:eastAsia="Times New Roman" w:hAnsi="Times New Roman"/>
          <w:sz w:val="22"/>
          <w:szCs w:val="22"/>
          <w:color w:val="auto"/>
        </w:rPr>
      </w:pPr>
    </w:p>
    <w:p>
      <w:pPr>
        <w:ind w:left="1300" w:hanging="385"/>
        <w:spacing w:after="0" w:line="236" w:lineRule="auto"/>
        <w:tabs>
          <w:tab w:leader="none" w:pos="1297"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u w:val="single" w:color="auto"/>
          <w:color w:val="auto"/>
        </w:rPr>
        <w:t>Disability Insurance.</w:t>
      </w:r>
      <w:r>
        <w:rPr>
          <w:rFonts w:ascii="Arial" w:cs="Arial" w:eastAsia="Arial" w:hAnsi="Arial"/>
          <w:sz w:val="22"/>
          <w:szCs w:val="22"/>
          <w:color w:val="auto"/>
        </w:rPr>
        <w:t xml:space="preserve"> From and after the Termination Date, Employee will no longer eligible for any benefit under Employer’s short-term and long-term disability plans.</w:t>
      </w:r>
    </w:p>
    <w:p>
      <w:pPr>
        <w:spacing w:after="0" w:line="149" w:lineRule="exact"/>
        <w:rPr>
          <w:rFonts w:ascii="Times New Roman" w:cs="Times New Roman" w:eastAsia="Times New Roman" w:hAnsi="Times New Roman"/>
          <w:sz w:val="22"/>
          <w:szCs w:val="22"/>
          <w:color w:val="auto"/>
        </w:rPr>
      </w:pPr>
    </w:p>
    <w:p>
      <w:pPr>
        <w:jc w:val="both"/>
        <w:ind w:left="1300" w:hanging="385"/>
        <w:spacing w:after="0" w:line="220" w:lineRule="auto"/>
        <w:tabs>
          <w:tab w:leader="none" w:pos="1297" w:val="left"/>
        </w:tabs>
        <w:numPr>
          <w:ilvl w:val="0"/>
          <w:numId w:val="52"/>
        </w:numPr>
        <w:rPr>
          <w:rFonts w:ascii="Times New Roman" w:cs="Times New Roman" w:eastAsia="Times New Roman" w:hAnsi="Times New Roman"/>
          <w:sz w:val="22"/>
          <w:szCs w:val="22"/>
          <w:color w:val="auto"/>
        </w:rPr>
      </w:pPr>
      <w:r>
        <w:rPr>
          <w:rFonts w:ascii="Arial" w:cs="Arial" w:eastAsia="Arial" w:hAnsi="Arial"/>
          <w:sz w:val="22"/>
          <w:szCs w:val="22"/>
          <w:u w:val="single" w:color="auto"/>
          <w:color w:val="auto"/>
        </w:rPr>
        <w:t>Employee Stock Purchase Plan.</w:t>
      </w:r>
      <w:r>
        <w:rPr>
          <w:rFonts w:ascii="Arial" w:cs="Arial" w:eastAsia="Arial" w:hAnsi="Arial"/>
          <w:sz w:val="22"/>
          <w:szCs w:val="22"/>
          <w:color w:val="auto"/>
        </w:rPr>
        <w:t xml:space="preserve"> Eligibility for participation in Qorvo’s Employee Stock Purchase Plan ceases effective as of the Termination Date. Qorvo will reimburse payroll deductions credited to Employee’s account during the current purchase period no later than the next scheduled payroll period following the Termination Date.</w:t>
      </w:r>
    </w:p>
    <w:p>
      <w:pPr>
        <w:spacing w:after="0" w:line="151" w:lineRule="exact"/>
        <w:rPr>
          <w:rFonts w:ascii="Times New Roman" w:cs="Times New Roman" w:eastAsia="Times New Roman" w:hAnsi="Times New Roman"/>
          <w:sz w:val="22"/>
          <w:szCs w:val="22"/>
          <w:color w:val="auto"/>
        </w:rPr>
      </w:pPr>
    </w:p>
    <w:p>
      <w:pPr>
        <w:jc w:val="both"/>
        <w:ind w:left="1300" w:hanging="385"/>
        <w:spacing w:after="0" w:line="225" w:lineRule="auto"/>
        <w:tabs>
          <w:tab w:leader="none" w:pos="1297" w:val="left"/>
        </w:tabs>
        <w:numPr>
          <w:ilvl w:val="0"/>
          <w:numId w:val="52"/>
        </w:numPr>
        <w:rPr>
          <w:rFonts w:ascii="Times New Roman" w:cs="Times New Roman" w:eastAsia="Times New Roman" w:hAnsi="Times New Roman"/>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xml:space="preserve"> Nothing in this Agreement is intended to affect the terms of the Change in Control Agreement between Employee and Qorvo, Inc., which shall continue to operate until it terminates in accordance with its terms. To the extent that such Change in Control Agreement or the change in control provisions in Section 14(a)(ii) of the Qorvo, Inc. 2012 Stock Incentive Plan, as amended (the “Plan”), under which the Awards were granted are applicable to Employee, Employee will be treated as having been terminated on the Termination Date without “Cause” as that term is defined in the Plan.</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Please note that the above is a summary of the benefits that may be available to Employee as a result of Employee’s retirement, and is qualified in all respects by reference to the specific terms of the applicable benefit plans, programs and Employer policies referenced in this Agreement, all of which are subject to change from time to time. The contents of this Agreement should not be construed as legal, tax or other advice. Employee should consult with Employee’s own attorney and advisors as to all legal and tax-related issues concerning these matters.</w:t>
      </w:r>
    </w:p>
    <w:p>
      <w:pPr>
        <w:spacing w:after="0" w:line="150" w:lineRule="exact"/>
        <w:rPr>
          <w:sz w:val="20"/>
          <w:szCs w:val="20"/>
          <w:color w:val="auto"/>
        </w:rPr>
      </w:pPr>
    </w:p>
    <w:p>
      <w:pPr>
        <w:jc w:val="both"/>
        <w:ind w:firstLine="8"/>
        <w:spacing w:after="0" w:line="226" w:lineRule="auto"/>
        <w:tabs>
          <w:tab w:leader="none" w:pos="639"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Release of All Claims.</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of receiving the severance benefits described in Paragraph 2(b)</w:t>
      </w:r>
      <w:r>
        <w:rPr>
          <w:rFonts w:ascii="Arial" w:cs="Arial" w:eastAsia="Arial" w:hAnsi="Arial"/>
          <w:sz w:val="22"/>
          <w:szCs w:val="22"/>
          <w:b w:val="1"/>
          <w:bCs w:val="1"/>
          <w:color w:val="auto"/>
        </w:rPr>
        <w:t xml:space="preserve"> </w:t>
      </w:r>
      <w:r>
        <w:rPr>
          <w:rFonts w:ascii="Arial" w:cs="Arial" w:eastAsia="Arial" w:hAnsi="Arial"/>
          <w:sz w:val="22"/>
          <w:szCs w:val="22"/>
          <w:color w:val="auto"/>
        </w:rPr>
        <w:t>above and the continued post-retirement vesting of the Awards described in Paragraph 3 above, Employee, for Employee’s self and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6" w:right="339" w:bottom="1440" w:gutter="0" w:footer="0" w:header="0"/>
        </w:sectPr>
      </w:pPr>
    </w:p>
    <w:bookmarkStart w:id="99" w:name="page100"/>
    <w:bookmarkEnd w:id="99"/>
    <w:p>
      <w:pPr>
        <w:jc w:val="both"/>
        <w:spacing w:after="0" w:line="218" w:lineRule="auto"/>
        <w:rPr>
          <w:sz w:val="20"/>
          <w:szCs w:val="20"/>
          <w:color w:val="auto"/>
        </w:rPr>
      </w:pPr>
      <w:r>
        <w:rPr>
          <w:rFonts w:ascii="Arial" w:cs="Arial" w:eastAsia="Arial" w:hAnsi="Arial"/>
          <w:sz w:val="21"/>
          <w:szCs w:val="21"/>
          <w:color w:val="auto"/>
        </w:rPr>
        <w:t>of all the other Employee Parties, hereby knowingly and voluntarily releases the Employer and all the other Employer Parties, and all persons, corporations or other entities who might be claimed to be jointly or severally liable with any of the Employer Parties, from any and all charges, complaints, grievances, causes of action, claims, demands, debts and liabilities of any kind or nature whatsoever, whether actual or potential, known or unknown, suspected or unsuspected (“claims”), which Employee or any other Employee Party may have or claim to have, and specifically, but not exclusively, all claims regarding any act, omission, event, occurrence or non-occurrence that have occurred on or before the date of signing this Agreement, including, without limitation, any and all claims under any federal, state or local statutory or common law related to, concerning or arising out of Employee’s employment or termination from employment with the Employer. Employee expressly agrees that among the various rights and claims being waived in this Agreement are those arising under the United States and state constitutions, the common law of any applicable jurisdiction, the Age Discrimination in Employment Act of 1967 (“ADEA”), the Employee Retirement Income Security Act, Title VII of the Civil Rights Act of 1964, the Civil Rights Act of 1991, the Americans with Disabilities Act, the Family and Medical Leave Act, and any and all corresponding state laws that might apply, including, but not limited to any and all federal and state executive orders and other statutes and regulations, and any claim for attorneys’ fees, costs, disbursements or the like. This is a full and final waiver and release of any such claims, and the Parties intend that it have the broadest effect possible under law. Employee expressly represents that except as excluded from Employee’s covenant not to sue under Paragraph 6, none of the Employee Parties has any claim against any of the Employer Parties which is not released under this Agreement.</w:t>
      </w:r>
    </w:p>
    <w:p>
      <w:pPr>
        <w:spacing w:after="0" w:line="154" w:lineRule="exact"/>
        <w:rPr>
          <w:sz w:val="20"/>
          <w:szCs w:val="20"/>
          <w:color w:val="auto"/>
        </w:rPr>
      </w:pPr>
    </w:p>
    <w:p>
      <w:pPr>
        <w:jc w:val="both"/>
        <w:ind w:firstLine="8"/>
        <w:spacing w:after="0" w:line="218" w:lineRule="auto"/>
        <w:tabs>
          <w:tab w:leader="none" w:pos="639"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 Not to Sue.</w:t>
      </w:r>
      <w:r>
        <w:rPr>
          <w:rFonts w:ascii="Arial" w:cs="Arial" w:eastAsia="Arial" w:hAnsi="Arial"/>
          <w:sz w:val="21"/>
          <w:szCs w:val="21"/>
          <w:b w:val="1"/>
          <w:bCs w:val="1"/>
          <w:color w:val="auto"/>
        </w:rPr>
        <w:t xml:space="preserve"> </w:t>
      </w:r>
      <w:r>
        <w:rPr>
          <w:rFonts w:ascii="Arial" w:cs="Arial" w:eastAsia="Arial" w:hAnsi="Arial"/>
          <w:sz w:val="21"/>
          <w:szCs w:val="21"/>
          <w:color w:val="auto"/>
        </w:rPr>
        <w:t>A “covenant not to sue” is a legal term that means a person promises not to file a</w:t>
      </w:r>
      <w:r>
        <w:rPr>
          <w:rFonts w:ascii="Arial" w:cs="Arial" w:eastAsia="Arial" w:hAnsi="Arial"/>
          <w:sz w:val="21"/>
          <w:szCs w:val="21"/>
          <w:b w:val="1"/>
          <w:bCs w:val="1"/>
          <w:color w:val="auto"/>
        </w:rPr>
        <w:t xml:space="preserve"> </w:t>
      </w:r>
      <w:r>
        <w:rPr>
          <w:rFonts w:ascii="Arial" w:cs="Arial" w:eastAsia="Arial" w:hAnsi="Arial"/>
          <w:sz w:val="21"/>
          <w:szCs w:val="21"/>
          <w:color w:val="auto"/>
        </w:rPr>
        <w:t>lawsuit or other legal proceeding. It is additional to the release of claims contained in Paragraph 6 above. Besides waiving and releasing the claims above, Employee promises, for Employee’s self and on behalf of all the other Employee Parties, never to file or prosecute any legal claim of any kind against any of the Employer Parties in any court or other forum for any reason based on any act, omission, event, occurrence, or non-occurrence, from the beginning of time to the effective date of this Agreement, including but not limited to claims covered by the release contained in Paragraph 5 above. Excluded from this covenant not to sue is the right to file charges with, initiate, or assist, testify or otherwise participate in any investigation or any judicial or administrative action or proceeding conducted by any federal, state or local governmental agency, commission or authority that prohibits waiver of such rights, including the Securities and Exchange Commission, the Equal Employment Opportunity Commission, the Occupational Safety and Health Administration and the National Labor Relations Board. Employee understands and agrees that Employee, for Employee’s self and on behalf of all the other Employee Parties, is waiving, however, any right to monetary recovery, including but not limited to compensatory or punitive damages, attorneys’ fees or costs, or other damages or recovery should any such agency, commission or authority or any other person, entity or group pursue any claim on behalf of any Employee Party; provided, however, that Employee is not waiving any right to receive an award for providing information relating to possible securities laws violations (including violations relating to accounting or auditing matters) to proper governmental and regulatory authorities, including the Securities and Exchange Commission. Employee represents that, as of the effective date of this Agreement, and except as permitted by this Paragraph 6, Employee has not filed or caused to be filed any claims against any Employer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6" w:right="339" w:bottom="1440" w:gutter="0" w:footer="0" w:header="0"/>
        </w:sectPr>
      </w:pPr>
    </w:p>
    <w:bookmarkStart w:id="100" w:name="page101"/>
    <w:bookmarkEnd w:id="100"/>
    <w:p>
      <w:pPr>
        <w:jc w:val="both"/>
        <w:ind w:firstLine="8"/>
        <w:spacing w:after="0" w:line="215" w:lineRule="auto"/>
        <w:tabs>
          <w:tab w:leader="none" w:pos="639"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the Older Workers Benefit Protection Act.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subject to the terms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Older Workers Benefit Protection Act of 1990 (“OWBPA”). The OWBPA provides that an individual cannot waive a right or claim under the Age Discrimination in Employment Act (“ADEA”) unless the waiver is knowing and voluntary. Pursuant to the terms of the OWBPA, Employee acknowledges and agrees that Employee has executed this Agreement voluntarily, and with full knowledge of its consequences. In addition, Employee hereby acknowledges and agrees as follows:</w:t>
      </w:r>
    </w:p>
    <w:p>
      <w:pPr>
        <w:spacing w:after="0" w:line="154" w:lineRule="exact"/>
        <w:rPr>
          <w:rFonts w:ascii="Arial" w:cs="Arial" w:eastAsia="Arial" w:hAnsi="Arial"/>
          <w:sz w:val="22"/>
          <w:szCs w:val="22"/>
          <w:b w:val="1"/>
          <w:bCs w:val="1"/>
          <w:color w:val="auto"/>
        </w:rPr>
      </w:pPr>
    </w:p>
    <w:p>
      <w:pPr>
        <w:ind w:left="1300" w:hanging="385"/>
        <w:spacing w:after="0" w:line="236" w:lineRule="auto"/>
        <w:tabs>
          <w:tab w:leader="none" w:pos="1297"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This Agreement has been written in a manner that is calculated to be understood, and is understood, by Employee.</w:t>
      </w:r>
    </w:p>
    <w:p>
      <w:pPr>
        <w:spacing w:after="0" w:line="150" w:lineRule="exact"/>
        <w:rPr>
          <w:rFonts w:ascii="Arial" w:cs="Arial" w:eastAsia="Arial" w:hAnsi="Arial"/>
          <w:sz w:val="22"/>
          <w:szCs w:val="22"/>
          <w:color w:val="auto"/>
        </w:rPr>
      </w:pPr>
    </w:p>
    <w:p>
      <w:pPr>
        <w:ind w:left="1300" w:hanging="385"/>
        <w:spacing w:after="0" w:line="236" w:lineRule="auto"/>
        <w:tabs>
          <w:tab w:leader="none" w:pos="1297"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release provisions of this Agreement apply to any rights Employee may have under the ADEA or other laws prohibiting age discrimination.</w:t>
      </w:r>
    </w:p>
    <w:p>
      <w:pPr>
        <w:spacing w:after="0" w:line="150" w:lineRule="exact"/>
        <w:rPr>
          <w:rFonts w:ascii="Arial" w:cs="Arial" w:eastAsia="Arial" w:hAnsi="Arial"/>
          <w:sz w:val="22"/>
          <w:szCs w:val="22"/>
          <w:color w:val="auto"/>
        </w:rPr>
      </w:pPr>
    </w:p>
    <w:p>
      <w:pPr>
        <w:ind w:left="1300" w:hanging="385"/>
        <w:spacing w:after="0" w:line="236" w:lineRule="auto"/>
        <w:tabs>
          <w:tab w:leader="none" w:pos="1298"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release provisions of this Agreement do not apply to any rights or claims Employee may have under the ADEA that arise after the date that this Agreement is executed.</w:t>
      </w:r>
    </w:p>
    <w:p>
      <w:pPr>
        <w:spacing w:after="0" w:line="150" w:lineRule="exact"/>
        <w:rPr>
          <w:rFonts w:ascii="Arial" w:cs="Arial" w:eastAsia="Arial" w:hAnsi="Arial"/>
          <w:sz w:val="22"/>
          <w:szCs w:val="22"/>
          <w:color w:val="auto"/>
        </w:rPr>
      </w:pPr>
    </w:p>
    <w:p>
      <w:pPr>
        <w:ind w:left="1300" w:hanging="385"/>
        <w:spacing w:after="0"/>
        <w:tabs>
          <w:tab w:leader="none" w:pos="13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Employer hereby advises Employee to consult with an attorney prior to executing this Agreement.</w:t>
      </w:r>
    </w:p>
    <w:p>
      <w:pPr>
        <w:spacing w:after="0" w:line="179" w:lineRule="exact"/>
        <w:rPr>
          <w:rFonts w:ascii="Arial" w:cs="Arial" w:eastAsia="Arial" w:hAnsi="Arial"/>
          <w:sz w:val="22"/>
          <w:szCs w:val="22"/>
          <w:color w:val="auto"/>
        </w:rPr>
      </w:pPr>
    </w:p>
    <w:p>
      <w:pPr>
        <w:jc w:val="both"/>
        <w:ind w:left="1300" w:hanging="385"/>
        <w:spacing w:after="0" w:line="225" w:lineRule="auto"/>
        <w:tabs>
          <w:tab w:leader="none" w:pos="1297" w:val="left"/>
        </w:tabs>
        <w:numPr>
          <w:ilvl w:val="1"/>
          <w:numId w:val="55"/>
        </w:numPr>
        <w:rPr>
          <w:rFonts w:ascii="Arial" w:cs="Arial" w:eastAsia="Arial" w:hAnsi="Arial"/>
          <w:sz w:val="21"/>
          <w:szCs w:val="21"/>
          <w:color w:val="auto"/>
        </w:rPr>
      </w:pPr>
      <w:r>
        <w:rPr>
          <w:rFonts w:ascii="Arial" w:cs="Arial" w:eastAsia="Arial" w:hAnsi="Arial"/>
          <w:sz w:val="21"/>
          <w:szCs w:val="21"/>
          <w:color w:val="auto"/>
        </w:rPr>
        <w:t>Employer is giving Employee a period of ninety (90) days to consider this Agreement. Employee may accept and sign this Agreement before the expiration of the ninety (90) day time period, but is not required to do so by Employer. Employee understands that this Agreement will become effective on the date that the Parties sign it. Employee further acknowledges and understands that in order to be eligible for the continued post-retirement vesting of Awards described in Paragraph 3 above, Employee must sign this Agreement on or after the Termination Date and on or before the 90-day period has expired.</w:t>
      </w:r>
    </w:p>
    <w:p>
      <w:pPr>
        <w:spacing w:after="0" w:line="153" w:lineRule="exact"/>
        <w:rPr>
          <w:rFonts w:ascii="Arial" w:cs="Arial" w:eastAsia="Arial" w:hAnsi="Arial"/>
          <w:sz w:val="21"/>
          <w:szCs w:val="21"/>
          <w:color w:val="auto"/>
        </w:rPr>
      </w:pPr>
    </w:p>
    <w:p>
      <w:pPr>
        <w:jc w:val="both"/>
        <w:ind w:left="1300" w:hanging="385"/>
        <w:spacing w:after="0" w:line="217" w:lineRule="auto"/>
        <w:tabs>
          <w:tab w:leader="none" w:pos="1291" w:val="left"/>
        </w:tabs>
        <w:numPr>
          <w:ilvl w:val="1"/>
          <w:numId w:val="55"/>
        </w:numPr>
        <w:rPr>
          <w:rFonts w:ascii="Arial" w:cs="Arial" w:eastAsia="Arial" w:hAnsi="Arial"/>
          <w:sz w:val="22"/>
          <w:szCs w:val="22"/>
          <w:color w:val="auto"/>
        </w:rPr>
      </w:pPr>
      <w:r>
        <w:rPr>
          <w:rFonts w:ascii="Arial" w:cs="Arial" w:eastAsia="Arial" w:hAnsi="Arial"/>
          <w:sz w:val="22"/>
          <w:szCs w:val="22"/>
          <w:color w:val="auto"/>
        </w:rPr>
        <w:t>For a period of seven (7) days following the signing of this Agreement, Employee may revoke the waiver of ADEA claims made in this Agreement by sending written notice of any such revocation to Employer. This Agreement shall become effective on the eighth day after Employee signs it, if it has not been revoked during the revocation period. If this Agreement is revoked by Employee, its terms will be null and void.</w:t>
      </w:r>
    </w:p>
    <w:p>
      <w:pPr>
        <w:spacing w:after="0" w:line="150" w:lineRule="exact"/>
        <w:rPr>
          <w:rFonts w:ascii="Arial" w:cs="Arial" w:eastAsia="Arial" w:hAnsi="Arial"/>
          <w:sz w:val="22"/>
          <w:szCs w:val="22"/>
          <w:color w:val="auto"/>
        </w:rPr>
      </w:pPr>
    </w:p>
    <w:p>
      <w:pPr>
        <w:jc w:val="both"/>
        <w:ind w:firstLine="8"/>
        <w:spacing w:after="0" w:line="218" w:lineRule="auto"/>
        <w:tabs>
          <w:tab w:leader="none" w:pos="639"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Return of Company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No later than the Termination Date, Employee will return all Employer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in Employee’s possession or under Employee’s control, including but not limited to keys, badges, banking tokens, credit cards, files and documents. Employee will be entitled to keep his laptop computer and cellular phone, subject to the removal of all Employer confidential information. Employee will cooperate with Employer in the removal of all Employer confidential information from Employee’s personal devices.</w:t>
      </w:r>
    </w:p>
    <w:p>
      <w:pPr>
        <w:spacing w:after="0" w:line="147" w:lineRule="exact"/>
        <w:rPr>
          <w:rFonts w:ascii="Arial" w:cs="Arial" w:eastAsia="Arial" w:hAnsi="Arial"/>
          <w:sz w:val="22"/>
          <w:szCs w:val="22"/>
          <w:b w:val="1"/>
          <w:bCs w:val="1"/>
          <w:color w:val="auto"/>
        </w:rPr>
      </w:pPr>
    </w:p>
    <w:p>
      <w:pPr>
        <w:jc w:val="both"/>
        <w:ind w:firstLine="8"/>
        <w:spacing w:after="0" w:line="218" w:lineRule="auto"/>
        <w:tabs>
          <w:tab w:leader="none" w:pos="639"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agrees during the Post-Termination Period, Employee will not, on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own behalf or on behalf of any other person or business organization, whether directly or indirectly, solicit, induce, recruit or encourage by any means, any employee of Employer, whether such employee is a full-time or temporary employee, to cease providing services to Employer or to accept employment or provide services to another person or business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4" w:right="339" w:bottom="1440" w:gutter="0" w:footer="0" w:header="0"/>
        </w:sectPr>
      </w:pPr>
    </w:p>
    <w:bookmarkStart w:id="101" w:name="page102"/>
    <w:bookmarkEnd w:id="101"/>
    <w:p>
      <w:pPr>
        <w:jc w:val="both"/>
        <w:ind w:firstLine="8"/>
        <w:spacing w:after="0" w:line="226" w:lineRule="auto"/>
        <w:tabs>
          <w:tab w:leader="none" w:pos="638"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Non-Disparagement.</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Termination Date, Employee shall not make any disparaging remarks, 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remarks that could reasonably be construed as disparaging, regarding Employer Parties, or their respective officers, directors, employees, representatives or agents.</w:t>
      </w:r>
    </w:p>
    <w:p>
      <w:pPr>
        <w:spacing w:after="0" w:line="149" w:lineRule="exact"/>
        <w:rPr>
          <w:rFonts w:ascii="Arial" w:cs="Arial" w:eastAsia="Arial" w:hAnsi="Arial"/>
          <w:sz w:val="22"/>
          <w:szCs w:val="22"/>
          <w:b w:val="1"/>
          <w:bCs w:val="1"/>
          <w:color w:val="auto"/>
        </w:rPr>
      </w:pPr>
    </w:p>
    <w:p>
      <w:pPr>
        <w:jc w:val="both"/>
        <w:ind w:firstLine="8"/>
        <w:spacing w:after="0" w:line="213" w:lineRule="auto"/>
        <w:tabs>
          <w:tab w:leader="none" w:pos="62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Reasonable Assistance.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shall, upon reasonable notice, furnish such information and assistance to</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as may reasonably be required by Employer in connection with any matter regarding Employer’s business within Employee’s knowledge or with any investigation, inquiry, litigation or other proceeding in which it is or may become involved, and which arises out of facts and circumstances known to Employee (and without regard to whether Employee is a party thereto), provided that such assistance shall not conflict or unreasonably interfere with the Employee’s post-Termination Date personal or professional commitments or obligations. Employer shall promptly reimburse Employee for his out-of-pocket expenses incurred in connection with the fulfillment of his obligations under this Paragraph 11.</w:t>
      </w:r>
    </w:p>
    <w:p>
      <w:pPr>
        <w:spacing w:after="0" w:line="147" w:lineRule="exact"/>
        <w:rPr>
          <w:rFonts w:ascii="Arial" w:cs="Arial" w:eastAsia="Arial" w:hAnsi="Arial"/>
          <w:sz w:val="22"/>
          <w:szCs w:val="22"/>
          <w:b w:val="1"/>
          <w:bCs w:val="1"/>
          <w:color w:val="auto"/>
        </w:rPr>
      </w:pPr>
    </w:p>
    <w:p>
      <w:pPr>
        <w:jc w:val="both"/>
        <w:ind w:firstLine="8"/>
        <w:spacing w:after="0" w:line="226" w:lineRule="auto"/>
        <w:tabs>
          <w:tab w:leader="none" w:pos="638"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References.</w:t>
      </w:r>
      <w:r>
        <w:rPr>
          <w:rFonts w:ascii="Arial" w:cs="Arial" w:eastAsia="Arial" w:hAnsi="Arial"/>
          <w:sz w:val="22"/>
          <w:szCs w:val="22"/>
          <w:b w:val="1"/>
          <w:bCs w:val="1"/>
          <w:color w:val="auto"/>
        </w:rPr>
        <w:t xml:space="preserve"> </w:t>
      </w:r>
      <w:r>
        <w:rPr>
          <w:rFonts w:ascii="Arial" w:cs="Arial" w:eastAsia="Arial" w:hAnsi="Arial"/>
          <w:sz w:val="22"/>
          <w:szCs w:val="22"/>
          <w:color w:val="auto"/>
        </w:rPr>
        <w:t>In response to inquiries regarding Employee’s employment with Employer, Employee will direct</w:t>
      </w:r>
      <w:r>
        <w:rPr>
          <w:rFonts w:ascii="Arial" w:cs="Arial" w:eastAsia="Arial" w:hAnsi="Arial"/>
          <w:sz w:val="22"/>
          <w:szCs w:val="22"/>
          <w:b w:val="1"/>
          <w:bCs w:val="1"/>
          <w:color w:val="auto"/>
        </w:rPr>
        <w:t xml:space="preserve"> </w:t>
      </w:r>
      <w:r>
        <w:rPr>
          <w:rFonts w:ascii="Arial" w:cs="Arial" w:eastAsia="Arial" w:hAnsi="Arial"/>
          <w:sz w:val="22"/>
          <w:szCs w:val="22"/>
          <w:color w:val="auto"/>
        </w:rPr>
        <w:t>all such inquiries solely to Employer’s Human Resources Department and such department will confirm dates of employment and Employee’s job title as of the Termination Date.</w:t>
      </w:r>
    </w:p>
    <w:p>
      <w:pPr>
        <w:spacing w:after="0" w:line="149" w:lineRule="exact"/>
        <w:rPr>
          <w:rFonts w:ascii="Arial" w:cs="Arial" w:eastAsia="Arial" w:hAnsi="Arial"/>
          <w:sz w:val="22"/>
          <w:szCs w:val="22"/>
          <w:b w:val="1"/>
          <w:bCs w:val="1"/>
          <w:color w:val="auto"/>
        </w:rPr>
      </w:pPr>
    </w:p>
    <w:p>
      <w:pPr>
        <w:jc w:val="both"/>
        <w:ind w:firstLine="8"/>
        <w:spacing w:after="0" w:line="214" w:lineRule="auto"/>
        <w:tabs>
          <w:tab w:leader="none" w:pos="638"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agrees that this Agreement and the Award Agreements constitute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concerning Employee’s retirement and termination of employment with Employer and all other subjects addressed herein. Except for the ICN Agreement and the applicable Award Agreements, which remain in effect pursuant to their terms, this Agreement supersedes and replaces all prior or contemporaneous negotiations, understandings and agreements, proposed or otherwise, whether written or oral, express or implied, concerning the subject matter of this Agreement. No amendment, deletion, addition, modification or waiver of any provision of this Agreement shall be binding or enforceable unless in writing and signed by both Parties.</w:t>
      </w:r>
    </w:p>
    <w:p>
      <w:pPr>
        <w:spacing w:after="0" w:line="149" w:lineRule="exact"/>
        <w:rPr>
          <w:rFonts w:ascii="Arial" w:cs="Arial" w:eastAsia="Arial" w:hAnsi="Arial"/>
          <w:sz w:val="22"/>
          <w:szCs w:val="22"/>
          <w:b w:val="1"/>
          <w:bCs w:val="1"/>
          <w:color w:val="auto"/>
        </w:rPr>
      </w:pPr>
    </w:p>
    <w:p>
      <w:pPr>
        <w:ind w:firstLine="8"/>
        <w:spacing w:after="0" w:line="237" w:lineRule="auto"/>
        <w:tabs>
          <w:tab w:leader="none" w:pos="638"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Admission of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acknowledges that nothing in this Agreement is to be construed as an</w:t>
      </w:r>
      <w:r>
        <w:rPr>
          <w:rFonts w:ascii="Arial" w:cs="Arial" w:eastAsia="Arial" w:hAnsi="Arial"/>
          <w:sz w:val="22"/>
          <w:szCs w:val="22"/>
          <w:b w:val="1"/>
          <w:bCs w:val="1"/>
          <w:color w:val="auto"/>
        </w:rPr>
        <w:t xml:space="preserve"> </w:t>
      </w:r>
      <w:r>
        <w:rPr>
          <w:rFonts w:ascii="Arial" w:cs="Arial" w:eastAsia="Arial" w:hAnsi="Arial"/>
          <w:sz w:val="22"/>
          <w:szCs w:val="22"/>
          <w:color w:val="auto"/>
        </w:rPr>
        <w:t>admission of liability by the Employer that it has violated any law, federal, state or otherwise.</w:t>
      </w:r>
    </w:p>
    <w:p>
      <w:pPr>
        <w:spacing w:after="0" w:line="148" w:lineRule="exact"/>
        <w:rPr>
          <w:rFonts w:ascii="Arial" w:cs="Arial" w:eastAsia="Arial" w:hAnsi="Arial"/>
          <w:sz w:val="22"/>
          <w:szCs w:val="22"/>
          <w:b w:val="1"/>
          <w:bCs w:val="1"/>
          <w:color w:val="auto"/>
        </w:rPr>
      </w:pPr>
    </w:p>
    <w:p>
      <w:pPr>
        <w:jc w:val="both"/>
        <w:ind w:firstLine="8"/>
        <w:spacing w:after="0" w:line="212" w:lineRule="auto"/>
        <w:tabs>
          <w:tab w:leader="none" w:pos="638"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agrees that the terms and provisions of this Agreement shall be kept in strict</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confidence and shall not be published, displayed, discussed, disclosed or revealed in any way by Employee or anyone on behalf of Employee without written permission of Employer or as required by court order, except that Employee may disclose the fact that this Agreement exists and discuss this Agreement and its terms with Employee’s spouse, attorney, financial advisor, tax preparer and accountant. Prior to disclosing any terms of this Agreement to any of the above-referenced persons, Employee shall inform them of their obligations not to disclose the terms further. Disclosure of the terms of this Agreement by anyone to whom Employee discloses them shall be treated as an unauthorized disclosure by Employee. Employee also acknowledges and agrees that the confidentiality provisions of the ICN Agreement remain in full force and effect following the Termination Date.</w:t>
      </w:r>
    </w:p>
    <w:p>
      <w:pPr>
        <w:spacing w:after="0" w:line="148" w:lineRule="exact"/>
        <w:rPr>
          <w:rFonts w:ascii="Arial" w:cs="Arial" w:eastAsia="Arial" w:hAnsi="Arial"/>
          <w:sz w:val="22"/>
          <w:szCs w:val="22"/>
          <w:b w:val="1"/>
          <w:bCs w:val="1"/>
          <w:color w:val="auto"/>
        </w:rPr>
      </w:pPr>
    </w:p>
    <w:p>
      <w:pPr>
        <w:jc w:val="both"/>
        <w:ind w:firstLine="8"/>
        <w:spacing w:after="0" w:line="226" w:lineRule="auto"/>
        <w:tabs>
          <w:tab w:leader="none" w:pos="638"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 the Agreement are severable, and if any part of it is found to be unlawful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the other provisions of the Agreement shall remain fully valid and enforceable to the maximum extent consistent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4" w:right="339" w:bottom="1440" w:gutter="0" w:footer="0" w:header="0"/>
        </w:sectPr>
      </w:pPr>
    </w:p>
    <w:bookmarkStart w:id="102" w:name="page103"/>
    <w:bookmarkEnd w:id="102"/>
    <w:p>
      <w:pPr>
        <w:jc w:val="both"/>
        <w:ind w:firstLine="8"/>
        <w:spacing w:after="0" w:line="218" w:lineRule="auto"/>
        <w:tabs>
          <w:tab w:leader="none" w:pos="638"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Knowing Release.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declares that Employee fully understands the terms and provisions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voluntarily accepts the above terms and provisions regarding the termination of Employee’s employment. Employee declares that prior to the execution of this Agreement, Employee had a sufficient opportunity to consult with an attorney in order that Employee might intelligently exercise Employee’s own judgment in deciding whether to execute this Agreement.</w:t>
      </w:r>
    </w:p>
    <w:p>
      <w:pPr>
        <w:spacing w:after="0" w:line="147" w:lineRule="exact"/>
        <w:rPr>
          <w:rFonts w:ascii="Arial" w:cs="Arial" w:eastAsia="Arial" w:hAnsi="Arial"/>
          <w:sz w:val="22"/>
          <w:szCs w:val="22"/>
          <w:b w:val="1"/>
          <w:bCs w:val="1"/>
          <w:color w:val="auto"/>
        </w:rPr>
      </w:pPr>
    </w:p>
    <w:p>
      <w:pPr>
        <w:jc w:val="both"/>
        <w:ind w:firstLine="8"/>
        <w:spacing w:after="0" w:line="215" w:lineRule="auto"/>
        <w:tabs>
          <w:tab w:leader="none" w:pos="638"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Breach of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constitute a full and complete defense to, and may be used as a</w:t>
      </w:r>
      <w:r>
        <w:rPr>
          <w:rFonts w:ascii="Arial" w:cs="Arial" w:eastAsia="Arial" w:hAnsi="Arial"/>
          <w:sz w:val="22"/>
          <w:szCs w:val="22"/>
          <w:b w:val="1"/>
          <w:bCs w:val="1"/>
          <w:color w:val="auto"/>
        </w:rPr>
        <w:t xml:space="preserve"> </w:t>
      </w:r>
      <w:r>
        <w:rPr>
          <w:rFonts w:ascii="Arial" w:cs="Arial" w:eastAsia="Arial" w:hAnsi="Arial"/>
          <w:sz w:val="22"/>
          <w:szCs w:val="22"/>
          <w:color w:val="auto"/>
        </w:rPr>
        <w:t>basis for an injunction against, any action, suit or other proceeding which may be instituted, prosecuted or attempted in breach of this Agreement. Each Party agrees to indemnify and hold the other harmless from and against any and all loss, cost, damage or expense, including attorneys’ fees, incurred or arising out of any such action, suit or other proceeding prosecuted or attempted in breach of this Agreement, provided that the Party seeking such indemnification shall be the prevailing party in the underlying action or proceeding.</w:t>
      </w:r>
    </w:p>
    <w:p>
      <w:pPr>
        <w:spacing w:after="0" w:line="152" w:lineRule="exact"/>
        <w:rPr>
          <w:rFonts w:ascii="Arial" w:cs="Arial" w:eastAsia="Arial" w:hAnsi="Arial"/>
          <w:sz w:val="22"/>
          <w:szCs w:val="22"/>
          <w:b w:val="1"/>
          <w:bCs w:val="1"/>
          <w:color w:val="auto"/>
        </w:rPr>
      </w:pPr>
    </w:p>
    <w:p>
      <w:pPr>
        <w:jc w:val="both"/>
        <w:ind w:firstLine="8"/>
        <w:spacing w:after="0" w:line="214" w:lineRule="auto"/>
        <w:tabs>
          <w:tab w:leader="none" w:pos="638"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understand and agree that what is recited in this Agreement is the sole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for this Agreement; that no representation or promise has been made by either Party concerning the subject matter of this Agreement, except as expressly set forth in this Agreement; and that all agreements and understandings between the Parties concerning the subject matter of this Agreement are embodied and expressed in this Agreement. This Agreement shall supersede all prior or contemporaneous agreements and understandings between the Parties, whether written or oral, express or implied, with respect to the subject matter of this Agreement. No amendments to this Agreement may be made except by a writing signed by both Parties.</w:t>
      </w:r>
    </w:p>
    <w:p>
      <w:pPr>
        <w:spacing w:after="0" w:line="149" w:lineRule="exact"/>
        <w:rPr>
          <w:sz w:val="20"/>
          <w:szCs w:val="20"/>
          <w:color w:val="auto"/>
        </w:rPr>
      </w:pPr>
    </w:p>
    <w:p>
      <w:pPr>
        <w:jc w:val="both"/>
        <w:ind w:right="20"/>
        <w:spacing w:after="0" w:line="242" w:lineRule="auto"/>
        <w:rPr>
          <w:sz w:val="20"/>
          <w:szCs w:val="20"/>
          <w:color w:val="auto"/>
        </w:rPr>
      </w:pPr>
      <w:r>
        <w:rPr>
          <w:rFonts w:ascii="Arial" w:cs="Arial" w:eastAsia="Arial" w:hAnsi="Arial"/>
          <w:sz w:val="21"/>
          <w:szCs w:val="21"/>
          <w:b w:val="1"/>
          <w:bCs w:val="1"/>
          <w:color w:val="auto"/>
        </w:rPr>
        <w:t>THE UNDERSIGNED STATE THAT THEY HAVE CAREFULLY READ THIS AGREEMENT IN ITS ENTIRETY, THAT NO PROMISE, INDUCEMENT OR AGREEMENT NOT HEREIN EXPRESSED HAS BEEN MADE TO EMPLOYEE, AND THAT EMPLOYEE VOLUNTARILY AND KNOWINGLY ACCEPTS ITS TERMS AND PROVISIONS.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1460" w:type="dxa"/>
            <w:vAlign w:val="bottom"/>
            <w:gridSpan w:val="2"/>
          </w:tcPr>
          <w:p>
            <w:pPr>
              <w:spacing w:after="0"/>
              <w:rPr>
                <w:sz w:val="20"/>
                <w:szCs w:val="20"/>
                <w:color w:val="auto"/>
              </w:rPr>
            </w:pPr>
            <w:r>
              <w:rPr>
                <w:rFonts w:ascii="Arial" w:cs="Arial" w:eastAsia="Arial" w:hAnsi="Arial"/>
                <w:sz w:val="22"/>
                <w:szCs w:val="22"/>
                <w:color w:val="auto"/>
              </w:rPr>
              <w:t>James Klein</w:t>
            </w:r>
          </w:p>
        </w:tc>
        <w:tc>
          <w:tcPr>
            <w:tcW w:w="7240" w:type="dxa"/>
            <w:vAlign w:val="bottom"/>
            <w:gridSpan w:val="3"/>
          </w:tcPr>
          <w:p>
            <w:pPr>
              <w:ind w:left="4580"/>
              <w:spacing w:after="0"/>
              <w:rPr>
                <w:sz w:val="20"/>
                <w:szCs w:val="20"/>
                <w:color w:val="auto"/>
              </w:rPr>
            </w:pPr>
            <w:r>
              <w:rPr>
                <w:rFonts w:ascii="Arial" w:cs="Arial" w:eastAsia="Arial" w:hAnsi="Arial"/>
                <w:sz w:val="22"/>
                <w:szCs w:val="22"/>
                <w:color w:val="auto"/>
              </w:rPr>
              <w:t>QORVO US, INC.</w:t>
            </w:r>
          </w:p>
        </w:tc>
      </w:tr>
      <w:tr>
        <w:trPr>
          <w:trHeight w:val="648"/>
        </w:trPr>
        <w:tc>
          <w:tcPr>
            <w:tcW w:w="1460" w:type="dxa"/>
            <w:vAlign w:val="bottom"/>
            <w:gridSpan w:val="2"/>
          </w:tcPr>
          <w:p>
            <w:pPr>
              <w:spacing w:after="0"/>
              <w:rPr>
                <w:sz w:val="20"/>
                <w:szCs w:val="20"/>
                <w:color w:val="auto"/>
              </w:rPr>
            </w:pPr>
            <w:r>
              <w:rPr>
                <w:rFonts w:ascii="Arial" w:cs="Arial" w:eastAsia="Arial" w:hAnsi="Arial"/>
                <w:sz w:val="22"/>
                <w:szCs w:val="22"/>
                <w:color w:val="auto"/>
                <w:w w:val="96"/>
              </w:rPr>
              <w:t>/s/ James Klein</w:t>
            </w:r>
          </w:p>
        </w:tc>
        <w:tc>
          <w:tcPr>
            <w:tcW w:w="7240" w:type="dxa"/>
            <w:vAlign w:val="bottom"/>
            <w:gridSpan w:val="3"/>
          </w:tcPr>
          <w:p>
            <w:pPr>
              <w:ind w:left="4580"/>
              <w:spacing w:after="0"/>
              <w:rPr>
                <w:sz w:val="20"/>
                <w:szCs w:val="20"/>
                <w:color w:val="auto"/>
              </w:rPr>
            </w:pPr>
            <w:r>
              <w:rPr>
                <w:rFonts w:ascii="Arial" w:cs="Arial" w:eastAsia="Arial" w:hAnsi="Arial"/>
                <w:sz w:val="22"/>
                <w:szCs w:val="22"/>
                <w:color w:val="auto"/>
              </w:rPr>
              <w:t>/s/ Debra L. Howard</w:t>
            </w:r>
          </w:p>
        </w:tc>
      </w:tr>
      <w:tr>
        <w:trPr>
          <w:trHeight w:val="183"/>
        </w:trPr>
        <w:tc>
          <w:tcPr>
            <w:tcW w:w="146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21"/>
                <w:szCs w:val="21"/>
                <w:color w:val="auto"/>
              </w:rPr>
              <w:t>Signature</w:t>
            </w:r>
          </w:p>
        </w:tc>
        <w:tc>
          <w:tcPr>
            <w:tcW w:w="4580" w:type="dxa"/>
            <w:vAlign w:val="bottom"/>
          </w:tcPr>
          <w:p>
            <w:pPr>
              <w:spacing w:after="0"/>
              <w:rPr>
                <w:sz w:val="15"/>
                <w:szCs w:val="15"/>
                <w:color w:val="auto"/>
              </w:rPr>
            </w:pPr>
          </w:p>
        </w:tc>
        <w:tc>
          <w:tcPr>
            <w:tcW w:w="1920" w:type="dxa"/>
            <w:vAlign w:val="bottom"/>
            <w:tcBorders>
              <w:top w:val="single" w:sz="8" w:color="auto"/>
            </w:tcBorders>
          </w:tcPr>
          <w:p>
            <w:pPr>
              <w:spacing w:after="0" w:line="183" w:lineRule="exact"/>
              <w:rPr>
                <w:sz w:val="20"/>
                <w:szCs w:val="20"/>
                <w:color w:val="auto"/>
              </w:rPr>
            </w:pPr>
            <w:r>
              <w:rPr>
                <w:rFonts w:ascii="Arial" w:cs="Arial" w:eastAsia="Arial" w:hAnsi="Arial"/>
                <w:sz w:val="21"/>
                <w:szCs w:val="21"/>
                <w:color w:val="auto"/>
              </w:rPr>
              <w:t>Debra L. Howard</w:t>
            </w:r>
          </w:p>
        </w:tc>
        <w:tc>
          <w:tcPr>
            <w:tcW w:w="740" w:type="dxa"/>
            <w:vAlign w:val="bottom"/>
          </w:tcPr>
          <w:p>
            <w:pPr>
              <w:spacing w:after="0"/>
              <w:rPr>
                <w:sz w:val="15"/>
                <w:szCs w:val="15"/>
                <w:color w:val="auto"/>
              </w:rPr>
            </w:pPr>
          </w:p>
        </w:tc>
      </w:tr>
      <w:tr>
        <w:trPr>
          <w:trHeight w:val="283"/>
        </w:trPr>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40" w:type="dxa"/>
            <w:vAlign w:val="bottom"/>
            <w:gridSpan w:val="3"/>
          </w:tcPr>
          <w:p>
            <w:pPr>
              <w:ind w:left="4580"/>
              <w:spacing w:after="0"/>
              <w:rPr>
                <w:sz w:val="20"/>
                <w:szCs w:val="20"/>
                <w:color w:val="auto"/>
              </w:rPr>
            </w:pPr>
            <w:r>
              <w:rPr>
                <w:rFonts w:ascii="Arial" w:cs="Arial" w:eastAsia="Arial" w:hAnsi="Arial"/>
                <w:sz w:val="22"/>
                <w:szCs w:val="22"/>
                <w:color w:val="auto"/>
                <w:w w:val="97"/>
              </w:rPr>
              <w:t>Corp VP &amp; Chief HR Officer</w:t>
            </w:r>
          </w:p>
        </w:tc>
      </w:tr>
      <w:tr>
        <w:trPr>
          <w:trHeight w:val="432"/>
        </w:trPr>
        <w:tc>
          <w:tcPr>
            <w:tcW w:w="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2/27/2022</w:t>
            </w:r>
          </w:p>
        </w:tc>
        <w:tc>
          <w:tcPr>
            <w:tcW w:w="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7"/>
        </w:trPr>
        <w:tc>
          <w:tcPr>
            <w:tcW w:w="960" w:type="dxa"/>
            <w:vAlign w:val="bottom"/>
          </w:tcPr>
          <w:p>
            <w:pPr>
              <w:spacing w:after="0"/>
              <w:rPr>
                <w:sz w:val="20"/>
                <w:szCs w:val="20"/>
                <w:color w:val="auto"/>
              </w:rPr>
            </w:pPr>
            <w:r>
              <w:rPr>
                <w:rFonts w:ascii="Arial" w:cs="Arial" w:eastAsia="Arial" w:hAnsi="Arial"/>
                <w:sz w:val="22"/>
                <w:szCs w:val="22"/>
                <w:color w:val="auto"/>
              </w:rPr>
              <w:t>Date</w:t>
            </w:r>
          </w:p>
        </w:tc>
        <w:tc>
          <w:tcPr>
            <w:tcW w:w="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4"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22"/>
          <w:szCs w:val="22"/>
          <w:b w:val="1"/>
          <w:bCs w:val="1"/>
          <w:u w:val="single" w:color="auto"/>
          <w:color w:val="auto"/>
        </w:rPr>
        <w:t>WAIVER OF 90-DAY REVIEW</w:t>
      </w:r>
    </w:p>
    <w:p>
      <w:pPr>
        <w:spacing w:after="0" w:line="200" w:lineRule="exact"/>
        <w:rPr>
          <w:sz w:val="20"/>
          <w:szCs w:val="20"/>
          <w:color w:val="auto"/>
        </w:rPr>
      </w:pPr>
    </w:p>
    <w:p>
      <w:pPr>
        <w:spacing w:after="0" w:line="344" w:lineRule="exact"/>
        <w:rPr>
          <w:sz w:val="20"/>
          <w:szCs w:val="20"/>
          <w:color w:val="auto"/>
        </w:rPr>
      </w:pPr>
    </w:p>
    <w:p>
      <w:pPr>
        <w:jc w:val="both"/>
        <w:ind w:firstLine="648"/>
        <w:spacing w:after="0" w:line="474" w:lineRule="auto"/>
        <w:rPr>
          <w:sz w:val="20"/>
          <w:szCs w:val="20"/>
          <w:color w:val="auto"/>
        </w:rPr>
      </w:pPr>
      <w:r>
        <w:rPr>
          <w:rFonts w:ascii="Arial" w:cs="Arial" w:eastAsia="Arial" w:hAnsi="Arial"/>
          <w:sz w:val="22"/>
          <w:szCs w:val="22"/>
          <w:color w:val="auto"/>
        </w:rPr>
        <w:t xml:space="preserve">I, James Klein, understand that I may take up to 90 days from receipt of the </w:t>
      </w:r>
      <w:r>
        <w:rPr>
          <w:rFonts w:ascii="Arial" w:cs="Arial" w:eastAsia="Arial" w:hAnsi="Arial"/>
          <w:sz w:val="22"/>
          <w:szCs w:val="22"/>
          <w:b w:val="1"/>
          <w:bCs w:val="1"/>
          <w:color w:val="auto"/>
        </w:rPr>
        <w:t>SEVERANCE AGREEMENT AND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RELEASE OF ALL CLAIMS </w:t>
      </w:r>
      <w:r>
        <w:rPr>
          <w:rFonts w:ascii="Arial" w:cs="Arial" w:eastAsia="Arial" w:hAnsi="Arial"/>
          <w:sz w:val="22"/>
          <w:szCs w:val="22"/>
          <w:color w:val="auto"/>
        </w:rPr>
        <w:t>to review the document and determine whether to accept it. If I elect to sign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before that period has expired, I hereby knowingly and voluntarily waive the 90-day review provision of the Agreement.</w:t>
      </w:r>
    </w:p>
    <w:p>
      <w:pPr>
        <w:spacing w:after="0" w:line="2" w:lineRule="exact"/>
        <w:rPr>
          <w:sz w:val="20"/>
          <w:szCs w:val="20"/>
          <w:color w:val="auto"/>
        </w:rPr>
      </w:pPr>
    </w:p>
    <w:p>
      <w:pPr>
        <w:jc w:val="both"/>
        <w:ind w:firstLine="648"/>
        <w:spacing w:after="0" w:line="487" w:lineRule="auto"/>
        <w:rPr>
          <w:sz w:val="20"/>
          <w:szCs w:val="20"/>
          <w:color w:val="auto"/>
        </w:rPr>
      </w:pPr>
      <w:r>
        <w:rPr>
          <w:rFonts w:ascii="Arial" w:cs="Arial" w:eastAsia="Arial" w:hAnsi="Arial"/>
          <w:sz w:val="22"/>
          <w:szCs w:val="22"/>
          <w:color w:val="auto"/>
        </w:rPr>
        <w:t>Prior to executing this Waiver and the Severance Agreement and Release of All Claims, I acknowledge that I have been advised to consult with an attorney, that I have had an opportunity to consult with an attorney and I fully understand the terms of this Waiver and the Agreement. I have not been compelled to sign it by anyone and have entered into the Agreement and Waiver voluntarily and of my own free will.</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-14605</wp:posOffset>
            </wp:positionV>
            <wp:extent cx="1524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Employee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524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524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4" w:right="33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486400" cy="73380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5486400" cy="7338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9019"/>
          </w:cols>
          <w:pgMar w:left="1440" w:top="1440"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ADVISORY AGREEMENT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(Biosensor Program Advisory Board)</w:t>
      </w:r>
    </w:p>
    <w:p>
      <w:pPr>
        <w:spacing w:after="0" w:line="18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THIS ADVISORY AGREEMENT, made effective as of the 1st day of March 2022, by and between Qorvo Biotechnologies, LLC, a Delaware corporation (the “Company”), and James L. Klein (the “Advisor”).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firstLine="656"/>
        <w:spacing w:after="0" w:line="236" w:lineRule="auto"/>
        <w:tabs>
          <w:tab w:leader="none" w:pos="107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engaged in research, development and commercial activities related to the use of bulk acoustic wave (BAW) devices for biosensor applications (the “Program”); and</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05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part of the Program, the Company has established an informal board of advisors comprised of individuals who are not employed by the Company and who have special business, technical, market and other knowledge, experience and skills related to or that may be useful in the Program (the “Advisory Board “); and</w:t>
      </w:r>
    </w:p>
    <w:p>
      <w:pPr>
        <w:spacing w:after="0" w:line="152"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desires to engage the Advisor to provide services as a member of the Advisory Board; and</w:t>
      </w:r>
    </w:p>
    <w:p>
      <w:pPr>
        <w:spacing w:after="0" w:line="179" w:lineRule="exact"/>
        <w:rPr>
          <w:rFonts w:ascii="Times New Roman" w:cs="Times New Roman" w:eastAsia="Times New Roman" w:hAnsi="Times New Roman"/>
          <w:sz w:val="22"/>
          <w:szCs w:val="22"/>
          <w:color w:val="auto"/>
        </w:rPr>
      </w:pPr>
    </w:p>
    <w:p>
      <w:pPr>
        <w:ind w:left="660" w:right="80" w:hanging="4"/>
        <w:spacing w:after="0" w:line="407" w:lineRule="auto"/>
        <w:tabs>
          <w:tab w:leader="none" w:pos="108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Advisor desires to provide such services to the Company on the terms and for the compensation set forth herein. NOW, THEREFORE, the parties hereto agree as follows:</w:t>
      </w:r>
    </w:p>
    <w:p>
      <w:pPr>
        <w:spacing w:after="0" w:line="2" w:lineRule="exact"/>
        <w:rPr>
          <w:sz w:val="20"/>
          <w:szCs w:val="20"/>
          <w:color w:val="auto"/>
        </w:rPr>
      </w:pPr>
    </w:p>
    <w:p>
      <w:pPr>
        <w:ind w:firstLine="656"/>
        <w:spacing w:after="0" w:line="238"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Engagement</w:t>
      </w:r>
      <w:r>
        <w:rPr>
          <w:rFonts w:ascii="Times New Roman" w:cs="Times New Roman" w:eastAsia="Times New Roman" w:hAnsi="Times New Roman"/>
          <w:sz w:val="22"/>
          <w:szCs w:val="22"/>
          <w:color w:val="auto"/>
        </w:rPr>
        <w:t>. Subject to the terms and conditions of this Agreement, the Company hereby engages the Advisor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nonexclusive advisor to perform the Services (as defined below) and the Advisor hereby accepts such engagement.</w:t>
      </w:r>
    </w:p>
    <w:p>
      <w:pPr>
        <w:spacing w:after="0" w:line="146" w:lineRule="exact"/>
        <w:rPr>
          <w:rFonts w:ascii="Times New Roman" w:cs="Times New Roman" w:eastAsia="Times New Roman" w:hAnsi="Times New Roman"/>
          <w:sz w:val="22"/>
          <w:szCs w:val="22"/>
          <w:color w:val="auto"/>
        </w:rPr>
      </w:pPr>
    </w:p>
    <w:p>
      <w:pPr>
        <w:jc w:val="both"/>
        <w:ind w:firstLine="656"/>
        <w:spacing w:after="0" w:line="223" w:lineRule="auto"/>
        <w:tabs>
          <w:tab w:leader="none" w:pos="129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Services</w:t>
      </w:r>
      <w:r>
        <w:rPr>
          <w:rFonts w:ascii="Times New Roman" w:cs="Times New Roman" w:eastAsia="Times New Roman" w:hAnsi="Times New Roman"/>
          <w:sz w:val="21"/>
          <w:szCs w:val="21"/>
          <w:color w:val="auto"/>
        </w:rPr>
        <w:t>. The Advisor agrees to provide advice and consultation from time to time to the Company by: (a) serving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the Advisory Board and attending or participating in four (4) Advisory Board meetings each year, which are expected to occur once in each calendar quarter, each meeting not exceeding two and one-half days in total including travel; (b) providing business, technical, market and other advice, comments, feedback, input and recommendations regarding the Program, including research and development activities, potential products and services, technology development, strategic partner relationships, recruitment of personnel and other strategic matters; and (c) generally advising the Company in its efforts to research, develop, market and sell products and services as part of the Program (collectively, the “Services”). The Advisor will perform the Services in a professional manner and in compliance with the terms of this Agreement and any and all applicable laws and regulations.</w:t>
      </w:r>
    </w:p>
    <w:p>
      <w:pPr>
        <w:spacing w:after="0" w:line="148" w:lineRule="exact"/>
        <w:rPr>
          <w:rFonts w:ascii="Times New Roman" w:cs="Times New Roman" w:eastAsia="Times New Roman" w:hAnsi="Times New Roman"/>
          <w:sz w:val="21"/>
          <w:szCs w:val="21"/>
          <w:color w:val="auto"/>
        </w:rPr>
      </w:pPr>
    </w:p>
    <w:p>
      <w:pPr>
        <w:jc w:val="both"/>
        <w:ind w:firstLine="656"/>
        <w:spacing w:after="0" w:line="221"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Expenses</w:t>
      </w:r>
      <w:r>
        <w:rPr>
          <w:rFonts w:ascii="Times New Roman" w:cs="Times New Roman" w:eastAsia="Times New Roman" w:hAnsi="Times New Roman"/>
          <w:sz w:val="22"/>
          <w:szCs w:val="22"/>
          <w:color w:val="auto"/>
        </w:rPr>
        <w:t>. During the term of this Agreement, as consideration for the performance by Advisor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Services, Advisor shall be paid the compensation set forth on Schedule A. In addition, the Company will reimburse the Advisor for all reasonable expenses incurred by the Advisor in providing the Services, including travel to Advisory Board meetings, in accordance with the Company’s executive travel policies for reimbursement of travel and business expenses.</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Relationship of Confidence; Company Proprietary Information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Advisor acknowledges and agrees that this Agreement creates a relationship of confidence and trust between the Advisor and the Company with respect to any information: (i) applicable to BAW technologies, products and applications related</w:t>
      </w:r>
    </w:p>
    <w:p>
      <w:pPr>
        <w:sectPr>
          <w:pgSz w:w="11900" w:h="16838" w:orient="portrait"/>
          <w:cols w:equalWidth="0" w:num="1">
            <w:col w:w="11240"/>
          </w:cols>
          <w:pgMar w:left="320" w:top="94" w:right="339" w:bottom="1440" w:gutter="0" w:footer="0" w:header="0"/>
        </w:sectPr>
      </w:pPr>
    </w:p>
    <w:bookmarkStart w:id="106" w:name="page107"/>
    <w:bookmarkEnd w:id="106"/>
    <w:p>
      <w:pPr>
        <w:jc w:val="both"/>
        <w:ind w:left="660"/>
        <w:spacing w:after="0" w:line="213" w:lineRule="auto"/>
        <w:rPr>
          <w:sz w:val="20"/>
          <w:szCs w:val="20"/>
          <w:color w:val="auto"/>
        </w:rPr>
      </w:pPr>
      <w:r>
        <w:rPr>
          <w:rFonts w:ascii="Times New Roman" w:cs="Times New Roman" w:eastAsia="Times New Roman" w:hAnsi="Times New Roman"/>
          <w:sz w:val="22"/>
          <w:szCs w:val="22"/>
          <w:color w:val="auto"/>
        </w:rPr>
        <w:t>to the Program and other present or future research and development activities and business of the Company; or (ii) applicable to the business of any partner, licensor or other third party doing business with the Company, which may be made known to or learned by the Advisor in the performance of the Services. All of this information is referred to as “Company Proprietary Information.” By way of illustration, but not limitation, Company Proprietary Information includes trade secrets, processes, know-how, ideas, designs, specifications, research results, inventions, improvements, strategies, business models and plans, customer and supplier lists, marketing plans, software source code and other business, financial and technical information that has commercial value to the Company.</w:t>
      </w:r>
    </w:p>
    <w:p>
      <w:pPr>
        <w:spacing w:after="0" w:line="156" w:lineRule="exact"/>
        <w:rPr>
          <w:sz w:val="20"/>
          <w:szCs w:val="20"/>
          <w:color w:val="auto"/>
        </w:rPr>
      </w:pPr>
    </w:p>
    <w:p>
      <w:pPr>
        <w:jc w:val="both"/>
        <w:ind w:left="660" w:firstLine="644"/>
        <w:spacing w:after="0" w:line="227" w:lineRule="auto"/>
        <w:tabs>
          <w:tab w:leader="none" w:pos="1951"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Proprietary Information” does not include (i) information known by the Advisor or in the Advisor’s possession prior to its disclosure to the Advisor by the Company, (ii) information ascertainable or obtained from public or published information, (iii) information received from a third party not known (after due inquiry) to the Advisor to be under any contractual or fiduciary obligation to the Company to keep such information confidential, or (iv) information which is or becomes known to the public (other than because of a breach of this Agreement by Advisor).</w:t>
      </w:r>
    </w:p>
    <w:p>
      <w:pPr>
        <w:spacing w:after="0" w:line="153" w:lineRule="exact"/>
        <w:rPr>
          <w:rFonts w:ascii="Times New Roman" w:cs="Times New Roman" w:eastAsia="Times New Roman" w:hAnsi="Times New Roman"/>
          <w:sz w:val="21"/>
          <w:szCs w:val="21"/>
          <w:color w:val="auto"/>
        </w:rPr>
      </w:pPr>
    </w:p>
    <w:p>
      <w:pPr>
        <w:jc w:val="both"/>
        <w:ind w:left="660" w:firstLine="644"/>
        <w:spacing w:after="0" w:line="209" w:lineRule="auto"/>
        <w:tabs>
          <w:tab w:leader="none" w:pos="1953"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Company Proprietary Information shall be the sole property of the Company and its assigns, and the Company and its assigns shall be the sole owner of all patents, trademarks (whether or not registered), copyrights and other rights in connection therewith. At all times, both during and after the termination of this Agreement for any reason, the Advisor shall keep in confidence and trust all Company Proprietary Information (whether disclosed to, or learned by, the Advisor prior to or after the Advisor’s execution of this Agreement ), and the Advisor shall not use or disclose any Company Proprietary Information without the written consent of the Company, except (i) as may be necessary in the ordinary course of performing the Services or (ii) pursuant to a subpoena or order by any court, governmental body or other agency asserting jurisdiction over the Advisor or as may otherwise be required by law; provided that the Advisor shall give the Company advance notice of any potential use or disclosure under this clause (ii) in order to give the Company a reasonable opportunity to contest such use or disclosure. Upon termination of this Agreement for any reason or at the Company’s request, Advisor will deliver to the Company all tangible Company Proprietary Information, including all copies or summaries in his or her possession or control, and any other Company property in his or her possession.</w:t>
      </w:r>
    </w:p>
    <w:p>
      <w:pPr>
        <w:spacing w:after="0" w:line="156"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Use of Advice</w:t>
      </w:r>
      <w:r>
        <w:rPr>
          <w:rFonts w:ascii="Times New Roman" w:cs="Times New Roman" w:eastAsia="Times New Roman" w:hAnsi="Times New Roman"/>
          <w:sz w:val="22"/>
          <w:szCs w:val="22"/>
          <w:color w:val="auto"/>
        </w:rPr>
        <w:t>. Advisor hereby covenants and agrees that all advice, ideas, recommendations, suggestions,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comments, feedback, input, work product, deliverables or other information that he or she furnishes or discloses to the Company in the performance of the Services and that relate to the Program, the Company’s research and development activities or the Company Proprietary Information (collectively, “Advice”) shall be the sole property of the Company and its assigns, and the Company and its assigns shall be the sole owner of all patents, trademarks (whether or not registered), copyrights and other intellectual property rights in connection therewith. Such Advice shall be deemed “works made for hire” within the meaning of 17 U.S.C. §§ 101 and 201(b). The Advisor hereby assigns to the Company any rights he or she may have or acquire in such Advice and waives any moral rights he or she may have in the Advice. The Advisor further agrees as to all such Advice to assist the Company in every proper way (but at the Company’s expense) to obtain and from time to time enforce patents, trademarks (whether or not registered), copyrights or other rights in the Advice in any and all countries. The Advisor’s obligation to assist the Company in obtaining and enforcing patents, trademarks, copyrights or other rights for such Advice shall continue beyond the termination of this Agreement, but the Company shall compensate the Advisor at a reasonable rate after such termination for time actually spent by the Advisor at the Company’s request on such assistance.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07" w:name="page108"/>
    <w:bookmarkEnd w:id="107"/>
    <w:p>
      <w:pPr>
        <w:jc w:val="both"/>
        <w:ind w:firstLine="656"/>
        <w:spacing w:after="0" w:line="218"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Termination</w:t>
      </w:r>
      <w:r>
        <w:rPr>
          <w:rFonts w:ascii="Times New Roman" w:cs="Times New Roman" w:eastAsia="Times New Roman" w:hAnsi="Times New Roman"/>
          <w:sz w:val="22"/>
          <w:szCs w:val="22"/>
          <w:color w:val="auto"/>
        </w:rPr>
        <w:t>. The term of this Agreement shall commence on the date hereof and shall continue until it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(i) by mutual agreement of the parties, (ii) by either party (for any reason and with or without cause) on not less than thirty (30) days prior written notice to the other party or (iii) automatically upon the death of the Advisor; provided, that no such termination shall limit or otherwise affect the Advisor’s obligations under this Agreement other than his continued performance of Services pursuant to Section 3.</w:t>
      </w:r>
    </w:p>
    <w:p>
      <w:pPr>
        <w:spacing w:after="0" w:line="14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Independent Contractor</w:t>
      </w:r>
      <w:r>
        <w:rPr>
          <w:rFonts w:ascii="Times New Roman" w:cs="Times New Roman" w:eastAsia="Times New Roman" w:hAnsi="Times New Roman"/>
          <w:sz w:val="21"/>
          <w:szCs w:val="21"/>
          <w:color w:val="auto"/>
        </w:rPr>
        <w:t>. Advisor acknowledges and agrees that Advisor will be treated with respect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as an independent contractor and not as an employee, agent or authorized representative of the Company. Advisor does not have the authority to bind the Company or represent to any person that Advisor is an agent of the Company. Because Advisor is an independent contractor, the Company will not (i) withhold from any compensation paid to Advisor any amounts for federal or state income taxes, social security (FICA) taxes, Medicare payments, worker’s compensation premiums or other amounts, (ii) pay any social security or unemployment tax with respect to Advisor, or (iii) provide Advisor with any employee benefit of any kind whatsoever, including benefits or coverage under any pension, 401(k) or other retirement plan or program, or coverage under any Company, individual or group life, disability, medical, dental or other insurance policy or program. Advisor will be solely responsible for (i) paying all taxes arising out of or resulting from his or her performance of the Services, including income, social security, worker’s compensation and unemployment insurance taxes, and (ii) obtaining and paying for Advisor’s own insurance coverage and other benefits, including liability insurance, medical insurance and retirement plans.</w:t>
      </w:r>
    </w:p>
    <w:p>
      <w:pPr>
        <w:spacing w:after="0" w:line="145" w:lineRule="exact"/>
        <w:rPr>
          <w:rFonts w:ascii="Times New Roman" w:cs="Times New Roman" w:eastAsia="Times New Roman" w:hAnsi="Times New Roman"/>
          <w:sz w:val="21"/>
          <w:szCs w:val="21"/>
          <w:color w:val="auto"/>
        </w:rPr>
      </w:pPr>
    </w:p>
    <w:p>
      <w:pPr>
        <w:jc w:val="both"/>
        <w:ind w:firstLine="656"/>
        <w:spacing w:after="0" w:line="238" w:lineRule="auto"/>
        <w:tabs>
          <w:tab w:leader="none" w:pos="129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All notices, demands, requests or other communications that may be or are required to be given, served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sent by one party to the other party pursuant to this Agreement shall be in writing and shall be hand delivered, sent by overnight air courier, mailed by certified mail, return receipt requested, postage prepaid, or sent by telefax, addressed as follows: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19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Qorvo Biotechnologies, LLC</w:t>
      </w:r>
    </w:p>
    <w:p>
      <w:pPr>
        <w:ind w:left="1960"/>
        <w:spacing w:after="0" w:line="204" w:lineRule="auto"/>
        <w:rPr>
          <w:sz w:val="20"/>
          <w:szCs w:val="20"/>
          <w:color w:val="auto"/>
        </w:rPr>
      </w:pPr>
      <w:r>
        <w:rPr>
          <w:rFonts w:ascii="Times New Roman" w:cs="Times New Roman" w:eastAsia="Times New Roman" w:hAnsi="Times New Roman"/>
          <w:sz w:val="22"/>
          <w:szCs w:val="22"/>
          <w:color w:val="auto"/>
        </w:rPr>
        <w:t>7628 Thorndike Road</w:t>
      </w:r>
    </w:p>
    <w:p>
      <w:pPr>
        <w:ind w:left="1960"/>
        <w:spacing w:after="0" w:line="205" w:lineRule="auto"/>
        <w:rPr>
          <w:sz w:val="20"/>
          <w:szCs w:val="20"/>
          <w:color w:val="auto"/>
        </w:rPr>
      </w:pPr>
      <w:r>
        <w:rPr>
          <w:rFonts w:ascii="Times New Roman" w:cs="Times New Roman" w:eastAsia="Times New Roman" w:hAnsi="Times New Roman"/>
          <w:sz w:val="22"/>
          <w:szCs w:val="22"/>
          <w:color w:val="auto"/>
        </w:rPr>
        <w:t>Greensboro, North Carolina 27409-9421</w:t>
      </w:r>
    </w:p>
    <w:p>
      <w:pPr>
        <w:ind w:left="1960"/>
        <w:spacing w:after="0" w:line="205" w:lineRule="auto"/>
        <w:rPr>
          <w:sz w:val="20"/>
          <w:szCs w:val="20"/>
          <w:color w:val="auto"/>
        </w:rPr>
      </w:pPr>
      <w:r>
        <w:rPr>
          <w:rFonts w:ascii="Times New Roman" w:cs="Times New Roman" w:eastAsia="Times New Roman" w:hAnsi="Times New Roman"/>
          <w:sz w:val="22"/>
          <w:szCs w:val="22"/>
          <w:color w:val="auto"/>
        </w:rPr>
        <w:t>Attention: Director of Contracts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Fax: (336) 678-0445</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Advisor, at the address set forth on the signature page hereto.</w:t>
      </w:r>
    </w:p>
    <w:p>
      <w:pPr>
        <w:spacing w:after="0" w:line="20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Each party may designate by notice in writing a new address to which any notice, demand, request or communication may thereafter be delivered, given or sent. Documents delivered by hand shall be deemed to have been received upon delivery; documents sent by telefax shall be deemed to have been received when the answer back is received: and documents sent by mail or air courier shall be deemed to have been received upon their receipt, or at such time as delivery is refused by the addressee upon presentation.</w:t>
      </w:r>
    </w:p>
    <w:p>
      <w:pPr>
        <w:spacing w:after="0" w:line="148" w:lineRule="exact"/>
        <w:rPr>
          <w:sz w:val="20"/>
          <w:szCs w:val="20"/>
          <w:color w:val="auto"/>
        </w:rPr>
      </w:pPr>
    </w:p>
    <w:p>
      <w:pPr>
        <w:jc w:val="both"/>
        <w:ind w:firstLine="656"/>
        <w:spacing w:after="0" w:line="228" w:lineRule="auto"/>
        <w:tabs>
          <w:tab w:leader="none" w:pos="129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Neither this Agreement or any interest herein or any rights hereunder shall be assigned or transferred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Advisor, nor shall any of the duties of the Advisor hereunder be delegated to any person, firm or corporation, without prior notice to and consent of the Company. The Company may assign or transfer all or any part of its rights or obligations under this Agreement to any other person or entity without notice to the Advisor. Subject to the foregoing, this Agreement is binding upon and shall inure to the benefit of the personal representatives, successors, and permitted assigns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1" w:right="339" w:bottom="1440" w:gutter="0" w:footer="0" w:header="0"/>
        </w:sectPr>
      </w:pPr>
    </w:p>
    <w:bookmarkStart w:id="108" w:name="page109"/>
    <w:bookmarkEnd w:id="108"/>
    <w:p>
      <w:pPr>
        <w:jc w:val="both"/>
        <w:ind w:firstLine="656"/>
        <w:spacing w:after="0" w:line="212"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Covenant of No Conflicting Obligations; No Use of Third Party Confidential Information</w:t>
      </w:r>
      <w:r>
        <w:rPr>
          <w:rFonts w:ascii="Times New Roman" w:cs="Times New Roman" w:eastAsia="Times New Roman" w:hAnsi="Times New Roman"/>
          <w:sz w:val="22"/>
          <w:szCs w:val="22"/>
          <w:color w:val="auto"/>
        </w:rPr>
        <w:t>. Advisor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represents that his or her performance of all the terms of this Agreement and as an advisor engaged by the Company does not and will not breach any agreement to keep in confidence proprietary information acquired by Advisor in confidence or in trust prior to Advisor’s engagement by the Company. The Advisor further represents that his or her execution of this Agreement, his or her engagement as an advisor by the Company and his or her performance of the proposed Services for the Company will not violate any obligations the Advisor may have to any current or former employer or other party. The Advisor has not entered into and will not enter into any agreement that conflicts with Advisor’s duties hereunder. The Advisor covenants that any information that he or she may supply the Company during the term of this Agreement (a) will have been obtained by the Advisor lawfully and/or from publicly available sources, and (b) will not be confidential or proprietary to any third person.</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53"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Agreement may be amended only by the written consent of both parties. No waiver by a party of a breach by the other party of any provision of this Agreement will be binding unless in writing, and such waiver will not operate or be construed as a waiver of any subsequent breach of such provision or any other provision.</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17" w:lineRule="auto"/>
        <w:tabs>
          <w:tab w:leader="none" w:pos="195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each provision of this Agreement shall be treated as a separate and independent clause, and that the unenforceability of any one clause shall in no way impair the enforceability of any of the other clauses. Moreover, if any provision of this Agreement shall for any reason be held to be unenforceable for any reason, such provision shall be construed by the appropriate judicial body by limiting and reducing it so as to be enforceable to the maximum extent possible.</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North Carolina without reference to the choice of law principles thereof.</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represents the entire agreement of the parties with respect to the subject matter hereof and supersedes in its entirety any and all prior written or oral agreements with respect thereto.</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is intended to confer any right, remedy or benefit to any third party.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party shall have the right under this Agreement to use the name, likeness, trademark or trade names of the other party or make or issue any press release or public statement concerning this Agreement, unless prior written approval of the other party has been obtained. Any such approval or authorization shall cease upon termination of this Agreement.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Advisor acknowledges and agrees that any breach of this Agreement by the Advisor will cause irreparable damage to the Company and that in the event of such breach, the Company shall have, in addition to any and all remedies at law, the right to an injunction, specific performance or other equitable relief.</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action, suit or other claim is instituted to interpret or enforce this Agreement, the prevailing party will be entitled to recover with respect to the claim, in addition to any other relief awarded, the prevailing party’s reasonable attorney’s fees and other fees, costs, and expenses of every kind, incurred in connection with the action, 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109" w:name="page110"/>
    <w:bookmarkEnd w:id="109"/>
    <w:p>
      <w:pPr>
        <w:ind w:left="660"/>
        <w:spacing w:after="0" w:line="236" w:lineRule="auto"/>
        <w:rPr>
          <w:sz w:val="20"/>
          <w:szCs w:val="20"/>
          <w:color w:val="auto"/>
        </w:rPr>
      </w:pPr>
      <w:r>
        <w:rPr>
          <w:rFonts w:ascii="Times New Roman" w:cs="Times New Roman" w:eastAsia="Times New Roman" w:hAnsi="Times New Roman"/>
          <w:sz w:val="22"/>
          <w:szCs w:val="22"/>
          <w:color w:val="auto"/>
        </w:rPr>
        <w:t>or claim, any appeal or petition for review, the collection of any award, or the enforcement of any order, as determined by the court.</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duly authorized representatives of the parties have executed this Advisory Agreement as of the date and year first above written.</w:t>
      </w:r>
    </w:p>
    <w:p>
      <w:pPr>
        <w:spacing w:after="0" w:line="14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QORVO BIOTECHNOLOGIES, LLC</w:t>
      </w:r>
    </w:p>
    <w:p>
      <w:pPr>
        <w:spacing w:after="0" w:line="200" w:lineRule="exact"/>
        <w:rPr>
          <w:sz w:val="20"/>
          <w:szCs w:val="20"/>
          <w:color w:val="auto"/>
        </w:rPr>
      </w:pPr>
    </w:p>
    <w:p>
      <w:pPr>
        <w:spacing w:after="0" w:line="240" w:lineRule="exact"/>
        <w:rPr>
          <w:sz w:val="20"/>
          <w:szCs w:val="20"/>
          <w:color w:val="auto"/>
        </w:rPr>
      </w:pPr>
    </w:p>
    <w:p>
      <w:pPr>
        <w:ind w:left="3240"/>
        <w:spacing w:after="0"/>
        <w:tabs>
          <w:tab w:leader="none" w:pos="38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J.K. Givens</w:t>
      </w:r>
    </w:p>
    <w:p>
      <w:pPr>
        <w:ind w:left="3240"/>
        <w:spacing w:after="0"/>
        <w:tabs>
          <w:tab w:leader="none" w:pos="4080" w:val="left"/>
        </w:tabs>
        <w:rPr>
          <w:sz w:val="20"/>
          <w:szCs w:val="20"/>
          <w:color w:val="auto"/>
        </w:rPr>
      </w:pPr>
      <w:r>
        <w:rPr>
          <w:rFonts w:ascii="Times New Roman" w:cs="Times New Roman" w:eastAsia="Times New Roman" w:hAnsi="Times New Roman"/>
          <w:sz w:val="22"/>
          <w:szCs w:val="22"/>
          <w:color w:val="auto"/>
        </w:rPr>
        <w:t>Name:</w:t>
        <w:tab/>
        <w:t>J.K. Givens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-29210</wp:posOffset>
            </wp:positionV>
            <wp:extent cx="918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62" w:lineRule="exact"/>
        <w:rPr>
          <w:sz w:val="20"/>
          <w:szCs w:val="20"/>
          <w:color w:val="auto"/>
        </w:rPr>
      </w:pPr>
    </w:p>
    <w:p>
      <w:pPr>
        <w:ind w:left="3240"/>
        <w:spacing w:after="0"/>
        <w:tabs>
          <w:tab w:leader="none" w:pos="39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u w:val="single" w:color="auto"/>
          <w:color w:val="auto"/>
        </w:rPr>
        <w:t>Vice President</w:t>
      </w: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ADVISOR</w:t>
      </w:r>
    </w:p>
    <w:p>
      <w:pPr>
        <w:spacing w:after="0" w:line="200" w:lineRule="exact"/>
        <w:rPr>
          <w:sz w:val="20"/>
          <w:szCs w:val="20"/>
          <w:color w:val="auto"/>
        </w:rPr>
      </w:pPr>
    </w:p>
    <w:p>
      <w:pPr>
        <w:spacing w:after="0" w:line="253" w:lineRule="exact"/>
        <w:rPr>
          <w:sz w:val="20"/>
          <w:szCs w:val="20"/>
          <w:color w:val="auto"/>
        </w:rPr>
      </w:pPr>
    </w:p>
    <w:p>
      <w:pPr>
        <w:ind w:left="3240"/>
        <w:spacing w:after="0"/>
        <w:tabs>
          <w:tab w:leader="none" w:pos="38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James L. Klein</w:t>
      </w:r>
    </w:p>
    <w:p>
      <w:pPr>
        <w:spacing w:after="0" w:line="206" w:lineRule="exact"/>
        <w:rPr>
          <w:sz w:val="20"/>
          <w:szCs w:val="20"/>
          <w:color w:val="auto"/>
        </w:rPr>
      </w:pPr>
    </w:p>
    <w:p>
      <w:pPr>
        <w:ind w:left="3240"/>
        <w:spacing w:after="0"/>
        <w:tabs>
          <w:tab w:leader="none" w:pos="40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u w:val="single" w:color="auto"/>
          <w:color w:val="auto"/>
        </w:rPr>
        <w:t>James L. Klein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10" w:name="page111"/>
    <w:bookmarkEnd w:id="110"/>
    <w:p>
      <w:pPr>
        <w:spacing w:after="0" w:line="34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Advisor shall receive the following compensation for performance of the Services:</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Advisory Board Fee</w:t>
      </w:r>
      <w:r>
        <w:rPr>
          <w:rFonts w:ascii="Times New Roman" w:cs="Times New Roman" w:eastAsia="Times New Roman" w:hAnsi="Times New Roman"/>
          <w:sz w:val="22"/>
          <w:szCs w:val="22"/>
          <w:color w:val="auto"/>
        </w:rPr>
        <w:t>: A quarterly retainer of $6,000, payable quarterly in arrears on or around June 1, September 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1 and March 1 in each year (and prorated for any partial period), with the first such payment occurring on June 1, 2022. Advisor must provide invoices for the retainer referencing the Qorvo purchase order number.</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Equity Compensation</w:t>
      </w:r>
      <w:r>
        <w:rPr>
          <w:rFonts w:ascii="Times New Roman" w:cs="Times New Roman" w:eastAsia="Times New Roman" w:hAnsi="Times New Roman"/>
          <w:sz w:val="22"/>
          <w:szCs w:val="22"/>
          <w:color w:val="auto"/>
        </w:rPr>
        <w:t>: Restricted Stock Units: On the 5th day of the month following the month in which you sign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Advisory Agreement (the “Grant Date”), you will receive a grant of restricted stock units (“RSUs”) from Qorvo, Inc. with a value of $25,000. The number of RSUs granted will be determined using the closing price of Qorvo’s common stock on the most recent trading day before the Grant Date. The RSUs will vest 100% on the anniversary of the grant date, subject to your continued service, and will be subject to the terms of a written restricted stock unit award agreement and the Qorvo 2012 Stock Incentive Plan, as amended, or the Qorvo 2013 Stock Incentive Plan, as amended.</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Additional Consulting Services</w:t>
      </w:r>
      <w:r>
        <w:rPr>
          <w:rFonts w:ascii="Times New Roman" w:cs="Times New Roman" w:eastAsia="Times New Roman" w:hAnsi="Times New Roman"/>
          <w:sz w:val="22"/>
          <w:szCs w:val="22"/>
          <w:color w:val="auto"/>
        </w:rPr>
        <w:t>: For additional special consulting services or work on projects outside of work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incidental to service on the Advisory Board and as may be requested by the Company from time-to-time and agreed to by Advisor on a project-by-project basis, Advisor will be paid an additional consulting fee at the rate of $300.00 per hour. Such amounts will be paid by the Company monthly in arrears based on presentation by Advisor of written invoices specifying the work performed and the hours expended on such work during the preceding month.</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Patent Compensation</w:t>
      </w:r>
      <w:r>
        <w:rPr>
          <w:rFonts w:ascii="Times New Roman" w:cs="Times New Roman" w:eastAsia="Times New Roman" w:hAnsi="Times New Roman"/>
          <w:sz w:val="22"/>
          <w:szCs w:val="22"/>
          <w:color w:val="auto"/>
        </w:rPr>
        <w:t>: To the extent Advisor is named as an inventor or co-inventor of any patent invention disclosure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assigned to the Company and submitted to Company’s Patent Committee for consideration of the filing of a patent application, Advisor shall be eligible for payment of incentive fees on the same basis as any other inventor or co-inventor under the Company’s patent incentive policy.</w:t>
      </w:r>
    </w:p>
    <w:p>
      <w:pPr>
        <w:sectPr>
          <w:pgSz w:w="11900" w:h="16838" w:orient="portrait"/>
          <w:cols w:equalWidth="0" w:num="1">
            <w:col w:w="11240"/>
          </w:cols>
          <w:pgMar w:left="320" w:top="144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LIBOR TRANSITION AMENDMENT</w:t>
      </w:r>
    </w:p>
    <w:p>
      <w:pPr>
        <w:spacing w:after="0" w:line="20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LIBOR TRANSITION AMENDMENT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April 6, 2022 (the “</w:t>
      </w:r>
      <w:r>
        <w:rPr>
          <w:rFonts w:ascii="Times New Roman" w:cs="Times New Roman" w:eastAsia="Times New Roman" w:hAnsi="Times New Roman"/>
          <w:sz w:val="22"/>
          <w:szCs w:val="22"/>
          <w:u w:val="single" w:color="auto"/>
          <w:color w:val="auto"/>
        </w:rPr>
        <w:t>Amendment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is entered into among QORVO,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BANK OF AMERICA, N.A.,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WHEREAS, the Borrower, certain Subsidiaries of the Borrower party thereto as guarantors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the lenders from time to time party thereto,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Bank of America, N.A., as Administrative Agent, Swing Line Lender and L/C Issuer, have entered into that certain Amended and Restated Credit Agreement dated as of September 29, 2020 (as amended, modified, extended, restated, replaced, or supplemented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certain loans and/or other extensions of credit (the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under the Credit Agreement incur or are permitted to incur interest, fees, commissions or other amounts based on the London Interbank Offered Rate as administered by the ICE Benchmark Administration (“</w:t>
      </w:r>
      <w:r>
        <w:rPr>
          <w:rFonts w:ascii="Times New Roman" w:cs="Times New Roman" w:eastAsia="Times New Roman" w:hAnsi="Times New Roman"/>
          <w:sz w:val="22"/>
          <w:szCs w:val="22"/>
          <w:u w:val="single" w:color="auto"/>
          <w:color w:val="auto"/>
        </w:rPr>
        <w:t>LIBOR</w:t>
      </w:r>
      <w:r>
        <w:rPr>
          <w:rFonts w:ascii="Times New Roman" w:cs="Times New Roman" w:eastAsia="Times New Roman" w:hAnsi="Times New Roman"/>
          <w:sz w:val="22"/>
          <w:szCs w:val="22"/>
          <w:color w:val="auto"/>
        </w:rPr>
        <w:t>”) in accordance with the terms of the Credit Agreement; and</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applicable parties under the Credit Agreement have determined in accordance with the Credit Agreement that LIBOR should be replaced with a successor rate in accordance with the Credit Agreement and, in connection therewith, the Administrative Agent has determined that certain conforming changes are necessary or advisable.</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50" w:lineRule="exact"/>
        <w:rPr>
          <w:sz w:val="20"/>
          <w:szCs w:val="20"/>
          <w:color w:val="auto"/>
        </w:rPr>
      </w:pPr>
    </w:p>
    <w:p>
      <w:pPr>
        <w:ind w:firstLine="656"/>
        <w:spacing w:after="0" w:line="236"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herein but not otherwise defined herein (including on any Appendix attached hereto) shall have the meanings provided to such terms in the Credit Agreement, as amended by this Agreement.</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Notwithstanding any provision of the Credit Agreement or any other document related thereto (the “</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xml:space="preserve">”) to the contrary, the parties hereto hereby agree that the terms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shall apply to Loans. For the avoidance of doubt, to the extent any provisions in the Credit Agreement are not specifically addressed by Appendix A, such provisions in the Credit Agreement shall continue to apply.</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 with Loan Documents</w:t>
      </w:r>
      <w:r>
        <w:rPr>
          <w:rFonts w:ascii="Times New Roman" w:cs="Times New Roman" w:eastAsia="Times New Roman" w:hAnsi="Times New Roman"/>
          <w:sz w:val="22"/>
          <w:szCs w:val="22"/>
          <w:color w:val="auto"/>
        </w:rPr>
        <w:t>. In the event of any conflict between the terms of this Agreement and the terms of the Credit Agreement or the other Loan Documents, the terms hereof shall control.</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Precedent</w:t>
      </w:r>
      <w:r>
        <w:rPr>
          <w:rFonts w:ascii="Times New Roman" w:cs="Times New Roman" w:eastAsia="Times New Roman" w:hAnsi="Times New Roman"/>
          <w:sz w:val="22"/>
          <w:szCs w:val="22"/>
          <w:color w:val="auto"/>
        </w:rPr>
        <w:t>. This Agreement shall become effective upon receipt by the Administrative Agent of counterparts of this Agreement, properly executed by the Borrower and the Administrative Agent.</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Expenses</w:t>
      </w:r>
      <w:r>
        <w:rPr>
          <w:rFonts w:ascii="Times New Roman" w:cs="Times New Roman" w:eastAsia="Times New Roman" w:hAnsi="Times New Roman"/>
          <w:sz w:val="22"/>
          <w:szCs w:val="22"/>
          <w:color w:val="auto"/>
        </w:rPr>
        <w:t>. The Borrower agrees to reimburse the Administrative Agent for all reasonable fees, charges and disbursements of the Administrative Agent in connection with the preparation, execution and delivery of this Agreement, including all reasonable fees, charges and disbursements of counsel to the Administrative Agent (paid directly to such counsel if requested by the Administrative Agent).</w:t>
      </w:r>
    </w:p>
    <w:p>
      <w:pPr>
        <w:sectPr>
          <w:pgSz w:w="11900" w:h="16838" w:orient="portrait"/>
          <w:cols w:equalWidth="0" w:num="1">
            <w:col w:w="11240"/>
          </w:cols>
          <w:pgMar w:left="320" w:top="94" w:right="339" w:bottom="1440" w:gutter="0" w:footer="0" w:header="0"/>
        </w:sectPr>
      </w:pPr>
    </w:p>
    <w:bookmarkStart w:id="112" w:name="page113"/>
    <w:bookmarkEnd w:id="112"/>
    <w:p>
      <w:pPr>
        <w:ind w:left="644" w:hanging="644"/>
        <w:spacing w:after="0"/>
        <w:tabs>
          <w:tab w:leader="none" w:pos="6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 w:right="20" w:firstLine="644"/>
        <w:spacing w:after="0" w:line="225" w:lineRule="auto"/>
        <w:tabs>
          <w:tab w:leader="none" w:pos="1297"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Documents, and the obligations of the Loan Parties under the Loan Documents, are hereby ratified and confirmed and shall remain in full force and effect according to their terms. This Agreement is a Loan Document.</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20" w:lineRule="auto"/>
        <w:tabs>
          <w:tab w:leader="none" w:pos="1295"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on behalf of itself and on behalf of each other Loan Party, (i) acknowledges and consents to all of the terms and conditions of this Agreement, (ii) affirms all of its obligations under the Loan Documents and (iii) agrees that this Agreement and all documents executed in connection herewith do not operate to reduce or discharge its obligations under the Loan Documents.</w:t>
      </w:r>
    </w:p>
    <w:p>
      <w:pPr>
        <w:spacing w:after="0" w:line="152"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represents and warrants that:</w:t>
      </w:r>
    </w:p>
    <w:p>
      <w:pPr>
        <w:spacing w:after="0" w:line="166" w:lineRule="exact"/>
        <w:rPr>
          <w:rFonts w:ascii="Times New Roman" w:cs="Times New Roman" w:eastAsia="Times New Roman" w:hAnsi="Times New Roman"/>
          <w:sz w:val="22"/>
          <w:szCs w:val="22"/>
          <w:color w:val="auto"/>
        </w:rPr>
      </w:pPr>
    </w:p>
    <w:p>
      <w:pPr>
        <w:ind w:left="1924" w:hanging="628"/>
        <w:spacing w:after="0"/>
        <w:tabs>
          <w:tab w:leader="none" w:pos="1924"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taken all necessary action to authorize the execution, delivery and performance of this</w:t>
      </w:r>
    </w:p>
    <w:p>
      <w:pPr>
        <w:ind w:left="64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55" w:lineRule="exact"/>
        <w:rPr>
          <w:rFonts w:ascii="Times New Roman" w:cs="Times New Roman" w:eastAsia="Times New Roman" w:hAnsi="Times New Roman"/>
          <w:sz w:val="22"/>
          <w:szCs w:val="22"/>
          <w:color w:val="auto"/>
        </w:rPr>
      </w:pPr>
    </w:p>
    <w:p>
      <w:pPr>
        <w:ind w:left="644" w:firstLine="652"/>
        <w:spacing w:after="0" w:line="236" w:lineRule="auto"/>
        <w:tabs>
          <w:tab w:leader="none" w:pos="1934"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executed and delivered by such Loan Party and constitutes such Loan Party’s legal, valid and binding obligations, enforceable in accordance with its terms.</w:t>
      </w:r>
    </w:p>
    <w:p>
      <w:pPr>
        <w:spacing w:after="0" w:line="150" w:lineRule="exact"/>
        <w:rPr>
          <w:rFonts w:ascii="Times New Roman" w:cs="Times New Roman" w:eastAsia="Times New Roman" w:hAnsi="Times New Roman"/>
          <w:sz w:val="22"/>
          <w:szCs w:val="22"/>
          <w:color w:val="auto"/>
        </w:rPr>
      </w:pPr>
    </w:p>
    <w:p>
      <w:pPr>
        <w:jc w:val="both"/>
        <w:ind w:left="644" w:firstLine="652"/>
        <w:spacing w:after="0" w:line="220" w:lineRule="auto"/>
        <w:tabs>
          <w:tab w:leader="none" w:pos="1940"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other than those that have already been obtained and are in full force and effect.</w:t>
      </w:r>
    </w:p>
    <w:p>
      <w:pPr>
        <w:spacing w:after="0" w:line="152" w:lineRule="exact"/>
        <w:rPr>
          <w:rFonts w:ascii="Times New Roman" w:cs="Times New Roman" w:eastAsia="Times New Roman" w:hAnsi="Times New Roman"/>
          <w:sz w:val="22"/>
          <w:szCs w:val="22"/>
          <w:color w:val="auto"/>
        </w:rPr>
      </w:pPr>
    </w:p>
    <w:p>
      <w:pPr>
        <w:jc w:val="both"/>
        <w:ind w:left="644" w:firstLine="652"/>
        <w:spacing w:after="0" w:line="225" w:lineRule="auto"/>
        <w:tabs>
          <w:tab w:leader="none" w:pos="1928" w:val="left"/>
        </w:tabs>
        <w:numPr>
          <w:ilvl w:val="2"/>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Agreement does not (i) contravene the terms of any of such Loan Party’s Organization Documents, (ii) conflict with or result in any breach or contravention in any material respect of, or the creation of any Lien under (A) any material Contractual Obligation to which such Loan Party is a party or affecting such Loan Party or the properties of such Loan Party or any of its Subsidiaries or (B) any material order, injunction, writ or decree of any Governmental Authority or any arbitral award to which such Loan Party or its property is subject, or (iii) violate any applicable material Law in any material respect.</w:t>
      </w:r>
    </w:p>
    <w:p>
      <w:pPr>
        <w:spacing w:after="0" w:line="153" w:lineRule="exact"/>
        <w:rPr>
          <w:rFonts w:ascii="Times New Roman" w:cs="Times New Roman" w:eastAsia="Times New Roman" w:hAnsi="Times New Roman"/>
          <w:sz w:val="21"/>
          <w:szCs w:val="21"/>
          <w:color w:val="auto"/>
        </w:rPr>
      </w:pPr>
    </w:p>
    <w:p>
      <w:pPr>
        <w:jc w:val="both"/>
        <w:ind w:left="4" w:firstLine="644"/>
        <w:spacing w:after="0" w:line="212" w:lineRule="auto"/>
        <w:tabs>
          <w:tab w:leader="none" w:pos="1295"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spacing w:after="0" w:line="156" w:lineRule="exact"/>
        <w:rPr>
          <w:rFonts w:ascii="Times New Roman" w:cs="Times New Roman" w:eastAsia="Times New Roman" w:hAnsi="Times New Roman"/>
          <w:sz w:val="22"/>
          <w:szCs w:val="22"/>
          <w:color w:val="auto"/>
        </w:rPr>
      </w:pPr>
    </w:p>
    <w:p>
      <w:pPr>
        <w:jc w:val="both"/>
        <w:ind w:left="4" w:firstLine="644"/>
        <w:spacing w:after="0" w:line="217" w:lineRule="auto"/>
        <w:tabs>
          <w:tab w:leader="none" w:pos="1297"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395" w:right="339" w:bottom="1440" w:gutter="0" w:footer="0" w:header="0"/>
        </w:sectPr>
      </w:pPr>
    </w:p>
    <w:bookmarkStart w:id="113" w:name="page114"/>
    <w:bookmarkEnd w:id="113"/>
    <w:p>
      <w:pPr>
        <w:jc w:val="both"/>
        <w:ind w:left="-460" w:firstLine="644"/>
        <w:spacing w:after="0" w:line="225" w:lineRule="auto"/>
        <w:tabs>
          <w:tab w:leader="none" w:pos="8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the Credit Agreement with respect to governing law, submission to jurisdiction, waiver of venue and waiver of jury trial are incorporated herein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and the parties hereto agree to such terms.</w:t>
      </w:r>
    </w:p>
    <w:p>
      <w:pPr>
        <w:spacing w:after="0" w:line="15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20"/>
          </w:cols>
          <w:pgMar w:left="1440" w:top="1395" w:right="339" w:bottom="1440" w:gutter="0" w:footer="0" w:header="0"/>
        </w:sectPr>
      </w:pPr>
    </w:p>
    <w:bookmarkStart w:id="114" w:name="page115"/>
    <w:bookmarkEnd w:id="114"/>
    <w:p>
      <w:pPr>
        <w:ind w:firstLine="648"/>
        <w:spacing w:after="0" w:line="236" w:lineRule="auto"/>
        <w:rPr>
          <w:sz w:val="20"/>
          <w:szCs w:val="20"/>
          <w:color w:val="auto"/>
        </w:rPr>
      </w:pPr>
      <w:r>
        <w:rPr>
          <w:rFonts w:ascii="Times New Roman" w:cs="Times New Roman" w:eastAsia="Times New Roman" w:hAnsi="Times New Roman"/>
          <w:sz w:val="22"/>
          <w:szCs w:val="22"/>
          <w:color w:val="auto"/>
        </w:rPr>
        <w:t>Each of the parties hereto has caused a counterpart of this Agreement to be duly executed and delivered as of the date first above written.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p>
    <w:p>
      <w:pPr>
        <w:ind w:left="3900"/>
        <w:spacing w:after="0" w:line="204" w:lineRule="auto"/>
        <w:rPr>
          <w:sz w:val="20"/>
          <w:szCs w:val="20"/>
          <w:color w:val="auto"/>
        </w:rPr>
      </w:pPr>
      <w:r>
        <w:rPr>
          <w:rFonts w:ascii="Times New Roman" w:cs="Times New Roman" w:eastAsia="Times New Roman" w:hAnsi="Times New Roman"/>
          <w:sz w:val="22"/>
          <w:szCs w:val="22"/>
          <w:color w:val="auto"/>
        </w:rPr>
        <w:t>QORVO, INC.,</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Mark J. Murphy</w:t>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Mark J. Murphy</w:t>
      </w:r>
    </w:p>
    <w:p>
      <w:pPr>
        <w:spacing w:after="0" w:line="1"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LIBOR TRANSITION AMENDMENT</w:t>
      </w:r>
    </w:p>
    <w:p>
      <w:pPr>
        <w:sectPr>
          <w:pgSz w:w="11900" w:h="16838" w:orient="portrait"/>
          <w:cols w:equalWidth="0" w:num="1">
            <w:col w:w="11240"/>
          </w:cols>
          <w:pgMar w:left="320" w:top="139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ind w:left="3900"/>
        <w:spacing w:after="0" w:line="204" w:lineRule="auto"/>
        <w:rPr>
          <w:sz w:val="20"/>
          <w:szCs w:val="20"/>
          <w:color w:val="auto"/>
        </w:rPr>
      </w:pPr>
      <w:r>
        <w:rPr>
          <w:rFonts w:ascii="Times New Roman" w:cs="Times New Roman" w:eastAsia="Times New Roman" w:hAnsi="Times New Roman"/>
          <w:sz w:val="22"/>
          <w:szCs w:val="22"/>
          <w:color w:val="auto"/>
        </w:rPr>
        <w:t>BANK OF AMERICA, N.A.</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Kelly Weaver</w:t>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Kelly Weaver</w:t>
      </w:r>
    </w:p>
    <w:p>
      <w:pPr>
        <w:spacing w:after="0" w:line="1"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LIBOR TRANSITION AMENDMENT</w:t>
      </w:r>
    </w:p>
    <w:p>
      <w:pPr>
        <w:sectPr>
          <w:pgSz w:w="11900" w:h="16838" w:orient="portrait"/>
          <w:cols w:equalWidth="0" w:num="1">
            <w:col w:w="11240"/>
          </w:cols>
          <w:pgMar w:left="320" w:top="1382"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2"/>
          <w:szCs w:val="22"/>
          <w:u w:val="single" w:color="auto"/>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TERMS APPLICABLE TO TERM SOFR LOANS</w:t>
      </w:r>
    </w:p>
    <w:p>
      <w:pPr>
        <w:spacing w:after="0" w:line="206"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The following terms shall have the meanings set forth below:</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other day on which commercial banks are authorized to close under the laws of, or are in fact closed in, the state where the Administrative Agent’s Office is located.</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w:t>
      </w:r>
      <w:r>
        <w:rPr>
          <w:rFonts w:ascii="Times New Roman" w:cs="Times New Roman" w:eastAsia="Times New Roman" w:hAnsi="Times New Roman"/>
          <w:sz w:val="22"/>
          <w:szCs w:val="22"/>
          <w:color w:val="auto"/>
        </w:rPr>
        <w:t>” means CME Group Benchmark Administration Limited.</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decides, in consultation with the Borrower is reasonably necessary in connection with the administration of this Agreement and any other Loan Document).</w:t>
      </w:r>
    </w:p>
    <w:p>
      <w:pPr>
        <w:spacing w:after="0" w:line="15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as to any Term SOFR Loan, the last day of each Interest Period applicable to such Loan and the applicable maturity date set forth in the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Interest Period for a Term SOFR Loan exceeds three months, the respective dates that fall every three months after the beginning of such Interest Period shall also be Interest Payment Dates.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as to each Term SOFR Loan, the period commencing on the date such Term SOFR Loan is disbursed or converted to or continued as a Term SOFR Loan and ending on the date one, three or six months thereafter (in each case, subject to availability), as selected by the Borrower in its Loan Notice; provided that:</w:t>
      </w:r>
    </w:p>
    <w:p>
      <w:pPr>
        <w:spacing w:after="0" w:line="152" w:lineRule="exact"/>
        <w:rPr>
          <w:sz w:val="20"/>
          <w:szCs w:val="20"/>
          <w:color w:val="auto"/>
        </w:rPr>
      </w:pPr>
    </w:p>
    <w:p>
      <w:pPr>
        <w:jc w:val="both"/>
        <w:ind w:left="660" w:firstLine="644"/>
        <w:spacing w:after="0" w:line="225" w:lineRule="auto"/>
        <w:tabs>
          <w:tab w:leader="none" w:pos="195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52"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5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Notice</w:t>
      </w:r>
      <w:r>
        <w:rPr>
          <w:rFonts w:ascii="Times New Roman" w:cs="Times New Roman" w:eastAsia="Times New Roman" w:hAnsi="Times New Roman"/>
          <w:sz w:val="22"/>
          <w:szCs w:val="22"/>
          <w:color w:val="auto"/>
        </w:rPr>
        <w:t>” means a Loan Notice as defined in the Credit Agreement, and such term shall be deemed to include the Loan Notice attached hereto as Exhibit A.</w:t>
      </w:r>
    </w:p>
    <w:p>
      <w:pPr>
        <w:sectPr>
          <w:pgSz w:w="11900" w:h="16838" w:orient="portrait"/>
          <w:cols w:equalWidth="0" w:num="1">
            <w:col w:w="11240"/>
          </w:cols>
          <w:pgMar w:left="320" w:top="1395" w:right="339" w:bottom="1440" w:gutter="0" w:footer="0" w:header="0"/>
        </w:sectPr>
      </w:pPr>
    </w:p>
    <w:bookmarkStart w:id="117" w:name="page118"/>
    <w:bookmarkEnd w:id="117"/>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the Secured Overnight Financing Rate as administered by the Federal Reserve Bank of New York (or a successor administrator).</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Adjustment</w:t>
      </w:r>
      <w:r>
        <w:rPr>
          <w:rFonts w:ascii="Times New Roman" w:cs="Times New Roman" w:eastAsia="Times New Roman" w:hAnsi="Times New Roman"/>
          <w:sz w:val="22"/>
          <w:szCs w:val="22"/>
          <w:color w:val="auto"/>
        </w:rPr>
        <w:t>” means 0.10% (10 basis points) for an Interest Period of one month, 0.15% (15 basis points) for an Interest Period of three months and 0.25% (25 basis points) for an Interest Period of six months.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jc w:val="both"/>
        <w:ind w:left="660" w:firstLine="644"/>
        <w:spacing w:after="0" w:line="217" w:lineRule="auto"/>
        <w:tabs>
          <w:tab w:leader="none" w:pos="195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interest calculation with respect to a Base Rate Loan on any date, the rate per annum equal to the Term SOFR Screen Rate with a term of one month commencing that day;</w:t>
      </w:r>
    </w:p>
    <w:p>
      <w:pPr>
        <w:spacing w:after="0" w:line="150"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Term SOFR determined in accordance with either of the foregoing provisions (a) or (b) of this definition would otherwise be less than zero, the Term SOFR shall be deemed zero for purposes of this Agreement.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means a Loan that bears interest at a rate based on clause (a) of the definition of Term SOFR.</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Screen Rate</w:t>
      </w:r>
      <w:r>
        <w:rPr>
          <w:rFonts w:ascii="Times New Roman" w:cs="Times New Roman" w:eastAsia="Times New Roman" w:hAnsi="Times New Roman"/>
          <w:sz w:val="21"/>
          <w:szCs w:val="21"/>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with respect to a Loan, its character as a Base Rate Loan or a Term SOFR Loan.</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51"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Applicable to Term SOFR Loans</w:t>
      </w:r>
      <w:r>
        <w:rPr>
          <w:rFonts w:ascii="Times New Roman" w:cs="Times New Roman" w:eastAsia="Times New Roman" w:hAnsi="Times New Roman"/>
          <w:sz w:val="21"/>
          <w:szCs w:val="21"/>
          <w:color w:val="auto"/>
        </w:rPr>
        <w:t>. From and after the Amendment Effective Date, the parties hereto agree as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follows:</w:t>
      </w:r>
    </w:p>
    <w:p>
      <w:pPr>
        <w:spacing w:after="0" w:line="155" w:lineRule="exact"/>
        <w:rPr>
          <w:rFonts w:ascii="Times New Roman" w:cs="Times New Roman" w:eastAsia="Times New Roman" w:hAnsi="Times New Roman"/>
          <w:sz w:val="21"/>
          <w:szCs w:val="21"/>
          <w:color w:val="auto"/>
        </w:rPr>
      </w:pPr>
    </w:p>
    <w:p>
      <w:pPr>
        <w:jc w:val="both"/>
        <w:ind w:left="660" w:firstLine="644"/>
        <w:spacing w:after="0" w:line="217" w:lineRule="auto"/>
        <w:tabs>
          <w:tab w:leader="none" w:pos="195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xml:space="preserve">. (i) Dollars shall not be considered a currency for which there is a published LIBOR rate and (ii) any request for a new Eurodollar Rate Loan, or to continue an existing Eurodollar Rate Loan, shall be deemed to be a request for a new Loan bearing interest at the Term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to the extent any Loan bearing interest at the Eurodollar Rate is outstanding on the Amendment Effective Date, such Loan shall continue to bear interest at the Eurodollar Rate until the end of the current Interest Period or payment period applicable to such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18" w:name="page119"/>
    <w:bookmarkEnd w:id="118"/>
    <w:p>
      <w:pPr>
        <w:ind w:left="820" w:hanging="636"/>
        <w:spacing w:after="0"/>
        <w:tabs>
          <w:tab w:leader="none" w:pos="8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 to Eurodollar Rate and Eurodollar Rate Loans in the Credit Agreement and Loan Documents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17" w:lineRule="auto"/>
        <w:tabs>
          <w:tab w:leader="none" w:pos="146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the Eurodollar Rate and Eurodollar Rate Loans in provisions of the Credit Agreement and the other Loan Documents that are not specifically addressed herein (other than the definitions of Eurodollar Rate and Eurodollar Rate Loan) shall be deemed to include the Term SOFR and Term SOFR Loans, as applicable. In addition, references to the Eurodollar Rate in the definition of Base Rate in the Credit Agreement shall be deemed to refer to Term SOFR.</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17" w:lineRule="auto"/>
        <w:tabs>
          <w:tab w:leader="none" w:pos="147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requirement for the Borrower to compensate Lenders for losses in the Credit Agreement resulting from any continuation, conversion, payment or prepayment of any Loan on a day other than the last day of any Interest Period (as defined in the Credit Agreement), references to the Interest Period (as defined in the Credit Agreement) shall be deemed to include any relevant interest payment date or payment period for a Term SOFR Loan.</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09" w:lineRule="auto"/>
        <w:tabs>
          <w:tab w:leader="none" w:pos="83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Rates</w:t>
      </w:r>
      <w:r>
        <w:rPr>
          <w:rFonts w:ascii="Times New Roman" w:cs="Times New Roman" w:eastAsia="Times New Roman" w:hAnsi="Times New Roman"/>
          <w:sz w:val="22"/>
          <w:szCs w:val="22"/>
          <w:color w:val="auto"/>
        </w:rPr>
        <w:t>.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51" w:lineRule="exact"/>
        <w:rPr>
          <w:rFonts w:ascii="Times New Roman" w:cs="Times New Roman" w:eastAsia="Times New Roman" w:hAnsi="Times New Roman"/>
          <w:sz w:val="22"/>
          <w:szCs w:val="22"/>
          <w:color w:val="auto"/>
        </w:rPr>
      </w:pPr>
    </w:p>
    <w:p>
      <w:pPr>
        <w:ind w:left="-460" w:firstLine="644"/>
        <w:spacing w:after="0" w:line="236" w:lineRule="auto"/>
        <w:tabs>
          <w:tab w:leader="none" w:pos="83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Borrowings, Conversions, Continuations and Prepayments of Term SOFR Loans</w:t>
      </w:r>
      <w:r>
        <w:rPr>
          <w:rFonts w:ascii="Times New Roman" w:cs="Times New Roman" w:eastAsia="Times New Roman" w:hAnsi="Times New Roman"/>
          <w:sz w:val="22"/>
          <w:szCs w:val="22"/>
          <w:color w:val="auto"/>
        </w:rPr>
        <w:t>. In addition to any other borrowing or prepayment requirements set forth in the Credit Agreement:</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11" w:lineRule="auto"/>
        <w:tabs>
          <w:tab w:leader="none" w:pos="146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SOFR Loans</w:t>
      </w:r>
      <w:r>
        <w:rPr>
          <w:rFonts w:ascii="Times New Roman" w:cs="Times New Roman" w:eastAsia="Times New Roman" w:hAnsi="Times New Roman"/>
          <w:sz w:val="22"/>
          <w:szCs w:val="22"/>
          <w:color w:val="auto"/>
        </w:rPr>
        <w:t xml:space="preserve">. Each Borrowing, each conversion of Loans from one Type to the other, and each continuation of Term SOFR Loans shall be made upon the Borrower’s irrevocable notice to the Administrative Agent, which may be given by (A) telephone or (B) a Loan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telephonic notice must be confirmed immediately by delivery to the Administrative Agent of a Loan Notice. Each such Loan Notice must be received by the Administrative Agent not later than 12:00 p.m. (Noon) (Eastern time) (1) two Business Days prior to the requested date of any Borrowing of, conversion to or continuation of Term SOFR Loans or of any conversion of Term SOFR Loans to Base Rate Loans. Each Borrowing of, conversion to or continuation of Term SOFR Loans shall be in a principal amount of $5,000,000 or a whole multiple of $1,000,000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20"/>
          </w:cols>
          <w:pgMar w:left="1440" w:top="1395" w:right="339" w:bottom="1440" w:gutter="0" w:footer="0" w:header="0"/>
        </w:sectPr>
      </w:pPr>
    </w:p>
    <w:bookmarkStart w:id="119" w:name="page120"/>
    <w:bookmarkEnd w:id="119"/>
    <w:p>
      <w:pPr>
        <w:jc w:val="both"/>
        <w:ind w:left="180"/>
        <w:spacing w:after="0" w:line="210" w:lineRule="auto"/>
        <w:rPr>
          <w:sz w:val="20"/>
          <w:szCs w:val="20"/>
          <w:color w:val="auto"/>
        </w:rPr>
      </w:pPr>
      <w:r>
        <w:rPr>
          <w:rFonts w:ascii="Times New Roman" w:cs="Times New Roman" w:eastAsia="Times New Roman" w:hAnsi="Times New Roman"/>
          <w:sz w:val="22"/>
          <w:szCs w:val="22"/>
          <w:color w:val="auto"/>
        </w:rPr>
        <w:t>excess thereof. Each Loan Notice shall specify (i) whether the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w:t>
      </w:r>
    </w:p>
    <w:p>
      <w:pPr>
        <w:spacing w:after="0" w:line="157" w:lineRule="exact"/>
        <w:rPr>
          <w:sz w:val="20"/>
          <w:szCs w:val="20"/>
          <w:color w:val="auto"/>
        </w:rPr>
      </w:pPr>
    </w:p>
    <w:p>
      <w:pPr>
        <w:jc w:val="both"/>
        <w:ind w:left="180" w:firstLine="652"/>
        <w:spacing w:after="0" w:line="213" w:lineRule="auto"/>
        <w:tabs>
          <w:tab w:leader="none" w:pos="147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156" w:lineRule="exact"/>
        <w:rPr>
          <w:rFonts w:ascii="Times New Roman" w:cs="Times New Roman" w:eastAsia="Times New Roman" w:hAnsi="Times New Roman"/>
          <w:sz w:val="22"/>
          <w:szCs w:val="22"/>
          <w:color w:val="auto"/>
        </w:rPr>
      </w:pPr>
    </w:p>
    <w:p>
      <w:pPr>
        <w:ind w:left="180" w:firstLine="652"/>
        <w:spacing w:after="0" w:line="236" w:lineRule="auto"/>
        <w:tabs>
          <w:tab w:leader="none" w:pos="147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Notice</w:t>
      </w:r>
      <w:r>
        <w:rPr>
          <w:rFonts w:ascii="Times New Roman" w:cs="Times New Roman" w:eastAsia="Times New Roman" w:hAnsi="Times New Roman"/>
          <w:sz w:val="22"/>
          <w:szCs w:val="22"/>
          <w:color w:val="auto"/>
        </w:rPr>
        <w:t xml:space="preserve">. For purposes of a Borrowing of Term SOFR Loans, or a continuation of a Term SOFR Loan, the Borrower shall use the Loan Notice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15" w:lineRule="auto"/>
        <w:tabs>
          <w:tab w:leader="none" w:pos="1464"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Prepayments of Term SOFR Loans</w:t>
      </w:r>
      <w:r>
        <w:rPr>
          <w:rFonts w:ascii="Times New Roman" w:cs="Times New Roman" w:eastAsia="Times New Roman" w:hAnsi="Times New Roman"/>
          <w:sz w:val="22"/>
          <w:szCs w:val="22"/>
          <w:color w:val="auto"/>
        </w:rPr>
        <w:t xml:space="preserve">. The Borrower may, upon notice to the Administrative Agent pursuant to delivery to the Administrative Agent of a Notice of Loan Prepayment, at any time or from time to time voluntarily prepay the Term SOFR Loans in whole or in part without premium or penalty (except as otherwise specified in the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notice must be received by the Administrative Agent not later than 12:00 p.m. (Noon) (Eastern time) two Business Days prior to any date of prepayment of Term SOFR Loans.</w:t>
      </w:r>
    </w:p>
    <w:p>
      <w:pPr>
        <w:spacing w:after="0" w:line="152"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46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the Credit Agreement with respect to default interest, each Term SOFR Loan shall bear interest on the outstanding principal amount thereof from the applicable borrowing date at a rate per annum equal to the sum of the Term SOFR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20" w:lineRule="auto"/>
        <w:tabs>
          <w:tab w:leader="none" w:pos="147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each Term SOFR Loan shall be due and payable in arrears on each Interest Payment Date applicable thereto and at such other times as may be specified the Credit Agreement. Interest hereunder shall be due and payable in accordance with the terms hereof before and after judgment, and before and after the commencement of any proceeding under any debtor relief law.</w:t>
      </w:r>
    </w:p>
    <w:p>
      <w:pPr>
        <w:spacing w:after="0" w:line="152" w:lineRule="exact"/>
        <w:rPr>
          <w:rFonts w:ascii="Times New Roman" w:cs="Times New Roman" w:eastAsia="Times New Roman" w:hAnsi="Times New Roman"/>
          <w:sz w:val="22"/>
          <w:szCs w:val="22"/>
          <w:color w:val="auto"/>
        </w:rPr>
      </w:pPr>
    </w:p>
    <w:p>
      <w:pPr>
        <w:ind w:left="-460" w:firstLine="644"/>
        <w:spacing w:after="0" w:line="236" w:lineRule="auto"/>
        <w:tabs>
          <w:tab w:leader="none" w:pos="83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Computations</w:t>
      </w:r>
      <w:r>
        <w:rPr>
          <w:rFonts w:ascii="Times New Roman" w:cs="Times New Roman" w:eastAsia="Times New Roman" w:hAnsi="Times New Roman"/>
          <w:sz w:val="22"/>
          <w:szCs w:val="22"/>
          <w:color w:val="auto"/>
        </w:rPr>
        <w:t>. All computations of interest for Base Rate Loans (including Base Rate Loans determined by reference to the Term SOFR) shall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20"/>
          </w:cols>
          <w:pgMar w:left="1440" w:top="1395" w:right="339" w:bottom="1440" w:gutter="0" w:footer="0" w:header="0"/>
        </w:sectPr>
      </w:pPr>
    </w:p>
    <w:bookmarkStart w:id="120" w:name="page121"/>
    <w:bookmarkEnd w:id="120"/>
    <w:p>
      <w:pPr>
        <w:jc w:val="both"/>
        <w:spacing w:after="0" w:line="212" w:lineRule="auto"/>
        <w:rPr>
          <w:sz w:val="20"/>
          <w:szCs w:val="20"/>
          <w:color w:val="auto"/>
        </w:rPr>
      </w:pPr>
      <w:r>
        <w:rPr>
          <w:rFonts w:ascii="Times New Roman" w:cs="Times New Roman" w:eastAsia="Times New Roman" w:hAnsi="Times New Roman"/>
          <w:sz w:val="22"/>
          <w:szCs w:val="22"/>
          <w:color w:val="auto"/>
        </w:rPr>
        <w:t>on the basis of a year of 365 or 366 days, as the case may be, and actual days elapsed. All other computations of fees and interest with respect to Term SOFR Loans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the provisions in the Credit Agreement addressing payments generally, bear interest for one day. Each determination by the Administrative Agent of an interest rate or fee hereunder shall be conclusive and binding for all purposes, absent manifest error.</w:t>
      </w:r>
    </w:p>
    <w:p>
      <w:pPr>
        <w:spacing w:after="0" w:line="156" w:lineRule="exact"/>
        <w:rPr>
          <w:sz w:val="20"/>
          <w:szCs w:val="20"/>
          <w:color w:val="auto"/>
        </w:rPr>
      </w:pPr>
    </w:p>
    <w:p>
      <w:pPr>
        <w:ind w:firstLine="644"/>
        <w:spacing w:after="0" w:line="236" w:lineRule="auto"/>
        <w:tabs>
          <w:tab w:leader="none" w:pos="129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Rates</w:t>
      </w:r>
      <w:r>
        <w:rPr>
          <w:rFonts w:ascii="Times New Roman" w:cs="Times New Roman" w:eastAsia="Times New Roman" w:hAnsi="Times New Roman"/>
          <w:sz w:val="22"/>
          <w:szCs w:val="22"/>
          <w:color w:val="auto"/>
        </w:rPr>
        <w:t>. The provisions in the Credit Agreement addressing the replacement of a current interest rate benchmark shall be deemed to apply to Term SOFR Loans and Term SOFR,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0"/>
          </w:cols>
          <w:pgMar w:left="980" w:top="1395" w:right="339" w:bottom="1440" w:gutter="0" w:footer="0" w:header="0"/>
        </w:sectPr>
      </w:pPr>
    </w:p>
    <w:bookmarkStart w:id="121" w:name="page122"/>
    <w:bookmarkEnd w:id="121"/>
    <w:p>
      <w:pPr>
        <w:ind w:left="520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19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FORM OF LOAN NOTICE</w:t>
      </w:r>
    </w:p>
    <w:p>
      <w:pPr>
        <w:jc w:val="center"/>
        <w:spacing w:after="0"/>
        <w:rPr>
          <w:sz w:val="20"/>
          <w:szCs w:val="20"/>
          <w:color w:val="auto"/>
        </w:rPr>
      </w:pPr>
      <w:r>
        <w:rPr>
          <w:rFonts w:ascii="Times New Roman" w:cs="Times New Roman" w:eastAsia="Times New Roman" w:hAnsi="Times New Roman"/>
          <w:sz w:val="22"/>
          <w:szCs w:val="22"/>
          <w:b w:val="1"/>
          <w:bCs w:val="1"/>
          <w:color w:val="auto"/>
        </w:rPr>
        <w:t>(Term SOFR Loans)</w:t>
      </w:r>
    </w:p>
    <w:p>
      <w:pPr>
        <w:spacing w:after="0" w:line="178" w:lineRule="exact"/>
        <w:rPr>
          <w:sz w:val="20"/>
          <w:szCs w:val="20"/>
          <w:color w:val="auto"/>
        </w:rPr>
      </w:pPr>
    </w:p>
    <w:p>
      <w:pPr>
        <w:ind w:left="4880"/>
        <w:spacing w:after="0"/>
        <w:tabs>
          <w:tab w:leader="none" w:pos="6020" w:val="left"/>
        </w:tabs>
        <w:rPr>
          <w:sz w:val="20"/>
          <w:szCs w:val="20"/>
          <w:color w:val="auto"/>
        </w:rPr>
      </w:pP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-11430</wp:posOffset>
            </wp:positionV>
            <wp:extent cx="6172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9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Bank of America, N.A., as Administrative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Reference is made to that certain Amended and Restated Credit Agreement, dated as of September 29, 2020 (as amended, restated,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Qorvo,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Guarantors from time to time party thereto, the Lenders from time to time party thereto and Bank of America, N.A., as Administrative Agent, Swing Line Lender and L/C Issuer. Capitalized terms used but not defined herein shall have the meanings given to them in the Credit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hereby requests (select one):</w:t>
      </w:r>
    </w:p>
    <w:p>
      <w:pPr>
        <w:spacing w:after="0" w:line="206" w:lineRule="exact"/>
        <w:rPr>
          <w:sz w:val="20"/>
          <w:szCs w:val="20"/>
          <w:color w:val="auto"/>
        </w:rPr>
      </w:pPr>
    </w:p>
    <w:p>
      <w:pPr>
        <w:ind w:left="980" w:hanging="243"/>
        <w:spacing w:after="0"/>
        <w:tabs>
          <w:tab w:leader="none" w:pos="980" w:val="left"/>
        </w:tabs>
        <w:numPr>
          <w:ilvl w:val="0"/>
          <w:numId w:val="7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 Borrowing of Term SOFR Loans that are Revolving Loans</w:t>
      </w:r>
    </w:p>
    <w:p>
      <w:pPr>
        <w:spacing w:after="0" w:line="206" w:lineRule="exact"/>
        <w:rPr>
          <w:rFonts w:ascii="MS PGothic" w:cs="MS PGothic" w:eastAsia="MS PGothic" w:hAnsi="MS PGothic"/>
          <w:sz w:val="22"/>
          <w:szCs w:val="22"/>
          <w:color w:val="auto"/>
        </w:rPr>
      </w:pPr>
    </w:p>
    <w:p>
      <w:pPr>
        <w:ind w:left="980" w:hanging="243"/>
        <w:spacing w:after="0"/>
        <w:tabs>
          <w:tab w:leader="none" w:pos="980" w:val="left"/>
        </w:tabs>
        <w:numPr>
          <w:ilvl w:val="0"/>
          <w:numId w:val="7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 conversion or continuation of Term SOFR Loans that are [Revolving Loans][Term Loan]</w:t>
      </w:r>
    </w:p>
    <w:p>
      <w:pPr>
        <w:spacing w:after="0" w:line="206" w:lineRule="exact"/>
        <w:rPr>
          <w:rFonts w:ascii="MS PGothic" w:cs="MS PGothic" w:eastAsia="MS PGothic" w:hAnsi="MS PGothic"/>
          <w:sz w:val="22"/>
          <w:szCs w:val="22"/>
          <w:color w:val="auto"/>
        </w:rPr>
      </w:pPr>
    </w:p>
    <w:p>
      <w:pPr>
        <w:ind w:left="1360" w:hanging="380"/>
        <w:spacing w:after="0"/>
        <w:tabs>
          <w:tab w:leader="none" w:pos="13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_______________________ (a Business Day).</w:t>
      </w:r>
    </w:p>
    <w:p>
      <w:pPr>
        <w:spacing w:after="0" w:line="206" w:lineRule="exact"/>
        <w:rPr>
          <w:rFonts w:ascii="Times New Roman" w:cs="Times New Roman" w:eastAsia="Times New Roman" w:hAnsi="Times New Roman"/>
          <w:sz w:val="22"/>
          <w:szCs w:val="22"/>
          <w:color w:val="auto"/>
        </w:rPr>
      </w:pPr>
    </w:p>
    <w:p>
      <w:pPr>
        <w:ind w:left="1360" w:hanging="380"/>
        <w:spacing w:after="0"/>
        <w:tabs>
          <w:tab w:leader="none" w:pos="13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amount of $_________________________.</w:t>
      </w:r>
    </w:p>
    <w:p>
      <w:pPr>
        <w:spacing w:after="0" w:line="206" w:lineRule="exact"/>
        <w:rPr>
          <w:rFonts w:ascii="Times New Roman" w:cs="Times New Roman" w:eastAsia="Times New Roman" w:hAnsi="Times New Roman"/>
          <w:sz w:val="22"/>
          <w:szCs w:val="22"/>
          <w:color w:val="auto"/>
        </w:rPr>
      </w:pPr>
    </w:p>
    <w:p>
      <w:pPr>
        <w:ind w:left="1360" w:hanging="380"/>
        <w:spacing w:after="0"/>
        <w:tabs>
          <w:tab w:leader="none" w:pos="13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an Interest Period of ____ month[s].</w:t>
      </w:r>
    </w:p>
    <w:p>
      <w:pPr>
        <w:spacing w:after="0" w:line="206" w:lineRule="exact"/>
        <w:rPr>
          <w:sz w:val="20"/>
          <w:szCs w:val="20"/>
          <w:color w:val="auto"/>
        </w:rPr>
      </w:pPr>
    </w:p>
    <w:p>
      <w:pPr>
        <w:ind w:right="360"/>
        <w:spacing w:after="0" w:line="225" w:lineRule="auto"/>
        <w:rPr>
          <w:sz w:val="20"/>
          <w:szCs w:val="20"/>
          <w:color w:val="auto"/>
        </w:rPr>
      </w:pPr>
      <w:r>
        <w:rPr>
          <w:rFonts w:ascii="Times New Roman" w:cs="Times New Roman" w:eastAsia="Times New Roman" w:hAnsi="Times New Roman"/>
          <w:sz w:val="22"/>
          <w:szCs w:val="22"/>
          <w:color w:val="auto"/>
        </w:rPr>
        <w:t xml:space="preserve">With respect to such Borrowing, the undersigned hereby represents and warrants that (i) such request complies with the applicable requirements of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of the Credit Agreement and (ii) each of the applicable conditions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of the Credit Agreement has been satisfied on and as of the date of such Borrowing.</w:t>
      </w:r>
    </w:p>
    <w:p>
      <w:pPr>
        <w:spacing w:after="0" w:line="179"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Delivery of an executed counterpart of a signature page of this Loan Notice by facsimile or other electronic imaging means (e.g., “pdf” or “tif”) shall be effective as delivery of a manually executed counterpart of this Loan Notice.</w:t>
      </w:r>
    </w:p>
    <w:p>
      <w:pPr>
        <w:spacing w:after="0" w:line="16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QORVO, INC.,</w:t>
      </w:r>
    </w:p>
    <w:p>
      <w:pPr>
        <w:ind w:left="45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5829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138" w:right="3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21</w:t>
            </w:r>
          </w:p>
        </w:tc>
        <w:tc>
          <w:tcPr>
            <w:tcW w:w="1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729"/>
        </w:trPr>
        <w:tc>
          <w:tcPr>
            <w:tcW w:w="1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4080" w:type="dxa"/>
            <w:vAlign w:val="bottom"/>
            <w:gridSpan w:val="3"/>
          </w:tcPr>
          <w:p>
            <w:pPr>
              <w:spacing w:after="0"/>
              <w:rPr>
                <w:sz w:val="24"/>
                <w:szCs w:val="24"/>
                <w:color w:val="auto"/>
              </w:rPr>
            </w:pPr>
          </w:p>
        </w:tc>
        <w:tc>
          <w:tcPr>
            <w:tcW w:w="498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Domestic</w:t>
            </w:r>
          </w:p>
        </w:tc>
        <w:tc>
          <w:tcPr>
            <w:tcW w:w="3820" w:type="dxa"/>
            <w:vAlign w:val="bottom"/>
            <w:gridSpan w:val="2"/>
          </w:tcPr>
          <w:p>
            <w:pPr>
              <w:spacing w:after="0"/>
              <w:rPr>
                <w:sz w:val="24"/>
                <w:szCs w:val="24"/>
                <w:color w:val="auto"/>
              </w:rPr>
            </w:pPr>
          </w:p>
        </w:tc>
        <w:tc>
          <w:tcPr>
            <w:tcW w:w="1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02"/>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Active-Semi, Inc.</w:t>
            </w:r>
          </w:p>
        </w:tc>
        <w:tc>
          <w:tcPr>
            <w:tcW w:w="1560" w:type="dxa"/>
            <w:vAlign w:val="bottom"/>
          </w:tcPr>
          <w:p>
            <w:pPr>
              <w:spacing w:after="0"/>
              <w:rPr>
                <w:sz w:val="24"/>
                <w:szCs w:val="24"/>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Amalfi Semiconductor,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Cavendish Kinetics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Decawave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NextInput,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Premier Devices - A Sirenza Company</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Asia, LLC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Biotechnologies, LLC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California,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Europe Holding Company</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International Holding,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International Services,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Oregon, Inc.</w:t>
            </w:r>
          </w:p>
        </w:tc>
        <w:tc>
          <w:tcPr>
            <w:tcW w:w="1560" w:type="dxa"/>
            <w:vAlign w:val="bottom"/>
          </w:tcPr>
          <w:p>
            <w:pPr>
              <w:spacing w:after="0"/>
              <w:rPr>
                <w:sz w:val="19"/>
                <w:szCs w:val="19"/>
                <w:color w:val="auto"/>
              </w:rPr>
            </w:pPr>
          </w:p>
        </w:tc>
        <w:tc>
          <w:tcPr>
            <w:tcW w:w="342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9"/>
              </w:rPr>
              <w:t>Oregon</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Texas, LLC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US,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RFMD Infrastructure Product Group,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RFMD, LLC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Sevenhugs,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TriQuint WJ,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United Silicon Carbide,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WJ Newco LLC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Xemod Incorporated</w:t>
            </w:r>
          </w:p>
        </w:tc>
        <w:tc>
          <w:tcPr>
            <w:tcW w:w="1560" w:type="dxa"/>
            <w:vAlign w:val="bottom"/>
          </w:tcPr>
          <w:p>
            <w:pPr>
              <w:spacing w:after="0"/>
              <w:rPr>
                <w:sz w:val="20"/>
                <w:szCs w:val="20"/>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05"/>
        </w:trPr>
        <w:tc>
          <w:tcPr>
            <w:tcW w:w="100" w:type="dxa"/>
            <w:vAlign w:val="bottom"/>
          </w:tcPr>
          <w:p>
            <w:pPr>
              <w:spacing w:after="0"/>
              <w:rPr>
                <w:sz w:val="24"/>
                <w:szCs w:val="24"/>
                <w:color w:val="auto"/>
              </w:rPr>
            </w:pP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r>
      <w:tr>
        <w:trPr>
          <w:trHeight w:val="502"/>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Active-Semi International, Inc.</w:t>
            </w:r>
          </w:p>
        </w:tc>
        <w:tc>
          <w:tcPr>
            <w:tcW w:w="1560" w:type="dxa"/>
            <w:vAlign w:val="bottom"/>
          </w:tcPr>
          <w:p>
            <w:pPr>
              <w:spacing w:after="0"/>
              <w:rPr>
                <w:sz w:val="24"/>
                <w:szCs w:val="24"/>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9"/>
              </w:rPr>
              <w:t>Cayman</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Active-Semi (Shanghai) Co., Ltd.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Cavendish Kinetics Limited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Decawave Limited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Beijing Co., Ltd.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Belgium NV</w:t>
            </w:r>
          </w:p>
        </w:tc>
        <w:tc>
          <w:tcPr>
            <w:tcW w:w="1560" w:type="dxa"/>
            <w:vAlign w:val="bottom"/>
          </w:tcPr>
          <w:p>
            <w:pPr>
              <w:spacing w:after="0"/>
              <w:rPr>
                <w:sz w:val="19"/>
                <w:szCs w:val="19"/>
                <w:color w:val="auto"/>
              </w:rPr>
            </w:pPr>
          </w:p>
        </w:tc>
        <w:tc>
          <w:tcPr>
            <w:tcW w:w="342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Costa Rica S.R.L.</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Costa Rica</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Denmark ApS</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Denmark</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Dezhou Co., Ltd.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Finland Oy</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Finland</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Germany GmbH</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Germany Holding GmbH</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Hong Kong Holding Pvt. Limited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Hong Kong Limited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International Pte. Ltd.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Ireland Holding Limited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Japan YK</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Malaysia Sdn Bhd</w:t>
            </w:r>
          </w:p>
        </w:tc>
        <w:tc>
          <w:tcPr>
            <w:tcW w:w="1560" w:type="dxa"/>
            <w:vAlign w:val="bottom"/>
          </w:tcPr>
          <w:p>
            <w:pPr>
              <w:spacing w:after="0"/>
              <w:rPr>
                <w:sz w:val="19"/>
                <w:szCs w:val="19"/>
                <w:color w:val="auto"/>
              </w:rPr>
            </w:pPr>
          </w:p>
        </w:tc>
        <w:tc>
          <w:tcPr>
            <w:tcW w:w="3420" w:type="dxa"/>
            <w:vAlign w:val="bottom"/>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0"/>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Munich GmbH</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Paris</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34"/>
        </w:trPr>
        <w:tc>
          <w:tcPr>
            <w:tcW w:w="4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Qorvo Shanghai Ltd.</w:t>
            </w:r>
          </w:p>
        </w:tc>
        <w:tc>
          <w:tcPr>
            <w:tcW w:w="1560" w:type="dxa"/>
            <w:vAlign w:val="bottom"/>
          </w:tcPr>
          <w:p>
            <w:pPr>
              <w:spacing w:after="0"/>
              <w:rPr>
                <w:sz w:val="20"/>
                <w:szCs w:val="20"/>
                <w:color w:val="auto"/>
              </w:rPr>
            </w:pPr>
          </w:p>
        </w:tc>
        <w:tc>
          <w:tcPr>
            <w:tcW w:w="342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auto"/>
              </w:rPr>
              <w:t>People's Republic of China</w:t>
            </w:r>
          </w:p>
        </w:tc>
      </w:tr>
    </w:tbl>
    <w:p>
      <w:pPr>
        <w:sectPr>
          <w:pgSz w:w="11900" w:h="16838" w:orient="portrait"/>
          <w:cols w:equalWidth="0" w:num="1">
            <w:col w:w="10139"/>
          </w:cols>
          <w:pgMar w:left="320" w:top="1440" w:right="1440" w:bottom="1440" w:gutter="0" w:footer="0" w:header="0"/>
        </w:sectPr>
      </w:pPr>
    </w:p>
    <w:bookmarkStart w:id="123" w:name="page124"/>
    <w:bookmarkEnd w:id="123"/>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Qorvo Singapore Pte. Ltd.</w:t>
            </w:r>
          </w:p>
        </w:tc>
        <w:tc>
          <w:tcPr>
            <w:tcW w:w="39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Qorvo Toulouse SAS</w:t>
            </w:r>
          </w:p>
        </w:tc>
        <w:tc>
          <w:tcPr>
            <w:tcW w:w="39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Qorvo UK Limited</w:t>
            </w:r>
          </w:p>
        </w:tc>
        <w:tc>
          <w:tcPr>
            <w:tcW w:w="39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Qorvo Utrecht B.V.</w:t>
            </w:r>
          </w:p>
        </w:tc>
        <w:tc>
          <w:tcPr>
            <w:tcW w:w="39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Qorvo Vietnam Company Limited</w:t>
            </w:r>
          </w:p>
        </w:tc>
        <w:tc>
          <w:tcPr>
            <w:tcW w:w="39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RF Micro Devices Svenska AB</w:t>
            </w:r>
          </w:p>
        </w:tc>
        <w:tc>
          <w:tcPr>
            <w:tcW w:w="396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8"/>
              </w:rPr>
              <w:t>Sweden</w:t>
            </w:r>
          </w:p>
        </w:tc>
      </w:tr>
    </w:tbl>
    <w:p>
      <w:pPr>
        <w:spacing w:after="0" w:line="200" w:lineRule="exact"/>
        <w:rPr>
          <w:sz w:val="20"/>
          <w:szCs w:val="20"/>
          <w:color w:val="auto"/>
        </w:rPr>
      </w:pP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above listed entities are 100% directly or indirectly owned by Qorvo, Inc., and their results of operations are included in the consolidated financial statements.</w:t>
      </w:r>
    </w:p>
    <w:p>
      <w:pPr>
        <w:sectPr>
          <w:pgSz w:w="11900" w:h="16838" w:orient="portrait"/>
          <w:cols w:equalWidth="0" w:num="1">
            <w:col w:w="10600"/>
          </w:cols>
          <w:pgMar w:left="320" w:top="1440" w:right="9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1.750% Senior Notes due 2024, the 4.375% Senior Notes due 2029 and the 3.375% Senior Notes due 2031 are guaranteed, jointly and severally, on an unsecured basis, by the following 100% owned subsidiaries of Qorvo, Inc., a Delaware corporation, as of April 2, 2022:</w:t>
      </w:r>
    </w:p>
    <w:p>
      <w:pPr>
        <w:spacing w:after="0" w:line="214" w:lineRule="exact"/>
        <w:rPr>
          <w:sz w:val="20"/>
          <w:szCs w:val="20"/>
          <w:color w:val="auto"/>
        </w:rPr>
      </w:pPr>
    </w:p>
    <w:tbl>
      <w:tblPr>
        <w:tblLayout w:type="fixed"/>
        <w:tblInd w:w="1550" w:type="dxa"/>
        <w:tblCellMar>
          <w:top w:w="0" w:type="dxa"/>
          <w:left w:w="0" w:type="dxa"/>
          <w:bottom w:w="0" w:type="dxa"/>
          <w:right w:w="0" w:type="dxa"/>
        </w:tblCellMar>
      </w:tblPr>
      <w:tr>
        <w:trPr>
          <w:trHeight w:val="234"/>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70"/>
        </w:trPr>
        <w:tc>
          <w:tcPr>
            <w:tcW w:w="422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160"/>
          </w:cols>
          <w:pgMar w:left="320" w:top="1413" w:right="4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29"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S-4 No. 333-195236) of Qorvo, Inc.,</w:t>
      </w:r>
    </w:p>
    <w:p>
      <w:pPr>
        <w:spacing w:after="0" w:line="21" w:lineRule="exact"/>
        <w:rPr>
          <w:rFonts w:ascii="Times New Roman" w:cs="Times New Roman" w:eastAsia="Times New Roman" w:hAnsi="Times New Roman"/>
          <w:sz w:val="20"/>
          <w:szCs w:val="20"/>
          <w:color w:val="auto"/>
        </w:rPr>
      </w:pPr>
    </w:p>
    <w:p>
      <w:pPr>
        <w:jc w:val="both"/>
        <w:ind w:left="660" w:hanging="328"/>
        <w:spacing w:after="0" w:line="230" w:lineRule="auto"/>
        <w:tabs>
          <w:tab w:leader="none" w:pos="6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333-201357) pertaining to the Qorvo, Inc. 2007 Employee Stock Purchase Plan, Qorvo, Inc. 2013 Incentive Plan, Qorvo, Inc. 2012 Incentive Plan, Qorvo, Inc. 2009 Incentive Plan, Qorvo, Inc. 2008 Inducement Program, and the Qorvo, Inc. 1996 Stock Incentive Program, and</w:t>
      </w:r>
    </w:p>
    <w:p>
      <w:pPr>
        <w:jc w:val="both"/>
        <w:ind w:left="660" w:hanging="328"/>
        <w:spacing w:after="0" w:line="237" w:lineRule="auto"/>
        <w:tabs>
          <w:tab w:leader="none" w:pos="6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333-201358) pertaining to the Qorvo, Inc. 2012 Stock Incentive Plan, 2003 Stock Incentive Plan of Qorvo, Inc., Qorvo, Inc. 2006 Directors Stock Option Plan, Nonemployee Directors’ Stock Option Plan of Qorvo, Inc., and the Qorvo, Inc. 2015 Inducement Stock Plan;</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of our reports dated May 20, 2022, with respect to the consolidated financial statements of Qorvo, Inc. and subsidiaries and the effectiveness of internal control over financial reporting of Qorvo, Inc. and subsidiaries included in this Annual Report (Form 10-K) of Qorvo, Inc. for the year ended April 2,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rPr>
          <w:sz w:val="20"/>
          <w:szCs w:val="20"/>
          <w:color w:val="auto"/>
        </w:rPr>
      </w:pPr>
      <w:r>
        <w:rPr>
          <w:rFonts w:ascii="Times New Roman" w:cs="Times New Roman" w:eastAsia="Times New Roman" w:hAnsi="Times New Roman"/>
          <w:sz w:val="20"/>
          <w:szCs w:val="20"/>
          <w:color w:val="auto"/>
        </w:rPr>
        <w:t>May 20, 2022</w:t>
      </w:r>
    </w:p>
    <w:p>
      <w:pPr>
        <w:sectPr>
          <w:pgSz w:w="11900" w:h="16838" w:orient="portrait"/>
          <w:cols w:equalWidth="0" w:num="1">
            <w:col w:w="11240"/>
          </w:cols>
          <w:pgMar w:left="320" w:top="140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Qorvo, Inc.;</w:t>
      </w:r>
    </w:p>
    <w:p>
      <w:pPr>
        <w:spacing w:after="0" w:line="252" w:lineRule="exact"/>
        <w:rPr>
          <w:rFonts w:ascii="Times New Roman" w:cs="Times New Roman" w:eastAsia="Times New Roman" w:hAnsi="Times New Roman"/>
          <w:sz w:val="18"/>
          <w:szCs w:val="18"/>
          <w:color w:val="auto"/>
        </w:rPr>
      </w:pPr>
    </w:p>
    <w:p>
      <w:pPr>
        <w:ind w:right="60" w:firstLine="8"/>
        <w:spacing w:after="0" w:line="312" w:lineRule="auto"/>
        <w:tabs>
          <w:tab w:leader="none" w:pos="64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right="20" w:firstLine="8"/>
        <w:spacing w:after="0" w:line="282" w:lineRule="auto"/>
        <w:tabs>
          <w:tab w:leader="none" w:pos="6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6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hanging="4"/>
        <w:spacing w:after="0" w:line="266" w:lineRule="auto"/>
        <w:tabs>
          <w:tab w:leader="none" w:pos="129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9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29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00" w:hanging="4"/>
        <w:spacing w:after="0" w:line="282" w:lineRule="auto"/>
        <w:tabs>
          <w:tab w:leader="none" w:pos="129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Date: May 20, 2022</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17145</wp:posOffset>
            </wp:positionV>
            <wp:extent cx="23056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80"/>
          </w:cols>
          <w:pgMar w:left="320" w:top="887" w:right="3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A. Brown, certify that:</w:t>
      </w:r>
    </w:p>
    <w:p>
      <w:pPr>
        <w:spacing w:after="0" w:line="252" w:lineRule="exact"/>
        <w:rPr>
          <w:sz w:val="20"/>
          <w:szCs w:val="20"/>
          <w:color w:val="auto"/>
        </w:rPr>
      </w:pPr>
    </w:p>
    <w:p>
      <w:pPr>
        <w:ind w:left="320" w:hanging="312"/>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Qorvo, Inc.;</w:t>
      </w:r>
    </w:p>
    <w:p>
      <w:pPr>
        <w:spacing w:after="0" w:line="252" w:lineRule="exact"/>
        <w:rPr>
          <w:rFonts w:ascii="Times New Roman" w:cs="Times New Roman" w:eastAsia="Times New Roman" w:hAnsi="Times New Roman"/>
          <w:sz w:val="18"/>
          <w:szCs w:val="18"/>
          <w:color w:val="auto"/>
        </w:rPr>
      </w:pPr>
    </w:p>
    <w:p>
      <w:pPr>
        <w:ind w:right="220" w:firstLine="8"/>
        <w:spacing w:after="0" w:line="282" w:lineRule="auto"/>
        <w:tabs>
          <w:tab w:leader="none" w:pos="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80" w:firstLine="8"/>
        <w:spacing w:after="0" w:line="282" w:lineRule="auto"/>
        <w:tabs>
          <w:tab w:leader="none" w:pos="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40" w:firstLine="8"/>
        <w:spacing w:after="0" w:line="266" w:lineRule="auto"/>
        <w:tabs>
          <w:tab w:leader="none" w:pos="31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9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9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120" w:firstLine="8"/>
        <w:spacing w:after="0" w:line="282" w:lineRule="auto"/>
        <w:tabs>
          <w:tab w:leader="none" w:pos="31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60" w:hanging="4"/>
        <w:spacing w:after="0" w:line="282" w:lineRule="auto"/>
        <w:tabs>
          <w:tab w:leader="none" w:pos="97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May 20, 2022</w:t>
      </w:r>
    </w:p>
    <w:p>
      <w:pPr>
        <w:spacing w:after="0" w:line="200" w:lineRule="exact"/>
        <w:rPr>
          <w:sz w:val="20"/>
          <w:szCs w:val="20"/>
          <w:color w:val="auto"/>
        </w:rPr>
      </w:pPr>
    </w:p>
    <w:p>
      <w:pPr>
        <w:spacing w:after="0" w:line="2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27171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Grant A. Brown</w:t>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Vice President of Treasury and Interim Chief Financial</w:t>
      </w:r>
    </w:p>
    <w:p>
      <w:pPr>
        <w:ind w:left="656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00"/>
          </w:cols>
          <w:pgMar w:left="320" w:top="887" w:right="3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Robert A. Bruggeworth, President and Chief Executive Officer of Qorvo, Inc. (the “Company”), certify pursuant to Section 906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34" w:lineRule="exact"/>
        <w:rPr>
          <w:sz w:val="20"/>
          <w:szCs w:val="20"/>
          <w:color w:val="auto"/>
        </w:rPr>
      </w:pPr>
    </w:p>
    <w:p>
      <w:pPr>
        <w:ind w:left="660" w:right="460" w:hanging="652"/>
        <w:spacing w:after="0" w:line="283" w:lineRule="auto"/>
        <w:tabs>
          <w:tab w:leader="none" w:pos="44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on Form 10-K of the Company for the fiscal year ended April 2, 2022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hanging="652"/>
        <w:spacing w:after="0" w:line="283" w:lineRule="auto"/>
        <w:tabs>
          <w:tab w:leader="none" w:pos="44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22860</wp:posOffset>
            </wp:positionV>
            <wp:extent cx="27260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Robert A. Bruggeworth</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May 20, 2022</w:t>
      </w:r>
    </w:p>
    <w:p>
      <w:pPr>
        <w:sectPr>
          <w:pgSz w:w="11900" w:h="16838" w:orient="portrait"/>
          <w:cols w:equalWidth="0" w:num="1">
            <w:col w:w="11000"/>
          </w:cols>
          <w:pgMar w:left="320" w:top="882" w:right="5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99"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Grant A. Brown, Vice President of Treasury and Interim Chief Financial Officer of Qorvo, Inc. (the “Company”), certify pursuant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906 of the Sarbanes-Oxley Act of 2002, 18 U.S.C. Section 1350, that, to my knowledge:</w:t>
      </w:r>
    </w:p>
    <w:p>
      <w:pPr>
        <w:spacing w:after="0" w:line="234" w:lineRule="exact"/>
        <w:rPr>
          <w:sz w:val="20"/>
          <w:szCs w:val="20"/>
          <w:color w:val="auto"/>
        </w:rPr>
      </w:pPr>
    </w:p>
    <w:p>
      <w:pPr>
        <w:ind w:left="660" w:right="460" w:hanging="652"/>
        <w:spacing w:after="0" w:line="283" w:lineRule="auto"/>
        <w:tabs>
          <w:tab w:leader="none" w:pos="44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on Form 10-K of the Company for the fiscal year ended April 2, 2022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hanging="652"/>
        <w:spacing w:after="0" w:line="283" w:lineRule="auto"/>
        <w:tabs>
          <w:tab w:leader="none" w:pos="44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22860</wp:posOffset>
            </wp:positionV>
            <wp:extent cx="46374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Grant A. Brown</w:t>
      </w:r>
    </w:p>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Vice President of Treasury and Interim Chief Financial Officer</w:t>
      </w:r>
    </w:p>
    <w:p>
      <w:pPr>
        <w:spacing w:after="0" w:line="1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May 20, 2022</w:t>
      </w:r>
    </w:p>
    <w:sectPr>
      <w:pgSz w:w="11900" w:h="16838" w:orient="portrait"/>
      <w:cols w:equalWidth="0" w:num="1">
        <w:col w:w="11000"/>
      </w:cols>
      <w:pgMar w:left="320" w:top="882"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10"/>
    </w:lvl>
  </w:abstractNum>
  <w:abstractNum w:abstractNumId="33">
    <w:nsid w:val="180115BE"/>
    <w:multiLevelType w:val="hybridMultilevel"/>
    <w:lvl w:ilvl="0">
      <w:lvlJc w:val="left"/>
      <w:lvlText w:val="%1."/>
      <w:numFmt w:val="decimal"/>
      <w:start w:val="1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1)"/>
      <w:numFmt w:val="lowerLetter"/>
      <w:start w:val="2"/>
    </w:lvl>
  </w:abstractNum>
  <w:abstractNum w:abstractNumId="38">
    <w:nsid w:val="741226BB"/>
    <w:multiLevelType w:val="hybridMultilevel"/>
    <w:lvl w:ilvl="0">
      <w:lvlJc w:val="left"/>
      <w:lvlText w:val="(%1)"/>
      <w:numFmt w:val="lowerLetter"/>
      <w:start w:val="3"/>
    </w:lvl>
  </w:abstractNum>
  <w:abstractNum w:abstractNumId="39">
    <w:nsid w:val="D34B6A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0">
    <w:nsid w:val="10233C99"/>
    <w:multiLevelType w:val="hybridMultilevel"/>
    <w:lvl w:ilvl="0">
      <w:lvlJc w:val="left"/>
      <w:lvlText w:val="%1"/>
      <w:numFmt w:val="lowerLetter"/>
      <w:start w:val="1"/>
    </w:lvl>
    <w:lvl w:ilvl="1">
      <w:lvlJc w:val="left"/>
      <w:lvlText w:val="(%2)"/>
      <w:numFmt w:val="decimal"/>
      <w:start w:val="2"/>
    </w:lvl>
  </w:abstractNum>
  <w:abstractNum w:abstractNumId="41">
    <w:nsid w:val="3F6AB60F"/>
    <w:multiLevelType w:val="hybridMultilevel"/>
    <w:lvl w:ilvl="0">
      <w:lvlJc w:val="left"/>
      <w:lvlText w:val="(%1)"/>
      <w:numFmt w:val="lowerLetter"/>
      <w:start w:val="2"/>
    </w:lvl>
    <w:lvl w:ilvl="1">
      <w:lvlJc w:val="left"/>
      <w:lvlText w:val="%2"/>
      <w:numFmt w:val="decimal"/>
      <w:start w:val="1"/>
    </w:lvl>
  </w:abstractNum>
  <w:abstractNum w:abstractNumId="42">
    <w:nsid w:val="61574095"/>
    <w:multiLevelType w:val="hybridMultilevel"/>
    <w:lvl w:ilvl="0">
      <w:lvlJc w:val="left"/>
      <w:lvlText w:val="(%1)"/>
      <w:numFmt w:val="lowerLetter"/>
      <w:start w:val="3"/>
    </w:lvl>
  </w:abstractNum>
  <w:abstractNum w:abstractNumId="43">
    <w:nsid w:val="7E0C57B1"/>
    <w:multiLevelType w:val="hybridMultilevel"/>
    <w:lvl w:ilvl="0">
      <w:lvlJc w:val="left"/>
      <w:lvlText w:val="%1"/>
      <w:numFmt w:val="decimal"/>
      <w:start w:val="21"/>
    </w:lvl>
  </w:abstractNum>
  <w:abstractNum w:abstractNumId="44">
    <w:nsid w:val="77AE35EB"/>
    <w:multiLevelType w:val="hybridMultilevel"/>
    <w:lvl w:ilvl="0">
      <w:lvlJc w:val="left"/>
      <w:lvlText w:val="%1"/>
      <w:numFmt w:val="decimal"/>
      <w:start w:val="101"/>
    </w:lvl>
  </w:abstractNum>
  <w:abstractNum w:abstractNumId="45">
    <w:nsid w:val="579BE4F1"/>
    <w:multiLevelType w:val="hybridMultilevel"/>
    <w:lvl w:ilvl="0">
      <w:lvlJc w:val="left"/>
      <w:lvlText w:val="%1."/>
      <w:numFmt w:val="decimal"/>
      <w:start w:val="1"/>
    </w:lvl>
    <w:lvl w:ilvl="1">
      <w:lvlJc w:val="left"/>
      <w:lvlText w:val="(%2)"/>
      <w:numFmt w:val="lowerLetter"/>
      <w:start w:val="1"/>
    </w:lvl>
  </w:abstractNum>
  <w:abstractNum w:abstractNumId="46">
    <w:nsid w:val="310C50B3"/>
    <w:multiLevelType w:val="hybridMultilevel"/>
    <w:lvl w:ilvl="0">
      <w:lvlJc w:val="left"/>
      <w:lvlText w:val="(%1)"/>
      <w:numFmt w:val="lowerLetter"/>
      <w:start w:val="3"/>
    </w:lvl>
  </w:abstractNum>
  <w:abstractNum w:abstractNumId="47">
    <w:nsid w:val="5FF87E05"/>
    <w:multiLevelType w:val="hybridMultilevel"/>
    <w:lvl w:ilvl="0">
      <w:lvlJc w:val="left"/>
      <w:lvlText w:val="%1."/>
      <w:numFmt w:val="decimal"/>
      <w:start w:val="3"/>
    </w:lvl>
    <w:lvl w:ilvl="1">
      <w:lvlJc w:val="left"/>
      <w:lvlText w:val="(%2)"/>
      <w:numFmt w:val="lowerLetter"/>
      <w:start w:val="1"/>
    </w:lvl>
  </w:abstractNum>
  <w:abstractNum w:abstractNumId="48">
    <w:nsid w:val="2F305DEF"/>
    <w:multiLevelType w:val="hybridMultilevel"/>
    <w:lvl w:ilvl="0">
      <w:lvlJc w:val="left"/>
      <w:lvlText w:val="%1"/>
      <w:numFmt w:val="decimal"/>
      <w:start w:val="1"/>
    </w:lvl>
    <w:lvl w:ilvl="1">
      <w:lvlJc w:val="left"/>
      <w:lvlText w:val="(%2)"/>
      <w:numFmt w:val="lowerLetter"/>
      <w:start w:val="4"/>
    </w:lvl>
  </w:abstractNum>
  <w:abstractNum w:abstractNumId="49">
    <w:nsid w:val="25A70BF7"/>
    <w:multiLevelType w:val="hybridMultilevel"/>
    <w:lvl w:ilvl="0">
      <w:lvlJc w:val="left"/>
      <w:lvlText w:val="(%1)"/>
      <w:numFmt w:val="decimal"/>
      <w:start w:val="1"/>
    </w:lvl>
    <w:lvl w:ilvl="1">
      <w:lvlJc w:val="left"/>
      <w:lvlText w:val="%2"/>
      <w:numFmt w:val="lowerLetter"/>
      <w:start w:val="1"/>
    </w:lvl>
  </w:abstractNum>
  <w:abstractNum w:abstractNumId="50">
    <w:nsid w:val="1DBABF00"/>
    <w:multiLevelType w:val="hybridMultilevel"/>
    <w:lvl w:ilvl="0">
      <w:lvlJc w:val="left"/>
      <w:lvlText w:val="%1."/>
      <w:numFmt w:val="decimal"/>
      <w:start w:val="4"/>
    </w:lvl>
    <w:lvl w:ilvl="1">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1."/>
      <w:numFmt w:val="decimal"/>
      <w:start w:val="5"/>
    </w:lvl>
  </w:abstractNum>
  <w:abstractNum w:abstractNumId="53">
    <w:nsid w:val="1381823A"/>
    <w:multiLevelType w:val="hybridMultilevel"/>
    <w:lvl w:ilvl="0">
      <w:lvlJc w:val="left"/>
      <w:lvlText w:val="%1."/>
      <w:numFmt w:val="decimal"/>
      <w:start w:val="6"/>
    </w:lvl>
  </w:abstractNum>
  <w:abstractNum w:abstractNumId="54">
    <w:nsid w:val="5DB70AE5"/>
    <w:multiLevelType w:val="hybridMultilevel"/>
    <w:lvl w:ilvl="0">
      <w:lvlJc w:val="left"/>
      <w:lvlText w:val="%1."/>
      <w:numFmt w:val="decimal"/>
      <w:start w:val="7"/>
    </w:lvl>
    <w:lvl w:ilvl="1">
      <w:lvlJc w:val="left"/>
      <w:lvlText w:val="(%2)"/>
      <w:numFmt w:val="lowerLetter"/>
      <w:start w:val="1"/>
    </w:lvl>
  </w:abstractNum>
  <w:abstractNum w:abstractNumId="55">
    <w:nsid w:val="100F8FCA"/>
    <w:multiLevelType w:val="hybridMultilevel"/>
    <w:lvl w:ilvl="0">
      <w:lvlJc w:val="left"/>
      <w:lvlText w:val="%1."/>
      <w:numFmt w:val="decimal"/>
      <w:start w:val="10"/>
    </w:lvl>
  </w:abstractNum>
  <w:abstractNum w:abstractNumId="56">
    <w:nsid w:val="6590700B"/>
    <w:multiLevelType w:val="hybridMultilevel"/>
    <w:lvl w:ilvl="0">
      <w:lvlJc w:val="left"/>
      <w:lvlText w:val="%1."/>
      <w:numFmt w:val="decimal"/>
      <w:start w:val="17"/>
    </w:lvl>
  </w:abstractNum>
  <w:abstractNum w:abstractNumId="57">
    <w:nsid w:val="15014ACB"/>
    <w:multiLevelType w:val="hybridMultilevel"/>
    <w:lvl w:ilvl="0">
      <w:lvlJc w:val="left"/>
      <w:lvlText w:val="%1."/>
      <w:numFmt w:val="upperLetter"/>
      <w:start w:val="1"/>
    </w:lvl>
  </w:abstractNum>
  <w:abstractNum w:abstractNumId="58">
    <w:nsid w:val="5F5E7FD0"/>
    <w:multiLevelType w:val="hybridMultilevel"/>
    <w:lvl w:ilvl="0">
      <w:lvlJc w:val="left"/>
      <w:lvlText w:val="%1."/>
      <w:numFmt w:val="decimal"/>
      <w:start w:val="1"/>
    </w:lvl>
    <w:lvl w:ilvl="1">
      <w:lvlJc w:val="left"/>
      <w:lvlText w:val="(%2)"/>
      <w:numFmt w:val="lowerLetter"/>
      <w:start w:val="1"/>
    </w:lvl>
  </w:abstractNum>
  <w:abstractNum w:abstractNumId="59">
    <w:nsid w:val="98A3148"/>
    <w:multiLevelType w:val="hybridMultilevel"/>
    <w:lvl w:ilvl="0">
      <w:lvlJc w:val="left"/>
      <w:lvlText w:val="%1"/>
      <w:numFmt w:val="decimal"/>
      <w:start w:val="1"/>
    </w:lvl>
    <w:lvl w:ilvl="1">
      <w:lvlJc w:val="left"/>
      <w:lvlText w:val="(%2)"/>
      <w:numFmt w:val="lowerLetter"/>
      <w:start w:val="2"/>
    </w:lvl>
  </w:abstractNum>
  <w:abstractNum w:abstractNumId="60">
    <w:nsid w:val="799D0247"/>
    <w:multiLevelType w:val="hybridMultilevel"/>
    <w:lvl w:ilvl="0">
      <w:lvlJc w:val="left"/>
      <w:lvlText w:val="%1."/>
      <w:numFmt w:val="decimal"/>
      <w:start w:val="5"/>
    </w:lvl>
    <w:lvl w:ilvl="1">
      <w:lvlJc w:val="left"/>
      <w:lvlText w:val="%2"/>
      <w:numFmt w:val="lowerLetter"/>
      <w:start w:val="1"/>
    </w:lvl>
  </w:abstractNum>
  <w:abstractNum w:abstractNumId="61">
    <w:nsid w:val="6B94764"/>
    <w:multiLevelType w:val="hybridMultilevel"/>
    <w:lvl w:ilvl="0">
      <w:lvlJc w:val="left"/>
      <w:lvlText w:val="%1."/>
      <w:numFmt w:val="decimal"/>
      <w:start w:val="6"/>
    </w:lvl>
  </w:abstractNum>
  <w:abstractNum w:abstractNumId="62">
    <w:nsid w:val="42C296BD"/>
    <w:multiLevelType w:val="hybridMultilevel"/>
    <w:lvl w:ilvl="0">
      <w:lvlJc w:val="left"/>
      <w:lvlText w:val="%1."/>
      <w:numFmt w:val="decimal"/>
      <w:start w:val="9"/>
    </w:lvl>
  </w:abstractNum>
  <w:abstractNum w:abstractNumId="63">
    <w:nsid w:val="168E121F"/>
    <w:multiLevelType w:val="hybridMultilevel"/>
    <w:lvl w:ilvl="0">
      <w:lvlJc w:val="left"/>
      <w:lvlText w:val="%1."/>
      <w:numFmt w:val="decimal"/>
      <w:start w:val="10"/>
    </w:lvl>
    <w:lvl w:ilvl="1">
      <w:lvlJc w:val="left"/>
      <w:lvlText w:val="(%2)"/>
      <w:numFmt w:val="lowerLetter"/>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6">
    <w:nsid w:val="5DC79EA8"/>
    <w:multiLevelType w:val="hybridMultilevel"/>
    <w:lvl w:ilvl="0">
      <w:lvlJc w:val="left"/>
      <w:lvlText w:val="(%1)"/>
      <w:numFmt w:val="lowerLetter"/>
      <w:start w:val="6"/>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decimal"/>
      <w:start w:val="2"/>
    </w:lvl>
    <w:lvl w:ilvl="1">
      <w:lvlJc w:val="left"/>
      <w:lvlText w:val="(%2)"/>
      <w:numFmt w:val="lowerLetter"/>
      <w:start w:val="1"/>
    </w:lvl>
  </w:abstractNum>
  <w:abstractNum w:abstractNumId="71">
    <w:nsid w:val="BF72B14"/>
    <w:multiLevelType w:val="hybridMultilevel"/>
    <w:lvl w:ilvl="0">
      <w:lvlJc w:val="left"/>
      <w:lvlText w:val="(%1)"/>
      <w:numFmt w:val="lowerLetter"/>
      <w:start w:val="2"/>
    </w:lvl>
    <w:lvl w:ilvl="1">
      <w:lvlJc w:val="left"/>
      <w:lvlText w:val="(%2)"/>
      <w:numFmt w:val="lowerRoman"/>
      <w:start w:val="1"/>
    </w:lvl>
  </w:abstractNum>
  <w:abstractNum w:abstractNumId="72">
    <w:nsid w:val="11447B73"/>
    <w:multiLevelType w:val="hybridMultilevel"/>
    <w:lvl w:ilvl="0">
      <w:lvlJc w:val="left"/>
      <w:lvlText w:val="%1"/>
      <w:numFmt w:val="lowerLetter"/>
      <w:start w:val="1"/>
    </w:lvl>
    <w:lvl w:ilvl="1">
      <w:lvlJc w:val="left"/>
      <w:lvlText w:val="(%2)"/>
      <w:numFmt w:val="lowerRoman"/>
      <w:start w:val="2"/>
    </w:lvl>
  </w:abstractNum>
  <w:abstractNum w:abstractNumId="73">
    <w:nsid w:val="42963E5A"/>
    <w:multiLevelType w:val="hybridMultilevel"/>
    <w:lvl w:ilvl="0">
      <w:lvlJc w:val="left"/>
      <w:lvlText w:val="(%1)"/>
      <w:numFmt w:val="lowerLetter"/>
      <w:start w:val="5"/>
    </w:lvl>
    <w:lvl w:ilvl="1">
      <w:lvlJc w:val="left"/>
      <w:lvlText w:val="(%2)"/>
      <w:numFmt w:val="lowerRoman"/>
      <w:start w:val="1"/>
    </w:lvl>
  </w:abstractNum>
  <w:abstractNum w:abstractNumId="74">
    <w:nsid w:val="A0382C5"/>
    <w:multiLevelType w:val="hybridMultilevel"/>
    <w:lvl w:ilvl="0">
      <w:lvlJc w:val="left"/>
      <w:lvlText w:val="(%1)"/>
      <w:numFmt w:val="lowerLetter"/>
      <w:start w:val="7"/>
    </w:lvl>
  </w:abstractNum>
  <w:abstractNum w:abstractNumId="75">
    <w:nsid w:val="8F2B15E"/>
    <w:multiLevelType w:val="hybridMultilevel"/>
    <w:lvl w:ilvl="0">
      <w:lvlJc w:val="left"/>
      <w:lvlText w:val="☐"/>
      <w:numFmt w:val="bullet"/>
      <w:start w:val="1"/>
    </w:lvl>
    <w:lvl w:ilvl="1">
      <w:lvlJc w:val="left"/>
      <w:lvlText w:val="%2."/>
      <w:numFmt w:val="decimal"/>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28" Type="http://schemas.openxmlformats.org/officeDocument/2006/relationships/image" Target="media/image102.png"/><Relationship Id="rId150"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jpe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09" Type="http://schemas.openxmlformats.org/officeDocument/2006/relationships/hyperlink" Target="http://www.sec.gov/Archives/edgar/data/1604778/000160477815000011/exhibit3120141227.htm" TargetMode="External"/><Relationship Id="rId110" Type="http://schemas.openxmlformats.org/officeDocument/2006/relationships/hyperlink" Target="http://www.sec.gov/Archives/edgar/data/1604778/000160477816000159/exhibit31-amendedandrestat.htm" TargetMode="External"/><Relationship Id="rId111" Type="http://schemas.openxmlformats.org/officeDocument/2006/relationships/hyperlink" Target="http://www.sec.gov/Archives/edgar/data/1604778/000160477815000051/exhibit4120150328.htm" TargetMode="External"/><Relationship Id="rId112" Type="http://schemas.openxmlformats.org/officeDocument/2006/relationships/hyperlink" Target="https://www.sec.gov/Archives/edgar/data/0001604778/000160477819000072/qorvo-indenturefall201.htm" TargetMode="External"/><Relationship Id="rId113" Type="http://schemas.openxmlformats.org/officeDocument/2006/relationships/hyperlink" Target="https://www.sec.gov/Archives/edgar/data/1604778/000160477819000099/qorvo-supplementalinde.htm" TargetMode="External"/><Relationship Id="rId114" Type="http://schemas.openxmlformats.org/officeDocument/2006/relationships/hyperlink" Target="https://www.sec.gov/Archives/edgar/data/0001604778/000119312520166705/d941453dex41.htm" TargetMode="External"/><Relationship Id="rId115" Type="http://schemas.openxmlformats.org/officeDocument/2006/relationships/hyperlink" Target="https://www.sec.gov/Archives/edgar/data/0001604778/000119312520257877/d51558dex41.htm" TargetMode="External"/><Relationship Id="rId116" Type="http://schemas.openxmlformats.org/officeDocument/2006/relationships/hyperlink" Target="https://www.sec.gov/Archives/edgar/data/1604778/000119312521356784/d267681dex41.htm" TargetMode="External"/><Relationship Id="rId117" Type="http://schemas.openxmlformats.org/officeDocument/2006/relationships/hyperlink" Target="https://www.sec.gov/Archives/edgar/data/1604778/000119312521356784/d267681dex42.htm" TargetMode="External"/><Relationship Id="rId118" Type="http://schemas.openxmlformats.org/officeDocument/2006/relationships/hyperlink" Target="https://www.sec.gov/Archives/edgar/data/1604778/000160477819000031/exhibit411-descriptionofse.htm" TargetMode="External"/><Relationship Id="rId119" Type="http://schemas.openxmlformats.org/officeDocument/2006/relationships/hyperlink" Target="http://www.sec.gov/Archives/edgar/data/1604778/000160477817000031/exhibit10120170401.htm" TargetMode="External"/><Relationship Id="rId120" Type="http://schemas.openxmlformats.org/officeDocument/2006/relationships/hyperlink" Target="http://www.sec.gov/Archives/edgar/data/1604778/000119312515000770/d840258dex992.htm" TargetMode="External"/><Relationship Id="rId121" Type="http://schemas.openxmlformats.org/officeDocument/2006/relationships/hyperlink" Target="http://www.sec.gov/Archives/edgar/data/1604778/000119312515000770/d840258dex993.htm" TargetMode="External"/><Relationship Id="rId122" Type="http://schemas.openxmlformats.org/officeDocument/2006/relationships/hyperlink" Target="http://www.sec.gov/Archives/edgar/data/1604778/000119312515000770/d840258dex994.htm" TargetMode="External"/><Relationship Id="rId123" Type="http://schemas.openxmlformats.org/officeDocument/2006/relationships/hyperlink" Target="http://www.sec.gov/Archives/edgar/data/1604778/000119312515000770/d840258dex995.htm" TargetMode="External"/><Relationship Id="rId124" Type="http://schemas.openxmlformats.org/officeDocument/2006/relationships/hyperlink" Target="http://www.sec.gov/Archives/edgar/data/1604778/000119312515000770/d840258dex996.htm" TargetMode="External"/><Relationship Id="rId125" Type="http://schemas.openxmlformats.org/officeDocument/2006/relationships/hyperlink" Target="http://www.sec.gov/Archives/edgar/data/1604778/000119312515000771/d840388dex991.htm" TargetMode="External"/><Relationship Id="rId126" Type="http://schemas.openxmlformats.org/officeDocument/2006/relationships/hyperlink" Target="http://www.sec.gov/Archives/edgar/data/1604778/000119312515000771/d840388dex992.htm" TargetMode="External"/><Relationship Id="rId127" Type="http://schemas.openxmlformats.org/officeDocument/2006/relationships/hyperlink" Target="http://www.sec.gov/Archives/edgar/data/1604778/000119312515000771/d840388dex993.htm" TargetMode="External"/><Relationship Id="rId129" Type="http://schemas.openxmlformats.org/officeDocument/2006/relationships/hyperlink" Target="http://www.sec.gov/Archives/edgar/data/1604778/000119312515000771/d840388dex994.htm" TargetMode="External"/><Relationship Id="rId130" Type="http://schemas.openxmlformats.org/officeDocument/2006/relationships/hyperlink" Target="http://www.sec.gov/Archives/edgar/data/1604778/000119312515000771/d840388dex995.htm" TargetMode="External"/><Relationship Id="rId131" Type="http://schemas.openxmlformats.org/officeDocument/2006/relationships/hyperlink" Target="http://www.sec.gov/Archives/edgar/data/1604778/000119312515001853/d841781dex101.htm" TargetMode="External"/><Relationship Id="rId132" Type="http://schemas.openxmlformats.org/officeDocument/2006/relationships/hyperlink" Target="http://www.sec.gov/Archives/edgar/data/1604778/000160477815000018/qorvocicagreement2015final1.htm" TargetMode="External"/><Relationship Id="rId133" Type="http://schemas.openxmlformats.org/officeDocument/2006/relationships/hyperlink" Target="http://www.sec.gov/Archives/edgar/data/1604778/000160477815000051/exhibit101520150328.htm" TargetMode="External"/><Relationship Id="rId134" Type="http://schemas.openxmlformats.org/officeDocument/2006/relationships/hyperlink" Target="http://www.sec.gov/Archives/edgar/data/1604778/000160477815000051/exhibit101620150328.htm" TargetMode="External"/><Relationship Id="rId135" Type="http://schemas.openxmlformats.org/officeDocument/2006/relationships/hyperlink" Target="http://www.sec.gov/Archives/edgar/data/911160/000091116008000034/employmentagreement.htm" TargetMode="External"/><Relationship Id="rId136" Type="http://schemas.openxmlformats.org/officeDocument/2006/relationships/hyperlink" Target="http://www.sec.gov/Archives/edgar/data/1604778/000160477815000075/ex103-qorvo2012sipoptionag.htm" TargetMode="External"/><Relationship Id="rId137" Type="http://schemas.openxmlformats.org/officeDocument/2006/relationships/hyperlink" Target="http://www.sec.gov/Archives/edgar/data/1604778/000160477815000075/ex104-qorvo2012siprsuagree.htm" TargetMode="External"/><Relationship Id="rId138" Type="http://schemas.openxmlformats.org/officeDocument/2006/relationships/hyperlink" Target="http://www.sec.gov/Archives/edgar/data/1604778/000160477815000075/ex105-qorvo2012siprsuagree.htm" TargetMode="External"/><Relationship Id="rId139" Type="http://schemas.openxmlformats.org/officeDocument/2006/relationships/hyperlink" Target="http://www.sec.gov/Archives/edgar/data/1604778/000160477815000075/ex106-qorvo2012siprsuagree.htm" TargetMode="External"/><Relationship Id="rId140" Type="http://schemas.openxmlformats.org/officeDocument/2006/relationships/hyperlink" Target="http://www.sec.gov/Archives/edgar/data/1604778/000160477815000075/ex108-qorvoseverancebenefi.htm" TargetMode="External"/><Relationship Id="rId141" Type="http://schemas.openxmlformats.org/officeDocument/2006/relationships/hyperlink" Target="http://www.sec.gov/Archives/edgar/data/1604778/000160477816000175/exhibit103020160402.htm" TargetMode="External"/><Relationship Id="rId142" Type="http://schemas.openxmlformats.org/officeDocument/2006/relationships/hyperlink" Target="http://www.sec.gov/Archives/edgar/data/1604778/000160477816000175/exhibit103120160402.htm" TargetMode="External"/><Relationship Id="rId143" Type="http://schemas.openxmlformats.org/officeDocument/2006/relationships/hyperlink" Target="http://www.sec.gov/Archives/edgar/data/1604778/000160477816000175/exhibit103220160402.htm" TargetMode="External"/><Relationship Id="rId144" Type="http://schemas.openxmlformats.org/officeDocument/2006/relationships/hyperlink" Target="http://www.sec.gov/Archives/edgar/data/1604778/000160477816000175/exhibit103320160402.htm" TargetMode="External"/><Relationship Id="rId145" Type="http://schemas.openxmlformats.org/officeDocument/2006/relationships/hyperlink" Target="http://www.sec.gov/Archives/edgar/data/1604778/000160477816000175/exhibit103420160402.htm" TargetMode="External"/><Relationship Id="rId146" Type="http://schemas.openxmlformats.org/officeDocument/2006/relationships/hyperlink" Target="http://www.sec.gov/Archives/edgar/data/1604778/000160477816000193/exhibit10120160702.htm" TargetMode="External"/><Relationship Id="rId147" Type="http://schemas.openxmlformats.org/officeDocument/2006/relationships/hyperlink" Target="http://www.sec.gov/Archives/edgar/data/1604778/000160477816000211/exhibit10120161001.htm" TargetMode="External"/><Relationship Id="rId148" Type="http://schemas.openxmlformats.org/officeDocument/2006/relationships/hyperlink" Target="http://www.sec.gov/Archives/edgar/data/1604778/000160477817000025/exhibit10stincentiveplanma.htm" TargetMode="External"/><Relationship Id="rId149" Type="http://schemas.openxmlformats.org/officeDocument/2006/relationships/hyperlink" Target="http://www.sec.gov/Archives/edgar/data/1604778/000160477818000023/exhibit1037qorvo_2018amend.htm" TargetMode="External"/><Relationship Id="rId151" Type="http://schemas.openxmlformats.org/officeDocument/2006/relationships/hyperlink" Target="http://www.sec.gov/Archives/edgar/data/1604778/000160477819000008/exhibit101-second2018decla.htm" TargetMode="External"/><Relationship Id="rId152" Type="http://schemas.openxmlformats.org/officeDocument/2006/relationships/hyperlink" Target="https://www.sec.gov/Archives/edgar/data/1604778/000160477820000008/exhibit10120191228.htm" TargetMode="External"/><Relationship Id="rId153" Type="http://schemas.openxmlformats.org/officeDocument/2006/relationships/hyperlink" Target="https://www.sec.gov/Archives/edgar/data/1604778/000160477820000008/exhibit10220191228.htm" TargetMode="External"/><Relationship Id="rId154" Type="http://schemas.openxmlformats.org/officeDocument/2006/relationships/hyperlink" Target="https://www.sec.gov/Archives/edgar/data/1604778/000119312520257877/d51558dex101.htm" TargetMode="External"/><Relationship Id="rId155" Type="http://schemas.openxmlformats.org/officeDocument/2006/relationships/hyperlink" Target="https://www.sec.gov/Archives/edgar/data/1604778/000160477821000010/exhibit10120210102.htm" TargetMode="External"/><Relationship Id="rId156" Type="http://schemas.openxmlformats.org/officeDocument/2006/relationships/hyperlink" Target="https://www.sec.gov/Archives/edgar/data/1604778/000160477821000032/exhibit1038202104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2022-05-20T16:01:48Z</dcterms:created>
  <dcterms:modified xsi:type="dcterms:W3CDTF">2022-05-20T16:01:48Z</dcterms:modified>
</cp:coreProperties>
</file>