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June 28, 2025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color w:val="000000"/>
          <w:sz w:val="20"/>
        </w:rPr>
        <w:t>For the transition period from _____to _____</w:t>
      </w:r>
    </w:p>
    <w:p>
      <w:pPr>
        <w:pStyle w:val="TextBody"/>
        <w:bidi w:val="0"/>
        <w:spacing w:lineRule="auto" w:line="288" w:before="0" w:after="6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2"/>
        </w:rPr>
        <w:t>001-36801</w:t>
      </w:r>
      <w:r>
        <w:rPr>
          <w:color w:val="000000"/>
        </w:rPr>
        <w:t xml:space="preserve"> </w:t>
      </w:r>
    </w:p>
    <w:p>
      <w:pPr>
        <w:pStyle w:val="TextBody"/>
        <w:bidi w:val="0"/>
        <w:spacing w:before="0" w:after="60"/>
        <w:jc w:val="center"/>
        <w:rPr/>
      </w:pPr>
      <w:r>
        <w:rPr/>
        <w:drawing>
          <wp:inline distT="0" distB="0" distL="0" distR="0">
            <wp:extent cx="21431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286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Qorvo, Inc.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w:t>
      </w:r>
    </w:p>
    <w:tbl>
      <w:tblPr>
        <w:tblW w:w="7361" w:type="dxa"/>
        <w:jc w:val="center"/>
        <w:tblInd w:w="0" w:type="dxa"/>
        <w:tblLayout w:type="fixed"/>
        <w:tblCellMar>
          <w:top w:w="28" w:type="dxa"/>
          <w:left w:w="28" w:type="dxa"/>
          <w:bottom w:w="28" w:type="dxa"/>
          <w:right w:w="28" w:type="dxa"/>
        </w:tblCellMar>
      </w:tblPr>
      <w:tblGrid>
        <w:gridCol w:w="794"/>
        <w:gridCol w:w="697"/>
        <w:gridCol w:w="697"/>
        <w:gridCol w:w="697"/>
        <w:gridCol w:w="697"/>
        <w:gridCol w:w="737"/>
        <w:gridCol w:w="109"/>
        <w:gridCol w:w="109"/>
        <w:gridCol w:w="109"/>
        <w:gridCol w:w="793"/>
        <w:gridCol w:w="793"/>
        <w:gridCol w:w="112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46-5288992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7628 Thorndike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Greensboro,</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27409-9421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(336) 664-1233 </w:t>
      </w:r>
    </w:p>
    <w:p>
      <w:pPr>
        <w:pStyle w:val="TextBody"/>
        <w:bidi w:val="0"/>
        <w:spacing w:lineRule="auto" w:line="264"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6"/>
        <w:gridCol w:w="919"/>
        <w:gridCol w:w="917"/>
        <w:gridCol w:w="312"/>
        <w:gridCol w:w="312"/>
        <w:gridCol w:w="312"/>
        <w:gridCol w:w="559"/>
        <w:gridCol w:w="559"/>
        <w:gridCol w:w="556"/>
        <w:gridCol w:w="312"/>
        <w:gridCol w:w="312"/>
        <w:gridCol w:w="312"/>
        <w:gridCol w:w="1102"/>
        <w:gridCol w:w="1102"/>
        <w:gridCol w:w="1563"/>
      </w:tblGrid>
      <w:tr>
        <w:trPr/>
        <w:tc>
          <w:tcPr>
            <w:tcW w:w="10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QRVO</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As of July 23, 2025, there were 92,654,264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000" w:type="dxa"/>
        <w:jc w:val="left"/>
        <w:tblInd w:w="0" w:type="dxa"/>
        <w:tblLayout w:type="fixed"/>
        <w:tblCellMar>
          <w:top w:w="28" w:type="dxa"/>
          <w:left w:w="28" w:type="dxa"/>
          <w:bottom w:w="28" w:type="dxa"/>
          <w:right w:w="28" w:type="dxa"/>
        </w:tblCellMar>
      </w:tblPr>
      <w:tblGrid>
        <w:gridCol w:w="2989"/>
        <w:gridCol w:w="2625"/>
        <w:gridCol w:w="2635"/>
        <w:gridCol w:w="220"/>
        <w:gridCol w:w="220"/>
        <w:gridCol w:w="311"/>
      </w:tblGrid>
      <w:tr>
        <w:trPr/>
        <w:tc>
          <w:tcPr>
            <w:tcW w:w="2989"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    </w:t>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0">
              <w:r>
                <w:rPr>
                  <w:rStyle w:val="InternetLink"/>
                  <w:rFonts w:ascii="Times New Roman;serif" w:hAnsi="Times New Roman;serif"/>
                  <w:b/>
                  <w:color w:val="0000FF"/>
                  <w:sz w:val="20"/>
                  <w:u w:val="single"/>
                </w:rPr>
                <w:t>PART I — FINANCIAL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3">
              <w:r>
                <w:rPr>
                  <w:rStyle w:val="InternetLink"/>
                  <w:rFonts w:ascii="Times New Roman;serif" w:hAnsi="Times New Roman;serif"/>
                  <w:b/>
                  <w:color w:val="000080"/>
                  <w:sz w:val="20"/>
                  <w:u w:val="single"/>
                </w:rPr>
                <w:t>Item 1. Financial Statements</w:t>
              </w:r>
            </w:hyperlink>
            <w:r>
              <w:rPr>
                <w:rFonts w:ascii="Times New Roman;serif" w:hAnsi="Times New Roman;serif"/>
                <w:b/>
                <w:color w:val="0000FF"/>
                <w:sz w:val="20"/>
                <w:u w:val="single"/>
              </w:rPr>
              <w:t xml:space="preserve"> (Unaudited).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6">
              <w:r>
                <w:rPr>
                  <w:rStyle w:val="InternetLink"/>
                  <w:rFonts w:ascii="Times New Roman;serif" w:hAnsi="Times New Roman;serif"/>
                  <w:b w:val="false"/>
                  <w:color w:val="0000FF"/>
                  <w:sz w:val="20"/>
                  <w:u w:val="single"/>
                </w:rPr>
                <w:t>Condensed Consolidated Balance Sheets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6">
              <w:r>
                <w:rPr>
                  <w:rStyle w:val="InternetLink"/>
                  <w:rFonts w:ascii="Times New Roman;serif" w:hAnsi="Times New Roman;serif"/>
                  <w:b w:val="false"/>
                  <w:color w:val="0000FF"/>
                  <w:sz w:val="20"/>
                  <w:u w:val="single"/>
                </w:rPr>
                <w:t>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25">
              <w:r>
                <w:rPr>
                  <w:rStyle w:val="InternetLink"/>
                  <w:rFonts w:ascii="Times New Roman;serif" w:hAnsi="Times New Roman;serif"/>
                  <w:b w:val="false"/>
                  <w:color w:val="0000FF"/>
                  <w:sz w:val="20"/>
                  <w:u w:val="single"/>
                </w:rPr>
                <w:t>Condensed Consolidated Statements of Income</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25">
              <w:r>
                <w:rPr>
                  <w:rStyle w:val="InternetLink"/>
                  <w:rFonts w:ascii="Times New Roman;serif" w:hAnsi="Times New Roman;serif"/>
                  <w:b w:val="false"/>
                  <w:color w:val="0000FF"/>
                  <w:sz w:val="20"/>
                  <w:u w:val="single"/>
                </w:rPr>
                <w:t>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f81397ba0e746ad8c8601f1ba6586cd_31">
              <w:r>
                <w:rPr>
                  <w:rStyle w:val="InternetLink"/>
                  <w:rFonts w:ascii="Times New Roman;serif" w:hAnsi="Times New Roman;serif"/>
                  <w:b w:val="false"/>
                  <w:color w:val="0000FF"/>
                  <w:sz w:val="20"/>
                  <w:u w:val="single"/>
                </w:rPr>
                <w:t>Condensed Consolidated Statements of Comprehensive Income (Loss)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31">
              <w:r>
                <w:rPr>
                  <w:rStyle w:val="InternetLink"/>
                  <w:rFonts w:ascii="Times New Roman;serif" w:hAnsi="Times New Roman;serif"/>
                  <w:b w:val="false"/>
                  <w:color w:val="0000FF"/>
                  <w:sz w:val="20"/>
                  <w:u w:val="single"/>
                </w:rPr>
                <w:t>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f81397ba0e746ad8c8601f1ba6586cd_37">
              <w:r>
                <w:rPr>
                  <w:rStyle w:val="InternetLink"/>
                  <w:rFonts w:ascii="Times New Roman;serif" w:hAnsi="Times New Roman;serif"/>
                  <w:b w:val="false"/>
                  <w:color w:val="0000FF"/>
                  <w:sz w:val="20"/>
                  <w:u w:val="single"/>
                </w:rPr>
                <w:t>Condensed Consolidated Statements of Stockholders' Equity</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37">
              <w:r>
                <w:rPr>
                  <w:rStyle w:val="InternetLink"/>
                  <w:rFonts w:ascii="Times New Roman;serif" w:hAnsi="Times New Roman;serif"/>
                  <w:b w:val="false"/>
                  <w:color w:val="0000FF"/>
                  <w:sz w:val="20"/>
                  <w:u w:val="single"/>
                </w:rPr>
                <w:t>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3f81397ba0e746ad8c8601f1ba6586cd_40">
              <w:r>
                <w:rPr>
                  <w:rStyle w:val="InternetLink"/>
                  <w:rFonts w:ascii="Times New Roman;serif" w:hAnsi="Times New Roman;serif"/>
                  <w:b w:val="false"/>
                  <w:color w:val="0000FF"/>
                  <w:sz w:val="20"/>
                  <w:u w:val="single"/>
                </w:rPr>
                <w:t>Condensed Consolidated Statements of Cash Flows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40">
              <w:r>
                <w:rPr>
                  <w:rStyle w:val="InternetLink"/>
                  <w:rFonts w:ascii="Times New Roman;serif" w:hAnsi="Times New Roman;serif"/>
                  <w:b w:val="false"/>
                  <w:color w:val="0000FF"/>
                  <w:sz w:val="20"/>
                  <w:u w:val="single"/>
                </w:rPr>
                <w:t>8</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43">
              <w:r>
                <w:rPr>
                  <w:rStyle w:val="InternetLink"/>
                  <w:rFonts w:ascii="Times New Roman;serif" w:hAnsi="Times New Roman;serif"/>
                  <w:b w:val="false"/>
                  <w:color w:val="0000FF"/>
                  <w:sz w:val="20"/>
                  <w:u w:val="single"/>
                </w:rPr>
                <w:t>Notes to Condensed Consolidated Financial Statements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43">
              <w:r>
                <w:rPr>
                  <w:rStyle w:val="InternetLink"/>
                  <w:rFonts w:ascii="Times New Roman;serif" w:hAnsi="Times New Roman;serif"/>
                  <w:b w:val="false"/>
                  <w:color w:val="0000FF"/>
                  <w:sz w:val="20"/>
                  <w:u w:val="single"/>
                </w:rPr>
                <w:t>9</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03">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03">
              <w:r>
                <w:rPr>
                  <w:rStyle w:val="InternetLink"/>
                  <w:rFonts w:ascii="Times New Roman;serif" w:hAnsi="Times New Roman;serif"/>
                  <w:b w:val="false"/>
                  <w:color w:val="0000FF"/>
                  <w:sz w:val="20"/>
                  <w:u w:val="single"/>
                </w:rPr>
                <w:t>17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24">
              <w:r>
                <w:rPr>
                  <w:rStyle w:val="InternetLink"/>
                  <w:rFonts w:ascii="Times New Roman;serif" w:hAnsi="Times New Roman;serif"/>
                  <w:b/>
                  <w:color w:val="0000FF"/>
                  <w:sz w:val="20"/>
                  <w:u w:val="single"/>
                </w:rPr>
                <w:t>Item 3. Quantitative and Qualitative Disclosures About Market Risk.</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24">
              <w:r>
                <w:rPr>
                  <w:rStyle w:val="InternetLink"/>
                  <w:rFonts w:ascii="Times New Roman;serif" w:hAnsi="Times New Roman;serif"/>
                  <w:b w:val="false"/>
                  <w:color w:val="0000FF"/>
                  <w:sz w:val="20"/>
                  <w:u w:val="single"/>
                </w:rPr>
                <w:t>24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27">
              <w:r>
                <w:rPr>
                  <w:rStyle w:val="InternetLink"/>
                  <w:rFonts w:ascii="Times New Roman;serif" w:hAnsi="Times New Roman;serif"/>
                  <w:b/>
                  <w:color w:val="0000FF"/>
                  <w:sz w:val="20"/>
                  <w:u w:val="single"/>
                </w:rPr>
                <w:t>Item 4. Controls and Procedures.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27">
              <w:r>
                <w:rPr>
                  <w:rStyle w:val="InternetLink"/>
                  <w:rFonts w:ascii="Times New Roman;serif" w:hAnsi="Times New Roman;serif"/>
                  <w:b w:val="false"/>
                  <w:color w:val="0000FF"/>
                  <w:sz w:val="20"/>
                  <w:u w:val="single"/>
                </w:rPr>
                <w:t>24</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30">
              <w:r>
                <w:rPr>
                  <w:rStyle w:val="InternetLink"/>
                  <w:rFonts w:ascii="Times New Roman;serif" w:hAnsi="Times New Roman;serif"/>
                  <w:b/>
                  <w:color w:val="0000FF"/>
                  <w:sz w:val="20"/>
                  <w:u w:val="single"/>
                </w:rPr>
                <w:t>PART II — OTHER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33">
              <w:r>
                <w:rPr>
                  <w:rStyle w:val="InternetLink"/>
                  <w:rFonts w:ascii="Times New Roman;serif" w:hAnsi="Times New Roman;serif"/>
                  <w:b/>
                  <w:color w:val="0000FF"/>
                  <w:sz w:val="20"/>
                  <w:u w:val="single"/>
                </w:rPr>
                <w:t>Item 1A. Risk Factors.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33">
              <w:r>
                <w:rPr>
                  <w:rStyle w:val="InternetLink"/>
                  <w:rFonts w:ascii="Times New Roman;serif" w:hAnsi="Times New Roman;serif"/>
                  <w:b w:val="false"/>
                  <w:color w:val="0000FF"/>
                  <w:sz w:val="20"/>
                  <w:u w:val="single"/>
                </w:rPr>
                <w:t>25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36">
              <w:r>
                <w:rPr>
                  <w:rStyle w:val="InternetLink"/>
                  <w:rFonts w:ascii="Times New Roman;serif" w:hAnsi="Times New Roman;serif"/>
                  <w:b/>
                  <w:color w:val="000080"/>
                  <w:sz w:val="20"/>
                  <w:u w:val="single"/>
                </w:rPr>
                <w:t>Item 2. Unregistered Sales of Equity Securities and Use of Procee</w:t>
              </w:r>
            </w:hyperlink>
            <w:hyperlink w:anchor="i3f81397ba0e746ad8c8601f1ba6586cd_136">
              <w:r>
                <w:rPr>
                  <w:rStyle w:val="InternetLink"/>
                  <w:rFonts w:ascii="Times New Roman;serif" w:hAnsi="Times New Roman;serif"/>
                  <w:b/>
                  <w:color w:val="000080"/>
                  <w:sz w:val="20"/>
                  <w:u w:val="single"/>
                </w:rPr>
                <w:t>ds.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36">
              <w:r>
                <w:rPr>
                  <w:rStyle w:val="InternetLink"/>
                  <w:rFonts w:ascii="Times New Roman;serif" w:hAnsi="Times New Roman;serif"/>
                  <w:b w:val="false"/>
                  <w:color w:val="0000FF"/>
                  <w:sz w:val="20"/>
                  <w:u w:val="single"/>
                </w:rPr>
                <w:t>25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39">
              <w:r>
                <w:rPr>
                  <w:rStyle w:val="InternetLink"/>
                  <w:rFonts w:ascii="Times New Roman;serif" w:hAnsi="Times New Roman;serif"/>
                  <w:b/>
                  <w:color w:val="0000FF"/>
                  <w:sz w:val="20"/>
                  <w:u w:val="single"/>
                </w:rPr>
                <w:t>Item 5. 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39">
              <w:r>
                <w:rPr>
                  <w:rStyle w:val="InternetLink"/>
                  <w:rFonts w:ascii="Times New Roman;serif" w:hAnsi="Times New Roman;serif"/>
                  <w:b w:val="false"/>
                  <w:color w:val="0000FF"/>
                  <w:sz w:val="20"/>
                  <w:u w:val="single"/>
                </w:rPr>
                <w:t>25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42">
              <w:r>
                <w:rPr>
                  <w:rStyle w:val="InternetLink"/>
                  <w:rFonts w:ascii="Times New Roman;serif" w:hAnsi="Times New Roman;serif"/>
                  <w:b/>
                  <w:color w:val="0000FF"/>
                  <w:sz w:val="20"/>
                  <w:u w:val="single"/>
                </w:rPr>
                <w:t>Item 6. Exhibits.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42">
              <w:r>
                <w:rPr>
                  <w:rStyle w:val="InternetLink"/>
                  <w:rFonts w:ascii="Times New Roman;serif" w:hAnsi="Times New Roman;serif"/>
                  <w:b w:val="false"/>
                  <w:color w:val="0000FF"/>
                  <w:sz w:val="20"/>
                  <w:u w:val="single"/>
                </w:rPr>
                <w:t>26</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f81397ba0e746ad8c8601f1ba6586cd_145">
              <w:r>
                <w:rPr>
                  <w:rStyle w:val="InternetLink"/>
                  <w:rFonts w:ascii="Times New Roman;serif" w:hAnsi="Times New Roman;serif"/>
                  <w:b/>
                  <w:color w:val="0000FF"/>
                  <w:sz w:val="20"/>
                  <w:u w:val="single"/>
                </w:rPr>
                <w:t>SIGNATURES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1397ba0e746ad8c8601f1ba6586cd_145">
              <w:r>
                <w:rPr>
                  <w:rStyle w:val="InternetLink"/>
                  <w:rFonts w:ascii="Times New Roman;serif" w:hAnsi="Times New Roman;serif"/>
                  <w:b w:val="false"/>
                  <w:color w:val="0000FF"/>
                  <w:sz w:val="20"/>
                  <w:u w:val="single"/>
                </w:rPr>
                <w:t>27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7"/>
        <w:gridCol w:w="2156"/>
        <w:gridCol w:w="2127"/>
        <w:gridCol w:w="211"/>
        <w:gridCol w:w="976"/>
        <w:gridCol w:w="109"/>
        <w:gridCol w:w="109"/>
        <w:gridCol w:w="109"/>
        <w:gridCol w:w="109"/>
        <w:gridCol w:w="211"/>
        <w:gridCol w:w="976"/>
        <w:gridCol w:w="155"/>
      </w:tblGrid>
      <w:tr>
        <w:trPr/>
        <w:tc>
          <w:tcPr>
            <w:tcW w:w="295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$285 and $309 as of June 28, 2025 and March 29,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$1,879,567 and $1,845,365 as of June 28, 2025 and March 29,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2,540,819 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contingent liabilities </w:t>
            </w:r>
            <w:r>
              <w:rPr>
                <w:rFonts w:ascii="Times New Roman;serif" w:hAnsi="Times New Roman;serif"/>
                <w:b w:val="false"/>
                <w:i/>
                <w:color w:val="000000"/>
                <w:sz w:val="20"/>
              </w:rPr>
              <w:t>(Note 7)</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5,000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 $.0001 par value; 405,000 shares authorized; 92,798 and 92,920 shares issued and outstanding at June 28, 2025 and March 29,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5,933,131 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328" w:type="dxa"/>
        <w:jc w:val="left"/>
        <w:tblInd w:w="0" w:type="dxa"/>
        <w:tblLayout w:type="fixed"/>
        <w:tblCellMar>
          <w:top w:w="28" w:type="dxa"/>
          <w:left w:w="28" w:type="dxa"/>
          <w:bottom w:w="28" w:type="dxa"/>
          <w:right w:w="28" w:type="dxa"/>
        </w:tblCellMar>
      </w:tblPr>
      <w:tblGrid>
        <w:gridCol w:w="1687"/>
        <w:gridCol w:w="1486"/>
        <w:gridCol w:w="1491"/>
        <w:gridCol w:w="211"/>
        <w:gridCol w:w="826"/>
        <w:gridCol w:w="109"/>
        <w:gridCol w:w="109"/>
        <w:gridCol w:w="109"/>
        <w:gridCol w:w="109"/>
        <w:gridCol w:w="211"/>
        <w:gridCol w:w="826"/>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11"/>
        <w:gridCol w:w="2443"/>
        <w:gridCol w:w="2467"/>
        <w:gridCol w:w="222"/>
        <w:gridCol w:w="759"/>
        <w:gridCol w:w="114"/>
        <w:gridCol w:w="109"/>
        <w:gridCol w:w="109"/>
        <w:gridCol w:w="109"/>
        <w:gridCol w:w="251"/>
        <w:gridCol w:w="625"/>
        <w:gridCol w:w="186"/>
      </w:tblGrid>
      <w:tr>
        <w:trPr/>
        <w:tc>
          <w:tcPr>
            <w:tcW w:w="281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including intra-entity foreign currency transactions that are of a long-term investment nature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net of tax:</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pension actuarial gain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69"/>
        <w:gridCol w:w="752"/>
        <w:gridCol w:w="636"/>
        <w:gridCol w:w="360"/>
        <w:gridCol w:w="361"/>
        <w:gridCol w:w="196"/>
        <w:gridCol w:w="109"/>
        <w:gridCol w:w="109"/>
        <w:gridCol w:w="109"/>
        <w:gridCol w:w="211"/>
        <w:gridCol w:w="976"/>
        <w:gridCol w:w="109"/>
        <w:gridCol w:w="109"/>
        <w:gridCol w:w="109"/>
        <w:gridCol w:w="109"/>
        <w:gridCol w:w="362"/>
        <w:gridCol w:w="1087"/>
        <w:gridCol w:w="190"/>
        <w:gridCol w:w="109"/>
        <w:gridCol w:w="109"/>
        <w:gridCol w:w="109"/>
        <w:gridCol w:w="225"/>
        <w:gridCol w:w="801"/>
        <w:gridCol w:w="116"/>
        <w:gridCol w:w="109"/>
        <w:gridCol w:w="109"/>
        <w:gridCol w:w="109"/>
        <w:gridCol w:w="211"/>
        <w:gridCol w:w="976"/>
        <w:gridCol w:w="159"/>
      </w:tblGrid>
      <w:tr>
        <w:trPr/>
        <w:tc>
          <w:tcPr>
            <w:tcW w:w="116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29,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3,392,312 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28, 2025</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3,437,069 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30, 2024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3,556,372 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29,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3,486,255 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683" w:type="dxa"/>
        <w:jc w:val="center"/>
        <w:tblInd w:w="0" w:type="dxa"/>
        <w:tblLayout w:type="fixed"/>
        <w:tblCellMar>
          <w:top w:w="28" w:type="dxa"/>
          <w:left w:w="28" w:type="dxa"/>
          <w:bottom w:w="28" w:type="dxa"/>
          <w:right w:w="28" w:type="dxa"/>
        </w:tblCellMar>
      </w:tblPr>
      <w:tblGrid>
        <w:gridCol w:w="2429"/>
        <w:gridCol w:w="2138"/>
        <w:gridCol w:w="2152"/>
        <w:gridCol w:w="211"/>
        <w:gridCol w:w="976"/>
        <w:gridCol w:w="109"/>
        <w:gridCol w:w="109"/>
        <w:gridCol w:w="109"/>
        <w:gridCol w:w="109"/>
        <w:gridCol w:w="211"/>
        <w:gridCol w:w="97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paid on behalf of employees for restricted stock units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inventory subject to repurchase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significant intercompany accounts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fiscal 2026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52- or 53-week fiscal year ending on the Saturday closest to March 31 of each year. Approximately every five to six years, the Company reports a 53-week fiscal year to align with the foregoing policy. Fiscal years 2026 and 2025 are 52-week years, with each fiscal quarter consisting of 13 weeks.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December 2023, the Financial Accounting Standards Board issued Accounting Standards Update ("ASU") 2023-09, </w:t>
      </w:r>
      <w:r>
        <w:rPr>
          <w:color w:val="000000"/>
        </w:rPr>
        <w:t>“</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("ASU 2023-09"), which requires enhanced disclosures related to income taxes. The amendments in this ASU require a public entity to disclose specified additional information in its income tax rate reconciliation and to provide additional information for reconciling items that meet a quantitative threshold. The amendments in this ASU will also require the Company to disaggregate its taxes paid disclosure by federal, state and foreign taxes, with further disaggregation required for significant individual jurisdictions. The Company will provide the required disclosures of ASU 2023-09 in its fiscal 2026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net of reserves, are as follows (in thousands):</w:t>
      </w:r>
    </w:p>
    <w:tbl>
      <w:tblPr>
        <w:tblW w:w="4291"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31"/>
        <w:gridCol w:w="905"/>
        <w:gridCol w:w="168"/>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322,814 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640,992 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the gross carrying amounts and accumulated amortization of intangible assets (in thousands):</w:t>
      </w:r>
    </w:p>
    <w:tbl>
      <w:tblPr>
        <w:tblW w:w="8715" w:type="dxa"/>
        <w:jc w:val="left"/>
        <w:tblInd w:w="0" w:type="dxa"/>
        <w:tblLayout w:type="fixed"/>
        <w:tblCellMar>
          <w:top w:w="28" w:type="dxa"/>
          <w:left w:w="28" w:type="dxa"/>
          <w:bottom w:w="28" w:type="dxa"/>
          <w:right w:w="28" w:type="dxa"/>
        </w:tblCellMar>
      </w:tblPr>
      <w:tblGrid>
        <w:gridCol w:w="1125"/>
        <w:gridCol w:w="987"/>
        <w:gridCol w:w="99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licenses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Amounts include the impact of foreign currency translation.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debt (in thousands):</w:t>
      </w:r>
    </w:p>
    <w:tbl>
      <w:tblPr>
        <w:tblW w:w="6774" w:type="dxa"/>
        <w:jc w:val="center"/>
        <w:tblInd w:w="0" w:type="dxa"/>
        <w:tblLayout w:type="fixed"/>
        <w:tblCellMar>
          <w:top w:w="28" w:type="dxa"/>
          <w:left w:w="28" w:type="dxa"/>
          <w:bottom w:w="28" w:type="dxa"/>
          <w:right w:w="28" w:type="dxa"/>
        </w:tblCellMar>
      </w:tblPr>
      <w:tblGrid>
        <w:gridCol w:w="1380"/>
        <w:gridCol w:w="1213"/>
        <w:gridCol w:w="1217"/>
        <w:gridCol w:w="211"/>
        <w:gridCol w:w="976"/>
        <w:gridCol w:w="109"/>
        <w:gridCol w:w="109"/>
        <w:gridCol w:w="109"/>
        <w:gridCol w:w="109"/>
        <w:gridCol w:w="211"/>
        <w:gridCol w:w="976"/>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4.375% senior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3.375% senior notes due 2031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and issuance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senior revolving line of credit (the "Revolving Facility"). Up to </w:t>
      </w:r>
      <w:r>
        <w:rPr>
          <w:rFonts w:ascii="Times New Roman;serif" w:hAnsi="Times New Roman;serif"/>
          <w:b w:val="false"/>
          <w:color w:val="000000"/>
          <w:sz w:val="20"/>
          <w:shd w:fill="FFFFFF" w:val="clear"/>
        </w:rPr>
        <w:t>$25.0 million</w:t>
      </w:r>
      <w:r>
        <w:rPr>
          <w:color w:val="000000"/>
        </w:rPr>
        <w:t xml:space="preserve"> </w:t>
      </w:r>
      <w:r>
        <w:rPr>
          <w:rFonts w:ascii="Times New Roman;serif" w:hAnsi="Times New Roman;serif"/>
          <w:b w:val="false"/>
          <w:color w:val="000000"/>
          <w:sz w:val="20"/>
        </w:rPr>
        <w:t xml:space="preserve">of the Revolving Facility may be used for the issuance of standby letters of credit, and up to </w:t>
      </w:r>
      <w:r>
        <w:rPr>
          <w:rFonts w:ascii="Times New Roman;serif" w:hAnsi="Times New Roman;serif"/>
          <w:b w:val="false"/>
          <w:color w:val="000000"/>
          <w:sz w:val="20"/>
          <w:shd w:fill="FFFFFF" w:val="clear"/>
        </w:rPr>
        <w:t>$10.0 million</w:t>
      </w:r>
      <w:r>
        <w:rPr>
          <w:color w:val="000000"/>
        </w:rPr>
        <w:t xml:space="preserve"> </w:t>
      </w:r>
      <w:r>
        <w:rPr>
          <w:rFonts w:ascii="Times New Roman;serif" w:hAnsi="Times New Roman;serif"/>
          <w:b w:val="false"/>
          <w:color w:val="000000"/>
          <w:sz w:val="20"/>
        </w:rPr>
        <w:t xml:space="preserve">of the Revolving Facility may be used for swing line advances (i.e., short-term borrowings made available from the lead lender). The Company may request at any time that the Revolving Facility be increased by up to </w:t>
      </w:r>
      <w:r>
        <w:rPr>
          <w:rFonts w:ascii="Times New Roman;serif" w:hAnsi="Times New Roman;serif"/>
          <w:b w:val="false"/>
          <w:color w:val="000000"/>
          <w:sz w:val="20"/>
          <w:shd w:fill="FFFFFF" w:val="clear"/>
        </w:rPr>
        <w:t>$325.0 million</w:t>
      </w:r>
      <w:r>
        <w:rPr>
          <w:rFonts w:ascii="Times New Roman;serif" w:hAnsi="Times New Roman;serif"/>
          <w:b w:val="false"/>
          <w:color w:val="000000"/>
          <w:sz w:val="20"/>
        </w:rPr>
        <w:t>,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there were no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various conditions, covenants and representations with which the Company must be in compliance in order to borrow funds and to avoid an event of default. As of June 28, 2025, the Company was in compliance with these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 due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exchange default, failure to provide certain notices thereunder and certain provisions related to bankruptcy events. The 2019 Indenture also contains customary negative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2029 Notes on April 15 and October 15 of each year. The Company paid interest of $18.6 million on the 2029 Notes during both the three months ended June 28, 2025 and June 29,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Notes due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2019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is payable on the 2031 Notes on April 1 and October 1 of each year. The Company paid interest of $11.8 million on the 2031 Notes during both the three months ended June 28, 2025 and June 29,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 of the 2029 Notes and the 2031 Notes as of June 28, 2025 was $823.0 million and $626.6 million, respectively (compared to the outstanding principal amount of $850.0 million and $700.0 million, respectively). The estimated fair value of the 2029 Notes and the 2031 Notes as of March 29, 2025 was $812.8 million and $613.5 million, respectively (compared to the outstanding principal amount of $850.0 million and $700.0 million, respectively). The Company considers the fair value of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June 28, 2025, the Company recognized </w:t>
      </w:r>
      <w:r>
        <w:rPr>
          <w:rFonts w:ascii="Times New Roman;serif" w:hAnsi="Times New Roman;serif"/>
          <w:b w:val="false"/>
          <w:color w:val="000000"/>
          <w:sz w:val="20"/>
        </w:rPr>
        <w:t xml:space="preserve">$19.6 million of </w:t>
      </w:r>
      <w:r>
        <w:rPr>
          <w:rFonts w:ascii="Times New Roman;serif" w:hAnsi="Times New Roman;serif"/>
          <w:b w:val="false"/>
          <w:color w:val="000000"/>
          <w:sz w:val="20"/>
          <w:shd w:fill="FFFFFF" w:val="clear"/>
        </w:rPr>
        <w:t>interest expense</w:t>
      </w:r>
      <w:r>
        <w:rPr>
          <w:rFonts w:ascii="Times New Roman;serif" w:hAnsi="Times New Roman;serif"/>
          <w:b w:val="false"/>
          <w:color w:val="000000"/>
          <w:sz w:val="20"/>
        </w:rPr>
        <w:t xml:space="preserve">, primarily related to the 2029 Notes and the 2031 Notes, which was partially offset by </w:t>
      </w:r>
      <w:r>
        <w:rPr>
          <w:rFonts w:ascii="Times New Roman;serif" w:hAnsi="Times New Roman;serif"/>
          <w:b w:val="false"/>
          <w:color w:val="000000"/>
          <w:sz w:val="20"/>
          <w:shd w:fill="FFFFFF" w:val="clear"/>
        </w:rPr>
        <w:t xml:space="preserve">interest capitalized to property and equipment of </w:t>
      </w:r>
      <w:r>
        <w:rPr>
          <w:rFonts w:ascii="Times New Roman;serif" w:hAnsi="Times New Roman;serif"/>
          <w:b w:val="false"/>
          <w:color w:val="000000"/>
          <w:sz w:val="20"/>
        </w:rPr>
        <w:t>$0.8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Interest expense for the three months ended June 28, 2025 also includes financing costs related to certain inventory (subject to repurchase) in connection with a supply agreement.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June 29, 2024, the Company recognized $17.7 million of interest expense, primarily related to the </w:t>
      </w:r>
      <w:r>
        <w:rPr>
          <w:rFonts w:ascii="Times New Roman;serif" w:hAnsi="Times New Roman;serif"/>
          <w:b w:val="false"/>
          <w:color w:val="000000"/>
          <w:sz w:val="20"/>
        </w:rPr>
        <w:t>1.750%</w:t>
      </w:r>
      <w:r>
        <w:rPr>
          <w:color w:val="000000"/>
          <w:shd w:fill="FFFFFF" w:val="clear"/>
        </w:rPr>
        <w:t xml:space="preserve"> </w:t>
      </w:r>
      <w:r>
        <w:rPr>
          <w:rFonts w:ascii="Times New Roman;serif" w:hAnsi="Times New Roman;serif"/>
          <w:b w:val="false"/>
          <w:color w:val="000000"/>
          <w:sz w:val="20"/>
          <w:shd w:fill="FFFFFF" w:val="clear"/>
        </w:rPr>
        <w:t>senior notes due 2024, the 2029 Notes and the 2031 Notes, which was partially offset by interest capitalized to property and equipment of $0.6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the Company repurchased approximately 0.7 million shares of its common stock for approximately $50.0 million (including transaction costs and excise tax). As of June 28, 2025, approximately $898.8 million remains authorized for repurchases under the current 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29, 2024, the Company repurchased approximately 1.2 million shares of its common stock for approximately $125.7 million (including transaction costs and excise tax) under its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 (based on the location of the customers' headquarters) is summarized as follows (in thousands):</w:t>
      </w:r>
    </w:p>
    <w:tbl>
      <w:tblPr>
        <w:tblW w:w="3909" w:type="dxa"/>
        <w:jc w:val="center"/>
        <w:tblInd w:w="0" w:type="dxa"/>
        <w:tblLayout w:type="fixed"/>
        <w:tblCellMar>
          <w:top w:w="28" w:type="dxa"/>
          <w:left w:w="28" w:type="dxa"/>
          <w:bottom w:w="28" w:type="dxa"/>
          <w:right w:w="28" w:type="dxa"/>
        </w:tblCellMar>
      </w:tblPr>
      <w:tblGrid>
        <w:gridCol w:w="452"/>
        <w:gridCol w:w="395"/>
        <w:gridCol w:w="398"/>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disaggregates revenue by operating segments (refer to Note 10).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2025, the Company initiated actions to reduce operating expenses, streamline its manufacturing footprint and focus on opportunities that align with its long-term profitability objectives (the "2025 Restructuring Initiatives"). As part of these actions, the Company reduced its workforce related to its mass-market Android business, sold its silicon carbide power device business, cancelled certain multiyear projects to update the Company's core business systems, and began to seek strategic alternatives related to its microelectromechanical system-based sensing solutions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charges resulting from the 2025 Restructuring Initiatives during the three months ended June 28, 2025 (in thousands):</w:t>
      </w:r>
    </w:p>
    <w:tbl>
      <w:tblPr>
        <w:tblW w:w="8487" w:type="dxa"/>
        <w:jc w:val="center"/>
        <w:tblInd w:w="0" w:type="dxa"/>
        <w:tblLayout w:type="fixed"/>
        <w:tblCellMar>
          <w:top w:w="28" w:type="dxa"/>
          <w:left w:w="28" w:type="dxa"/>
          <w:bottom w:w="28" w:type="dxa"/>
          <w:right w:w="28" w:type="dxa"/>
        </w:tblCellMar>
      </w:tblPr>
      <w:tblGrid>
        <w:gridCol w:w="1227"/>
        <w:gridCol w:w="1078"/>
        <w:gridCol w:w="1084"/>
        <w:gridCol w:w="338"/>
        <w:gridCol w:w="987"/>
        <w:gridCol w:w="174"/>
        <w:gridCol w:w="109"/>
        <w:gridCol w:w="109"/>
        <w:gridCol w:w="109"/>
        <w:gridCol w:w="443"/>
        <w:gridCol w:w="1293"/>
        <w:gridCol w:w="228"/>
        <w:gridCol w:w="109"/>
        <w:gridCol w:w="109"/>
        <w:gridCol w:w="109"/>
        <w:gridCol w:w="211"/>
        <w:gridCol w:w="61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 costs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employee termination benefits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28, 2025, the Company has recorded cumulative expenses of approximately $59.3 million, $196.0 million, and $9.3 million for contract termination and other costs, asset impairment costs (including goodwill, intangible and other asset impairments, and gain on sale of business) and one-time employee termination benefits, respectively, as a result of the 2025 Restructuring Initiatives. The Company does not expect to incur additional material charges related to the 2025 Restructuring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liability activity related to the 2025 Restructuring Initiatives for the three months ended June 28, 2025 (in thousands):</w:t>
      </w:r>
    </w:p>
    <w:tbl>
      <w:tblPr>
        <w:tblW w:w="10205" w:type="dxa"/>
        <w:jc w:val="left"/>
        <w:tblInd w:w="0" w:type="dxa"/>
        <w:tblLayout w:type="fixed"/>
        <w:tblCellMar>
          <w:top w:w="28" w:type="dxa"/>
          <w:left w:w="28" w:type="dxa"/>
          <w:bottom w:w="28" w:type="dxa"/>
          <w:right w:w="28" w:type="dxa"/>
        </w:tblCellMar>
      </w:tblPr>
      <w:tblGrid>
        <w:gridCol w:w="1255"/>
        <w:gridCol w:w="1102"/>
        <w:gridCol w:w="1106"/>
        <w:gridCol w:w="576"/>
        <w:gridCol w:w="1689"/>
        <w:gridCol w:w="300"/>
        <w:gridCol w:w="109"/>
        <w:gridCol w:w="109"/>
        <w:gridCol w:w="109"/>
        <w:gridCol w:w="493"/>
        <w:gridCol w:w="1685"/>
        <w:gridCol w:w="254"/>
        <w:gridCol w:w="109"/>
        <w:gridCol w:w="109"/>
        <w:gridCol w:w="109"/>
        <w:gridCol w:w="211"/>
        <w:gridCol w:w="721"/>
        <w:gridCol w:w="159"/>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March 29, 2025</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and charged to expense</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June 28, 2025</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30,147 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29, 2024</w:t>
      </w:r>
      <w:r>
        <w:rPr>
          <w:rFonts w:ascii="Times New Roman;serif" w:hAnsi="Times New Roman;serif"/>
          <w:b w:val="false"/>
          <w:color w:val="000000"/>
          <w:sz w:val="20"/>
          <w:shd w:fill="FFFFFF" w:val="clear"/>
        </w:rPr>
        <w:t xml:space="preserve">, the Company incurred </w:t>
      </w:r>
      <w:r>
        <w:rPr>
          <w:rFonts w:ascii="Times New Roman;serif" w:hAnsi="Times New Roman;serif"/>
          <w:b w:val="false"/>
          <w:color w:val="000000"/>
          <w:sz w:val="20"/>
        </w:rPr>
        <w:t>$16.8 million</w:t>
      </w:r>
      <w:r>
        <w:rPr>
          <w:color w:val="000000"/>
          <w:shd w:fill="FFFFFF" w:val="clear"/>
        </w:rPr>
        <w:t xml:space="preserve"> </w:t>
      </w:r>
      <w:r>
        <w:rPr>
          <w:rFonts w:ascii="Times New Roman;serif" w:hAnsi="Times New Roman;serif"/>
          <w:b w:val="false"/>
          <w:color w:val="000000"/>
          <w:sz w:val="20"/>
          <w:shd w:fill="FFFFFF" w:val="clear"/>
        </w:rPr>
        <w:t>in restructuring-related charges (which are included in "Other operating expense") in connection with an initiative that began in fiscal 2024 to divest its assembly and test operations in China. The sale of these operations was completed in the first quarter of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OPERATING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organized into three operating and reportable segments that align technologies and applications with customers and end markets: High Performance Analog ("HPA"), Connectivity and Sensors Group ("CSG") and Advanced Cellular Group ("ACG").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HPA is a leading global supplier of radio frequency, analog mixed signal and power management solutions. HPA leverages a diverse portfolio of differentiated process technologies and products to serve customers in consumer, defense and aerospace, infrastructure, industrial and enterprise, and mobile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CSG is a leading global supplier of connectivity solutions, with broad expertise spanning ultra-wideband, Matter</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Low Energy, Zigbee</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Wi-Fi</w:t>
      </w:r>
      <w:r>
        <w:rPr>
          <w:rFonts w:ascii="Times New Roman;serif" w:hAnsi="Times New Roman;serif"/>
          <w:b w:val="false"/>
          <w:color w:val="000000"/>
          <w:sz w:val="13"/>
        </w:rPr>
        <w:t>®</w:t>
      </w:r>
      <w:r>
        <w:rPr>
          <w:color w:val="EE2724"/>
        </w:rPr>
        <w:t xml:space="preserve"> </w:t>
      </w:r>
      <w:r>
        <w:rPr>
          <w:rFonts w:ascii="Times New Roman;serif" w:hAnsi="Times New Roman;serif"/>
          <w:b w:val="false"/>
          <w:color w:val="000000"/>
          <w:sz w:val="20"/>
        </w:rPr>
        <w:t>and cellular solutions for the Internet of Things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details of the Company’s operating and reportable segments and a reconciliation of segment operating income (loss) to consolidated income (loss) before income taxes (in thousands):</w:t>
      </w:r>
    </w:p>
    <w:tbl>
      <w:tblPr>
        <w:tblW w:w="6219" w:type="dxa"/>
        <w:jc w:val="left"/>
        <w:tblInd w:w="0" w:type="dxa"/>
        <w:tblLayout w:type="fixed"/>
        <w:tblCellMar>
          <w:top w:w="28" w:type="dxa"/>
          <w:left w:w="28" w:type="dxa"/>
          <w:bottom w:w="28" w:type="dxa"/>
          <w:right w:w="28" w:type="dxa"/>
        </w:tblCellMar>
      </w:tblPr>
      <w:tblGrid>
        <w:gridCol w:w="1284"/>
        <w:gridCol w:w="1134"/>
        <w:gridCol w:w="1137"/>
        <w:gridCol w:w="211"/>
        <w:gridCol w:w="826"/>
        <w:gridCol w:w="109"/>
        <w:gridCol w:w="109"/>
        <w:gridCol w:w="109"/>
        <w:gridCol w:w="109"/>
        <w:gridCol w:w="211"/>
        <w:gridCol w:w="826"/>
        <w:gridCol w:w="154"/>
      </w:tblGrid>
      <w:tr>
        <w:trPr/>
        <w:tc>
          <w:tcPr>
            <w:tcW w:w="128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amounts: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Restructuring-related charges</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Refer to Note 9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unallocated amounts include operating expenses such as stock-based compensation expense; amortization of acquired intangible assets; restructuring-related charges; acquisition and integration-related costs; certain settlements, gains, losses and other charges; costs associated with upgrading certain of the Company's core business systems; and start-up costs.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Company also does not allocate gains and losses from investments, interest expense, other income (expense), or taxes to operating segments. The Company does not allocate these expenses to its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$6.1 million for the three months ended June 28, 2025, and income tax benefit was $1.1 million for the three months ended June 29, 2024. The Company’s effective tax rate was 19.2% and 157.2% for the three months ended June 28, 2025 and June 29, 2024,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June 28, 2025 differed from the statutory rate primarily due to tax rate differences in foreign jurisdictions, global minimum taxes in foreign jurisdictions and Global Intangible Low-Taxed Income ("GILTI"), partially offset by domestic tax credits generated.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June 29, 2024 differed from the statutory rate primarily due to tax rate differences in foreign jurisdictions, GILTI, domestic tax credits generated and discrete tax charges. After consideration of pretax income taxed discretely in the period, the Company recognized a tax benefit associated with its ongoing operations and the quarter-to-date loss, which was partially offset by a $4.5 million discrete tax expense recorded during the three months ended June 29, 2024. The discrete tax expense primarily related to the tax effects of the sale of the Company's assembly and test operations 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permanently extends multiple tax provisions of the 2017 Tax Cuts and Jobs Act, as well as repeals, modifies and introduces various other tax provisions. The legislation has various effective dates, with certain provisions expected to impact the Company's consolidated financial statements beginning with the period ending September 27, 2025. The Company is currently evaluating the provisions of the OBBBA and its impact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NET INCOME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(in thousands, except per share data):</w:t>
      </w:r>
    </w:p>
    <w:tbl>
      <w:tblPr>
        <w:tblW w:w="10205" w:type="dxa"/>
        <w:jc w:val="left"/>
        <w:tblInd w:w="0" w:type="dxa"/>
        <w:tblLayout w:type="fixed"/>
        <w:tblCellMar>
          <w:top w:w="28" w:type="dxa"/>
          <w:left w:w="28" w:type="dxa"/>
          <w:bottom w:w="28" w:type="dxa"/>
          <w:right w:w="28" w:type="dxa"/>
        </w:tblCellMar>
      </w:tblPr>
      <w:tblGrid>
        <w:gridCol w:w="2834"/>
        <w:gridCol w:w="2403"/>
        <w:gridCol w:w="2410"/>
        <w:gridCol w:w="225"/>
        <w:gridCol w:w="769"/>
        <w:gridCol w:w="115"/>
        <w:gridCol w:w="109"/>
        <w:gridCol w:w="109"/>
        <w:gridCol w:w="109"/>
        <w:gridCol w:w="269"/>
        <w:gridCol w:w="653"/>
        <w:gridCol w:w="200"/>
      </w:tblGrid>
      <w:tr>
        <w:trPr/>
        <w:tc>
          <w:tcPr>
            <w:tcW w:w="2834"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7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income per share — net income available to common stockholders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 for basic net income per share — weighted-average shares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95,467 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income per share — adjusted weighted-average shares and assumed conversions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In the computation of diluted net income per share for the three</w:t>
      </w:r>
      <w:r>
        <w:rPr>
          <w:color w:val="000000"/>
        </w:rPr>
        <w:t xml:space="preserve"> </w:t>
      </w:r>
      <w:r>
        <w:rPr>
          <w:rFonts w:ascii="Times New Roman;serif" w:hAnsi="Times New Roman;serif"/>
          <w:b w:val="false"/>
          <w:color w:val="000000"/>
          <w:sz w:val="20"/>
          <w:shd w:fill="FFFFFF" w:val="clear"/>
        </w:rPr>
        <w:t xml:space="preserve">months ended June 28, 2025, approximately </w:t>
      </w:r>
      <w:r>
        <w:rPr>
          <w:rFonts w:ascii="Times New Roman;serif" w:hAnsi="Times New Roman;serif"/>
          <w:b w:val="false"/>
          <w:color w:val="000000"/>
          <w:sz w:val="20"/>
        </w:rPr>
        <w:t xml:space="preserve">1.5 million </w:t>
      </w:r>
      <w:r>
        <w:rPr>
          <w:rFonts w:ascii="Times New Roman;serif" w:hAnsi="Times New Roman;serif"/>
          <w:b w:val="false"/>
          <w:color w:val="000000"/>
          <w:sz w:val="20"/>
          <w:shd w:fill="FFFFFF" w:val="clear"/>
        </w:rPr>
        <w:t xml:space="preserve">shares of outstanding stock-based awards were excluded because the effect of their inclusion would have been anti-dilutive. </w:t>
      </w:r>
      <w:r>
        <w:rPr>
          <w:rFonts w:ascii="Times New Roman;serif" w:hAnsi="Times New Roman;serif"/>
          <w:b w:val="false"/>
          <w:color w:val="000000"/>
          <w:sz w:val="20"/>
        </w:rPr>
        <w:t>An immaterial number of shares of outstanding stock-based awards were excluded from the computation of net income per share for the three months ended June 29, 2024, because the effect of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SAFE HARBOR FOR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effectively execute on restructuring initiatives;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provisions in our governing documents and Delaware law may discourage takeovers and business combinations that our stockholders might consider to be in their best interests; negative impacts from activist stockholders; and volatility in the price of our common stock. These and other risks and uncertainties, which are described in more detail under "Risk Factors" in Part I, Item 1A of our Annual Report on Form 10-K for the fiscal year ended March 29, 2025, and Qorvo's subsequent reports and statements that we file with the SEC, could cause actual results and developments to be materially different from those expressed or implied by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Qorvo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global leader in the development and commercialization of technologies and products for wireless, wired and power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10 of the Notes to Condensed Consolidated Financial Statements for additional information regarding our reportable operating segments as of June 28,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HPA is a leading global supplier of radio frequency, analog mixed signal and power management solutions. HPA leverages a diverse portfolio of differentiated process technologies and products to serve customers in consumer, defense and aerospace, infrastructure, industrial and enterprise, and mobile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CSG is a leading global supplier of connectivity solutions, with broad expertise spanning ultra-wideband, Matter</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Low Energy, Zigbee</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cellular solutions for the Internet of Things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QUARTER FISCAL 2026 OVERVIEW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 for the first quarter of fiscal 2026 decreased 7.7% as compared to the first quarter of fiscal 2025, driven by our decision to strategically reduce our exposure in mass-market Android smartphones and narrow our focus to the flagship and premium tiers of smartphones. Revenue increased in defense and aerospace, as well as in infrastructure, driven by increased content in defense programs and broadband DOCSIS (Data Over Cable Service Interface Specification) 4.0 deployments as compared to the prior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Gross margin increased to 40.5% for the first quarter of fiscal 2026 as compared to 37.5% for the first quarter of fiscal 2025, driven by improved product costs and lower inventory-related charges, while average selling-price erosion negatively impacted gross margin.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Operating income was $30.1 million for the first quarter of fiscal 2026 as compared to $4.6 million for the first quarter of fiscal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per diluted share was $0.27 for the first quarter of fiscal 2026 as compared to $0.00 for the first quarter of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was $182.9 million for the first quarter of fiscal 2026 as compared to $81.1 million for the first quarter of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were $37.5 million for the first quarter of fiscal 2026 as compared to $38.2 million for the first quarter of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repurchased approximately 0.7 million shares of our common stock for approximately $50.0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Consolidated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our results of operations (in thousands, except percentages): </w:t>
      </w:r>
    </w:p>
    <w:tbl>
      <w:tblPr>
        <w:tblW w:w="10205" w:type="dxa"/>
        <w:jc w:val="left"/>
        <w:tblInd w:w="0" w:type="dxa"/>
        <w:tblLayout w:type="fixed"/>
        <w:tblCellMar>
          <w:top w:w="28" w:type="dxa"/>
          <w:left w:w="28" w:type="dxa"/>
          <w:bottom w:w="28" w:type="dxa"/>
          <w:right w:w="28" w:type="dxa"/>
        </w:tblCellMar>
      </w:tblPr>
      <w:tblGrid>
        <w:gridCol w:w="601"/>
        <w:gridCol w:w="527"/>
        <w:gridCol w:w="530"/>
        <w:gridCol w:w="211"/>
        <w:gridCol w:w="826"/>
        <w:gridCol w:w="109"/>
        <w:gridCol w:w="109"/>
        <w:gridCol w:w="109"/>
        <w:gridCol w:w="109"/>
        <w:gridCol w:w="308"/>
        <w:gridCol w:w="308"/>
        <w:gridCol w:w="461"/>
        <w:gridCol w:w="109"/>
        <w:gridCol w:w="109"/>
        <w:gridCol w:w="109"/>
        <w:gridCol w:w="211"/>
        <w:gridCol w:w="826"/>
        <w:gridCol w:w="109"/>
        <w:gridCol w:w="109"/>
        <w:gridCol w:w="109"/>
        <w:gridCol w:w="109"/>
        <w:gridCol w:w="308"/>
        <w:gridCol w:w="308"/>
        <w:gridCol w:w="461"/>
        <w:gridCol w:w="109"/>
        <w:gridCol w:w="109"/>
        <w:gridCol w:w="109"/>
        <w:gridCol w:w="231"/>
        <w:gridCol w:w="828"/>
        <w:gridCol w:w="119"/>
        <w:gridCol w:w="109"/>
        <w:gridCol w:w="109"/>
        <w:gridCol w:w="109"/>
        <w:gridCol w:w="318"/>
        <w:gridCol w:w="303"/>
        <w:gridCol w:w="667"/>
      </w:tblGrid>
      <w:tr>
        <w:trPr/>
        <w:tc>
          <w:tcPr>
            <w:tcW w:w="6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consolidated revenue resulted from decreases in revenue of $71.1 million and $4.7 million in ACG and CSG, respectively, and an increase in revenue of $7.9 million in HPA, which are further discussed in our Operating Segments results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was driven by improved product costs and lower inventory-related charges, while average selling-price erosion negatively impacted gross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 was driven by an $8.5 million decrease in product development costs related to mass-market Android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marketing and selling expense was driven by a $2.3 million decrease in amortization expense due to the expiration of useful lives of certain acquired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 was driven by a $4.6 million decrease in professional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other operating expense was driven by lower restructuring-related charges. Refer to Note 9 of the Notes to Condensed Consolidated Financial Statements for additional information on restructuring-related charges.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Operating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High Performance Analog</w:t>
      </w:r>
    </w:p>
    <w:tbl>
      <w:tblPr>
        <w:tblW w:w="9074"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308"/>
        <w:gridCol w:w="308"/>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$7.9 million increase in HPA revenue was attributable to a $20.0 million increase in revenue from defense and aerospace, and infrastructure. These revenue increases were driven by increased content in defense programs and broadband DOCSIS 4.0 deployments as compared to the prior year. HPA results for the three months ended June 29, 2024 included $8.9 million in revenue from our silicon carbide ("SiC") power device business (which was sold in January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HPA operating income was driven by improved product costs, favorable product mix and lower inventory charges. HPA results for the three months ended June 29, 2024 included an operating loss of $5.7 million from the SiC power device business (which was sold in January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Connectivity and Sensors Group</w:t>
      </w:r>
    </w:p>
    <w:tbl>
      <w:tblPr>
        <w:tblW w:w="8760" w:type="dxa"/>
        <w:jc w:val="left"/>
        <w:tblInd w:w="0" w:type="dxa"/>
        <w:tblLayout w:type="fixed"/>
        <w:tblCellMar>
          <w:top w:w="28" w:type="dxa"/>
          <w:left w:w="28" w:type="dxa"/>
          <w:bottom w:w="28" w:type="dxa"/>
          <w:right w:w="28" w:type="dxa"/>
        </w:tblCellMar>
      </w:tblPr>
      <w:tblGrid>
        <w:gridCol w:w="994"/>
        <w:gridCol w:w="873"/>
        <w:gridCol w:w="878"/>
        <w:gridCol w:w="109"/>
        <w:gridCol w:w="109"/>
        <w:gridCol w:w="109"/>
        <w:gridCol w:w="211"/>
        <w:gridCol w:w="826"/>
        <w:gridCol w:w="271"/>
        <w:gridCol w:w="109"/>
        <w:gridCol w:w="109"/>
        <w:gridCol w:w="109"/>
        <w:gridCol w:w="211"/>
        <w:gridCol w:w="826"/>
        <w:gridCol w:w="271"/>
        <w:gridCol w:w="109"/>
        <w:gridCol w:w="109"/>
        <w:gridCol w:w="109"/>
        <w:gridCol w:w="211"/>
        <w:gridCol w:w="691"/>
        <w:gridCol w:w="109"/>
        <w:gridCol w:w="109"/>
        <w:gridCol w:w="109"/>
        <w:gridCol w:w="109"/>
        <w:gridCol w:w="254"/>
        <w:gridCol w:w="257"/>
        <w:gridCol w:w="569"/>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$4.7 million decrease in CSG revenue was attributable primarily to a $4.0 million decrease in revenue for our ultra-wideband solutions and automotive connectivity products.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CSG operating loss was driven by improved product costs and favorable product mix.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Advanced Cellular Group</w:t>
      </w:r>
    </w:p>
    <w:tbl>
      <w:tblPr>
        <w:tblW w:w="9224"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293"/>
        <w:gridCol w:w="293"/>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$71.1 million </w:t>
      </w:r>
      <w:r>
        <w:rPr>
          <w:rFonts w:ascii="Times New Roman;serif" w:hAnsi="Times New Roman;serif"/>
          <w:b w:val="false"/>
          <w:color w:val="000000"/>
          <w:sz w:val="20"/>
          <w:shd w:fill="FFFFFF" w:val="clear"/>
        </w:rPr>
        <w:t xml:space="preserve">decrease in ACG revenue was </w:t>
      </w:r>
      <w:r>
        <w:rPr>
          <w:rFonts w:ascii="Times New Roman;serif" w:hAnsi="Times New Roman;serif"/>
          <w:b w:val="false"/>
          <w:color w:val="000000"/>
          <w:sz w:val="20"/>
        </w:rPr>
        <w:t>driven by our decision to strategically reduce our exposure in mass-market Android smartphones and narrow our focus to the flagship and premium tiers of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ACG operating income was driven by lower revenue, partially offset by a decrease in operating expenses of $13.7 million. The decrease in operating expenses was driven by the reduction in product development costs related to mass-market Android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10 of the Notes to Condensed Consolidated Financial Statements for a reconciliation of reportable segment operating income (loss) to consolidated operating income for the three months ended June 28, 2025 and June 29,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OTHER INCOME AND INCOME TAXES</w:t>
      </w:r>
    </w:p>
    <w:tbl>
      <w:tblPr>
        <w:tblW w:w="5079" w:type="dxa"/>
        <w:jc w:val="left"/>
        <w:tblInd w:w="0" w:type="dxa"/>
        <w:tblLayout w:type="fixed"/>
        <w:tblCellMar>
          <w:top w:w="28" w:type="dxa"/>
          <w:left w:w="28" w:type="dxa"/>
          <w:bottom w:w="28" w:type="dxa"/>
          <w:right w:w="28" w:type="dxa"/>
        </w:tblCellMar>
      </w:tblPr>
      <w:tblGrid>
        <w:gridCol w:w="892"/>
        <w:gridCol w:w="782"/>
        <w:gridCol w:w="785"/>
        <w:gridCol w:w="212"/>
        <w:gridCol w:w="803"/>
        <w:gridCol w:w="109"/>
        <w:gridCol w:w="109"/>
        <w:gridCol w:w="109"/>
        <w:gridCol w:w="109"/>
        <w:gridCol w:w="212"/>
        <w:gridCol w:w="802"/>
        <w:gridCol w:w="155"/>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2024</w:t>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0" w:after="0"/>
        <w:jc w:val="left"/>
        <w:rPr/>
      </w:pPr>
      <w:r>
        <w:rPr>
          <w:rFonts w:ascii="Times New Roman;serif" w:hAnsi="Times New Roman;serif"/>
          <w:b w:val="false"/>
          <w:color w:val="000000"/>
          <w:sz w:val="20"/>
        </w:rPr>
        <w:t>During the three months ended June 28, 2025, we recorded interest expense primarily related to our 4.375% senior notes due 2029 (the "2029 Notes") and our</w:t>
      </w:r>
      <w:r>
        <w:rPr>
          <w:color w:val="000000"/>
          <w:shd w:fill="FFFFFF" w:val="clear"/>
        </w:rPr>
        <w:t xml:space="preserve"> </w:t>
      </w:r>
      <w:r>
        <w:rPr>
          <w:rFonts w:ascii="Times New Roman;serif" w:hAnsi="Times New Roman;serif"/>
          <w:b w:val="false"/>
          <w:color w:val="000000"/>
          <w:sz w:val="20"/>
          <w:shd w:fill="FFFFFF" w:val="clear"/>
        </w:rPr>
        <w:t xml:space="preserve">3.375% senior notes due 2031 (the "2031 Notes" and together with the 2029 Notes, the "Notes"). </w:t>
      </w:r>
      <w:r>
        <w:rPr>
          <w:rFonts w:ascii="Times New Roman;serif" w:hAnsi="Times New Roman;serif"/>
          <w:b w:val="false"/>
          <w:color w:val="000000"/>
          <w:sz w:val="20"/>
        </w:rPr>
        <w:t>During the three months ended June 29, 2024, we recorded interest expense primarily related to our 1.750% senior notes due 2024 (the "2024 Notes"), our 2029 Notes and our</w:t>
      </w:r>
      <w:r>
        <w:rPr>
          <w:color w:val="000000"/>
          <w:shd w:fill="FFFFFF" w:val="clear"/>
        </w:rPr>
        <w:t xml:space="preserve"> </w:t>
      </w:r>
      <w:r>
        <w:rPr>
          <w:rFonts w:ascii="Times New Roman;serif" w:hAnsi="Times New Roman;serif"/>
          <w:b w:val="false"/>
          <w:color w:val="000000"/>
          <w:sz w:val="20"/>
          <w:shd w:fill="FFFFFF" w:val="clear"/>
        </w:rPr>
        <w:t xml:space="preserve">2031 Notes. </w:t>
      </w:r>
      <w:r>
        <w:rPr>
          <w:rFonts w:ascii="Times New Roman;serif" w:hAnsi="Times New Roman;serif"/>
          <w:b w:val="false"/>
          <w:color w:val="000000"/>
          <w:sz w:val="20"/>
        </w:rPr>
        <w:t xml:space="preserve">Refer to Note 5 of the Notes to Condensed Consolidated Financial Statements for additional information. Interest expense for the three months ended June 28, 2025 also includes financing costs related to certain inventory (subject to repurchase) in connection with a supply agreement.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we recorded interest income of $10.9 million and net gains of $8.1 million from our share of the profit or loss from our limited partnership investments and gains or losses from other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29, 2024, we recorded interest income of $12.4 million and net losses of $1.1 million from our share of the profit or loss from our limited partnership investments and gains or losses from other 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28, 2025, we recorded income tax expense of $6.1 million, comprised primarily of tax expense related to international operations generating pre-tax book income, global minimum taxes in foreign jurisdictions and the impact of Global Intangible Low-Taxed Income ("GILTI"), partially offset by tax benefits related to domestic and international operations generating pre-tax book losses and domestic tax credits.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29, 2024, we recorded an income tax benefit of $1.1 million, comprised primarily of tax benefits related to domestic and international operations generating pre-tax book losses and domestic tax credits, partially offset by tax expense related to international operations generating pre-tax book income, the impact of GILTI and the impact of discrete tax charges. The discrete tax expense for the three months ended June 29, 2024 primarily related to the tax effects of the sale of our assembly and test operations 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valuation allowance remained against certain domestic and foreign net deferred tax assets as it is more likely than not that the related deferred tax assets will not be realized.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“OBBBA”) was enacted in the U.S. The OBBBA permanently extends multiple tax provisions of the 2017 Tax Cuts and Jobs Act, as well as repeals, modifies and introduces various other tax provisions. The legislation has various effective dates, with certain provisions expected to impact our consolidated financial statements beginning with the period ending September 27, 2025. We are currently evaluating the provisions of the OBBBA and its impact to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generated by operations is our primary source of liquidity. As of June 28, 2025, we had working capital of approximately $1,447.9 million, including $1,165.5 million in cash and cash equivalents, compared to working capital of approximately $1,384.1 million, including $1,021.2 million in cash and cash equivalents as of March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$1,165.5 million of total cash and cash equivalents as of June 28, 2025, includes approximately $979.7 million held by our foreign subsidiaries, of which $789.9 million is held by Qorvo International Pte. Ltd. in Singapore. If the undistributed earnings of our foreign subsidiaries are needed in the U.S., we may be required to pay state income and/or foreign local withholding taxes to repatriate these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we repurchased approximately 0.7 million shares of our common stock for approximately $50.0 million (including transaction costs and excise tax) under our share repurchase program. As of June 28, 2025, approximately $898.8 million remains authorized for repurchases under the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0"/>
        <w:jc w:val="left"/>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$182.9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28, 2025</w:t>
      </w:r>
      <w:r>
        <w:rPr>
          <w:rFonts w:ascii="Times New Roman;serif" w:hAnsi="Times New Roman;serif"/>
          <w:b w:val="false"/>
          <w:color w:val="000000"/>
          <w:sz w:val="20"/>
        </w:rPr>
        <w:t xml:space="preserve">, attributable to the effects of net income adjusted for non-cash items (which includes depreciation, intangible assets amortization, deferred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taxes, stock-based compensation expense and other non-cash items) and changes in working capital. Cash inflows from working capital were driven by the decrease in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$81.1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29, 2024</w:t>
      </w:r>
      <w:r>
        <w:rPr>
          <w:rFonts w:ascii="Times New Roman;serif" w:hAnsi="Times New Roman;serif"/>
          <w:b w:val="false"/>
          <w:color w:val="000000"/>
          <w:sz w:val="20"/>
        </w:rPr>
        <w:t>, attributable to the effects of net income adjusted for non-cash items (which includes depreciation, intangible assets amortization, deferred income taxes, stock-based compensation expense and other non-cash items), partially offset by changes in working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$33.3 million and $17.2 million for the three months ended June 28, 2025 and June 29, 2024, respectively. During the three months ended June 29, 2024, we received proceeds of $55.6 million from the divestiture of our assembly and test operations in China and purchased $30.0 million of short-term 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$6.9 million and $29.5 million for the three months ended June 28, 2025 and June 29, 2024, respectively. We repurchased stock for $49.9 million and $124.9 million for the three months ended June 28, 2025 and June 29, 2024, respectively. During the three months ended June 28, 2025, we received net proceeds of $45.6 million for inventory (subject to repurchase) in connection with a supply agreement. During the three months ended June 29, 2024, we received net proceeds of $127.0 million for inventory (subject to repurchase) in connection with a supply agreement and repurchased $27.3 million of the principal amount of our 2024 Notes for $26.7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Credit Agreement</w:t>
      </w:r>
      <w:r>
        <w:rPr>
          <w:color w:val="000000"/>
        </w:rPr>
        <w:t xml:space="preserve"> </w:t>
      </w:r>
      <w:r>
        <w:rPr>
          <w:rFonts w:ascii="Times New Roman;serif" w:hAnsi="Times New Roman;serif"/>
          <w:b w:val="false"/>
          <w:color w:val="000000"/>
          <w:sz w:val="20"/>
        </w:rPr>
        <w:t xml:space="preserve">On April 23, 2024, we entered into a five-year unsecured senior credit facility pursuant to a credit agreement with Bank of America, N.A., as administrative agent, swing line lender and letter of credit issuer and a syndicate of lenders (the “Credit Agreement”), which replaced our previous credit agreement. The Credit Agreement provides for a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senior revolving line of credit (the “Revolving Facility”). We may request at any time that the Revolving Facility be increased by up to </w:t>
      </w:r>
      <w:r>
        <w:rPr>
          <w:rFonts w:ascii="Times New Roman;serif" w:hAnsi="Times New Roman;serif"/>
          <w:b w:val="false"/>
          <w:color w:val="000000"/>
          <w:sz w:val="20"/>
          <w:shd w:fill="FFFFFF" w:val="clear"/>
        </w:rPr>
        <w:t>$325.0 million</w:t>
      </w:r>
      <w:r>
        <w:rPr>
          <w:rFonts w:ascii="Times New Roman;serif" w:hAnsi="Times New Roman;serif"/>
          <w:b w:val="false"/>
          <w:color w:val="000000"/>
          <w:sz w:val="20"/>
        </w:rPr>
        <w:t>, subject to securing additional funding commitments from existing or new lenders. The Revolving Facility is available to finance working capital, capital expenditures and other lawful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28, 2025, there were no borrowings under the Revolving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Credit Agreement contains various conditions, covenants and representations with which we must be in compliance in order to borrow funds and to avoid an event of default. As of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 xml:space="preserve">, we were in compliance with these covenants.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2029 Notes</w:t>
      </w:r>
      <w:r>
        <w:rPr>
          <w:color w:val="000000"/>
        </w:rPr>
        <w:t xml:space="preserve"> </w:t>
      </w:r>
      <w:r>
        <w:rPr>
          <w:rFonts w:ascii="Times New Roman;serif" w:hAnsi="Times New Roman;serif"/>
          <w:b w:val="false"/>
          <w:color w:val="000000"/>
          <w:sz w:val="20"/>
        </w:rPr>
        <w:t>On September 30, 2019, we issued $350.0 million aggregate principal amount of our 2029 Notes. On December 20, 2019, and June 11, 2020, 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2031 Notes</w:t>
      </w:r>
      <w:r>
        <w:rPr>
          <w:color w:val="000000"/>
        </w:rPr>
        <w:t xml:space="preserve"> </w:t>
      </w:r>
      <w:r>
        <w:rPr>
          <w:rFonts w:ascii="Times New Roman;serif" w:hAnsi="Times New Roman;serif"/>
          <w:b w:val="false"/>
          <w:color w:val="000000"/>
          <w:sz w:val="20"/>
        </w:rPr>
        <w:t>On September 29, 2020, we issued $700.0 million aggregate principal amount of our 2031 Notes. Interest on the 2031 Notes is payable on 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debt, refer to Note 5 of the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Capital Commitments</w:t>
      </w:r>
      <w:r>
        <w:rPr>
          <w:color w:val="000000"/>
        </w:rPr>
        <w:t xml:space="preserve"> </w:t>
      </w:r>
      <w:r>
        <w:rPr>
          <w:rFonts w:ascii="Times New Roman;serif" w:hAnsi="Times New Roman;serif"/>
          <w:b w:val="false"/>
          <w:color w:val="000000"/>
          <w:sz w:val="20"/>
        </w:rPr>
        <w:t>As of June 28, 2025, we had capital commitments of approximately $81.9 million primarily for expanding capability to develop and support new products (which includes accrued technology licenses of approximately $34.0 million), equipment and facility upgrades and cost savings initiatives.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Future Sources of Funding</w:t>
      </w:r>
      <w:r>
        <w:rPr>
          <w:color w:val="000000"/>
        </w:rPr>
        <w:t xml:space="preserve"> </w:t>
      </w:r>
      <w:r>
        <w:rPr>
          <w:rFonts w:ascii="Times New Roman;serif" w:hAnsi="Times New Roman;serif"/>
          <w:b w:val="false"/>
          <w:color w:val="000000"/>
          <w:sz w:val="20"/>
        </w:rPr>
        <w:t xml:space="preserve">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Legal</w:t>
      </w:r>
      <w:r>
        <w:rPr>
          <w:color w:val="000000"/>
        </w:rPr>
        <w:t xml:space="preserve"> </w:t>
      </w:r>
      <w:r>
        <w:rPr>
          <w:rFonts w:ascii="Times New Roman;serif" w:hAnsi="Times New Roman;serif"/>
          <w:b w:val="false"/>
          <w:color w:val="000000"/>
          <w:sz w:val="20"/>
        </w:rPr>
        <w:t>We are involved in various legal proceedings and claims that have arisen in the ordinary course of business that have not been fully adjudicated. We 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Taxes</w:t>
      </w:r>
      <w:r>
        <w:rPr>
          <w:color w:val="000000"/>
        </w:rPr>
        <w:t xml:space="preserve"> </w:t>
      </w:r>
      <w:r>
        <w:rPr>
          <w:rFonts w:ascii="Times New Roman;serif" w:hAnsi="Times New Roman;serif"/>
          <w:b w:val="false"/>
          <w:color w:val="000000"/>
          <w:sz w:val="20"/>
        </w:rPr>
        <w:t>We are subject to income and other taxes in the United States and in numerous foreign jurisdictions. Our domestic and foreign tax liabilities are 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PARENT AND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indentures governing the Notes, our obligations under the Notes are fully and unconditionally guaranteed on a joint and several unsecured basis by the Guarantors, which are listed on Exhibit 22 to this Quarterly Report on Form 10-Q. Each Guarantor is 100% owned, directly or indirectly, by Qorvo, Inc. (the "Parent"). A Guarantor can be released in certain customary circumstances. Our other U.S. subsidiaries and our non-U.S. subsidiaries do not guarantee the Notes (such subsidiaries are referred to as the "Non-Guarantors").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pStyle w:val="TextBody"/>
        <w:bidi w:val="0"/>
        <w:spacing w:before="0" w:after="0"/>
        <w:jc w:val="left"/>
        <w:rPr/>
      </w:pPr>
      <w:r>
        <w:rPr/>
      </w:r>
    </w:p>
    <w:tbl>
      <w:tblPr>
        <w:tblW w:w="5282" w:type="dxa"/>
        <w:jc w:val="left"/>
        <w:tblInd w:w="0" w:type="dxa"/>
        <w:tblLayout w:type="fixed"/>
        <w:tblCellMar>
          <w:top w:w="28" w:type="dxa"/>
          <w:left w:w="28" w:type="dxa"/>
          <w:bottom w:w="28" w:type="dxa"/>
          <w:right w:w="28" w:type="dxa"/>
        </w:tblCellMar>
      </w:tblPr>
      <w:tblGrid>
        <w:gridCol w:w="907"/>
        <w:gridCol w:w="797"/>
        <w:gridCol w:w="801"/>
        <w:gridCol w:w="211"/>
        <w:gridCol w:w="826"/>
        <w:gridCol w:w="109"/>
        <w:gridCol w:w="109"/>
        <w:gridCol w:w="109"/>
        <w:gridCol w:w="109"/>
        <w:gridCol w:w="231"/>
        <w:gridCol w:w="905"/>
        <w:gridCol w:w="16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Summarized Balance Sheets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liabilities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net amounts due from Non-Guarantor subsidiaries of $261.1 million and $259.4 million as of June 28, 2025 and March 29, 2025, respectively.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net amounts due to Non-Guarantor subsidiaries of $713.6 million and $687.6 million as of June 28, 2025 and March 29,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tbl>
      <w:tblPr>
        <w:tblW w:w="5262" w:type="dxa"/>
        <w:jc w:val="center"/>
        <w:tblInd w:w="0" w:type="dxa"/>
        <w:tblLayout w:type="fixed"/>
        <w:tblCellMar>
          <w:top w:w="28" w:type="dxa"/>
          <w:left w:w="28" w:type="dxa"/>
          <w:bottom w:w="28" w:type="dxa"/>
          <w:right w:w="28" w:type="dxa"/>
        </w:tblCellMar>
      </w:tblPr>
      <w:tblGrid>
        <w:gridCol w:w="1190"/>
        <w:gridCol w:w="1045"/>
        <w:gridCol w:w="1050"/>
        <w:gridCol w:w="109"/>
        <w:gridCol w:w="109"/>
        <w:gridCol w:w="109"/>
        <w:gridCol w:w="292"/>
        <w:gridCol w:w="1145"/>
        <w:gridCol w:w="213"/>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281,584 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exposures during the first quarter of fiscal 2026. For a discussion of our exposure to market risk, refer to Item 7A, "Quantitative and Qualitative Disclosures About Market Risk," contained in Qorvo's Annual Report on Form 10-K for the fiscal year ended March 29,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Rules 13a-15(f) and 15d-15(f) under the Exchange Act) that occurred during the quarter ended June 28,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report and in our other reports and statements that we file with the U.S. Securities and Exchange Commission (the "SEC"), careful consideration should be given to the factors discussed in Part I, Item 1A., "Risk Factors" in Qorvo's Annual Report on Form 10-K for the fiscal year ended March 29, 2025,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 Issuer Purchases of Equity Securities </w:t>
      </w:r>
    </w:p>
    <w:tbl>
      <w:tblPr>
        <w:tblW w:w="10205" w:type="dxa"/>
        <w:jc w:val="center"/>
        <w:tblInd w:w="0" w:type="dxa"/>
        <w:tblLayout w:type="fixed"/>
        <w:tblCellMar>
          <w:top w:w="28" w:type="dxa"/>
          <w:left w:w="28" w:type="dxa"/>
          <w:bottom w:w="28" w:type="dxa"/>
          <w:right w:w="28" w:type="dxa"/>
        </w:tblCellMar>
      </w:tblPr>
      <w:tblGrid>
        <w:gridCol w:w="407"/>
        <w:gridCol w:w="358"/>
        <w:gridCol w:w="363"/>
        <w:gridCol w:w="109"/>
        <w:gridCol w:w="109"/>
        <w:gridCol w:w="109"/>
        <w:gridCol w:w="525"/>
        <w:gridCol w:w="525"/>
        <w:gridCol w:w="527"/>
        <w:gridCol w:w="109"/>
        <w:gridCol w:w="109"/>
        <w:gridCol w:w="109"/>
        <w:gridCol w:w="278"/>
        <w:gridCol w:w="814"/>
        <w:gridCol w:w="144"/>
        <w:gridCol w:w="109"/>
        <w:gridCol w:w="109"/>
        <w:gridCol w:w="109"/>
        <w:gridCol w:w="816"/>
        <w:gridCol w:w="816"/>
        <w:gridCol w:w="819"/>
        <w:gridCol w:w="109"/>
        <w:gridCol w:w="109"/>
        <w:gridCol w:w="109"/>
        <w:gridCol w:w="535"/>
        <w:gridCol w:w="1567"/>
        <w:gridCol w:w="403"/>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br/>
              <w:t>(in millions)</w:t>
            </w:r>
          </w:p>
        </w:tc>
      </w:tr>
      <w:tr>
        <w:trPr/>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2025 to April 26,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2025 to May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25, 2025 to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8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fiscal 2026, no director or Section 16 officer adopted or terminated a "Rule 10b5-1 trading agreement" or a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9"/>
        <w:gridCol w:w="247"/>
        <w:gridCol w:w="109"/>
        <w:gridCol w:w="2907"/>
        <w:gridCol w:w="2760"/>
        <w:gridCol w:w="3903"/>
      </w:tblGrid>
      <w:tr>
        <w:trPr/>
        <w:tc>
          <w:tcPr>
            <w:tcW w:w="2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03" w:type="dxa"/>
            <w:tcBorders/>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Third Amended and Restated Bylaws of Qorvo, Inc., adopted on May 16, 2025 (incorporated by reference to Exhibit 3.</w:t>
              </w:r>
            </w:hyperlink>
            <w:hyperlink r:id="rId4">
              <w:r>
                <w:rPr>
                  <w:rStyle w:val="InternetLink"/>
                  <w:rFonts w:ascii="Times New Roman;serif" w:hAnsi="Times New Roman;serif"/>
                  <w:b w:val="false"/>
                  <w:color w:val="000080"/>
                  <w:sz w:val="20"/>
                  <w:u w:val="single"/>
                </w:rPr>
                <w:t>1</w:t>
              </w:r>
            </w:hyperlink>
            <w:hyperlink r:id="rId5">
              <w:r>
                <w:rPr>
                  <w:rStyle w:val="InternetLink"/>
                  <w:rFonts w:ascii="Times New Roman;serif" w:hAnsi="Times New Roman;serif"/>
                  <w:b w:val="false"/>
                  <w:color w:val="000080"/>
                  <w:sz w:val="20"/>
                  <w:u w:val="single"/>
                </w:rPr>
                <w:t xml:space="preserve"> to the Company's </w:t>
              </w:r>
            </w:hyperlink>
            <w:hyperlink r:id="rId6">
              <w:r>
                <w:rPr>
                  <w:rStyle w:val="InternetLink"/>
                  <w:rFonts w:ascii="Times New Roman;serif" w:hAnsi="Times New Roman;serif"/>
                  <w:b w:val="false"/>
                  <w:color w:val="000080"/>
                  <w:sz w:val="20"/>
                  <w:u w:val="single"/>
                </w:rPr>
                <w:t>Current</w:t>
              </w:r>
            </w:hyperlink>
            <w:hyperlink r:id="rId7">
              <w:r>
                <w:rPr>
                  <w:rStyle w:val="InternetLink"/>
                  <w:rFonts w:ascii="Times New Roman;serif" w:hAnsi="Times New Roman;serif"/>
                  <w:b w:val="false"/>
                  <w:color w:val="000080"/>
                  <w:sz w:val="20"/>
                  <w:u w:val="single"/>
                </w:rPr>
                <w:t xml:space="preserve"> Report on Form </w:t>
              </w:r>
            </w:hyperlink>
            <w:hyperlink r:id="rId8">
              <w:r>
                <w:rPr>
                  <w:rStyle w:val="InternetLink"/>
                  <w:rFonts w:ascii="Times New Roman;serif" w:hAnsi="Times New Roman;serif"/>
                  <w:b w:val="false"/>
                  <w:color w:val="000080"/>
                  <w:sz w:val="20"/>
                  <w:u w:val="single"/>
                </w:rPr>
                <w:t>8</w:t>
              </w:r>
            </w:hyperlink>
            <w:hyperlink r:id="rId9">
              <w:r>
                <w:rPr>
                  <w:rStyle w:val="InternetLink"/>
                  <w:rFonts w:ascii="Times New Roman;serif" w:hAnsi="Times New Roman;serif"/>
                  <w:b w:val="false"/>
                  <w:color w:val="000080"/>
                  <w:sz w:val="20"/>
                  <w:u w:val="single"/>
                </w:rPr>
                <w:t xml:space="preserve">-K filed with the SEC on May </w:t>
              </w:r>
            </w:hyperlink>
            <w:hyperlink r:id="rId10">
              <w:r>
                <w:rPr>
                  <w:rStyle w:val="InternetLink"/>
                  <w:rFonts w:ascii="Times New Roman;serif" w:hAnsi="Times New Roman;serif"/>
                  <w:b w:val="false"/>
                  <w:color w:val="000080"/>
                  <w:sz w:val="20"/>
                  <w:u w:val="single"/>
                </w:rPr>
                <w:t>20</w:t>
              </w:r>
            </w:hyperlink>
            <w:hyperlink r:id="rId11">
              <w:r>
                <w:rPr>
                  <w:rStyle w:val="InternetLink"/>
                  <w:rFonts w:ascii="Times New Roman;serif" w:hAnsi="Times New Roman;serif"/>
                  <w:b w:val="false"/>
                  <w:color w:val="000080"/>
                  <w:sz w:val="20"/>
                  <w:u w:val="single"/>
                </w:rPr>
                <w:t>, 2025)</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20250628.htm">
              <w:r>
                <w:rPr>
                  <w:rStyle w:val="InternetLink"/>
                  <w:rFonts w:ascii="Times New Roman;serif" w:hAnsi="Times New Roman;serif"/>
                  <w:b w:val="false"/>
                  <w:color w:val="0000FF"/>
                  <w:sz w:val="20"/>
                  <w:u w:val="single"/>
                </w:rPr>
                <w:t>List of Subsidiary Guarantors</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50628.htm">
              <w:r>
                <w:rPr>
                  <w:rStyle w:val="InternetLink"/>
                  <w:rFonts w:ascii="Times New Roman;serif" w:hAnsi="Times New Roman;serif"/>
                  <w:b w:val="false"/>
                  <w:color w:val="0000FF"/>
                  <w:sz w:val="20"/>
                  <w:u w:val="single"/>
                </w:rPr>
                <w:t>Certification of Periodic Report by Robert A. Bruggeworth, as Chief Executive Officer, pursuant to Rule 13a-14(a) or 15d-14(a) of the Exchange Act, as adopted pursuant to Section 302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50628.htm">
              <w:r>
                <w:rPr>
                  <w:rStyle w:val="InternetLink"/>
                  <w:rFonts w:ascii="Times New Roman;serif" w:hAnsi="Times New Roman;serif"/>
                  <w:b w:val="false"/>
                  <w:color w:val="0000FF"/>
                  <w:sz w:val="20"/>
                  <w:u w:val="single"/>
                </w:rPr>
                <w:t>Certification of Periodic Report by Grant A. Brown, as Chief Financial Officer, pursuant to Rule 13a-14(a) or 15d-14(a) of the Exchange Act, as adopted pursuant to Section 302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50628.htm">
              <w:r>
                <w:rPr>
                  <w:rStyle w:val="InternetLink"/>
                  <w:rFonts w:ascii="Times New Roman;serif" w:hAnsi="Times New Roman;serif"/>
                  <w:b w:val="false"/>
                  <w:color w:val="0000FF"/>
                  <w:sz w:val="20"/>
                  <w:u w:val="single"/>
                </w:rPr>
                <w:t>Certification of Periodic Report by Robert A. Bruggeworth, as Chief Executive Officer, pursuant to 18 U.S.C. Section 1350, as adopted pursuant to Section 906 of the Sarbanes-Oxley Act of 2002</w:t>
              </w:r>
            </w:hyperlink>
            <w:r>
              <w:rPr>
                <w:color w:val="000000"/>
              </w:rPr>
              <w:t xml:space="preserve"> </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50628.htm">
              <w:r>
                <w:rPr>
                  <w:rStyle w:val="InternetLink"/>
                  <w:rFonts w:ascii="Times New Roman;serif" w:hAnsi="Times New Roman;serif"/>
                  <w:b w:val="false"/>
                  <w:color w:val="0000FF"/>
                  <w:sz w:val="20"/>
                  <w:u w:val="single"/>
                </w:rPr>
                <w:t>Certification of Periodic Report by Grant A. Brown, as Chief Financial Officer, pursuant to 18 U.S.C. Section 1350, as adopted pursuant to Section 906 of the Sarbanes-Oxley Act of 2002</w:t>
              </w:r>
            </w:hyperlink>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following materials from our Quarterly Report on Form 10-Q for the quarter ended June 28, 2025</w:t>
            </w:r>
            <w:r>
              <w:rPr>
                <w:rFonts w:ascii="Times New Roman;serif" w:hAnsi="Times New Roman;serif"/>
                <w:b w:val="false"/>
                <w:color w:val="000000"/>
                <w:sz w:val="20"/>
                <w:shd w:fill="FFFFFF" w:val="clear"/>
              </w:rPr>
              <w:t>, f</w:t>
            </w:r>
            <w:r>
              <w:rPr>
                <w:rFonts w:ascii="Times New Roman;serif" w:hAnsi="Times New Roman;serif"/>
                <w:b w:val="false"/>
                <w:color w:val="000000"/>
                <w:sz w:val="20"/>
              </w:rPr>
              <w:t>ormatted in iXBRL (Inline eXtensible Business Reporting Language): (i) the Condensed Consolidated Balance Sheets; (ii) the Condensed Consolidated Statements of Income; (iii) the Condensed Consolidated Statements of Comprehensive Income (Loss); (iv) the Condensed Consolidated Statements of Stockholders' Equity; (v) the Condensed Consolidated Statements of Cash Flows; and (vi) the Notes to Condensed Consolidated Financial Statements</w:t>
            </w:r>
          </w:p>
        </w:tc>
      </w:tr>
      <w:tr>
        <w:trPr/>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cover page from our Quarterly Report on Form 10-Q for the quarter ended June 28,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formatted in iXBRL</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 file number for documents filed with the SEC pursuant to the Securities Exchange Act of 1934, as amended, is 001-36801.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f81397ba0e746ad8c8601f1ba6586cd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236"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207"/>
        <w:gridCol w:w="1207"/>
        <w:gridCol w:w="17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Qorvo,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4.375% Senior Notes due 2029 and the 3.375% Senior Notes due 2031 are guaranteed, jointly and severally, on an unsecured basis, by the following 100% owned subsidiaries of Qorvo, Inc., a Delaware corporation, as of June 28, 2025:</w:t>
      </w:r>
    </w:p>
    <w:p>
      <w:pPr>
        <w:pStyle w:val="TextBody"/>
        <w:bidi w:val="0"/>
        <w:spacing w:before="0" w:after="0"/>
        <w:jc w:val="left"/>
        <w:rPr/>
      </w:pPr>
      <w:r>
        <w:rPr/>
      </w:r>
    </w:p>
    <w:tbl>
      <w:tblPr>
        <w:tblW w:w="5158" w:type="dxa"/>
        <w:jc w:val="center"/>
        <w:tblInd w:w="0" w:type="dxa"/>
        <w:tblLayout w:type="fixed"/>
        <w:tblCellMar>
          <w:top w:w="28" w:type="dxa"/>
          <w:left w:w="28" w:type="dxa"/>
          <w:bottom w:w="28" w:type="dxa"/>
          <w:right w:w="28" w:type="dxa"/>
        </w:tblCellMar>
      </w:tblPr>
      <w:tblGrid>
        <w:gridCol w:w="846"/>
        <w:gridCol w:w="742"/>
        <w:gridCol w:w="751"/>
        <w:gridCol w:w="824"/>
        <w:gridCol w:w="824"/>
        <w:gridCol w:w="117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2" w:space="0" w:color="000000"/>
              <w:left w:val="single" w:sz="2" w:space="0" w:color="000000"/>
            </w:tcBorders>
            <w:shd w:fill="D9D9D9" w:val="clear"/>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Entity</w:t>
            </w:r>
          </w:p>
        </w:tc>
        <w:tc>
          <w:tcPr>
            <w:tcW w:w="2819" w:type="dxa"/>
            <w:gridSpan w:val="3"/>
            <w:tcBorders>
              <w:top w:val="single" w:sz="2" w:space="0" w:color="000000"/>
              <w:left w:val="single" w:sz="2" w:space="0" w:color="000000"/>
              <w:right w:val="single" w:sz="2"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or Organization </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Amalfi Semiconductor,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RFMD,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California,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US,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Texas,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233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Oregon, Inc.</w:t>
            </w:r>
          </w:p>
        </w:tc>
        <w:tc>
          <w:tcPr>
            <w:tcW w:w="281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EXCHANGE ACT,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A. Bruggeworth,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Date: July 30, 2025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EXCHANGE ACT,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Grant A. Brown,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Date: July 30, 2025</w:t>
      </w:r>
    </w:p>
    <w:tbl>
      <w:tblPr>
        <w:tblW w:w="4526" w:type="dxa"/>
        <w:jc w:val="center"/>
        <w:tblInd w:w="0" w:type="dxa"/>
        <w:tblLayout w:type="fixed"/>
        <w:tblCellMar>
          <w:top w:w="28" w:type="dxa"/>
          <w:left w:w="28" w:type="dxa"/>
          <w:bottom w:w="28" w:type="dxa"/>
          <w:right w:w="28" w:type="dxa"/>
        </w:tblCellMar>
      </w:tblPr>
      <w:tblGrid>
        <w:gridCol w:w="124"/>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A. Bruggeworth, President and Chief Executive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fiscal quarter ended June 28, 2025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118" w:type="dxa"/>
        <w:jc w:val="left"/>
        <w:tblInd w:w="0" w:type="dxa"/>
        <w:tblLayout w:type="fixed"/>
        <w:tblCellMar>
          <w:top w:w="28" w:type="dxa"/>
          <w:left w:w="28" w:type="dxa"/>
          <w:bottom w:w="28" w:type="dxa"/>
          <w:right w:w="28" w:type="dxa"/>
        </w:tblCellMar>
      </w:tblPr>
      <w:tblGrid>
        <w:gridCol w:w="124"/>
        <w:gridCol w:w="109"/>
        <w:gridCol w:w="109"/>
        <w:gridCol w:w="1134"/>
        <w:gridCol w:w="1134"/>
        <w:gridCol w:w="11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Grant A. Brown, Senior Vice President and Chief Financial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fiscal quarter ended June 28, 2025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5093" w:type="dxa"/>
        <w:jc w:val="left"/>
        <w:tblInd w:w="0" w:type="dxa"/>
        <w:tblLayout w:type="fixed"/>
        <w:tblCellMar>
          <w:top w:w="28" w:type="dxa"/>
          <w:left w:w="28" w:type="dxa"/>
          <w:bottom w:w="28" w:type="dxa"/>
          <w:right w:w="28" w:type="dxa"/>
        </w:tblCellMar>
      </w:tblPr>
      <w:tblGrid>
        <w:gridCol w:w="124"/>
        <w:gridCol w:w="109"/>
        <w:gridCol w:w="109"/>
        <w:gridCol w:w="1458"/>
        <w:gridCol w:w="1458"/>
        <w:gridCol w:w="146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Senior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4778/000095010325006215/dp228831_ex0301.htm" TargetMode="External"/><Relationship Id="rId4" Type="http://schemas.openxmlformats.org/officeDocument/2006/relationships/hyperlink" Target="https://www.sec.gov/Archives/edgar/data/1604778/000095010325006215/dp228831_ex0301.htm" TargetMode="External"/><Relationship Id="rId5" Type="http://schemas.openxmlformats.org/officeDocument/2006/relationships/hyperlink" Target="https://www.sec.gov/Archives/edgar/data/1604778/000095010325006215/dp228831_ex0301.htm" TargetMode="External"/><Relationship Id="rId6" Type="http://schemas.openxmlformats.org/officeDocument/2006/relationships/hyperlink" Target="https://www.sec.gov/Archives/edgar/data/1604778/000095010325006215/dp228831_ex0301.htm" TargetMode="External"/><Relationship Id="rId7" Type="http://schemas.openxmlformats.org/officeDocument/2006/relationships/hyperlink" Target="https://www.sec.gov/Archives/edgar/data/1604778/000095010325006215/dp228831_ex0301.htm" TargetMode="External"/><Relationship Id="rId8" Type="http://schemas.openxmlformats.org/officeDocument/2006/relationships/hyperlink" Target="https://www.sec.gov/Archives/edgar/data/1604778/000095010325006215/dp228831_ex0301.htm" TargetMode="External"/><Relationship Id="rId9" Type="http://schemas.openxmlformats.org/officeDocument/2006/relationships/hyperlink" Target="https://www.sec.gov/Archives/edgar/data/1604778/000095010325006215/dp228831_ex0301.htm" TargetMode="External"/><Relationship Id="rId10" Type="http://schemas.openxmlformats.org/officeDocument/2006/relationships/hyperlink" Target="https://www.sec.gov/Archives/edgar/data/1604778/000095010325006215/dp228831_ex0301.htm" TargetMode="External"/><Relationship Id="rId11" Type="http://schemas.openxmlformats.org/officeDocument/2006/relationships/hyperlink" Target="https://www.sec.gov/Archives/edgar/data/1604778/000095010325006215/dp228831_ex03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11750</Words>
  <Characters>66120</Characters>
  <CharactersWithSpaces>77141</CharactersWithSpaces>
  <Paragraphs>1395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