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97339_10052026.xml.htm"/>
      <w:bookmarkStart w:id="1" w:name="ksform406297339_1005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Feld Peter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E LAS OLAS BOULEVARD,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0"/>
        <w:gridCol w:w="915"/>
        <w:gridCol w:w="784"/>
        <w:gridCol w:w="661"/>
        <w:gridCol w:w="291"/>
        <w:gridCol w:w="1153"/>
        <w:gridCol w:w="435"/>
        <w:gridCol w:w="601"/>
        <w:gridCol w:w="1137"/>
        <w:gridCol w:w="980"/>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(2)(3)</w:t>
            </w:r>
          </w:p>
        </w:tc>
        <w:tc>
          <w:tcPr>
            <w:tcW w:w="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$0.0001 par value</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(2)(3)</w:t>
            </w:r>
          </w:p>
        </w:tc>
        <w:tc>
          <w:tcPr>
            <w:tcW w:w="2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5,611,526</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Starboard Value LP</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Starboard Value LP ("Starboard") serves as the investment manager or manager of certain managed accounts and private investment funds (collectively, the "Starboard Accounts"), which hold the securities reported herein and as such may be deemed to beneficially own such securities. The Reporting Person, as a Managing Member of Starboard, may be deemed to beneficially own the securities directly held by the Starboard Accounts for purposes of Section 16 of the Securities Exchange Act of 1934, as amended. The Reporting Person expressly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Lorelei Martin, Attorney-in-Fact for Peter A. Feld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0600"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870</Words>
  <Characters>4709</Characters>
  <CharactersWithSpaces>5502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