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tm2627312d1_s8pos.htm"/>
      <w:bookmarkStart w:id="1" w:name="kstm2627312d1_s8pos"/>
      <w:bookmarkEnd w:id="0"/>
      <w:bookmarkEnd w:id="1"/>
      <w:r>
        <w:rPr>
          <w:rFonts w:ascii="Times New Roman;Times;Serif" w:hAnsi="Times New Roman;Times;Serif"/>
          <w:b/>
          <w:i w:val="false"/>
          <w:caps w:val="false"/>
          <w:smallCaps w:val="false"/>
          <w:sz w:val="20"/>
        </w:rPr>
        <w:t>As filed with the Securities and Exchange Commission on 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333-289584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333-266752</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333-266687</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333-201358</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333-201357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333-289584)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333-266752)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333-266687)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333-201358)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333-201357)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QORVO TECHNOLOGIES,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(SUCCESSOR-BY-MERGER TO QORVO,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4160"/>
        <w:gridCol w:w="3455"/>
      </w:tblGrid>
      <w:tr>
        <w:trPr/>
        <w:tc>
          <w:tcPr>
            <w:tcW w:w="4160" w:type="dxa"/>
            <w:tcBorders/>
            <w:vAlign w:val="center"/>
          </w:tcPr>
          <w:p>
            <w:pPr>
              <w:pStyle w:val="TableContents"/>
              <w:bidi w:val="0"/>
              <w:spacing w:before="0" w:after="283"/>
              <w:jc w:val="center"/>
              <w:rPr/>
            </w:pPr>
            <w:r>
              <w:rPr>
                <w:b/>
              </w:rPr>
              <w:t>Delaware</w:t>
            </w:r>
            <w:r>
              <w:rPr/>
              <w:t xml:space="preserve"> </w:t>
              <w:br/>
              <w:t>(State of Other Jurisdiction of Incorporation</w:t>
              <w:br/>
              <w:t>or Organization)</w:t>
            </w:r>
          </w:p>
        </w:tc>
        <w:tc>
          <w:tcPr>
            <w:tcW w:w="3455" w:type="dxa"/>
            <w:tcBorders/>
            <w:vAlign w:val="center"/>
          </w:tcPr>
          <w:p>
            <w:pPr>
              <w:pStyle w:val="TableContents"/>
              <w:bidi w:val="0"/>
              <w:spacing w:before="0" w:after="283"/>
              <w:jc w:val="center"/>
              <w:rPr/>
            </w:pPr>
            <w:r>
              <w:rPr>
                <w:b/>
              </w:rPr>
              <w:t>46-5288992</w:t>
            </w:r>
            <w:r>
              <w:rPr/>
              <w:t xml:space="preserve"> </w:t>
              <w:b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7628 Thorndike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Greensboro, North Carolina 27409-9421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 664-1233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2022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AMENDED AND RESTATED 2022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 STOCK OPTION PLAN OF QORVO,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2015 INDUCEMENT STOCK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2013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QORVO, INC. 2012 STOCK INCENTIVE PLAN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Amended and Restated Effective January 1, 2015)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the RF Micro Devices, Inc. 2012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2012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2009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2008 INDUCEMENT PROGRAM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2007 EMPLOYEE STOCK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AMENDED AND RESTATED 2007 EMPLOYEE STOCK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2006 DIRECTORS STOCK OPTION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2003 STOCK INCENTIVE PLAN OF QORVO,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1996 STOCK INCENTIVE PROGRAM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K. Givens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TECHNOLOGIES,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7628 Thorndike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Greensboro, North Carolina 27409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 664-1233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Kenton J. King, Esq.</w:t>
        <w:br/>
        <w:t>Sonia K. Nijjar, Esq.</w:t>
        <w:br/>
        <w:t>Skadden, Arps, Slate, Meagher &amp; Flom LLP</w:t>
        <w:br/>
        <w:t>525 University Avenue, 14th Floor</w:t>
        <w:br/>
        <w:t>Palo Alto, CA 94301</w:t>
        <w:br/>
        <w:t>(650) 470-4500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480" w:type="dxa"/>
        <w:jc w:val="left"/>
        <w:tblInd w:w="0" w:type="dxa"/>
        <w:tblLayout w:type="fixed"/>
        <w:tblCellMar>
          <w:top w:w="0" w:type="dxa"/>
          <w:left w:w="0" w:type="dxa"/>
          <w:bottom w:w="0" w:type="dxa"/>
          <w:right w:w="0" w:type="dxa"/>
        </w:tblCellMar>
      </w:tblPr>
      <w:tblGrid>
        <w:gridCol w:w="2495"/>
        <w:gridCol w:w="1580"/>
        <w:gridCol w:w="1940"/>
        <w:gridCol w:w="2465"/>
      </w:tblGrid>
      <w:tr>
        <w:trPr/>
        <w:tc>
          <w:tcPr>
            <w:tcW w:w="2495" w:type="dxa"/>
            <w:tcBorders/>
            <w:vAlign w:val="center"/>
          </w:tcPr>
          <w:p>
            <w:pPr>
              <w:pStyle w:val="TableContents"/>
              <w:bidi w:val="0"/>
              <w:spacing w:before="0" w:after="283"/>
              <w:jc w:val="left"/>
              <w:rPr>
                <w:sz w:val="20"/>
              </w:rPr>
            </w:pPr>
            <w:r>
              <w:rPr>
                <w:rFonts w:ascii="Times New Roman;Times;Serif" w:hAnsi="Times New Roman;Times;Serif"/>
                <w:sz w:val="20"/>
              </w:rPr>
              <w:t xml:space="preserve">Large accelerated filer </w:t>
            </w:r>
            <w:r>
              <w:rPr>
                <w:sz w:val="20"/>
              </w:rPr>
              <w:t>☒</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c>
          <w:tcPr>
            <w:tcW w:w="1940" w:type="dxa"/>
            <w:tcBorders/>
            <w:vAlign w:val="center"/>
          </w:tcPr>
          <w:p>
            <w:pPr>
              <w:pStyle w:val="TableContents"/>
              <w:bidi w:val="0"/>
              <w:spacing w:before="0" w:after="283"/>
              <w:jc w:val="center"/>
              <w:rPr>
                <w:sz w:val="20"/>
              </w:rPr>
            </w:pPr>
            <w:r>
              <w:rPr>
                <w:rFonts w:ascii="Times New Roman;Times;Serif" w:hAnsi="Times New Roman;Times;Serif"/>
                <w:sz w:val="20"/>
              </w:rPr>
              <w:t xml:space="preserve">Non-accelerated filer </w:t>
            </w:r>
            <w:r>
              <w:rPr>
                <w:sz w:val="20"/>
              </w:rPr>
              <w:t>☐</w:t>
            </w:r>
          </w:p>
        </w:tc>
        <w:tc>
          <w:tcPr>
            <w:tcW w:w="2465" w:type="dxa"/>
            <w:tcBorders/>
            <w:vAlign w:val="center"/>
          </w:tcPr>
          <w:p>
            <w:pPr>
              <w:pStyle w:val="TableContents"/>
              <w:bidi w:val="0"/>
              <w:spacing w:before="0" w:after="283"/>
              <w:jc w:val="left"/>
              <w:rPr>
                <w:sz w:val="20"/>
              </w:rPr>
            </w:pPr>
            <w:r>
              <w:rPr>
                <w:rFonts w:ascii="Times New Roman;Times;Serif" w:hAnsi="Times New Roman;Times;Serif"/>
                <w:sz w:val="20"/>
              </w:rPr>
              <w:t xml:space="preserve">Smaller reporting company </w:t>
            </w:r>
            <w:r>
              <w:rPr>
                <w:sz w:val="20"/>
              </w:rPr>
              <w:t>☐</w:t>
            </w:r>
          </w:p>
        </w:tc>
      </w:tr>
      <w:tr>
        <w:trPr/>
        <w:tc>
          <w:tcPr>
            <w:tcW w:w="249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rFonts w:ascii="Times New Roman;Times;Serif" w:hAnsi="Times New Roman;Times;Serif"/>
                <w:sz w:val="20"/>
              </w:rPr>
              <w:t xml:space="preserve">Emerging growth company </w:t>
            </w:r>
            <w:r>
              <w:rPr/>
              <w:t>☐</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of 1933, as amended.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Technologies, LLC, a Delaware limited liability company (f/k/a Qorvo, Inc.) (“</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is filing these post-effective amendments (these “</w:t>
      </w:r>
      <w:r>
        <w:rPr>
          <w:rFonts w:ascii="Times New Roman;Times;Serif" w:hAnsi="Times New Roman;Times;Serif"/>
          <w:b w:val="false"/>
          <w:i w:val="false"/>
          <w:caps w:val="false"/>
          <w:smallCaps w:val="false"/>
          <w:sz w:val="20"/>
          <w:u w:val="single"/>
          <w:shd w:fill="FFFFFF" w:val="clear"/>
        </w:rPr>
        <w:t>Post-Effective Amendments</w:t>
      </w:r>
      <w:r>
        <w:rPr>
          <w:rFonts w:ascii="Times New Roman;Times;Serif" w:hAnsi="Times New Roman;Times;Serif"/>
          <w:b w:val="false"/>
          <w:i w:val="false"/>
          <w:caps w:val="false"/>
          <w:smallCaps w:val="false"/>
          <w:sz w:val="20"/>
          <w:shd w:fill="FFFFFF" w:val="clear"/>
        </w:rPr>
        <w:t>”) to the following Registration Statements on Form S-8 (the “</w:t>
      </w:r>
      <w:r>
        <w:rPr>
          <w:rFonts w:ascii="Times New Roman;Times;Serif" w:hAnsi="Times New Roman;Times;Serif"/>
          <w:b w:val="false"/>
          <w:i w:val="false"/>
          <w:caps w:val="false"/>
          <w:smallCaps w:val="false"/>
          <w:sz w:val="20"/>
          <w:u w:val="single"/>
          <w:shd w:fill="FFFFFF" w:val="clear"/>
        </w:rPr>
        <w:t>Registration Statements</w:t>
      </w:r>
      <w:r>
        <w:rPr>
          <w:rFonts w:ascii="Times New Roman;Times;Serif" w:hAnsi="Times New Roman;Times;Serif"/>
          <w:b w:val="false"/>
          <w:i w:val="false"/>
          <w:caps w:val="false"/>
          <w:smallCaps w:val="false"/>
          <w:sz w:val="20"/>
          <w:shd w:fill="FFFFFF" w:val="clear"/>
        </w:rPr>
        <w:t>”), which have been previously filed with the Securities and Exchange Commission (the “</w:t>
      </w:r>
      <w:r>
        <w:rPr>
          <w:rFonts w:ascii="Times New Roman;Times;Serif" w:hAnsi="Times New Roman;Times;Serif"/>
          <w:b w:val="false"/>
          <w:i w:val="false"/>
          <w:caps w:val="false"/>
          <w:smallCaps w:val="false"/>
          <w:sz w:val="20"/>
          <w:u w:val="single"/>
          <w:shd w:fill="FFFFFF" w:val="clear"/>
        </w:rPr>
        <w:t>SEC</w:t>
      </w:r>
      <w:r>
        <w:rPr>
          <w:rFonts w:ascii="Times New Roman;Times;Serif" w:hAnsi="Times New Roman;Times;Serif"/>
          <w:b w:val="false"/>
          <w:i w:val="false"/>
          <w:caps w:val="false"/>
          <w:smallCaps w:val="false"/>
          <w:sz w:val="20"/>
          <w:shd w:fill="FFFFFF" w:val="clear"/>
        </w:rPr>
        <w:t>”), to deregister any and all securities of Qorvo’s common stock, par value $0.0001 per share, previously registered but that remain unsold or otherwise unissued under each such Registration Statements as of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5" w:type="dxa"/>
            <w:tcBorders/>
            <w:vAlign w:val="center"/>
          </w:tcPr>
          <w:p>
            <w:pPr>
              <w:pStyle w:val="TableContents"/>
              <w:bidi w:val="0"/>
              <w:spacing w:before="0" w:after="283"/>
              <w:jc w:val="left"/>
              <w:rPr/>
            </w:pPr>
            <w:r>
              <w:rPr/>
              <w:t>Registration Statement No. 333-289584, filed with the SEC on August 13, 2025, relating to the Qorvo, Inc. Amended and Restated 2022 Stock Incentive Plan and the Qorvo, Inc. Amended and Restated 2007 Employee Stock Purchase Plan;</w:t>
            </w:r>
          </w:p>
        </w:tc>
      </w:tr>
    </w:tbl>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9" w:type="dxa"/>
            <w:tcBorders/>
            <w:vAlign w:val="center"/>
          </w:tcPr>
          <w:p>
            <w:pPr>
              <w:pStyle w:val="TableContents"/>
              <w:bidi w:val="0"/>
              <w:spacing w:before="0" w:after="283"/>
              <w:jc w:val="left"/>
              <w:rPr/>
            </w:pPr>
            <w:r>
              <w:rPr/>
              <w:t>Registration Statement No. 333-266752, filed with the SEC on August 10, 2022, relating to the Qorvo, Inc. 2022 Stock Incentive Plan;</w:t>
            </w:r>
          </w:p>
        </w:tc>
      </w:tr>
    </w:tbl>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6" w:type="dxa"/>
            <w:tcBorders/>
            <w:vAlign w:val="center"/>
          </w:tcPr>
          <w:p>
            <w:pPr>
              <w:pStyle w:val="TableContents"/>
              <w:bidi w:val="0"/>
              <w:spacing w:before="0" w:after="283"/>
              <w:jc w:val="left"/>
              <w:rPr/>
            </w:pPr>
            <w:r>
              <w:rPr/>
              <w:t>Registration Statement No. 333-266687, filed with the SEC on August 9, 2022, relating to the Qorvo, Inc. 2012 Stock Incentive Plan (as amended and restated effective January 1, 2015) (formerly, the RF Micro Devices, Inc. 2012 Stock Incentive Plan);</w:t>
            </w:r>
          </w:p>
        </w:tc>
      </w:tr>
    </w:tbl>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0" w:type="dxa"/>
            <w:tcBorders/>
            <w:vAlign w:val="center"/>
          </w:tcPr>
          <w:p>
            <w:pPr>
              <w:pStyle w:val="TableContents"/>
              <w:bidi w:val="0"/>
              <w:spacing w:before="0" w:after="283"/>
              <w:jc w:val="left"/>
              <w:rPr/>
            </w:pPr>
            <w:r>
              <w:rPr/>
              <w:t>Registration Statement No. 333-201358, filed with the SEC on January 5, 2015, relating to the Qorvo, Inc. 2012 Stock Incentive Plan, 2003 Stock Incentive Plan Of Qorvo, Inc., Qorvo, Inc. 2006 Directors Stock Option Plan, Nonemployee Directors’ Stock Option Plan Of Qorvo, Inc. and Qorvo, Inc. 2015 Inducement Stock Plan; and</w:t>
            </w:r>
          </w:p>
        </w:tc>
      </w:tr>
    </w:tbl>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0" w:type="dxa"/>
            <w:tcBorders/>
            <w:vAlign w:val="center"/>
          </w:tcPr>
          <w:p>
            <w:pPr>
              <w:pStyle w:val="TableContents"/>
              <w:bidi w:val="0"/>
              <w:spacing w:before="0" w:after="283"/>
              <w:jc w:val="left"/>
              <w:rPr/>
            </w:pPr>
            <w:r>
              <w:rPr/>
              <w:t>Registration Statement No. 333-201357, filed with the SEC on January 5, 2015, relating to the Qorvo, Inc. 2007 Employee Stock Purchase Plan, Qorvo, Inc. 2013 Incentive Plan, Qorvo, Inc. 2012 Incentive Plan, Qorvo, Inc. 2009 Incentive Plan, Qorvo, Inc. 2008 Inducement Program and Qorvo, Inc. 1996 Stock Incentive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Qorvo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Qorvo, Skyworks Solutions, Inc., a Delaware corporation (“</w:t>
      </w:r>
      <w:r>
        <w:rPr>
          <w:rFonts w:ascii="Times New Roman;Times;Serif" w:hAnsi="Times New Roman;Times;Serif"/>
          <w:b w:val="false"/>
          <w:i w:val="false"/>
          <w:caps w:val="false"/>
          <w:smallCaps w:val="false"/>
          <w:sz w:val="20"/>
          <w:u w:val="single"/>
        </w:rPr>
        <w:t>Skyworks</w:t>
      </w:r>
      <w:r>
        <w:rPr>
          <w:rFonts w:ascii="Times New Roman;Times;Serif" w:hAnsi="Times New Roman;Times;Serif"/>
          <w:b w:val="false"/>
          <w:i w:val="false"/>
          <w:caps w:val="false"/>
          <w:smallCaps w:val="false"/>
          <w:sz w:val="20"/>
        </w:rPr>
        <w:t>”), Comet Acquisition Corp., a Delaware corporation and a direct wholly owned subsidiary of Skyworks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and Comet Acquisition II, LLC, a Delaware limited liability company and a direct wholly owned subsidiary of Skyworks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Pursuant to the Merger Agreement, on October 5, 2026, (i) Merger Sub I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as a wholly owned subsidiary of Skyworks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and (ii) immediately following the First Merger, and as the second step in a single integrated transaction with the First Merger, the Surviving Corporation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continuing as the surviving entity in the Second Merger and a wholly owned subsidiary of Skyworks. The Mergers became effective on October 5, 2026, upon the filing of Certificates of Merger for the Mergers with the Secretary of State of the State of Delaware.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Mergers, Qorvo has terminated all offerings of its securities pursuant to the Registration Statements. In accordance with an undertaking made by Qorvo in the Registration Statements to remove from registration, by means of these Post-Effective Amendments, any securities that had been registered but remain unsold at the termination of the offering, Qorvo hereby amends the Registration Statements to remove from registration all securities, as applicable, registered under the Registration Statements that remain unsold as of the date of these Post-Effective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Greensboro, State of North Carolina, on October 9, 2026.</w:t>
      </w:r>
    </w:p>
    <w:p>
      <w:pPr>
        <w:pStyle w:val="TextBody"/>
        <w:bidi w:val="0"/>
        <w:spacing w:before="0" w:after="0"/>
        <w:ind w:left="0" w:right="0" w:hanging="0"/>
        <w:jc w:val="left"/>
        <w:rPr>
          <w:caps w:val="false"/>
          <w:smallCaps w:val="false"/>
        </w:rPr>
      </w:pPr>
      <w:r>
        <w:rPr>
          <w:caps w:val="false"/>
          <w:smallCaps w:val="false"/>
        </w:rPr>
        <w:t> </w:t>
      </w:r>
    </w:p>
    <w:tbl>
      <w:tblPr>
        <w:tblW w:w="3784" w:type="dxa"/>
        <w:jc w:val="left"/>
        <w:tblInd w:w="0" w:type="dxa"/>
        <w:tblLayout w:type="fixed"/>
        <w:tblCellMar>
          <w:top w:w="0" w:type="dxa"/>
          <w:left w:w="0" w:type="dxa"/>
          <w:bottom w:w="0" w:type="dxa"/>
          <w:right w:w="0" w:type="dxa"/>
        </w:tblCellMar>
      </w:tblPr>
      <w:tblGrid>
        <w:gridCol w:w="75"/>
        <w:gridCol w:w="1015"/>
        <w:gridCol w:w="2694"/>
      </w:tblGrid>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b/>
              </w:rPr>
              <w:t>Qorvo Technologies, LLC</w:t>
            </w:r>
            <w:r>
              <w:rPr/>
              <w:t xml:space="preserve"> </w:t>
            </w:r>
            <w:r>
              <w:rPr>
                <w:b/>
              </w:rPr>
              <w:br/>
              <w:t>(successor by merger to Qorvo, Inc.)</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69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Jason K. Givens</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K. Givens</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these Post-Effective Amendments in reliance upon Rule 478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1114</Words>
  <Characters>6304</Characters>
  <CharactersWithSpaces>7408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