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142875</wp:posOffset>
            </wp:positionV>
            <wp:extent cx="201422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Qorvo, Inc.</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873" w:right="49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001-36801</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46-5288992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20" w:space="720"/>
            <w:col w:w="3140" w:space="720"/>
            <w:col w:w="2580"/>
          </w:cols>
          <w:pgMar w:left="320" w:top="873"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7628 Thorndike Road, Greensboro, North Carolina 27409-9421</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080"/>
          </w:cols>
          <w:pgMar w:left="320" w:top="873" w:right="499" w:bottom="1440" w:gutter="0" w:footer="0" w:header="0"/>
          <w:type w:val="continuous"/>
        </w:sectPr>
      </w:pP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873" w:right="499" w:bottom="1440" w:gutter="0" w:footer="0" w:header="0"/>
          <w:type w:val="continuous"/>
        </w:sectPr>
      </w:pP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QRVO</w:t>
      </w:r>
    </w:p>
    <w:p>
      <w:pPr>
        <w:spacing w:after="0" w:line="20" w:lineRule="exact"/>
        <w:rPr>
          <w:sz w:val="24"/>
          <w:szCs w:val="24"/>
          <w:color w:val="auto"/>
        </w:rPr>
      </w:pPr>
      <w:r>
        <w:rPr>
          <w:sz w:val="24"/>
          <w:szCs w:val="24"/>
          <w:color w:val="auto"/>
        </w:rPr>
        <w:br w:type="column"/>
      </w:r>
    </w:p>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40" w:space="720"/>
            <w:col w:w="2060" w:space="720"/>
            <w:col w:w="3340"/>
          </w:cols>
          <w:pgMar w:left="320" w:top="873"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73"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previously announced (i) proposed merger of Comet Acquisition Corp., a wholly owned subsidiary of Skyworks Solutions, Inc. (“Skyworks”), with and into Qorvo, Inc. (the “Company”) (the “First Merger”), with the Company surviving the First Merger as a wholly owned subsidiary of Skyworks and (ii) immediately following the First Merger, and as the second step in a single integrated transaction with the First Merger, the proposed merger of the Company with and into Comet Acquisition II, LLC, a wholly owned subsidiary of Skyworks (the “Second Merger” and, together with the First Merger, the “Mergers”), with such subsidiary continuing as the surviving entity in the Second Merger and a wholly-owned subsidiary of Skyworks, Skyworks is offering to exchange (the “Exchange Offers”) (i) any and all outstanding 4.375% Senior Notes due 2029 issued by the Company (the “2029 Company Notes”) for up to $850 million aggregate principal amount of new 4.375% Senior Notes due 2029 issued by Skyworks and (ii) any and all outstanding 3.375% Senior Notes due 2031 issued by the Company (the “2031 Company Notes” and, together with the 2029 Company Notes, the “Company Notes”) for up to $700 million aggregate principal amount of new 3.375% Senior Notes due 2031 issued by Skyworks, pursuant to the terms and conditions set forth in Skyworks’ Registration Statement on Form S-4 (File No. 333-296084), filed with the U.S. Securities and Exchange Commission on May 20, 2026 and declared effective on May 29, 2026 (the “Registration Statement”), and the related Prospectus/Offers to Exchange dated May 29, 2026, each as may be amended or supplemented from time to time.</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conjunction with the Exchange Offers, Skyworks, on behalf of the Company, (i) solicited consents from holders of the 2029 Company Notes (“2029 Consents”) to adopt certain proposed amendments to the base indenture, dated as of September 30, 2019, by and among the Company, the guarantors party thereto (the “2029 Guarantors”) and Computershare Trust Company, N.A., as successor trustee to MUFG Union Bank, N.A., as trustee (the “Trustee”), as amended and supplemented by the first supplemental indenture thereto, dated December 20, 2019, and by the second supplemental indenture thereto, dated June 11, 2020 (as amended and supplemented, the “2029 Indenture”), governing the 2029 Company Notes to, among other changes, eliminate substantially all of the restrictive covenants, certain affirmative covenants and certain events of default (the “2029 Proposed Amendments”) and (ii) solicited consents from holders of the 2031 Company Notes (“2031 Consents” and, together with the 2029 Consents, the “Consents”) to adopt certain proposed amendments to the base indenture, dated as of September 29, 2020 (the “2031 Indenture”), by and among the Company, the guarantors party thereto (the “2031 Guarantors”) and the Trustee, governing the 2031 Company Notes to, among other changes, eliminate substantially all of the restrictive covenants, certain affirmative covenants and certain events of default (the “2031 Proposed Amendments” and, together with the 2029 Proposed Amendments, the “Proposed Amendments”). As of June 11, 2026, the Company received the requisite number of Consents to adopt the Proposed Amendments with respect to each series of Company Notes.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11, 2026, the Company entered into a third supplemental indenture to the 2029 Indenture, dated as of June 11, 2026 (the “2029 Third Supplemental Indenture”), by and among the Company, the 2029 Guarantors and the Trustee, giving effect to the 2029 Proposed Amendments. On June 11, 2026, the Company entered into a first supplemental indenture to the 2031 Indenture, dated as of June 11, 2026 (the “2031 Supplemental Indenture” and, together with the 2029 Third Supplemental Indenture, the “Supplemental Indentures”), by and among the Company, the 2031 Guarantors and the Trustee, giving effect to the 2031 Proposed Amendments.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2029 Third Supplemental Indenture is effective and constitutes a binding agreement among the Company, the 2029 Guarantors and the Trustee. The 2031 Supplemental Indenture is effective and constitutes a binding agreement among the Company, the 2031 Guarantors and the Trustee. However, the Proposed Amendments with respect to each series of Company Notes will not become operative until (i) immediately prior to the consummation of the Mergers or (ii) immediately upon the settlement of the Exchange Offer for such series of Company Notes, depending on the specific amendment, and will cease to be operative if the Mergers are not consummated.</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2029 Third Supplemental Indenture is filed as Exhibit 4.1 to this Current Report on Form 8-K and is incorporated herein by reference. The 2031 Supplemental Indenture is filed as Exhibit 4.2 to this Current Report on Form 8-K and is incorporated herein by reference. The above description of the Supplemental Indentures does not purport to be complete and is qualified in its entirety by reference to such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Financial Statements and Exhibits.</w:t>
      </w:r>
    </w:p>
    <w:p>
      <w:pPr>
        <w:spacing w:after="0" w:line="227"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19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68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Third Supplemental Indenture, dated as of June 11, 2026, by and among Qorvo Inc., the guarantors party thereto and Computershare Trust</w:t>
            </w:r>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99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Company, N.A., as Trustee.</w:t>
            </w:r>
          </w:p>
        </w:tc>
        <w:tc>
          <w:tcPr>
            <w:tcW w:w="380" w:type="dxa"/>
            <w:vAlign w:val="bottom"/>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680" w:type="dxa"/>
            <w:vAlign w:val="bottom"/>
          </w:tcPr>
          <w:p>
            <w:pPr>
              <w:spacing w:after="0"/>
              <w:rPr>
                <w:sz w:val="24"/>
                <w:szCs w:val="24"/>
                <w:color w:val="auto"/>
              </w:rPr>
            </w:pPr>
          </w:p>
        </w:tc>
        <w:tc>
          <w:tcPr>
            <w:tcW w:w="9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as of June 11, 2026, by and among Qorvo Inc., the guarantors party thereto and Computershare Trust</w:t>
            </w:r>
          </w:p>
        </w:tc>
        <w:tc>
          <w:tcPr>
            <w:tcW w:w="4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Company, N.A., as Trustee.</w:t>
            </w:r>
          </w:p>
        </w:tc>
      </w:tr>
      <w:tr>
        <w:trPr>
          <w:trHeight w:val="20"/>
        </w:trPr>
        <w:tc>
          <w:tcPr>
            <w:tcW w:w="920" w:type="dxa"/>
            <w:vAlign w:val="bottom"/>
            <w:gridSpan w:val="2"/>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45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83"/>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Grant A. Brown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8-K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311150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QORVO, INC.,</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EACH OF THE SUBSIDIARY GUARANTORS NAMED</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ON THE SIGNATURE PAGES HERETO</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4.375%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866140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88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91"/>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885"/>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w w:val="99"/>
              </w:rPr>
              <w:t>Article I</w:t>
            </w:r>
          </w:p>
        </w:tc>
        <w:tc>
          <w:tcPr>
            <w:tcW w:w="340" w:type="dxa"/>
            <w:vAlign w:val="bottom"/>
            <w:tcBorders>
              <w:top w:val="single" w:sz="8" w:color="auto"/>
            </w:tcBorders>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color w:val="auto"/>
                <w:w w:val="99"/>
              </w:rPr>
              <w:t>DEFINITIONS</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Supplemental Indenture</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Article II</w:t>
            </w:r>
          </w:p>
        </w:tc>
      </w:tr>
      <w:tr>
        <w:trPr>
          <w:trHeight w:val="45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color w:val="auto"/>
              </w:rPr>
              <w:t>AMENDMENTS</w:t>
            </w:r>
          </w:p>
        </w:tc>
      </w:tr>
      <w:tr>
        <w:trPr>
          <w:trHeight w:val="43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  Certain Amendments to the Base Indenture</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color w:val="auto"/>
                <w:w w:val="99"/>
              </w:rPr>
              <w:t>Article III</w:t>
            </w:r>
          </w:p>
        </w:tc>
      </w:tr>
      <w:tr>
        <w:trPr>
          <w:trHeight w:val="45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8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MISCELLANEOUS</w:t>
            </w:r>
          </w:p>
        </w:tc>
      </w:tr>
      <w:tr>
        <w:trPr>
          <w:trHeight w:val="41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Reference to and Effect on Base Indenture.</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  Relation to and Effect on Base Indenture</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3.4  Concerning the Trustee</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 Originals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THIRD SUPPLEMENTAL INDENTURE, dated as of June 11, 2026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is among Qorvo, Inc.,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Subsidiary Guarantors listed on Schedule A hereto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Computershare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Indenture referred to below;</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the Subsidiary Guarantors and the Trustee have executed and delivered an Indenture, dated as of September 30, 2019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amended and supplemented by the First Supplemental Indenture, dated as of December 20, 2019, by and among the Company, the Subsidiary Guarantors and the Trustee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as further amended and supplemented by the Second Supplemental Indenture, dated as of June 11, 2020, by and among the Company, the Subsidiary Guarantors and the Trustee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and, together with the Base Indenture, the First Supplemental Indenture and this Supplemental Indenture, and as otherwise amended, modified or supplemented from time to time in accordance therewith,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pursuant to which the Company issued 4.375%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the Base Indenture provides that the Base Indenture may be amended with the written consent of the Holders of at least a majority in aggregate principal amount of the Notes then outstanding (including consents obtained in connection with a purchase of, or a tender offer or exchange offer for, the Notes) (the “Requisite Holders”);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Skyworks Solutions, Inc., a Delaware corporation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has offered to exchange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up to $850,000,000 aggregate principal amount of new 4.375% Senior Notes due 2029 issued by Skyworks for any and all outstanding Notes upon the terms and subject to the conditions set forth in the prospectus/offers to exchange included in the Registration Statement on Form S-4, dated May 29, 2026 (as it may be amended from time to time,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Exchange Offer, Skyworks has also solicited consents (the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from the Holders of the Notes to certain proposed amendments (the “</w:t>
      </w: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to the Base Indenture, requiring the consent of the Requisite Holders, as described in, and upon the terms and subject to the conditions set forth in, the Prospectus, with the operation of such Proposed Amendments being subject to the satisfaction or, where permitted, waiver by Skyworks of the conditions to the Exchange Offer;</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WHEREAS, Skyworks has received and caused to be delivered to the Trustee evidence of the receipt of consents from the Requisite Holders to effect the Proposed Amendments; and</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is undertaking to execute and deliver this Supplemental Indenture to effect the Proposed Amendments in the Base Indenture with respect to the Notes in connection with the Consent Solicitation and the related Exchange Offer and in connection therewith, each of the Company and the Subsidiary Guarantors have duly authorized the execution and delivery of this Supplemental Indenture.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NOW, THEREFORE, each party hereto agrees as follows for the benefit of the other parties and for the equal and ratable benefit of the Holders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xml:space="preserve">. This Supplemental Indenture is supplemental to, and is entered into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the Base Indenture, and except as expressly modified, amended and supplemented by this Supplemental Indenture, all the terms, conditions and provisions of the Base Indenture are in all respects ratified and confirmed and shall remain in full force and effect.</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in this Supplemental Indenture and not otherwise defined herein shall have the meanings assigned to such terms in the Base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Certain Amendments to the Base Indenture</w:t>
      </w:r>
      <w:r>
        <w:rPr>
          <w:rFonts w:ascii="Times New Roman" w:cs="Times New Roman" w:eastAsia="Times New Roman" w:hAnsi="Times New Roman"/>
          <w:sz w:val="18"/>
          <w:szCs w:val="18"/>
          <w:color w:val="auto"/>
        </w:rPr>
        <w:t>. The Base Indenture is hereby amended as follows:</w:t>
      </w:r>
    </w:p>
    <w:p>
      <w:pPr>
        <w:spacing w:after="0" w:line="225" w:lineRule="exact"/>
        <w:rPr>
          <w:sz w:val="20"/>
          <w:szCs w:val="20"/>
          <w:color w:val="auto"/>
        </w:rPr>
      </w:pPr>
    </w:p>
    <w:p>
      <w:pPr>
        <w:ind w:firstLine="1304"/>
        <w:spacing w:after="0" w:line="254" w:lineRule="auto"/>
        <w:tabs>
          <w:tab w:leader="none" w:pos="21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(“SEC Reports”);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(“Compliance Certificate”);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(“Limitation on Restricted Payments”);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(“Limitation on Restrictions on Distributions from Restricted Subsidiaries”);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(“Limitations on Indebtedness”);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(“Limitation on Sales of Assets and Subsidiary Stock”);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(“Limitation on Transactions with Affiliates”);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(“Limitation on Liens”);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(“Change of Control Triggering Event”);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(“Corporate Existence”);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(“Future Subsidiary Guarantors”); </w:t>
      </w:r>
      <w:r>
        <w:rPr>
          <w:rFonts w:ascii="Times New Roman" w:cs="Times New Roman" w:eastAsia="Times New Roman" w:hAnsi="Times New Roman"/>
          <w:sz w:val="18"/>
          <w:szCs w:val="18"/>
          <w:u w:val="single" w:color="auto"/>
          <w:color w:val="auto"/>
        </w:rPr>
        <w:t>Sections 5.01(a)(2)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5.01(a)(3)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(“Merger and Consolidation”); and </w:t>
      </w:r>
      <w:r>
        <w:rPr>
          <w:rFonts w:ascii="Times New Roman" w:cs="Times New Roman" w:eastAsia="Times New Roman" w:hAnsi="Times New Roman"/>
          <w:sz w:val="18"/>
          <w:szCs w:val="18"/>
          <w:u w:val="single" w:color="auto"/>
          <w:color w:val="auto"/>
        </w:rPr>
        <w:t>Sections 6.01(a)(3)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6.01(a)(8)</w:t>
      </w:r>
      <w:r>
        <w:rPr>
          <w:rFonts w:ascii="Times New Roman" w:cs="Times New Roman" w:eastAsia="Times New Roman" w:hAnsi="Times New Roman"/>
          <w:sz w:val="18"/>
          <w:szCs w:val="18"/>
          <w:color w:val="auto"/>
        </w:rPr>
        <w:t xml:space="preserve"> (“Events of Default”) are hereby deleted in their respective entireties;</w:t>
      </w:r>
    </w:p>
    <w:p>
      <w:pPr>
        <w:spacing w:after="0" w:line="206" w:lineRule="exact"/>
        <w:rPr>
          <w:rFonts w:ascii="Times New Roman" w:cs="Times New Roman" w:eastAsia="Times New Roman" w:hAnsi="Times New Roman"/>
          <w:sz w:val="18"/>
          <w:szCs w:val="18"/>
          <w:color w:val="auto"/>
        </w:rPr>
      </w:pPr>
    </w:p>
    <w:p>
      <w:pPr>
        <w:ind w:right="140" w:firstLine="1304"/>
        <w:spacing w:after="0" w:line="289" w:lineRule="auto"/>
        <w:tabs>
          <w:tab w:leader="none" w:pos="2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Subsidiary Guarantors shall be released from their respective obligations under each of the provisions set forth in clause (a) above and the failure to comply with the terms of any of the provisions set forth in clause (a) above shall no longer constitute a Default or an Event of Default under or a breach of the Base Indenture and shall no longer have any other consequence under the Base Indenture;</w:t>
      </w:r>
    </w:p>
    <w:p>
      <w:pPr>
        <w:spacing w:after="0" w:line="157" w:lineRule="exact"/>
        <w:rPr>
          <w:rFonts w:ascii="Times New Roman" w:cs="Times New Roman" w:eastAsia="Times New Roman" w:hAnsi="Times New Roman"/>
          <w:sz w:val="17"/>
          <w:szCs w:val="17"/>
          <w:color w:val="auto"/>
        </w:rPr>
      </w:pPr>
    </w:p>
    <w:p>
      <w:pPr>
        <w:ind w:right="360" w:firstLine="1304"/>
        <w:spacing w:after="0" w:line="282" w:lineRule="auto"/>
        <w:tabs>
          <w:tab w:leader="none" w:pos="21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definitions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Base Indenture that relate to defined terms used solely in sections that have been deleted in their respective entireties pursuant to clause (a) above are also hereby deleted in their respective entireties;</w:t>
      </w:r>
    </w:p>
    <w:p>
      <w:pPr>
        <w:spacing w:after="0" w:line="161" w:lineRule="exact"/>
        <w:rPr>
          <w:rFonts w:ascii="Times New Roman" w:cs="Times New Roman" w:eastAsia="Times New Roman" w:hAnsi="Times New Roman"/>
          <w:sz w:val="18"/>
          <w:szCs w:val="18"/>
          <w:color w:val="auto"/>
        </w:rPr>
      </w:pPr>
    </w:p>
    <w:p>
      <w:pPr>
        <w:ind w:right="240" w:firstLine="1304"/>
        <w:spacing w:after="0" w:line="282" w:lineRule="auto"/>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of the Base Indenture amended or supplemented by this Supplemental Indenture shall be to such Sections as amended or supplemented by this Supplemental Indenture; and</w:t>
      </w:r>
    </w:p>
    <w:p>
      <w:pPr>
        <w:spacing w:after="0" w:line="161" w:lineRule="exact"/>
        <w:rPr>
          <w:rFonts w:ascii="Times New Roman" w:cs="Times New Roman" w:eastAsia="Times New Roman" w:hAnsi="Times New Roman"/>
          <w:sz w:val="18"/>
          <w:szCs w:val="18"/>
          <w:color w:val="auto"/>
        </w:rPr>
      </w:pPr>
    </w:p>
    <w:p>
      <w:pPr>
        <w:ind w:right="220" w:firstLine="1304"/>
        <w:spacing w:after="0" w:line="282" w:lineRule="auto"/>
        <w:tabs>
          <w:tab w:leader="none" w:pos="21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or defined terms deleted by this Supplemental Indenture shall be removed from the Global Notes (including, for the avoidance of doubt, Section 8 thereof).</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Supplemental Indenture shall become effective upon the execution and delivery hereby by the Company, the Subsidiary Guarantors and the Trustee; provided however, that the amendments provided for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shall not become operative until the completion and settlement of the Consent Solicitation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(other than the amendment deleting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of the Base Indenture, which shall become operative immediately prior to the closing of the Mergers (as defined in the Prospectus)), which is expected to occur no earlier than the second business day after the closing of the Mergers.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date hereof and operative on the Settlement Date, none of the Company, the Subsidiary Guarantors, the Trustee or other parties to or beneficiaries of the Indenture shall have any rights, obligations or liabilities under such deleted Sections or clauses and such deleted Sections or clauses shall not be considered in determining whether a Default or Event of Default has occurred or whether the Company or any of the Subsidiary Guarantors has observed, performed or complied with the provisions of the Indenture.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Reference to and Effect on Base Indenture.</w:t>
      </w:r>
      <w:r>
        <w:rPr>
          <w:rFonts w:ascii="Times New Roman" w:cs="Times New Roman" w:eastAsia="Times New Roman" w:hAnsi="Times New Roman"/>
          <w:sz w:val="18"/>
          <w:szCs w:val="18"/>
          <w:color w:val="auto"/>
        </w:rPr>
        <w:t xml:space="preserve"> Upon the date hereof, each reference in the Base Indenture to “this Indenture,” “hereunder,” “hereof,” or “herein” shall mean and be a reference to the Base Indenture as supplemented by this Supplemental Indenture, unless the context requires otherwise.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Relation to and Effect on Base Indenture</w:t>
      </w:r>
      <w:r>
        <w:rPr>
          <w:rFonts w:ascii="Times New Roman" w:cs="Times New Roman" w:eastAsia="Times New Roman" w:hAnsi="Times New Roman"/>
          <w:sz w:val="18"/>
          <w:szCs w:val="18"/>
          <w:color w:val="auto"/>
        </w:rPr>
        <w:t>. This Supplemental Indenture amends or supplements the Indenture and shall be a part of and subject to all the terms thereof. Except as supplemented hereby, all of the terms, provisions and conditions of the Indenture and the Notes issued thereunder shall continue in full force and effect. In the event of a conflict between the terms and conditions of the Indenture and the terms and conditions of this Supplemental Indenture, then the terms and conditions of this Supplemental Indenture shall prevail.</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Concerning the Trustee</w:t>
      </w:r>
      <w:r>
        <w:rPr>
          <w:rFonts w:ascii="Times New Roman" w:cs="Times New Roman" w:eastAsia="Times New Roman" w:hAnsi="Times New Roman"/>
          <w:sz w:val="18"/>
          <w:szCs w:val="18"/>
          <w:color w:val="auto"/>
        </w:rPr>
        <w:t>. The Trustee accepts the modifications of the trust effected by this Supplemental Indenture, but only upon the terms and conditions set forth in the Indenture. Without limiting the generality of the foregoing, the Trustee assumes no responsibility for the correctness of the recitals herein contained which shall be taken as statements of the Company and the Subsidiary Guarantors, and the Trustee shall not be responsible or accountable in any way whatsoever for or with respect to the validity or execution or sufficiency of this Supplemental Indenture, and the Trustee makes no representation with respect thereto.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 w:name="page10"/>
    <w:bookmarkEnd w:id="9"/>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this Supplemental Indenture and the Notes shall bind its successors. All agreements of the Trustee in this Supplemental Indenture shall bind its successors. All agreements of each Subsidiary Guarantor in this Supplemental Indenture shall bind such Subsidiary Guarantor’s successors.</w:t>
      </w:r>
    </w:p>
    <w:p>
      <w:pPr>
        <w:spacing w:after="0" w:line="17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in this Supplemental Indenture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Counterpart Originals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9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Supplemental Indenture to be duly executed, all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16"/>
        </w:trPr>
        <w:tc>
          <w:tcPr>
            <w:tcW w:w="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Chief</w:t>
            </w:r>
          </w:p>
        </w:tc>
      </w:tr>
      <w:tr>
        <w:trPr>
          <w:trHeight w:val="234"/>
        </w:trPr>
        <w:tc>
          <w:tcPr>
            <w:tcW w:w="56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200" w:lineRule="exact"/>
        <w:rPr>
          <w:sz w:val="20"/>
          <w:szCs w:val="20"/>
          <w:color w:val="auto"/>
        </w:rPr>
      </w:pPr>
    </w:p>
    <w:p>
      <w:pPr>
        <w:spacing w:after="0" w:line="2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Amalfi Semiconductor,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0" w:lineRule="exact"/>
        <w:rPr>
          <w:sz w:val="20"/>
          <w:szCs w:val="20"/>
          <w:color w:val="auto"/>
        </w:rPr>
      </w:pPr>
    </w:p>
    <w:p>
      <w:pPr>
        <w:spacing w:after="0" w:line="223"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President</w:t>
            </w:r>
          </w:p>
        </w:tc>
      </w:tr>
    </w:tbl>
    <w:p>
      <w:pPr>
        <w:spacing w:after="0" w:line="200" w:lineRule="exact"/>
        <w:rPr>
          <w:sz w:val="20"/>
          <w:szCs w:val="20"/>
          <w:color w:val="auto"/>
        </w:rPr>
      </w:pPr>
    </w:p>
    <w:p>
      <w:pPr>
        <w:spacing w:after="0" w:line="2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Qorvo Oregon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0" w:lineRule="exact"/>
        <w:rPr>
          <w:sz w:val="20"/>
          <w:szCs w:val="20"/>
          <w:color w:val="auto"/>
        </w:rPr>
      </w:pPr>
    </w:p>
    <w:p>
      <w:pPr>
        <w:spacing w:after="0" w:line="223"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0"/>
                <w:szCs w:val="20"/>
                <w:color w:val="auto"/>
              </w:rPr>
            </w:pP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  Director and Chief Financial Officer</w:t>
            </w:r>
          </w:p>
        </w:tc>
      </w:tr>
    </w:tbl>
    <w:p>
      <w:pPr>
        <w:spacing w:after="0" w:line="200" w:lineRule="exact"/>
        <w:rPr>
          <w:sz w:val="20"/>
          <w:szCs w:val="20"/>
          <w:color w:val="auto"/>
        </w:rPr>
      </w:pPr>
    </w:p>
    <w:p>
      <w:pPr>
        <w:spacing w:after="0" w:line="2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Qorvo US,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0" w:lineRule="exact"/>
        <w:rPr>
          <w:sz w:val="20"/>
          <w:szCs w:val="20"/>
          <w:color w:val="auto"/>
        </w:rPr>
      </w:pPr>
    </w:p>
    <w:p>
      <w:pPr>
        <w:spacing w:after="0" w:line="223"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0"/>
                <w:szCs w:val="20"/>
                <w:color w:val="auto"/>
              </w:rPr>
            </w:pP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  Director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Third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236220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Qorvo Texas,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Qorvo US,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member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Vice President</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RFMD,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0"/>
                <w:szCs w:val="20"/>
                <w:color w:val="auto"/>
              </w:rPr>
            </w:pP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16"/>
        </w:trPr>
        <w:tc>
          <w:tcPr>
            <w:tcW w:w="420" w:type="dxa"/>
            <w:vAlign w:val="bottom"/>
          </w:tcPr>
          <w:p>
            <w:pPr>
              <w:spacing w:after="0"/>
              <w:rPr>
                <w:sz w:val="18"/>
                <w:szCs w:val="18"/>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  Director, Vice President,</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Treasurer &amp; Secretary</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Chriss Reichow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Chriss Reichow</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A</w:t>
            </w:r>
          </w:p>
        </w:tc>
      </w:tr>
      <w:tr>
        <w:trPr>
          <w:trHeight w:val="45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320" w:type="dxa"/>
            <w:vAlign w:val="bottom"/>
          </w:tcPr>
          <w:p>
            <w:pPr>
              <w:spacing w:after="0"/>
              <w:rPr>
                <w:sz w:val="24"/>
                <w:szCs w:val="24"/>
                <w:color w:val="auto"/>
              </w:rPr>
            </w:pPr>
          </w:p>
        </w:tc>
        <w:tc>
          <w:tcPr>
            <w:tcW w:w="41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Subsidiary Guarantor</w:t>
            </w:r>
          </w:p>
        </w:tc>
        <w:tc>
          <w:tcPr>
            <w:tcW w:w="112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Jurisdiction</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6"/>
                <w:szCs w:val="16"/>
                <w:color w:val="auto"/>
              </w:rPr>
            </w:pP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Amalfi Semiconductor, Inc.</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Qorvo Oregon, Inc.</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Qorvo US, Inc.</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Qorvo Texas, LLC</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RFMD, LLC</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837"/>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QORVO,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EACH OF THE SUBSIDIARY GUARANTORS NAMED</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ON THE SIGNATURE PAGES HERETO</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3.375%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565785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720" w:type="dxa"/>
            <w:vAlign w:val="bottom"/>
            <w:gridSpan w:val="2"/>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center"/>
              <w:ind w:right="4730"/>
              <w:spacing w:after="0"/>
              <w:rPr>
                <w:sz w:val="20"/>
                <w:szCs w:val="20"/>
                <w:color w:val="auto"/>
              </w:rPr>
            </w:pPr>
            <w:r>
              <w:rPr>
                <w:rFonts w:ascii="Times New Roman" w:cs="Times New Roman" w:eastAsia="Times New Roman" w:hAnsi="Times New Roman"/>
                <w:sz w:val="18"/>
                <w:szCs w:val="18"/>
                <w:color w:val="auto"/>
                <w:w w:val="99"/>
              </w:rPr>
              <w:t>Article I</w:t>
            </w:r>
          </w:p>
        </w:tc>
        <w:tc>
          <w:tcPr>
            <w:tcW w:w="34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w w:val="99"/>
              </w:rPr>
              <w:t>DEFINITIONS</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Indenture</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rPr>
              <w:t>Article II</w:t>
            </w:r>
          </w:p>
        </w:tc>
      </w:tr>
      <w:tr>
        <w:trPr>
          <w:trHeight w:val="432"/>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rPr>
              <w:t>AMENDMENTS</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Amendments to the Base Indenture</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w w:val="99"/>
              </w:rPr>
              <w:t>Article III</w:t>
            </w:r>
          </w:p>
        </w:tc>
      </w:tr>
      <w:tr>
        <w:trPr>
          <w:trHeight w:val="432"/>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20" w:type="dxa"/>
            <w:vAlign w:val="bottom"/>
            <w:gridSpan w:val="2"/>
          </w:tcPr>
          <w:p>
            <w:pPr>
              <w:jc w:val="center"/>
              <w:ind w:right="5160"/>
              <w:spacing w:after="0"/>
              <w:rPr>
                <w:sz w:val="20"/>
                <w:szCs w:val="20"/>
                <w:color w:val="auto"/>
              </w:rPr>
            </w:pPr>
            <w:r>
              <w:rPr>
                <w:rFonts w:ascii="Times New Roman" w:cs="Times New Roman" w:eastAsia="Times New Roman" w:hAnsi="Times New Roman"/>
                <w:sz w:val="18"/>
                <w:szCs w:val="18"/>
                <w:color w:val="auto"/>
                <w:w w:val="98"/>
              </w:rPr>
              <w:t>MISCELLANEOUS</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to and Effect on Base Indenture</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Relation to and Effect on Base Indenture</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Concerning the Trustee</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Successors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 Originals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Headings</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This SUPPLEMENTAL INDENTURE, dated as of June 11, 2026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is among Qorvo, Inc.,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Subsidiary Guarantors listed on Schedule A hereto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Computershare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under the Indenture referred to below;</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the Subsidiary Guarantors and the Trustee have executed and delivered an Indenture, dated as of September 29, 2020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together with this Supplemental Indenture, and as otherwise amended, modified or supplemented from time to time in accordance therewith,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pursuant to which the Company issued 3.375% Senior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the Base Indenture provides that the Base Indenture may be amended with the written consent of the Holders of at least a majority in aggregate principal amount of the Notes then outstanding (including consents obtained in connection with a purchase of, or a tender offer or exchange offer for, the Notes) (the “</w:t>
      </w:r>
      <w:r>
        <w:rPr>
          <w:rFonts w:ascii="Times New Roman" w:cs="Times New Roman" w:eastAsia="Times New Roman" w:hAnsi="Times New Roman"/>
          <w:sz w:val="18"/>
          <w:szCs w:val="18"/>
          <w:u w:val="single" w:color="auto"/>
          <w:color w:val="auto"/>
        </w:rPr>
        <w:t>Requisite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Skyworks Solutions, Inc., a Delaware corporation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has offered to exchange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up to $700,000,000 aggregate principal amount of new 3.375% Senior Notes due 2031 issued by Skyworks for any and all outstanding Notes upon the terms and subject to the conditions set forth in the prospectus/offers to exchange included in the Registration Statement on Form S-4, dated May 29, 2026 (as it may be amended from time to time,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Exchange Offer, Skyworks has also solicited consents (the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from the Holders of the Notes to certain proposed amendments (the “</w:t>
      </w: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to the Base Indenture, requiring the consent of the Requisite Holders, as described in, and upon the terms and subject to the conditions set forth in, the Prospectus, with the operation of such Proposed Amendments being subject to the satisfaction or, where permitted, waiver by Skyworks of the conditions to the Exchange Offer;</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WHEREAS, Skyworks has received and caused to be delivered to the Trustee evidence of the receipt of consents from the Requisite Holders to effect the Proposed Amendments; and</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is undertaking to execute and deliver this Supplemental Indenture to effect the Proposed Amendments in the Base Indenture with respect to the Notes in connection with the Consent Solicitation and the related Exchange Offer and in connection therewith, each of the Company and the Subsidiary Guarantors have duly authorized the execution and delivery of this Supplemental Indenture.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NOW, THEREFORE, each party hereto agrees as follows for the benefit of the other parties and for the equal and ratable benefit of the Holders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xml:space="preserve">. This Supplemental Indenture is supplemental to, and is entered into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the Base Indenture, and except as expressly modified, amended and supplemented by this Supplemental Indenture, all the terms, conditions and provisions of the Base Indenture are in all respects ratified and confirmed and shall remain in full force and effect.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in this Supplemental Indenture and not otherwise defined herein shall have the meanings assigned to such terms in the Base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Certain Amendments to the Base Indenture</w:t>
      </w:r>
      <w:r>
        <w:rPr>
          <w:rFonts w:ascii="Times New Roman" w:cs="Times New Roman" w:eastAsia="Times New Roman" w:hAnsi="Times New Roman"/>
          <w:sz w:val="18"/>
          <w:szCs w:val="18"/>
          <w:color w:val="auto"/>
        </w:rPr>
        <w:t>. The Base Indenture is hereby amended as follows:</w:t>
      </w:r>
    </w:p>
    <w:p>
      <w:pPr>
        <w:spacing w:after="0" w:line="225" w:lineRule="exact"/>
        <w:rPr>
          <w:sz w:val="20"/>
          <w:szCs w:val="20"/>
          <w:color w:val="auto"/>
        </w:rPr>
      </w:pPr>
    </w:p>
    <w:p>
      <w:pPr>
        <w:ind w:right="220" w:firstLine="1304"/>
        <w:spacing w:after="0" w:line="261" w:lineRule="auto"/>
        <w:tabs>
          <w:tab w:leader="none" w:pos="18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(“SEC Reports”);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(“Compliance Certificate”);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(“Limitation on Liens”);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(“Change of Control Triggering Event”);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(“Corporate Existence”);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(“Future Subsidiary Guarantors”);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(“Limitation on Sale and Leaseback Transactions”); </w:t>
      </w:r>
      <w:r>
        <w:rPr>
          <w:rFonts w:ascii="Times New Roman" w:cs="Times New Roman" w:eastAsia="Times New Roman" w:hAnsi="Times New Roman"/>
          <w:sz w:val="18"/>
          <w:szCs w:val="18"/>
          <w:u w:val="single" w:color="auto"/>
          <w:color w:val="auto"/>
        </w:rPr>
        <w:t>Sections 5.01(a)(2)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(“Merger and Consolidation”); and </w:t>
      </w:r>
      <w:r>
        <w:rPr>
          <w:rFonts w:ascii="Times New Roman" w:cs="Times New Roman" w:eastAsia="Times New Roman" w:hAnsi="Times New Roman"/>
          <w:sz w:val="18"/>
          <w:szCs w:val="18"/>
          <w:u w:val="single" w:color="auto"/>
          <w:color w:val="auto"/>
        </w:rPr>
        <w:t>Sections 6.01(a)(3)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6.01(a)(8)</w:t>
      </w:r>
      <w:r>
        <w:rPr>
          <w:rFonts w:ascii="Times New Roman" w:cs="Times New Roman" w:eastAsia="Times New Roman" w:hAnsi="Times New Roman"/>
          <w:sz w:val="18"/>
          <w:szCs w:val="18"/>
          <w:color w:val="auto"/>
        </w:rPr>
        <w:t xml:space="preserve"> (“Events of Default”) are hereby deleted in their respective entireties;</w:t>
      </w:r>
    </w:p>
    <w:p>
      <w:pPr>
        <w:spacing w:after="0" w:line="179" w:lineRule="exact"/>
        <w:rPr>
          <w:rFonts w:ascii="Times New Roman" w:cs="Times New Roman" w:eastAsia="Times New Roman" w:hAnsi="Times New Roman"/>
          <w:sz w:val="18"/>
          <w:szCs w:val="18"/>
          <w:color w:val="auto"/>
        </w:rPr>
      </w:pPr>
    </w:p>
    <w:p>
      <w:pPr>
        <w:ind w:firstLine="1304"/>
        <w:spacing w:after="0" w:line="266" w:lineRule="auto"/>
        <w:tabs>
          <w:tab w:leader="none" w:pos="18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Subsidiary Guarantors shall be released from their respective obligations under each of the provisions set forth in clause (a) above and the failure to comply with the terms of any of the provisions set forth in clause (a) above shall no longer constitute a Default or an Event of Default under or a breach of the Base Indenture and shall no longer have any other consequence under the Base Indenture;</w:t>
      </w:r>
    </w:p>
    <w:p>
      <w:pPr>
        <w:spacing w:after="0" w:line="175" w:lineRule="exact"/>
        <w:rPr>
          <w:rFonts w:ascii="Times New Roman" w:cs="Times New Roman" w:eastAsia="Times New Roman" w:hAnsi="Times New Roman"/>
          <w:sz w:val="18"/>
          <w:szCs w:val="18"/>
          <w:color w:val="auto"/>
        </w:rPr>
      </w:pPr>
    </w:p>
    <w:p>
      <w:pPr>
        <w:ind w:right="360" w:firstLine="1304"/>
        <w:spacing w:after="0" w:line="282"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definitions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Base Indenture that relate to defined terms used solely in sections that have been deleted in their respective entireties pursuant to clause (a) above are also hereby deleted in their respective entireties;</w:t>
      </w:r>
    </w:p>
    <w:p>
      <w:pPr>
        <w:spacing w:after="0" w:line="161" w:lineRule="exact"/>
        <w:rPr>
          <w:rFonts w:ascii="Times New Roman" w:cs="Times New Roman" w:eastAsia="Times New Roman" w:hAnsi="Times New Roman"/>
          <w:sz w:val="18"/>
          <w:szCs w:val="18"/>
          <w:color w:val="auto"/>
        </w:rPr>
      </w:pPr>
    </w:p>
    <w:p>
      <w:pPr>
        <w:ind w:right="620" w:firstLine="1304"/>
        <w:spacing w:after="0" w:line="282" w:lineRule="auto"/>
        <w:tabs>
          <w:tab w:leader="none" w:pos="18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of the Base Indenture amended or supplemented by this Supplemental Indenture shall be to such Sections as amended or supplemented by this Supplemental Indenture; and</w:t>
      </w:r>
    </w:p>
    <w:p>
      <w:pPr>
        <w:spacing w:after="0" w:line="161" w:lineRule="exact"/>
        <w:rPr>
          <w:rFonts w:ascii="Times New Roman" w:cs="Times New Roman" w:eastAsia="Times New Roman" w:hAnsi="Times New Roman"/>
          <w:sz w:val="18"/>
          <w:szCs w:val="18"/>
          <w:color w:val="auto"/>
        </w:rPr>
      </w:pPr>
    </w:p>
    <w:p>
      <w:pPr>
        <w:ind w:right="600" w:firstLine="1304"/>
        <w:spacing w:after="0" w:line="282"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or defined terms deleted by this Supplemental Indenture shall be removed from the Global Notes (including, for the avoidance of doubt, Section 8 thereof).</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This Supplemental Indenture shall become effective upon the execution and delivery hereby by the Company, the Subsidiary Guarantors and the Trustee; provided however, that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amendments provided for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shall not become operative until the completion and settlement of the Consent Solicitation (the “Settlement Date”) (other than the amendment deleting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of the Base Indenture, which shall become operative immediately prior to the closing of the Mergers (as defined in the Prospectus)), which is expected to occur no earlier than the second business day after the closing of the Mergers.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date hereof and operative on the Settlement Date, none of the Company, the Subsidiary Guarantors, the Trustee or other parties to or beneficiaries of the Indenture shall have any rights, obligations or liabilities under such deleted Sections or clauses and such deleted Sections or clauses shall not be considered in determining whether a Default or Event of Default has occurred or whether the Company or any of the Subsidiary Guarantors has observed, performed or complied with the provisions of the Indenture.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Reference to and Effect on Base Indenture</w:t>
      </w:r>
      <w:r>
        <w:rPr>
          <w:rFonts w:ascii="Times New Roman" w:cs="Times New Roman" w:eastAsia="Times New Roman" w:hAnsi="Times New Roman"/>
          <w:sz w:val="18"/>
          <w:szCs w:val="18"/>
          <w:color w:val="auto"/>
        </w:rPr>
        <w:t>. Upon the date hereof, each reference in the Base Indenture to “this Indenture,” “hereunder,” “hereof,” or “herein” shall mean and be a reference to the Base Indenture as supplemented by this Supplemental Indenture, unless the context requires otherwise.</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Relation to and Effect on Base Indenture</w:t>
      </w:r>
      <w:r>
        <w:rPr>
          <w:rFonts w:ascii="Times New Roman" w:cs="Times New Roman" w:eastAsia="Times New Roman" w:hAnsi="Times New Roman"/>
          <w:sz w:val="18"/>
          <w:szCs w:val="18"/>
          <w:color w:val="auto"/>
        </w:rPr>
        <w:t>. This Supplemental Indenture amends or supplements the Indenture and shall be a part of and subject to all the terms thereof. Except as supplemented hereby, all of the terms, provisions and conditions of the Indenture and the Notes issued thereunder shall continue in full force and effect. In the event of a conflict between the terms and conditions of the Indenture and the terms and conditions of this Supplemental Indenture, then the terms and conditions of this Supplemental Indenture shall prevail.</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Concerning the Trustee</w:t>
      </w:r>
      <w:r>
        <w:rPr>
          <w:rFonts w:ascii="Times New Roman" w:cs="Times New Roman" w:eastAsia="Times New Roman" w:hAnsi="Times New Roman"/>
          <w:sz w:val="18"/>
          <w:szCs w:val="18"/>
          <w:color w:val="auto"/>
        </w:rPr>
        <w:t>. The Trustee accepts the modifications of the trust effected by this Supplemental Indenture, but only upon the terms and conditions set forth in the Indenture. Without limiting the generality of the foregoing, the Trustee assumes no responsibility for the correctness of the recitals herein contained which shall be taken as statements of the Company and the Subsidiary Guarantors, and the Trustee shall not be responsible or accountable in any way whatsoever for or with respect to the validity or execution or sufficiency of this Supplemental Indenture, and the Trustee makes no representation with respect thereto.</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this Supplemental Indenture and the Notes shall bind its successors. All agreements of the Trustee in this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t>Supplemental Indenture shall bind its successors. All agreements of each Subsidiary Guarantor in this Supplemental Indenture shall bind such Subsidiary Guarantor’s successors.</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one or more of the provisions in this Supplemental Indenture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Counterpart Originals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9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Supplemental Indenture to be duly executed, all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Amalfi Semiconductor,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President</w:t>
            </w:r>
          </w:p>
        </w:tc>
      </w:tr>
    </w:tbl>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Qorvo Oregon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Chief Financial Officer</w:t>
            </w:r>
          </w:p>
        </w:tc>
      </w:tr>
    </w:tbl>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Qorvo US,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Vice President</w:t>
            </w:r>
          </w:p>
        </w:tc>
      </w:tr>
    </w:tbl>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378460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8"/>
          <w:szCs w:val="18"/>
          <w:color w:val="auto"/>
        </w:rPr>
        <w:t>Qorvo Texas,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Qorvo US,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Vice President</w:t>
            </w:r>
          </w:p>
        </w:tc>
      </w:tr>
    </w:tbl>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RFMD,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Allen Brown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Grant Allen Brown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Vice President, Treasurer &amp; Secretary</w:t>
            </w:r>
          </w:p>
        </w:tc>
      </w:tr>
    </w:tbl>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Chriss Reichow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Chriss Reichow</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395605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w:t>
            </w: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520" w:type="dxa"/>
            <w:vAlign w:val="bottom"/>
            <w:tcBorders>
              <w:bottom w:val="single" w:sz="8" w:color="auto"/>
            </w:tcBorders>
            <w:gridSpan w:val="3"/>
          </w:tcPr>
          <w:p>
            <w:pPr>
              <w:ind w:left="2500"/>
              <w:spacing w:after="0"/>
              <w:rPr>
                <w:sz w:val="20"/>
                <w:szCs w:val="20"/>
                <w:color w:val="auto"/>
              </w:rPr>
            </w:pPr>
            <w:r>
              <w:rPr>
                <w:rFonts w:ascii="Times New Roman" w:cs="Times New Roman" w:eastAsia="Times New Roman" w:hAnsi="Times New Roman"/>
                <w:sz w:val="18"/>
                <w:szCs w:val="18"/>
                <w:color w:val="auto"/>
              </w:rPr>
              <w:t>Subsidiary Guarantor</w:t>
            </w:r>
          </w:p>
        </w:tc>
        <w:tc>
          <w:tcPr>
            <w:tcW w:w="220" w:type="dxa"/>
            <w:vAlign w:val="bottom"/>
          </w:tcPr>
          <w:p>
            <w:pPr>
              <w:spacing w:after="0"/>
              <w:rPr>
                <w:sz w:val="24"/>
                <w:szCs w:val="24"/>
                <w:color w:val="auto"/>
              </w:rPr>
            </w:pPr>
          </w:p>
        </w:tc>
        <w:tc>
          <w:tcPr>
            <w:tcW w:w="33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Jurisdiction</w:t>
            </w: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5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Amalfi Semiconductor, Inc.</w:t>
            </w:r>
          </w:p>
        </w:tc>
        <w:tc>
          <w:tcPr>
            <w:tcW w:w="22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Qorvo Oregon, Inc.</w:t>
            </w: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Qorvo US, Inc.</w:t>
            </w: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Qorvo Texas, LLC</w:t>
            </w: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RFMD, LLC</w:t>
            </w: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594"/>
        </w:trPr>
        <w:tc>
          <w:tcPr>
            <w:tcW w:w="1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2026-06-12T05:11:30Z</dcterms:created>
  <dcterms:modified xsi:type="dcterms:W3CDTF">2026-06-12T05:11:30Z</dcterms:modified>
</cp:coreProperties>
</file>