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Harrison Gina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QORVO,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7628 THORNDIKE ROAD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GREENSBORO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NC</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27409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Qorvo, Inc.</w:t>
              </w:r>
            </w:hyperlink>
            <w:r>
              <w:rPr/>
              <w:t xml:space="preserve"> [ </w:t>
            </w:r>
            <w:r>
              <w:rPr>
                <w:rFonts w:ascii="Times;serif" w:hAnsi="Times;serif"/>
                <w:color w:val="0000FF"/>
                <w:sz w:val="24"/>
                <w:shd w:fill="FFFFFF" w:val="clear"/>
              </w:rPr>
              <w:t>QRVO</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VP and Corporate Controller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10/05/2026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81"/>
        <w:gridCol w:w="919"/>
        <w:gridCol w:w="787"/>
        <w:gridCol w:w="661"/>
        <w:gridCol w:w="303"/>
        <w:gridCol w:w="944"/>
        <w:gridCol w:w="459"/>
        <w:gridCol w:w="624"/>
        <w:gridCol w:w="1178"/>
        <w:gridCol w:w="1010"/>
        <w:gridCol w:w="939"/>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81"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64"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2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8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4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9"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8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10/05/2026</w:t>
            </w:r>
          </w:p>
        </w:tc>
        <w:tc>
          <w:tcPr>
            <w:tcW w:w="7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w:t>
            </w:r>
            <w:r>
              <w:rPr>
                <w:rFonts w:ascii="Times;serif" w:hAnsi="Times;serif"/>
                <w:color w:val="008000"/>
                <w:position w:val="7"/>
                <w:sz w:val="16"/>
                <w:sz w:val="20"/>
                <w:shd w:fill="FFFFFF" w:val="clear"/>
              </w:rPr>
              <w:t>(1)</w:t>
            </w:r>
          </w:p>
        </w:tc>
        <w:tc>
          <w:tcPr>
            <w:tcW w:w="3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4,768</w:t>
            </w:r>
          </w:p>
        </w:tc>
        <w:tc>
          <w:tcPr>
            <w:tcW w:w="4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31,092</w:t>
            </w:r>
          </w:p>
        </w:tc>
        <w:tc>
          <w:tcPr>
            <w:tcW w:w="10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81"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10/05/2026</w:t>
            </w:r>
          </w:p>
        </w:tc>
        <w:tc>
          <w:tcPr>
            <w:tcW w:w="78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D</w:t>
            </w:r>
            <w:r>
              <w:rPr>
                <w:rFonts w:ascii="Times;serif" w:hAnsi="Times;serif"/>
                <w:color w:val="008000"/>
                <w:position w:val="7"/>
                <w:sz w:val="16"/>
                <w:sz w:val="20"/>
                <w:shd w:fill="FFFFFF" w:val="clear"/>
              </w:rPr>
              <w:t>(1)(2)(3)</w:t>
            </w:r>
          </w:p>
        </w:tc>
        <w:tc>
          <w:tcPr>
            <w:tcW w:w="30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4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31,092</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2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(2)(3)</w:t>
            </w:r>
          </w:p>
        </w:tc>
        <w:tc>
          <w:tcPr>
            <w:tcW w:w="117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101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On October 5, 2026, Qorvo, Inc. ("Qorvo") and Skyworks Solutions, Inc. ("Skyworks") completed the transactions contemplated by the Agreement and Plan of Merger (the "Merger Agreement"), dated as of October 27, 2025, by and among Qorvo, Skyworks, Comet Acquisition Corp. ("Merger Sub I") and Comet Acquisition II, LLC ("Merger Sub II") (the "Mergers"). Under the terms of the Merger Agreement, the number of shares of Qorvo common stock subject to any Accelerated Qorvo RSU or Adjusted RSU Award (each as defined below) held by the Reporting Person that remained subject to performance-based vesting conditions was deemed achieved at the greater of target and actual performance levels.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Pursuant to the terms of the Merger Agreement, (i) each share of Qorvo common stock held by the Reporting Person outstanding immediately prior to the Effective Time (as defined in the Merger Agreement) was converted into the right to receive (A) 0.960 shares of Skyworks common stock (together with cash in lieu of fractional shares), without interest, and (B) $32.50 in cash, without interest (together, the "Merger Consideration"), (ii) each outstanding restricted stock unit award corresponding to shares of Qorvo common stock (each, a "Qorvo RSU Award") held by the Reporting Person that was (A) vested but not yet settled as of immediately prior to the Effective Time or (cont. in footnote 3):</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Due to a character limitation, footnote 3 is a continuation of footnote 2: (B) by its terms became vested in all respects as a result of the occurrence of the Closing (as defined in the Merger Agreement) (each, an "Accelerated Qorvo RSU") was cancelled in consideration for the right to receive (x) the Merger Consideration in respect of each share of Qorvo common stock then subject thereto and (y) an amount in cash equal to all dividend equivalents accrued but unpaid with respect thereto, and (iii) each Qorvo RSU Award held by the Reporting Person that was not an Accelerated Qorvo RSU (each, an "Adjusted RSU Award") was assumed by Skyworks and converted into a time-based restricted stock unit award covering a number of shares of Skyworks common stock determined by multiplying (A) the number of shares of Qorvo common stock then subject thereto by (B) the Conversion Ratio (as defined in the Merger Agreement), with any fractional shares rounded to the nearest whole share.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Jason T. Gray, by Power of Attorney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57365" TargetMode="External"/><Relationship Id="rId5" Type="http://schemas.openxmlformats.org/officeDocument/2006/relationships/hyperlink" Target="http://www.sec.gov/cgi-bin/browse-edgar?action=getcompany&amp;CIK=000160477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964</Words>
  <Characters>5112</Characters>
  <CharactersWithSpaces>5998</CharactersWithSpaces>
  <Paragraphs>106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