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4" w:lineRule="exact"/>
        <w:rPr>
          <w:sz w:val="24"/>
          <w:szCs w:val="24"/>
          <w:color w:val="auto"/>
        </w:rPr>
      </w:pPr>
    </w:p>
    <w:p>
      <w:pPr>
        <w:ind w:left="700" w:right="400" w:hanging="665"/>
        <w:spacing w:after="0" w:line="262"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 2020</w:t>
      </w:r>
    </w:p>
    <w:p>
      <w:pPr>
        <w:spacing w:after="0" w:line="63"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700" w:right="380" w:hanging="665"/>
        <w:spacing w:after="0" w:line="262"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1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5200" w:type="dxa"/>
            <w:vAlign w:val="bottom"/>
          </w:tcPr>
          <w:p>
            <w:pPr>
              <w:jc w:val="center"/>
              <w:ind w:right="123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64"/>
        </w:trPr>
        <w:tc>
          <w:tcPr>
            <w:tcW w:w="5200" w:type="dxa"/>
            <w:vAlign w:val="bottom"/>
          </w:tcPr>
          <w:p>
            <w:pPr>
              <w:jc w:val="center"/>
              <w:ind w:right="1233"/>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660" w:type="dxa"/>
            <w:vAlign w:val="bottom"/>
          </w:tcPr>
          <w:p>
            <w:pPr>
              <w:jc w:val="center"/>
              <w:ind w:left="29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98"/>
        </w:trPr>
        <w:tc>
          <w:tcPr>
            <w:tcW w:w="5200" w:type="dxa"/>
            <w:vAlign w:val="bottom"/>
          </w:tcPr>
          <w:p>
            <w:pPr>
              <w:jc w:val="center"/>
              <w:ind w:right="1233"/>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2660" w:type="dxa"/>
            <w:vAlign w:val="bottom"/>
          </w:tcPr>
          <w:p>
            <w:pPr>
              <w:spacing w:after="0"/>
              <w:rPr>
                <w:sz w:val="24"/>
                <w:szCs w:val="24"/>
                <w:color w:val="auto"/>
              </w:rPr>
            </w:pPr>
          </w:p>
        </w:tc>
      </w:tr>
      <w:tr>
        <w:trPr>
          <w:trHeight w:val="270"/>
        </w:trPr>
        <w:tc>
          <w:tcPr>
            <w:tcW w:w="5200" w:type="dxa"/>
            <w:vAlign w:val="bottom"/>
          </w:tcPr>
          <w:p>
            <w:pPr>
              <w:jc w:val="center"/>
              <w:ind w:right="1033"/>
              <w:spacing w:after="0"/>
              <w:rPr>
                <w:sz w:val="20"/>
                <w:szCs w:val="20"/>
                <w:color w:val="auto"/>
              </w:rPr>
            </w:pPr>
            <w:r>
              <w:rPr>
                <w:rFonts w:ascii="Times New Roman" w:cs="Times New Roman" w:eastAsia="Times New Roman" w:hAnsi="Times New Roman"/>
                <w:sz w:val="18"/>
                <w:szCs w:val="18"/>
                <w:b w:val="1"/>
                <w:bCs w:val="1"/>
                <w:color w:val="auto"/>
              </w:rPr>
              <w:t>Greensboro, North Carolina</w:t>
            </w:r>
          </w:p>
        </w:tc>
        <w:tc>
          <w:tcPr>
            <w:tcW w:w="2660" w:type="dxa"/>
            <w:vAlign w:val="bottom"/>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64"/>
        </w:trPr>
        <w:tc>
          <w:tcPr>
            <w:tcW w:w="5200" w:type="dxa"/>
            <w:vAlign w:val="bottom"/>
          </w:tcPr>
          <w:p>
            <w:pPr>
              <w:jc w:val="center"/>
              <w:ind w:right="993"/>
              <w:spacing w:after="0"/>
              <w:rPr>
                <w:sz w:val="20"/>
                <w:szCs w:val="20"/>
                <w:color w:val="auto"/>
              </w:rPr>
            </w:pPr>
            <w:r>
              <w:rPr>
                <w:rFonts w:ascii="Times New Roman" w:cs="Times New Roman" w:eastAsia="Times New Roman" w:hAnsi="Times New Roman"/>
                <w:sz w:val="16"/>
                <w:szCs w:val="16"/>
                <w:color w:val="auto"/>
              </w:rPr>
              <w:t>(Address of principal executive office)</w:t>
            </w:r>
          </w:p>
        </w:tc>
        <w:tc>
          <w:tcPr>
            <w:tcW w:w="2660" w:type="dxa"/>
            <w:vAlign w:val="bottom"/>
          </w:tcPr>
          <w:p>
            <w:pPr>
              <w:jc w:val="center"/>
              <w:ind w:left="295"/>
              <w:spacing w:after="0"/>
              <w:rPr>
                <w:sz w:val="20"/>
                <w:szCs w:val="20"/>
                <w:color w:val="auto"/>
              </w:rPr>
            </w:pPr>
            <w:r>
              <w:rPr>
                <w:rFonts w:ascii="Times New Roman" w:cs="Times New Roman" w:eastAsia="Times New Roman" w:hAnsi="Times New Roman"/>
                <w:sz w:val="16"/>
                <w:szCs w:val="16"/>
                <w:color w:val="auto"/>
              </w:rPr>
              <w:t>(Zip code)</w:t>
            </w:r>
          </w:p>
        </w:tc>
      </w:tr>
      <w:tr>
        <w:trPr>
          <w:trHeight w:val="276"/>
        </w:trPr>
        <w:tc>
          <w:tcPr>
            <w:tcW w:w="52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(336) 664-1233</w:t>
            </w:r>
          </w:p>
        </w:tc>
        <w:tc>
          <w:tcPr>
            <w:tcW w:w="266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560" w:type="dxa"/>
            <w:vAlign w:val="bottom"/>
            <w:gridSpan w:val="2"/>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414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6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7"/>
              </w:rPr>
              <w:t>QRVO</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92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80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5" w:lineRule="exact"/>
        <w:rPr>
          <w:sz w:val="20"/>
          <w:szCs w:val="20"/>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26, 2020, there were 114,054,102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18" w:right="91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0"/>
        </w:trPr>
        <w:tc>
          <w:tcPr>
            <w:tcW w:w="1032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PART I — FINANCIAL INFORMATION</w:t>
              </w:r>
            </w:hyperlink>
          </w:p>
        </w:tc>
        <w:tc>
          <w:tcPr>
            <w:tcW w:w="860" w:type="dxa"/>
            <w:vAlign w:val="bottom"/>
          </w:tcPr>
          <w:p>
            <w:pPr>
              <w:spacing w:after="0"/>
              <w:rPr>
                <w:sz w:val="23"/>
                <w:szCs w:val="23"/>
                <w:color w:val="auto"/>
              </w:rPr>
            </w:pPr>
          </w:p>
        </w:tc>
      </w:tr>
      <w:tr>
        <w:trPr>
          <w:trHeight w:val="527"/>
        </w:trPr>
        <w:tc>
          <w:tcPr>
            <w:tcW w:w="10320" w:type="dxa"/>
            <w:vAlign w:val="bottom"/>
            <w:gridSpan w:val="8"/>
          </w:tcPr>
          <w:p>
            <w:pPr>
              <w:spacing w:after="0"/>
              <w:rPr>
                <w:rFonts w:ascii="Times New Roman" w:cs="Times New Roman" w:eastAsia="Times New Roman" w:hAnsi="Times New Roman"/>
                <w:sz w:val="18"/>
                <w:szCs w:val="18"/>
                <w:b w:val="1"/>
                <w:bCs w:val="1"/>
                <w:color w:val="0000FF"/>
              </w:rPr>
            </w:pPr>
            <w:hyperlink w:anchor="page4">
              <w:r>
                <w:rPr>
                  <w:rFonts w:ascii="Times New Roman" w:cs="Times New Roman" w:eastAsia="Times New Roman" w:hAnsi="Times New Roman"/>
                  <w:sz w:val="18"/>
                  <w:szCs w:val="18"/>
                  <w:b w:val="1"/>
                  <w:bCs w:val="1"/>
                  <w:u w:val="single" w:color="auto"/>
                  <w:color w:val="0000FF"/>
                </w:rPr>
                <w:t>Item 1. Financial Statements</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b w:val="1"/>
                <w:bCs w:val="1"/>
                <w:color w:val="0000FF"/>
              </w:rPr>
              <w:t>(Unaudited).</w:t>
            </w:r>
          </w:p>
        </w:tc>
        <w:tc>
          <w:tcPr>
            <w:tcW w:w="8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0200" w:type="dxa"/>
            <w:vAlign w:val="bottom"/>
            <w:gridSpan w:val="7"/>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Balance Sheets as of October 3, 2020 and March 28, 2020</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tc>
      </w:tr>
      <w:tr>
        <w:trPr>
          <w:trHeight w:val="270"/>
        </w:trPr>
        <w:tc>
          <w:tcPr>
            <w:tcW w:w="120" w:type="dxa"/>
            <w:vAlign w:val="bottom"/>
          </w:tcPr>
          <w:p>
            <w:pPr>
              <w:spacing w:after="0"/>
              <w:rPr>
                <w:sz w:val="23"/>
                <w:szCs w:val="23"/>
                <w:color w:val="auto"/>
              </w:rPr>
            </w:pPr>
          </w:p>
        </w:tc>
        <w:tc>
          <w:tcPr>
            <w:tcW w:w="10200" w:type="dxa"/>
            <w:vAlign w:val="bottom"/>
            <w:gridSpan w:val="7"/>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Income for the three and six months ended October 3, 2020 and September 28, 2019</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r>
      <w:tr>
        <w:trPr>
          <w:trHeight w:val="229"/>
        </w:trPr>
        <w:tc>
          <w:tcPr>
            <w:tcW w:w="120" w:type="dxa"/>
            <w:vAlign w:val="bottom"/>
          </w:tcPr>
          <w:p>
            <w:pPr>
              <w:spacing w:after="0"/>
              <w:rPr>
                <w:sz w:val="19"/>
                <w:szCs w:val="19"/>
                <w:color w:val="auto"/>
              </w:rPr>
            </w:pPr>
          </w:p>
        </w:tc>
        <w:tc>
          <w:tcPr>
            <w:tcW w:w="10200" w:type="dxa"/>
            <w:vAlign w:val="bottom"/>
            <w:gridSpan w:val="7"/>
          </w:tcPr>
          <w:p>
            <w:pPr>
              <w:ind w:lef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for the three and six months ended October 3, 2020 and September 28,</w:t>
              </w:r>
            </w:hyperlink>
          </w:p>
        </w:tc>
        <w:tc>
          <w:tcPr>
            <w:tcW w:w="860" w:type="dxa"/>
            <w:vAlign w:val="bottom"/>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gridSpan w:val="3"/>
          </w:tcPr>
          <w:p>
            <w:pPr>
              <w:ind w:left="180"/>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2019</w:t>
              </w:r>
            </w:hyperlink>
          </w:p>
        </w:tc>
        <w:tc>
          <w:tcPr>
            <w:tcW w:w="15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6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line="19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10200" w:type="dxa"/>
            <w:vAlign w:val="bottom"/>
            <w:gridSpan w:val="7"/>
          </w:tcPr>
          <w:p>
            <w:pPr>
              <w:ind w:left="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Stockholders' Equity for the three and six months ended October 3, 2020 and September 28, 2019</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6</w:t>
              </w:r>
            </w:hyperlink>
          </w:p>
        </w:tc>
      </w:tr>
      <w:tr>
        <w:trPr>
          <w:trHeight w:val="270"/>
        </w:trPr>
        <w:tc>
          <w:tcPr>
            <w:tcW w:w="120" w:type="dxa"/>
            <w:vAlign w:val="bottom"/>
          </w:tcPr>
          <w:p>
            <w:pPr>
              <w:spacing w:after="0"/>
              <w:rPr>
                <w:sz w:val="23"/>
                <w:szCs w:val="23"/>
                <w:color w:val="auto"/>
              </w:rPr>
            </w:pPr>
          </w:p>
        </w:tc>
        <w:tc>
          <w:tcPr>
            <w:tcW w:w="10200" w:type="dxa"/>
            <w:vAlign w:val="bottom"/>
            <w:gridSpan w:val="7"/>
          </w:tcPr>
          <w:p>
            <w:pPr>
              <w:ind w:left="2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Condensed Consolidated Statements of Cash Flows for the six months ended October 3, 2020 and September 28, 2019</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8</w:t>
              </w:r>
            </w:hyperlink>
          </w:p>
        </w:tc>
      </w:tr>
      <w:tr>
        <w:trPr>
          <w:trHeight w:val="270"/>
        </w:trPr>
        <w:tc>
          <w:tcPr>
            <w:tcW w:w="120" w:type="dxa"/>
            <w:vAlign w:val="bottom"/>
          </w:tcPr>
          <w:p>
            <w:pPr>
              <w:spacing w:after="0"/>
              <w:rPr>
                <w:sz w:val="23"/>
                <w:szCs w:val="23"/>
                <w:color w:val="auto"/>
              </w:rPr>
            </w:pPr>
          </w:p>
        </w:tc>
        <w:tc>
          <w:tcPr>
            <w:tcW w:w="10200" w:type="dxa"/>
            <w:vAlign w:val="bottom"/>
            <w:gridSpan w:val="7"/>
          </w:tcPr>
          <w:p>
            <w:pPr>
              <w:ind w:left="2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Notes to Condensed Consolidated Financial Statements</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9</w:t>
              </w:r>
            </w:hyperlink>
          </w:p>
        </w:tc>
      </w:tr>
      <w:tr>
        <w:trPr>
          <w:trHeight w:val="594"/>
        </w:trPr>
        <w:tc>
          <w:tcPr>
            <w:tcW w:w="10320" w:type="dxa"/>
            <w:vAlign w:val="bottom"/>
            <w:gridSpan w:val="8"/>
          </w:tcPr>
          <w:p>
            <w:pPr>
              <w:spacing w:after="0"/>
              <w:rPr>
                <w:rFonts w:ascii="Times New Roman" w:cs="Times New Roman" w:eastAsia="Times New Roman" w:hAnsi="Times New Roman"/>
                <w:sz w:val="18"/>
                <w:szCs w:val="18"/>
                <w:b w:val="1"/>
                <w:bCs w:val="1"/>
                <w:color w:val="0000FF"/>
              </w:rPr>
            </w:pPr>
            <w:hyperlink w:anchor="page22">
              <w:r>
                <w:rPr>
                  <w:rFonts w:ascii="Times New Roman" w:cs="Times New Roman" w:eastAsia="Times New Roman" w:hAnsi="Times New Roman"/>
                  <w:sz w:val="18"/>
                  <w:szCs w:val="18"/>
                  <w:b w:val="1"/>
                  <w:bCs w:val="1"/>
                  <w:u w:val="single" w:color="auto"/>
                  <w:color w:val="0000FF"/>
                </w:rPr>
                <w:t>Item 2. Management's Discussion and Analysis of Financial Condition and Results of Operations</w:t>
              </w:r>
              <w:r>
                <w:rPr>
                  <w:rFonts w:ascii="Times New Roman" w:cs="Times New Roman" w:eastAsia="Times New Roman" w:hAnsi="Times New Roman"/>
                  <w:sz w:val="18"/>
                  <w:szCs w:val="18"/>
                  <w:b w:val="1"/>
                  <w:bCs w:val="1"/>
                  <w:color w:val="0000FF"/>
                </w:rPr>
                <w:t>.</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21</w:t>
              </w:r>
            </w:hyperlink>
          </w:p>
        </w:tc>
      </w:tr>
      <w:tr>
        <w:trPr>
          <w:trHeight w:val="270"/>
        </w:trPr>
        <w:tc>
          <w:tcPr>
            <w:tcW w:w="560" w:type="dxa"/>
            <w:vAlign w:val="bottom"/>
            <w:gridSpan w:val="3"/>
          </w:tcPr>
          <w:p>
            <w:pPr>
              <w:spacing w:after="0"/>
              <w:rPr>
                <w:rFonts w:ascii="Times New Roman" w:cs="Times New Roman" w:eastAsia="Times New Roman" w:hAnsi="Times New Roman"/>
                <w:sz w:val="18"/>
                <w:szCs w:val="18"/>
                <w:b w:val="1"/>
                <w:bCs w:val="1"/>
                <w:u w:val="single" w:color="auto"/>
                <w:color w:val="0000FF"/>
                <w:w w:val="99"/>
              </w:rPr>
            </w:pPr>
            <w:hyperlink w:anchor="page31">
              <w:r>
                <w:rPr>
                  <w:rFonts w:ascii="Times New Roman" w:cs="Times New Roman" w:eastAsia="Times New Roman" w:hAnsi="Times New Roman"/>
                  <w:sz w:val="18"/>
                  <w:szCs w:val="18"/>
                  <w:b w:val="1"/>
                  <w:bCs w:val="1"/>
                  <w:u w:val="single" w:color="auto"/>
                  <w:color w:val="0000FF"/>
                  <w:w w:val="99"/>
                </w:rPr>
                <w:t>Item 3.</w:t>
              </w:r>
            </w:hyperlink>
          </w:p>
        </w:tc>
        <w:tc>
          <w:tcPr>
            <w:tcW w:w="9760" w:type="dxa"/>
            <w:vAlign w:val="bottom"/>
            <w:gridSpan w:val="5"/>
          </w:tcPr>
          <w:p>
            <w:pPr>
              <w:ind w:left="20"/>
              <w:spacing w:after="0"/>
              <w:rPr>
                <w:rFonts w:ascii="Times New Roman" w:cs="Times New Roman" w:eastAsia="Times New Roman" w:hAnsi="Times New Roman"/>
                <w:sz w:val="18"/>
                <w:szCs w:val="18"/>
                <w:b w:val="1"/>
                <w:bCs w:val="1"/>
                <w:u w:val="single" w:color="auto"/>
                <w:color w:val="0000FF"/>
              </w:rPr>
            </w:pPr>
            <w:hyperlink w:anchor="page31">
              <w:r>
                <w:rPr>
                  <w:rFonts w:ascii="Times New Roman" w:cs="Times New Roman" w:eastAsia="Times New Roman" w:hAnsi="Times New Roman"/>
                  <w:sz w:val="18"/>
                  <w:szCs w:val="18"/>
                  <w:b w:val="1"/>
                  <w:bCs w:val="1"/>
                  <w:u w:val="single" w:color="auto"/>
                  <w:color w:val="0000FF"/>
                </w:rPr>
                <w:t>Quantitative and Qualitative Disclosures About Market Risk.</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30</w:t>
              </w:r>
            </w:hyperlink>
          </w:p>
        </w:tc>
      </w:tr>
      <w:tr>
        <w:trPr>
          <w:trHeight w:val="270"/>
        </w:trPr>
        <w:tc>
          <w:tcPr>
            <w:tcW w:w="560" w:type="dxa"/>
            <w:vAlign w:val="bottom"/>
            <w:gridSpan w:val="3"/>
          </w:tcPr>
          <w:p>
            <w:pPr>
              <w:spacing w:after="0"/>
              <w:rPr>
                <w:rFonts w:ascii="Times New Roman" w:cs="Times New Roman" w:eastAsia="Times New Roman" w:hAnsi="Times New Roman"/>
                <w:sz w:val="18"/>
                <w:szCs w:val="18"/>
                <w:b w:val="1"/>
                <w:bCs w:val="1"/>
                <w:u w:val="single" w:color="auto"/>
                <w:color w:val="0000FF"/>
                <w:w w:val="99"/>
              </w:rPr>
            </w:pPr>
            <w:hyperlink w:anchor="page31">
              <w:r>
                <w:rPr>
                  <w:rFonts w:ascii="Times New Roman" w:cs="Times New Roman" w:eastAsia="Times New Roman" w:hAnsi="Times New Roman"/>
                  <w:sz w:val="18"/>
                  <w:szCs w:val="18"/>
                  <w:b w:val="1"/>
                  <w:bCs w:val="1"/>
                  <w:u w:val="single" w:color="auto"/>
                  <w:color w:val="0000FF"/>
                  <w:w w:val="99"/>
                </w:rPr>
                <w:t>Item 4.</w:t>
              </w:r>
            </w:hyperlink>
          </w:p>
        </w:tc>
        <w:tc>
          <w:tcPr>
            <w:tcW w:w="9760" w:type="dxa"/>
            <w:vAlign w:val="bottom"/>
            <w:gridSpan w:val="5"/>
          </w:tcPr>
          <w:p>
            <w:pPr>
              <w:ind w:left="20"/>
              <w:spacing w:after="0"/>
              <w:rPr>
                <w:rFonts w:ascii="Times New Roman" w:cs="Times New Roman" w:eastAsia="Times New Roman" w:hAnsi="Times New Roman"/>
                <w:sz w:val="18"/>
                <w:szCs w:val="18"/>
                <w:b w:val="1"/>
                <w:bCs w:val="1"/>
                <w:u w:val="single" w:color="auto"/>
                <w:color w:val="0000FF"/>
              </w:rPr>
            </w:pPr>
            <w:hyperlink w:anchor="page31">
              <w:r>
                <w:rPr>
                  <w:rFonts w:ascii="Times New Roman" w:cs="Times New Roman" w:eastAsia="Times New Roman" w:hAnsi="Times New Roman"/>
                  <w:sz w:val="18"/>
                  <w:szCs w:val="18"/>
                  <w:b w:val="1"/>
                  <w:bCs w:val="1"/>
                  <w:u w:val="single" w:color="auto"/>
                  <w:color w:val="0000FF"/>
                </w:rPr>
                <w:t>Controls and Procedures.</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30</w:t>
              </w:r>
            </w:hyperlink>
          </w:p>
        </w:tc>
      </w:tr>
      <w:tr>
        <w:trPr>
          <w:trHeight w:val="594"/>
        </w:trPr>
        <w:tc>
          <w:tcPr>
            <w:tcW w:w="1032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31">
              <w:r>
                <w:rPr>
                  <w:rFonts w:ascii="Times New Roman" w:cs="Times New Roman" w:eastAsia="Times New Roman" w:hAnsi="Times New Roman"/>
                  <w:sz w:val="18"/>
                  <w:szCs w:val="18"/>
                  <w:b w:val="1"/>
                  <w:bCs w:val="1"/>
                  <w:u w:val="single" w:color="auto"/>
                  <w:color w:val="0000FF"/>
                </w:rPr>
                <w:t>PART II — OTHER INFORMATION</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30</w:t>
              </w:r>
            </w:hyperlink>
          </w:p>
        </w:tc>
      </w:tr>
      <w:tr>
        <w:trPr>
          <w:trHeight w:val="594"/>
        </w:trPr>
        <w:tc>
          <w:tcPr>
            <w:tcW w:w="10320" w:type="dxa"/>
            <w:vAlign w:val="bottom"/>
            <w:gridSpan w:val="8"/>
          </w:tcPr>
          <w:p>
            <w:pPr>
              <w:spacing w:after="0"/>
              <w:rPr>
                <w:rFonts w:ascii="Times New Roman" w:cs="Times New Roman" w:eastAsia="Times New Roman" w:hAnsi="Times New Roman"/>
                <w:sz w:val="18"/>
                <w:szCs w:val="18"/>
                <w:b w:val="1"/>
                <w:bCs w:val="1"/>
                <w:color w:val="0000FF"/>
              </w:rPr>
            </w:pPr>
            <w:hyperlink w:anchor="page32">
              <w:r>
                <w:rPr>
                  <w:rFonts w:ascii="Times New Roman" w:cs="Times New Roman" w:eastAsia="Times New Roman" w:hAnsi="Times New Roman"/>
                  <w:sz w:val="18"/>
                  <w:szCs w:val="18"/>
                  <w:b w:val="1"/>
                  <w:bCs w:val="1"/>
                  <w:u w:val="single" w:color="auto"/>
                  <w:color w:val="0000FF"/>
                </w:rPr>
                <w:t>Item 1A. Risk Factors</w:t>
              </w:r>
              <w:r>
                <w:rPr>
                  <w:rFonts w:ascii="Times New Roman" w:cs="Times New Roman" w:eastAsia="Times New Roman" w:hAnsi="Times New Roman"/>
                  <w:sz w:val="18"/>
                  <w:szCs w:val="18"/>
                  <w:b w:val="1"/>
                  <w:bCs w:val="1"/>
                  <w:color w:val="0000FF"/>
                </w:rPr>
                <w:t>.</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31</w:t>
              </w:r>
            </w:hyperlink>
          </w:p>
        </w:tc>
      </w:tr>
      <w:tr>
        <w:trPr>
          <w:trHeight w:val="270"/>
        </w:trPr>
        <w:tc>
          <w:tcPr>
            <w:tcW w:w="560" w:type="dxa"/>
            <w:vAlign w:val="bottom"/>
            <w:gridSpan w:val="3"/>
          </w:tcPr>
          <w:p>
            <w:pPr>
              <w:spacing w:after="0"/>
              <w:rPr>
                <w:rFonts w:ascii="Times New Roman" w:cs="Times New Roman" w:eastAsia="Times New Roman" w:hAnsi="Times New Roman"/>
                <w:sz w:val="18"/>
                <w:szCs w:val="18"/>
                <w:b w:val="1"/>
                <w:bCs w:val="1"/>
                <w:u w:val="single" w:color="auto"/>
                <w:color w:val="0000EE"/>
                <w:w w:val="99"/>
              </w:rPr>
            </w:pPr>
            <w:hyperlink w:anchor="page33">
              <w:r>
                <w:rPr>
                  <w:rFonts w:ascii="Times New Roman" w:cs="Times New Roman" w:eastAsia="Times New Roman" w:hAnsi="Times New Roman"/>
                  <w:sz w:val="18"/>
                  <w:szCs w:val="18"/>
                  <w:b w:val="1"/>
                  <w:bCs w:val="1"/>
                  <w:u w:val="single" w:color="auto"/>
                  <w:color w:val="0000EE"/>
                  <w:w w:val="99"/>
                </w:rPr>
                <w:t>Item 2.</w:t>
              </w:r>
            </w:hyperlink>
          </w:p>
        </w:tc>
        <w:tc>
          <w:tcPr>
            <w:tcW w:w="9760" w:type="dxa"/>
            <w:vAlign w:val="bottom"/>
            <w:gridSpan w:val="5"/>
          </w:tcPr>
          <w:p>
            <w:pPr>
              <w:ind w:left="20"/>
              <w:spacing w:after="0"/>
              <w:rPr>
                <w:rFonts w:ascii="Times New Roman" w:cs="Times New Roman" w:eastAsia="Times New Roman" w:hAnsi="Times New Roman"/>
                <w:sz w:val="18"/>
                <w:szCs w:val="18"/>
                <w:b w:val="1"/>
                <w:bCs w:val="1"/>
                <w:u w:val="single" w:color="auto"/>
                <w:color w:val="0000EE"/>
              </w:rPr>
            </w:pPr>
            <w:hyperlink w:anchor="page33">
              <w:r>
                <w:rPr>
                  <w:rFonts w:ascii="Times New Roman" w:cs="Times New Roman" w:eastAsia="Times New Roman" w:hAnsi="Times New Roman"/>
                  <w:sz w:val="18"/>
                  <w:szCs w:val="18"/>
                  <w:b w:val="1"/>
                  <w:bCs w:val="1"/>
                  <w:u w:val="single" w:color="auto"/>
                  <w:color w:val="0000EE"/>
                </w:rPr>
                <w:t>Unregistered Sales of Equity Securities and Use of Proceeds.</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32</w:t>
              </w:r>
            </w:hyperlink>
          </w:p>
        </w:tc>
      </w:tr>
      <w:tr>
        <w:trPr>
          <w:trHeight w:val="270"/>
        </w:trPr>
        <w:tc>
          <w:tcPr>
            <w:tcW w:w="560" w:type="dxa"/>
            <w:vAlign w:val="bottom"/>
            <w:gridSpan w:val="3"/>
          </w:tcPr>
          <w:p>
            <w:pPr>
              <w:spacing w:after="0"/>
              <w:rPr>
                <w:rFonts w:ascii="Times New Roman" w:cs="Times New Roman" w:eastAsia="Times New Roman" w:hAnsi="Times New Roman"/>
                <w:sz w:val="18"/>
                <w:szCs w:val="18"/>
                <w:b w:val="1"/>
                <w:bCs w:val="1"/>
                <w:u w:val="single" w:color="auto"/>
                <w:color w:val="0000FF"/>
                <w:w w:val="99"/>
              </w:rPr>
            </w:pPr>
            <w:hyperlink w:anchor="page34">
              <w:r>
                <w:rPr>
                  <w:rFonts w:ascii="Times New Roman" w:cs="Times New Roman" w:eastAsia="Times New Roman" w:hAnsi="Times New Roman"/>
                  <w:sz w:val="18"/>
                  <w:szCs w:val="18"/>
                  <w:b w:val="1"/>
                  <w:bCs w:val="1"/>
                  <w:u w:val="single" w:color="auto"/>
                  <w:color w:val="0000FF"/>
                  <w:w w:val="99"/>
                </w:rPr>
                <w:t>Item 6.</w:t>
              </w:r>
            </w:hyperlink>
          </w:p>
        </w:tc>
        <w:tc>
          <w:tcPr>
            <w:tcW w:w="9760" w:type="dxa"/>
            <w:vAlign w:val="bottom"/>
            <w:gridSpan w:val="5"/>
          </w:tcPr>
          <w:p>
            <w:pPr>
              <w:ind w:left="20"/>
              <w:spacing w:after="0"/>
              <w:rPr>
                <w:rFonts w:ascii="Times New Roman" w:cs="Times New Roman" w:eastAsia="Times New Roman" w:hAnsi="Times New Roman"/>
                <w:sz w:val="18"/>
                <w:szCs w:val="18"/>
                <w:b w:val="1"/>
                <w:bCs w:val="1"/>
                <w:u w:val="single" w:color="auto"/>
                <w:color w:val="0000FF"/>
              </w:rPr>
            </w:pPr>
            <w:hyperlink w:anchor="page34">
              <w:r>
                <w:rPr>
                  <w:rFonts w:ascii="Times New Roman" w:cs="Times New Roman" w:eastAsia="Times New Roman" w:hAnsi="Times New Roman"/>
                  <w:sz w:val="18"/>
                  <w:szCs w:val="18"/>
                  <w:b w:val="1"/>
                  <w:bCs w:val="1"/>
                  <w:u w:val="single" w:color="auto"/>
                  <w:color w:val="0000FF"/>
                </w:rPr>
                <w:t>Exhibits.</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33</w:t>
              </w:r>
            </w:hyperlink>
          </w:p>
        </w:tc>
      </w:tr>
      <w:tr>
        <w:trPr>
          <w:trHeight w:val="594"/>
        </w:trPr>
        <w:tc>
          <w:tcPr>
            <w:tcW w:w="10320" w:type="dxa"/>
            <w:vAlign w:val="bottom"/>
            <w:gridSpan w:val="8"/>
          </w:tcPr>
          <w:p>
            <w:pPr>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SIGNATURES</w:t>
              </w:r>
            </w:hyperlink>
          </w:p>
        </w:tc>
        <w:tc>
          <w:tcPr>
            <w:tcW w:w="860" w:type="dxa"/>
            <w:vAlign w:val="bottom"/>
          </w:tcPr>
          <w:p>
            <w:pPr>
              <w:jc w:val="right"/>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34</w:t>
              </w:r>
            </w:hyperlink>
          </w:p>
        </w:tc>
      </w:tr>
      <w:tr>
        <w:trPr>
          <w:trHeight w:val="45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80" w:type="dxa"/>
            <w:vAlign w:val="bottom"/>
            <w:gridSpan w:val="4"/>
          </w:tcPr>
          <w:p>
            <w:pPr>
              <w:ind w:left="498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22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0" w:type="dxa"/>
            <w:vAlign w:val="bottom"/>
          </w:tcPr>
          <w:p>
            <w:pPr>
              <w:spacing w:after="0"/>
              <w:rPr>
                <w:sz w:val="1"/>
                <w:szCs w:val="1"/>
                <w:color w:val="auto"/>
              </w:rPr>
            </w:pPr>
          </w:p>
        </w:tc>
      </w:tr>
      <w:tr>
        <w:trPr>
          <w:trHeight w:val="248"/>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714,939</w:t>
            </w:r>
          </w:p>
        </w:tc>
        <w:tc>
          <w:tcPr>
            <w:tcW w:w="0" w:type="dxa"/>
            <w:vAlign w:val="bottom"/>
          </w:tcPr>
          <w:p>
            <w:pPr>
              <w:spacing w:after="0"/>
              <w:rPr>
                <w:sz w:val="1"/>
                <w:szCs w:val="1"/>
                <w:color w:val="auto"/>
              </w:rPr>
            </w:pPr>
          </w:p>
        </w:tc>
      </w:tr>
      <w:tr>
        <w:trPr>
          <w:trHeight w:val="225"/>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of $1,062 and $55 as of October 3, 2020 and March 28, 2020,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367,172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517,198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37,872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15,016</w:t>
            </w:r>
          </w:p>
        </w:tc>
        <w:tc>
          <w:tcPr>
            <w:tcW w:w="0" w:type="dxa"/>
            <w:vAlign w:val="bottom"/>
          </w:tcPr>
          <w:p>
            <w:pPr>
              <w:spacing w:after="0"/>
              <w:rPr>
                <w:sz w:val="1"/>
                <w:szCs w:val="1"/>
                <w:color w:val="auto"/>
              </w:rPr>
            </w:pPr>
          </w:p>
        </w:tc>
      </w:tr>
      <w:tr>
        <w:trPr>
          <w:trHeight w:val="24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38,305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3,062,726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1,690,502</w:t>
            </w:r>
          </w:p>
        </w:tc>
        <w:tc>
          <w:tcPr>
            <w:tcW w:w="0" w:type="dxa"/>
            <w:vAlign w:val="bottom"/>
          </w:tcPr>
          <w:p>
            <w:pPr>
              <w:spacing w:after="0"/>
              <w:rPr>
                <w:sz w:val="1"/>
                <w:szCs w:val="1"/>
                <w:color w:val="auto"/>
              </w:rPr>
            </w:pPr>
          </w:p>
        </w:tc>
      </w:tr>
      <w:tr>
        <w:trPr>
          <w:trHeight w:val="225"/>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$1,477,921 and $1,415,397 as of October 3,</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 and March 28, 2020, respectively</w:t>
            </w: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1,224,853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1,259,203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2,639,943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2,614,274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714,565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808,892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22,515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144,487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165,296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7,824,422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6,560,682</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242,147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246,954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240,839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217,801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905,086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88,945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67,355</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1,477,017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539,003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1,764,396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1,567,231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175,843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161,783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3,417,256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2,268,017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Common stock and additional paid-in capital, $.0001 par value; 405,000 shares authorized; 114,111</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shd w:val="clear" w:color="auto" w:fill="CCEEFF"/>
              </w:rPr>
              <w:t>and 114,625 shares issued and outstanding at October 3, 2020 and March 28, 2020,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4,267,987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4,290,377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net of tax</w:t>
            </w: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112,563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4,407,166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4,292,665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7,824,422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6,560,682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3"/>
        </w:trPr>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6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40" w:type="dxa"/>
            <w:vAlign w:val="bottom"/>
          </w:tcPr>
          <w:p>
            <w:pPr>
              <w:spacing w:after="0"/>
              <w:rPr>
                <w:sz w:val="22"/>
                <w:szCs w:val="22"/>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48"/>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1,060,292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806,698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1,847,743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1,582,296</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568,742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483,116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1,030,404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964,425</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817,339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617,871</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234,534</w:t>
            </w: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177,253</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38,091</w:t>
            </w: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269,906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210,815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502,983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449,878</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167,993</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5,238</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4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297,078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147,263</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4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(24,684)</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136,917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233,839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122,579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67"/>
        </w:trPr>
        <w:tc>
          <w:tcPr>
            <w:tcW w:w="4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55"/>
        </w:trPr>
        <w:tc>
          <w:tcPr>
            <w:tcW w:w="462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114,388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117,945</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116,177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119,429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116,395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120,196</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3"/>
        </w:trPr>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6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40" w:type="dxa"/>
            <w:vAlign w:val="bottom"/>
          </w:tcPr>
          <w:p>
            <w:pPr>
              <w:spacing w:after="0"/>
              <w:rPr>
                <w:sz w:val="22"/>
                <w:szCs w:val="22"/>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68"/>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136,917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233,839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122,579</w:t>
            </w:r>
          </w:p>
        </w:tc>
      </w:tr>
      <w:tr>
        <w:trPr>
          <w:trHeight w:val="22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0"/>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5"/>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including intra-</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entity foreign currency transactions that are of a long-term</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1"/>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nature</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18,201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24,288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loss included in 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pension actuarial loss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24,328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155,139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82,061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258,167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121,545</w:t>
            </w:r>
          </w:p>
        </w:tc>
      </w:tr>
      <w:tr>
        <w:trPr>
          <w:trHeight w:val="27"/>
        </w:trPr>
        <w:tc>
          <w:tcPr>
            <w:tcW w:w="4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QORVO, INC. AND SUBSIDIARIES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0" w:type="dxa"/>
            <w:vAlign w:val="bottom"/>
            <w:vMerge w:val="restart"/>
          </w:tcPr>
          <w:p>
            <w:pPr>
              <w:jc w:val="center"/>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88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6350</wp:posOffset>
            </wp:positionV>
            <wp:extent cx="692658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17970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27, 2020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October 3, 2020</w:t>
            </w: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29, 2019</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September 28, 2019</w:t>
            </w: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116,294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-3128010</wp:posOffset>
            </wp:positionV>
            <wp:extent cx="69265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-2510790</wp:posOffset>
            </wp:positionV>
            <wp:extent cx="692658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30861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-1645285</wp:posOffset>
            </wp:positionV>
            <wp:extent cx="69265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-1302385</wp:posOffset>
            </wp:positionV>
            <wp:extent cx="69265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-685165</wp:posOffset>
            </wp:positionV>
            <wp:extent cx="692658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30861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-205105</wp:posOffset>
            </wp:positionV>
            <wp:extent cx="6926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18859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-2031365</wp:posOffset>
            </wp:positionV>
            <wp:extent cx="6926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4,293,621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49,230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4,351,245</w:t>
            </w:r>
          </w:p>
        </w:tc>
      </w:tr>
      <w:tr>
        <w:trPr>
          <w:trHeight w:val="289"/>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136,917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136,917</w:t>
            </w:r>
          </w:p>
        </w:tc>
      </w:tr>
      <w:tr>
        <w:trPr>
          <w:trHeight w:val="27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18,222</w:t>
            </w:r>
          </w:p>
        </w:tc>
      </w:tr>
      <w:tr>
        <w:trPr>
          <w:trHeight w:val="68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(26,306)</w:t>
            </w:r>
          </w:p>
        </w:tc>
        <w:tc>
          <w:tcPr>
            <w:tcW w:w="4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(26,306)</w:t>
            </w:r>
          </w:p>
        </w:tc>
      </w:tr>
      <w:tr>
        <w:trPr>
          <w:trHeight w:val="48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(31,425)</w:t>
            </w:r>
          </w:p>
        </w:tc>
        <w:tc>
          <w:tcPr>
            <w:tcW w:w="4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(105,009)</w:t>
            </w:r>
          </w:p>
        </w:tc>
      </w:tr>
      <w:tr>
        <w:trPr>
          <w:trHeight w:val="27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32,097</w:t>
            </w:r>
          </w:p>
        </w:tc>
        <w:tc>
          <w:tcPr>
            <w:tcW w:w="4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32,097</w:t>
            </w:r>
          </w:p>
        </w:tc>
      </w:tr>
      <w:tr>
        <w:trPr>
          <w:trHeight w:val="27"/>
        </w:trPr>
        <w:tc>
          <w:tcPr>
            <w:tcW w:w="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4,267,987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26,616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112,563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4,407,166</w:t>
            </w:r>
          </w:p>
        </w:tc>
      </w:tr>
      <w:tr>
        <w:trPr>
          <w:trHeight w:val="27"/>
        </w:trPr>
        <w:tc>
          <w:tcPr>
            <w:tcW w:w="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7"/>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4,625,566</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4,337,343</w:t>
            </w:r>
          </w:p>
        </w:tc>
      </w:tr>
      <w:tr>
        <w:trPr>
          <w:trHeight w:val="289"/>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83,038</w:t>
            </w:r>
          </w:p>
        </w:tc>
      </w:tr>
      <w:tr>
        <w:trPr>
          <w:trHeight w:val="27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68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(12,033)</w:t>
            </w:r>
          </w:p>
        </w:tc>
        <w:tc>
          <w:tcPr>
            <w:tcW w:w="4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r>
      <w:tr>
        <w:trPr>
          <w:trHeight w:val="486"/>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(165,032)</w:t>
            </w:r>
          </w:p>
        </w:tc>
        <w:tc>
          <w:tcPr>
            <w:tcW w:w="4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(165,032)</w:t>
            </w:r>
          </w:p>
        </w:tc>
      </w:tr>
      <w:tr>
        <w:trPr>
          <w:trHeight w:val="270"/>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23,155</w:t>
            </w:r>
          </w:p>
        </w:tc>
        <w:tc>
          <w:tcPr>
            <w:tcW w:w="4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23,155</w:t>
            </w:r>
          </w:p>
        </w:tc>
      </w:tr>
      <w:tr>
        <w:trPr>
          <w:trHeight w:val="27"/>
        </w:trPr>
        <w:tc>
          <w:tcPr>
            <w:tcW w:w="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4,471,656</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4,265,494</w:t>
            </w:r>
          </w:p>
        </w:tc>
      </w:tr>
      <w:tr>
        <w:trPr>
          <w:trHeight w:val="27"/>
        </w:trPr>
        <w:tc>
          <w:tcPr>
            <w:tcW w:w="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-7620</wp:posOffset>
            </wp:positionV>
            <wp:extent cx="831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-1833880</wp:posOffset>
            </wp:positionV>
            <wp:extent cx="831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360"/>
            <w:col w:w="5080"/>
          </w:cols>
          <w:pgMar w:left="320" w:top="118" w:right="499" w:bottom="1440" w:gutter="0" w:footer="0" w:header="0"/>
          <w:type w:val="continuous"/>
        </w:sectPr>
      </w:pP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118" w:right="49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QORVO, INC. AND SUBSIDIARIES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8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94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4"/>
                <w:szCs w:val="4"/>
                <w:color w:val="auto"/>
              </w:rPr>
            </w:pPr>
          </w:p>
        </w:tc>
        <w:tc>
          <w:tcPr>
            <w:tcW w:w="124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940" w:type="dxa"/>
            <w:vAlign w:val="bottom"/>
          </w:tcPr>
          <w:p>
            <w:pPr>
              <w:spacing w:after="0"/>
              <w:rPr>
                <w:sz w:val="5"/>
                <w:szCs w:val="5"/>
                <w:color w:val="auto"/>
              </w:rPr>
            </w:pPr>
          </w:p>
        </w:tc>
        <w:tc>
          <w:tcPr>
            <w:tcW w:w="13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28, 2020</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4,290,377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4,292,665</w:t>
            </w:r>
          </w:p>
        </w:tc>
        <w:tc>
          <w:tcPr>
            <w:tcW w:w="0" w:type="dxa"/>
            <w:vAlign w:val="bottom"/>
          </w:tcPr>
          <w:p>
            <w:pPr>
              <w:spacing w:after="0"/>
              <w:rPr>
                <w:sz w:val="1"/>
                <w:szCs w:val="1"/>
                <w:color w:val="auto"/>
              </w:rPr>
            </w:pPr>
          </w:p>
        </w:tc>
      </w:tr>
      <w:tr>
        <w:trPr>
          <w:trHeight w:val="26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233,839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233,839</w:t>
            </w:r>
          </w:p>
        </w:tc>
        <w:tc>
          <w:tcPr>
            <w:tcW w:w="0" w:type="dxa"/>
            <w:vAlign w:val="bottom"/>
          </w:tcPr>
          <w:p>
            <w:pPr>
              <w:spacing w:after="0"/>
              <w:rPr>
                <w:sz w:val="1"/>
                <w:szCs w:val="1"/>
                <w:color w:val="auto"/>
              </w:rPr>
            </w:pPr>
          </w:p>
        </w:tc>
      </w:tr>
      <w:tr>
        <w:trPr>
          <w:trHeight w:val="27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24,328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24,328</w:t>
            </w:r>
          </w:p>
        </w:tc>
        <w:tc>
          <w:tcPr>
            <w:tcW w:w="0" w:type="dxa"/>
            <w:vAlign w:val="bottom"/>
          </w:tcPr>
          <w:p>
            <w:pPr>
              <w:spacing w:after="0"/>
              <w:rPr>
                <w:sz w:val="1"/>
                <w:szCs w:val="1"/>
                <w:color w:val="auto"/>
              </w:rPr>
            </w:pPr>
          </w:p>
        </w:tc>
      </w:tr>
      <w:tr>
        <w:trPr>
          <w:trHeight w:val="225"/>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15,758</w:t>
            </w:r>
          </w:p>
        </w:tc>
        <w:tc>
          <w:tcPr>
            <w:tcW w:w="0" w:type="dxa"/>
            <w:vAlign w:val="bottom"/>
          </w:tcPr>
          <w:p>
            <w:pPr>
              <w:spacing w:after="0"/>
              <w:rPr>
                <w:sz w:val="1"/>
                <w:szCs w:val="1"/>
                <w:color w:val="auto"/>
              </w:rPr>
            </w:pPr>
          </w:p>
        </w:tc>
      </w:tr>
      <w:tr>
        <w:trPr>
          <w:trHeight w:val="26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Cumulative-effect adoption of ASU 2016-13</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(180,048)</w:t>
            </w:r>
          </w:p>
        </w:tc>
        <w:tc>
          <w:tcPr>
            <w:tcW w:w="0" w:type="dxa"/>
            <w:vAlign w:val="bottom"/>
          </w:tcPr>
          <w:p>
            <w:pPr>
              <w:spacing w:after="0"/>
              <w:rPr>
                <w:sz w:val="1"/>
                <w:szCs w:val="1"/>
                <w:color w:val="auto"/>
              </w:rPr>
            </w:pPr>
          </w:p>
        </w:tc>
      </w:tr>
      <w:tr>
        <w:trPr>
          <w:trHeight w:val="24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53,053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October 3, 2020</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114,111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4,267,987</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26,616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112,563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4,407,166</w:t>
            </w:r>
          </w:p>
        </w:tc>
        <w:tc>
          <w:tcPr>
            <w:tcW w:w="0" w:type="dxa"/>
            <w:vAlign w:val="bottom"/>
          </w:tcPr>
          <w:p>
            <w:pPr>
              <w:spacing w:after="0"/>
              <w:rPr>
                <w:sz w:val="1"/>
                <w:szCs w:val="1"/>
                <w:color w:val="auto"/>
              </w:rPr>
            </w:pPr>
          </w:p>
        </w:tc>
      </w:tr>
      <w:tr>
        <w:trPr>
          <w:trHeight w:val="67"/>
        </w:trPr>
        <w:tc>
          <w:tcPr>
            <w:tcW w:w="394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9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30, 2019</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119,063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4,687,455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4,359,679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122,579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122,579</w:t>
            </w:r>
          </w:p>
        </w:tc>
        <w:tc>
          <w:tcPr>
            <w:tcW w:w="0" w:type="dxa"/>
            <w:vAlign w:val="bottom"/>
          </w:tcPr>
          <w:p>
            <w:pPr>
              <w:spacing w:after="0"/>
              <w:rPr>
                <w:sz w:val="1"/>
                <w:szCs w:val="1"/>
                <w:color w:val="auto"/>
              </w:rPr>
            </w:pPr>
          </w:p>
        </w:tc>
      </w:tr>
      <w:tr>
        <w:trPr>
          <w:trHeight w:val="26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0" w:type="dxa"/>
            <w:vAlign w:val="bottom"/>
          </w:tcPr>
          <w:p>
            <w:pPr>
              <w:spacing w:after="0"/>
              <w:rPr>
                <w:sz w:val="1"/>
                <w:szCs w:val="1"/>
                <w:color w:val="auto"/>
              </w:rPr>
            </w:pPr>
          </w:p>
        </w:tc>
      </w:tr>
      <w:tr>
        <w:trPr>
          <w:trHeight w:val="225"/>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14,948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Cumulative-effect adoption of ASU 2016-02</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(265,105)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49,967</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September 28, 2019</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116,294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4,471,656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4,265,494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118" w:right="49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QORVO,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3"/>
        </w:trPr>
        <w:tc>
          <w:tcPr>
            <w:tcW w:w="7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80" w:type="dxa"/>
            <w:vAlign w:val="bottom"/>
          </w:tcPr>
          <w:p>
            <w:pPr>
              <w:spacing w:after="0"/>
              <w:rPr>
                <w:sz w:val="22"/>
                <w:szCs w:val="22"/>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48"/>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233,839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122,579</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118,622</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114,837</w:t>
            </w:r>
          </w:p>
        </w:tc>
      </w:tr>
      <w:tr>
        <w:trPr>
          <w:trHeight w:val="243"/>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45,829</w:t>
            </w:r>
          </w:p>
        </w:tc>
      </w:tr>
      <w:tr>
        <w:trPr>
          <w:trHeight w:val="243"/>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12,036</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41,874</w:t>
            </w: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8,380</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5,072</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495,249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430,530</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(88,338)</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(299,673)</w:t>
            </w: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sales of available-for-sale debt securities</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1,950</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(387,303)</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debt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borrowings and debt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(265,105)</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20,205</w:t>
            </w:r>
          </w:p>
        </w:tc>
      </w:tr>
      <w:tr>
        <w:trPr>
          <w:trHeight w:val="243"/>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(20,545)</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7"/>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900,435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(166,277)</w:t>
            </w:r>
          </w:p>
        </w:tc>
      </w:tr>
      <w:tr>
        <w:trPr>
          <w:trHeight w:val="27"/>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7"/>
        </w:trPr>
        <w:tc>
          <w:tcPr>
            <w:tcW w:w="7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1,285,295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(124,141)</w:t>
            </w: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711,382</w:t>
            </w:r>
          </w:p>
        </w:tc>
      </w:tr>
      <w:tr>
        <w:trPr>
          <w:trHeight w:val="27"/>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8"/>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587,241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Non-cash investing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 adjustments included in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30,052</w:t>
            </w: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3"/>
        </w:trPr>
        <w:tc>
          <w:tcPr>
            <w:tcW w:w="7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586,794</w:t>
            </w:r>
          </w:p>
        </w:tc>
      </w:tr>
      <w:tr>
        <w:trPr>
          <w:trHeight w:val="243"/>
        </w:trPr>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w:t>
            </w:r>
          </w:p>
        </w:tc>
        <w:tc>
          <w:tcPr>
            <w:tcW w:w="2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7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587,241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5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28, 2020.</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2020 financial statements have been reclassified to conform with the fiscal 2021 presentation.</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2021 is a 53-week fiscal year during which the second fiscal quarter ended October 3, 2020 and included 14 weeks, compared to 13 weeks for the second fiscal quarter ended September 28, 2019. The first six months of fiscal 2021 ended October 3, 2020 and included 27 weeks, compared to 26 weeks for the six months ended September 28,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28, 2020.</w:t>
      </w:r>
    </w:p>
    <w:p>
      <w:pPr>
        <w:spacing w:after="0" w:line="1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2016-13,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which requires a current lifetime expected credit loss methodology to be used to measure impairments of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other financial assets. Using this methodology will result in earlier recognition of losses than under the previous incurred loss approach, which requires waiting to recognize a loss until it is probable of being incurred. The Company adopted the standard, which applies to its accounts receivables, in the first quarter of fiscal 2021.</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this new standard, trade receivables are now evaluated on a collective (pool) basis and aggregated on the basis of similar risk characteristics. These aggregated risk pools will be reassessed at each measurement date. A combination of factors is considered in determining the appropriate estimate of expected credit losses which include broad-based economic indicators as well as customers' financial strength, credit standing, payment history and any historical defaults.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adoption of this standard using the modified retrospective transition method resulted in a cumulative-effect adjustment to retained earnings of less than $0.1 million.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18" w:right="37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22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28, 2020</w:t>
            </w:r>
          </w:p>
        </w:tc>
      </w:tr>
      <w:tr>
        <w:trPr>
          <w:trHeight w:val="248"/>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112,671</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291,028</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113,499</w:t>
            </w: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476,846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517,198</w:t>
            </w:r>
          </w:p>
        </w:tc>
      </w:tr>
      <w:tr>
        <w:trPr>
          <w:trHeight w:val="27"/>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ACQUISITIONS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October 3, 2020, the Company completed the acquisition of 7Hugs Labs S.A.S. ("7Hugs"). During fiscal 2020, the Company completed the acquisitions of Decawave Limited ("Decawave"), Custom MMIC Design Services, Inc. ("Custom MMIC"), Cavendish Kinetics Limited ("Cavendish") and Active-Semi International, Inc. ("Active-Semi"). The operating results of these companies have been included in the Company's consolidated financial statements as of the acquisition 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7Hugs Labs S.A.S.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1, 2020, the Company acquired all of the outstanding equity interests of 7Hugs, a private developer of ultra-wide band ("UWB") software and solutions, for a total purchase price of $48.7 million, including cash acquired of $1.0 million. The acquisition expands the Company's product offerings and is expected to support the ongoing development and adoption of UWB products and solutions.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purchase price was allocated to 7Hugs' net tangible liabilities (approximately $5.4 million, which includes debt assumed), deferred tax liability (approximately $1.7 million) and an intangible asset (approximately $37.3 million, entirely related to developed technology) based on their estimated fair values as of October 1, 2020. The fair value of the developed technology was determined based on an income approach using the "relief from royalty method," which estimated the value by discounting the royalties avoided by acquiring the technology to present value as of the valuation date. The acquired developed technology asset is being amortized on a straight-line basis over the estimated useful life of 10 years.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value of the net tangible liabilities, deferred tax liability and intangible asset resulted in goodwill of approximately $18.5 million. The Company will continue to evaluate certain assets, liabilities and tax estimates over the measurement period (up to one year from the acquisition date). During the three months ended October 3, 2020, the Company recorded acquisition and integration costs associated with the acquisition of 7Hugs of $1.4 million in "Other operating expense" in the Condensed Consolidated Statement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Decawave Limited</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February 21, 2020, the Company acquired all of the outstanding equity interests of Decawave, a pioneer in UWB technology and provider of UWB solutions for mobile, automotive and Internet of Things ("IoT") applications, for a total purchase price of $372.7 million. The acquisition expands the Company's product and technology offerings that enables real-time, highly accurate and reliable local area precision-location services.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six months ended October 3, 2020, the Company recognized a decrease to goodwill of approximately $2.6 million as a result of purchase price allocation adjustments. The Company will continue to evaluate certain assets, liabilities, and tax estimates over the measurement period (up to one year from the acquisition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 MMIC Design Services, Inc.</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6, 2020, the Company acquired all of the outstanding equity interests of Custom MMIC, a supplier of high-performance gallium arsenide ("GaAs") and gallium nitride ("GaN") monolithic microwave integrated circuits ("MMICs") for defense and commercial applications, for a total purchase price of $91.7 million. The acquisition expands the Company's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millimeter wave ("mmWave") capabilities for product offerings in defense and commercial markets. On the acquisition date, the purchase price was comprised of cash consideration of $86.0 million and contingent consideration of $5.7 million (based on estimated fair value) which is payable to the sellers in the first quarter of fiscal 2022 if certain revenue targets are achieved over a one-year period from the acquisition date. The contingent consideration liability is remeasured to fair value each period with changes recognized in "Other operating expense." The fair value of the contingent consideration liability as of October 3, 2020 was equal to the maximum amount payable of $10.0 million, which is included in "Accrued liabilities." See Note 6 for further information related to the fair value measurement.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six months ended October 3, 2020, the Company recognized a decrease to goodwill of approximately $0.6 million as a result of purchase price allocation adjustments. The Company will continue to evaluate certain assets, liabilities, and tax estimates over the measurement period (up to one year from the acquisition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Cavendish Kinetics Limited</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28, 2019, the Company had an investment in preferred shares in Cavendish, a private supplier of high-performance radio frequency ("RF") microelectromechanical system ("MEMS") technology for antenna tuning applications, with a carrying value of $59.4 million. The Company accounted for this investment as an equity investment without a readily determinable fair value using the measurement alternative in accordance with ASC 321, </w:t>
      </w:r>
      <w:r>
        <w:rPr>
          <w:rFonts w:ascii="Times New Roman" w:cs="Times New Roman" w:eastAsia="Times New Roman" w:hAnsi="Times New Roman"/>
          <w:sz w:val="18"/>
          <w:szCs w:val="18"/>
          <w:i w:val="1"/>
          <w:iCs w:val="1"/>
          <w:color w:val="auto"/>
        </w:rPr>
        <w:t>"Investments-Equity Securities."</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October 4, 2019, the Company acquired the remaining issued and outstanding capital of Cavendish for cash consideration of $198.4 million. The acquisition advances RF MEMS technology for applications across the Company's products and the technology will be transitioned into high-volume manufacturing for mobile devices and other markets.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purchase of the remaining equity interest in Cavendish was considered to be an acquisition achieved in stages, whereby the previously held equity interest was remeasured at its acquisition-date fair value. The Company determined that the fair value of its previously held equity investment was $102.4 million based on the purchase consideration exchanged to acquire the remaining issued and outstanding capital of Cavendish, which resulted in recognition of a gain of $43.0 million in the third quarter of fiscal 2020.</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six months ended October 3, 2020, the Company recognized an increase to goodwill of approximately $1.6 million and a decrease to intangibles of approximately $2.0 million as a result of purchase price allocation adjustments. The measurement period ended one year from the acquisition date of October 4,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Active-Semi International, Inc.</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May 6, 2019, the Company acquired all of the outstanding equity interests of Active-Semi, a private fabless supplier of programmable analog power management solutions, for a total purchase price of $307.9 million. The acquisition expanded the Company's product offerings in power management markets.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3, 2020, the Company recognized an increase to goodwill of approximately $0.1 million in connection with finalizing the purchase price allocation. The measurement period ended one year from the acquisition date.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October 3, 2020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Mobile Products</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 and</w:t>
            </w:r>
          </w:p>
        </w:tc>
        <w:tc>
          <w:tcPr>
            <w:tcW w:w="380" w:type="dxa"/>
            <w:vAlign w:val="bottom"/>
          </w:tcPr>
          <w:p>
            <w:pPr>
              <w:spacing w:after="0"/>
              <w:rPr>
                <w:sz w:val="13"/>
                <w:szCs w:val="13"/>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Defense Products</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Balance as of March 28, 2020 </w:t>
            </w:r>
            <w:r>
              <w:rPr>
                <w:rFonts w:ascii="Times New Roman" w:cs="Times New Roman" w:eastAsia="Times New Roman" w:hAnsi="Times New Roman"/>
                <w:sz w:val="16"/>
                <w:szCs w:val="16"/>
                <w:color w:val="auto"/>
              </w:rPr>
              <w:t>(1)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2,005,432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608,842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2,614,274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resulting from 7Hugs acquisition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18,527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period adjustments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8,601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Balance as of October 3, 2020 </w:t>
            </w:r>
            <w:r>
              <w:rPr>
                <w:rFonts w:ascii="Times New Roman" w:cs="Times New Roman" w:eastAsia="Times New Roman" w:hAnsi="Times New Roman"/>
                <w:sz w:val="16"/>
                <w:szCs w:val="16"/>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2,031,609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608,334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2,639,943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and write-offs of $621.6 million.</w:t>
      </w:r>
    </w:p>
    <w:p>
      <w:pPr>
        <w:spacing w:after="0" w:line="39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allocated to the reporting units that are expected to benefit from the synergies of the business combinations generating the underlying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regarding the gross carrying amounts and accumulated amortization of intangible assets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1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440" w:type="dxa"/>
            <w:vAlign w:val="bottom"/>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12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1,269,772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665,442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1,325,472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652,400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458,150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380,121</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463,772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346,799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licenses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1,706</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3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1,067</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9,600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9,600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21,802</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1,764,195</w:t>
            </w:r>
          </w:p>
        </w:tc>
        <w:tc>
          <w:tcPr>
            <w:tcW w:w="2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1,049,630</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1,810,979</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1,002,087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expected economic benefit to be derived from the intangible assets.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intangible assets amortization expense was $72.4 million and $144.5 million for the three and six months ended October 3, 2020, respectively, and $56.4 million and $114.8 million for the three and six months ended September 28, 2019,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AND 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invests in limited partnerships which are accounted for using the equity method. The carrying amounts of these investments as of October 3, 2020 and March 28, 2020 were $29.8 million and $14.2 million, respectively, and are classified as “Long-term investments” in the Condensed Consolidated Balance Sheets. During the three and six months ended October 3, 2020, the Company recorded $0.1 million of expense and $15.6 million of income, respectively, based on its share of the limited partnerships' earnings. These amounts are included in “Other income (expense), net” in the Condensed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 Without a Readily Determinable Fair Value</w:t>
      </w:r>
    </w:p>
    <w:p>
      <w:pPr>
        <w:spacing w:after="0" w:line="3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During the fourth quarter of fiscal 2020, the Company recorded an impairment of $18.3 million on an equity investment without a readily determinable fair value based on observable price changes present at the time. During the first quarter of fiscal 2021, the Company recorded an additional impairment of $2.8 million to fully impair this investment. This amount is recorded in “Other income (expense), net” in the Condensed Consolidated Statement of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fair value of the financial assets and liabilities measured on a recurring basis was determined using the following levels of inputs as of October 3, 2020 and March 28,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2"/>
                <w:szCs w:val="12"/>
                <w:color w:val="auto"/>
              </w:rPr>
            </w:pPr>
          </w:p>
        </w:tc>
        <w:tc>
          <w:tcPr>
            <w:tcW w:w="13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 2020</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(1)</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26,598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Deferred compensation plan obligation </w:t>
            </w:r>
            <w:r>
              <w:rPr>
                <w:rFonts w:ascii="Times New Roman" w:cs="Times New Roman" w:eastAsia="Times New Roman" w:hAnsi="Times New Roman"/>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Contingent earn-out liability </w:t>
            </w:r>
            <w:r>
              <w:rPr>
                <w:rFonts w:ascii="Times New Roman" w:cs="Times New Roman" w:eastAsia="Times New Roman" w:hAnsi="Times New Roman"/>
                <w:sz w:val="14"/>
                <w:szCs w:val="14"/>
                <w:color w:val="auto"/>
              </w:rPr>
              <w:t>(2)</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26,316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2020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Invested funds in deferred compensation plan </w:t>
            </w:r>
            <w:r>
              <w:rPr>
                <w:rFonts w:ascii="Times New Roman" w:cs="Times New Roman" w:eastAsia="Times New Roman" w:hAnsi="Times New Roman"/>
                <w:sz w:val="14"/>
                <w:szCs w:val="14"/>
                <w:color w:val="auto"/>
              </w:rPr>
              <w:t>(1)</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Deferred compensation plan obligation </w:t>
            </w:r>
            <w:r>
              <w:rPr>
                <w:rFonts w:ascii="Times New Roman" w:cs="Times New Roman" w:eastAsia="Times New Roman" w:hAnsi="Times New Roman"/>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Contingent earn-out liability </w:t>
            </w:r>
            <w:r>
              <w:rPr>
                <w:rFonts w:ascii="Times New Roman" w:cs="Times New Roman" w:eastAsia="Times New Roman" w:hAnsi="Times New Roman"/>
                <w:sz w:val="14"/>
                <w:szCs w:val="14"/>
                <w:color w:val="auto"/>
              </w:rPr>
              <w:t>(2)</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3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firstLine="8"/>
        <w:spacing w:after="0" w:line="247"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non-qualified deferred compensation plan provides eligible employees and members of the Board of Directors with the opportunity to defer a specified 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2" w:lineRule="exact"/>
        <w:rPr>
          <w:rFonts w:ascii="Times New Roman" w:cs="Times New Roman" w:eastAsia="Times New Roman" w:hAnsi="Times New Roman"/>
          <w:sz w:val="16"/>
          <w:szCs w:val="16"/>
          <w:color w:val="auto"/>
        </w:rPr>
      </w:pPr>
    </w:p>
    <w:p>
      <w:pPr>
        <w:ind w:right="360" w:firstLine="8"/>
        <w:spacing w:after="0" w:line="257"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recorded a contingent earn-out liability in conjunction with the Custom MMIC acquisition. The fair value of this liability is estimated using an option pricing model and is remeasured to fair value each period with changes in fair value reported in “Other operating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 xml:space="preserve">expense” in the Condensed Consolidated Statements of Income. As </w:t>
      </w:r>
      <w:r>
        <w:rPr>
          <w:rFonts w:ascii="Times New Roman" w:cs="Times New Roman" w:eastAsia="Times New Roman" w:hAnsi="Times New Roman"/>
          <w:sz w:val="17"/>
          <w:szCs w:val="17"/>
          <w:color w:val="auto"/>
        </w:rPr>
        <w:t>of</w:t>
      </w:r>
      <w:r>
        <w:rPr>
          <w:rFonts w:ascii="Times New Roman" w:cs="Times New Roman" w:eastAsia="Times New Roman" w:hAnsi="Times New Roman"/>
          <w:sz w:val="16"/>
          <w:szCs w:val="16"/>
          <w:color w:val="auto"/>
        </w:rPr>
        <w:t xml:space="preserve"> October 3, 2020, the fair value of the contingent consideration liability was equal to the maximum amount payable of $10.0 million. No payments have been made for the contingent liability as the earn-out assessment period is still ongoing. Any anticipated payments are expected to be settled during the first quarter of fiscal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as of October 3, 2020 and March 28, 2020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24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28, 2020</w:t>
            </w:r>
          </w:p>
        </w:tc>
      </w:tr>
      <w:tr>
        <w:trPr>
          <w:trHeight w:val="248"/>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7.00% senior notes due 2025</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23,404</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5.50% senior notes due 2026 </w:t>
            </w: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900,000</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550,000</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2,252</w:t>
            </w:r>
          </w:p>
        </w:tc>
      </w:tr>
      <w:tr>
        <w:trPr>
          <w:trHeight w:val="27"/>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premium and issuance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Less current portion of long-term debt </w:t>
            </w:r>
            <w:r>
              <w:rPr>
                <w:rFonts w:ascii="Times New Roman" w:cs="Times New Roman" w:eastAsia="Times New Roman" w:hAnsi="Times New Roman"/>
                <w:sz w:val="14"/>
                <w:szCs w:val="14"/>
                <w:color w:val="auto"/>
              </w:rPr>
              <w:t>(1)</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7"/>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1,764,396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1,567,231</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8"/>
        <w:spacing w:after="0" w:line="28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16, 2020, the Company completed the redemption of all of its outstanding 5.50% senior notes due 2026. As of October 3, 2020, the outstanding principal balance is included in "Current portion of long-term debt" in the Condensed Consolidated Balance Sheet (see below and Note 15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September 29, 2020, the Company and certain of its U.S. subsidiaries (the “Guarantors”) entered into a five-year unsecured senior credit facility pursuant to a credit agreement (the "2020 Credit Agreement") with Bank of America, N.A. acting as administrative agent (the “Administrative Agent”) and a syndicate of lenders. The 2020 Credit Agreement amended and restated the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the closing date of the 2020 Credit Agreement, the Company repaid the remaining principal balance of $97.5 million on the term loan under the 2017 Credit Agreement (the “2017 Term Loan”) and concurrently drew $200.0 million under the 2020 Term Loan. Interest paid on the 2017 Term Loan during the three and six months ended October 3, 2020 was $0.4 million and $0.8 million, respectively.</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2020 Credit Agreement, the Company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the six months ended October 3, 2020, there were no borrowings under the Revolving Facility.</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Company’s option, loans under the 2020 Credit Agreement will bear interest at (i) the Applicable Rate (as defined in the 2020 Credit Agreement) plus the Eurodollar Rate (as defined in the 2020 Credit Agreement) or (ii) the Applicable Rate plus a rate equal to the highest of (a) the federal funds rate plus 0.50%, (b) the prime rate as set by the Administrative Agent, and (c) the Eurodollar Rate plus 1.0% (the “Base Rate”). All swing 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or six months, as selected by the Company. The Applicable Rate for Eurodollar Rate loans ranges from 1.000% per annum to 1.250% per annum and is set at 1.125% per annum until the delivery of the Company’s first compliance certificate to the lenders following the fiscal quarter ending January 2, 2021. The Applicable Rate for Base Rate loans ranges from 0.000% per annum to 0.250% per annum, and is set at 0.125% per annum until the delivery of the Company’s first compliance certificate to the lenders following the fiscal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quarter ending January 2, 2021. Undrawn amounts under the Credit Facility are subject to a commitment fee ranging from 0.150% to 0.200%. Interest for Eurodollar Rate loans is payable at the end of each applicable interest period or at three-month intervals if such interest period exceeds three months. Interest for Base Rate loans is payable quarterly in arrears.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2020 Credit Agreement contains various conditions, covenants and representations with which the Company must be in compliance in order to borrow funds and to avoid an event of default. As of October 3, 2020, the Company was in compliance with these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2025</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On November 19, 2015, the Company issued $550.0 million aggregate principal amount of its 7.00% senior notes due December 1, 2025 (the “2025 Notes”). Interest on the 2025 Notes is payable on June 1 and December 1 of each year. The 2025 Notes are senior unsecured obligations of the Company and guaranteed, jointly and severally, by the Guarantors.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fiscal years 2018 and 2019, the Company retired $526.6 million of the 2025 Notes. As of October 3, 2020, an aggregate principal amount of $23.4 million of the 2025 Notes remained outstanding.</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paid no interest on the 2025 Notes during the three months ended October 3, 2020 and September 28, 2019, and paid interest of $0.8 million on the 2025 Notes during each of the six months ended October 3, 2020 and September 28,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2026</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July 16, 2018, the Company issued $500.0 million aggregate principal amount of its 5.50% senior notes due July 15, 2026 (the “Initial 2026 Notes”). On August 28, 2018 and March 5, 2019, the Company issued an additional $130.0 million and $270.0 million, respectively, aggregate principal amount of such notes (together, the “Additional 2026 Notes” and together with the Initial 2026 Notes, the “2026 Notes”). Interest is payable on the 2026 Notes on January 15 and July 15 of each year. The 2026 Notes are senior unsecured obligations of the Company and are initially guaranteed, jointly and severally, by the Guarantors.</w:t>
      </w:r>
    </w:p>
    <w:p>
      <w:pPr>
        <w:spacing w:after="0" w:line="18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(such indenture and supplemental indentures, collectively,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October 3, 2020 and September 28, 2019, interest paid on the 2026 Notes was $24.8 million.</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 2020, in connection with the offering of the 2031 Notes (as defined below), the Company delivered to MUFG Union Bank, N.A., as trustee, a Notice of Redemption for all of the outstanding 2026 Notes, at a cash redemption price to be calculated as provided in the 2026 Notes, plus accrued and unpaid interest, to the redemption date of October 16, 2020.</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16, 2020, the Company completed the redemption of the 2026 Notes at a redemption price equal to 106.363% of the principal amount, plus accrued and unpaid interest. The 2026 Notes were redeemed using proceeds from the recent issuance of the 2031 Notes (as defined below) combined with cash on hand plus borrowings under the 2020 Term Loan.</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principal balance of the 2026 Notes was reclassified as of October 3, 2020 from "Long-term debt" to "Current portion of long-term debt" in the Condensed Consolidated Balance Sheet due to the Company's intention to retire the obligation soon after the balance sheet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Interest is payable on the 2029 Notes on April 15 and October 15 of each year. The 2029 Notes will mature on October 15, 2029, unless earlier redeemed in accordance with their terms. The 2029 Notes are senior unsecured obligations of the Company and are initially guaranteed, jointly and severally, by the Guarantors.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exchange default, failure to provide certain notices thereunder and certain provisions related to bankruptcy events and also contains customary negative covenants.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offerings of the 2029 Notes, the Company agreed to provide the holders of the 2029 Notes with an opportunity to exchange the 2029 Notes for registered notes having terms substantially identical to the 2029 Notes. On August 28, 2020, the Company completed the exchange offer, in which substantially all of the privately placed 2029 Notes were exchanged for new notes that have been registered under the Securities Act of 1933, as amended (the “Securities Act”).</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paid no interest on the 2029 Notes during the three months ended October 3, 2020 and paid interest of $13.0 million on the 2029 Notes during the six months ended October 3,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Interest is payable on the 2031 Notes on April 1 and October 1 of each year, commencing April 1, 2021. The 2031 Notes will mature on April 1, 2031, unless earlier redeemed in accordance with their terms. The 2031 Notes are senior unsecured obligations of the Company and are initially guaranteed, jointly and severally, by the Guarantors.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2031 Notes were sold in a private offering to certain institutions that then resold the 2031 Notes in the United States to persons reasonably believed to be qualified institutional buyers pursuant to Rule 144A under the Securities Act, and to certain non-U.S. persons in accordance with Regulation S under the Securities Act. The Company used the net proceeds of the offering of the 2031 Notes, together with the 2020 Term Loan and cash on hand, to redeem all of the outstanding 2026 Notes as described above.</w:t>
      </w:r>
    </w:p>
    <w:p>
      <w:pPr>
        <w:spacing w:after="0" w:line="18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customary events of default, including payment default, failure to provide certain notices thereunder and certain provisions related to bankruptcy events and also contains customary negative covenants.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2031 Notes have not been and will not be registered under the Securities Act, or any state securities laws, and may not be offered or sold in the United States absent an applicable exemption from the registration requirements of the Securities Act and applicable state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2025 Notes, 2026 Notes, 2029 Notes and 2031 Notes as of October 3, 2020 was $23.7 million, $956.1 million, $906.3 million, and $713.1 million, respectively (compared to a carrying value of $23.4 million, $900.0 million, $850.0 million, and $700.0 million, respectively). The estimated fair value of the 2025 Notes, 2026 Notes and the 2029 Notes as of March 28, 2020 was $23.9 million, $962.8 million, and $489.5 million, respectively (compared to a carrying value of $23.4 million, $900.0 million, and $550.0 million, respectively). The Company considers its debt to be Level 2 in the fair value hierarchy. Fair values are estimated based on quoted market prices for identical or similar instruments. The 2025 Notes, 2026 Notes, 2029 Notes and 2031 Notes trade over the counter, and their fair values were estimated based upon the value of their last trade at the end of the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2020 Term Loan carries a variable interest rate set at current market rates, and as such, the fair value of the 2020 Term Loan approximated book value as of October 3,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October 3, 2020, the Company recognized interest expense of $24.6 million and $44.6 million, respectively, primarily related to the 2026 Notes and the 2029 Notes, which was partially offset by interest capitalized to property and equipment of $1.1 million and $2.3 million, respectively. During the three and six months ended September 28, 2019, the Company recognized interest expense of $14.0</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million and $27.6 million, respectively, primarily related to the 2026 Notes, which was partially offset by interest capitalized to property and equipment of $1.3 million and $3.0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REPURCHASES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31, 2019, the Company announced that its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October 3, 2020, the Company repurchased approximately 0.8 million and 1.6 million shares, respectively, of its common stock for approximately $105.0 million and $180.0 million, respectively, under the current share repurchase program. As of October 3, 2020, approximately $585.9 million remained available for repurchases under the current share repurchase program.</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September 28, 2019, the Company repurchased approximately 2.3 million and 3.8 million shares, respectively, of its common stock for approximately $165.0 million and $265.1 million, respectively, under the prior share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8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 based on the location of the customers' headquarters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6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40" w:type="dxa"/>
            <w:vAlign w:val="bottom"/>
          </w:tcPr>
          <w:p>
            <w:pPr>
              <w:spacing w:after="0"/>
              <w:rPr>
                <w:sz w:val="22"/>
                <w:szCs w:val="22"/>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48"/>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452,926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707,661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720,422</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391,011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778,233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561,088</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Asia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148,615</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Taiwan</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106,679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79,033</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53,967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37,177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94,525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73,138</w:t>
            </w:r>
          </w:p>
        </w:tc>
      </w:tr>
      <w:tr>
        <w:trPr>
          <w:trHeight w:val="257"/>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1,060,292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806,698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1,847,743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1,582,296</w:t>
            </w: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disaggregates revenue by operating segments (see Note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restructuring actions, the Company has recorded cumulative restructuring related charges totaling $92.8 million as of the end of the second quarter of fiscal 2021, including accelerated depreciation of $47.4 million (to reflect changes in estimated useful lives of certain property and equipment), impairment charges of $15.9 million (to adjust the carrying value of certain property and equipment to reflect its fair value), employee termination benefits of $13.6 million and other exit costs of $15.9 million. The Company expects to record additional expenses of approximately $0.4 million for employee termination benefits and other exit costs as a result of these 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resulting from the 2019 restructuring event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Three Months Ended October 3,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Three Months Ended September 28, 2019</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vMerge w:val="restart"/>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440" w:type="dxa"/>
            <w:vAlign w:val="bottom"/>
          </w:tcPr>
          <w:p>
            <w:pPr>
              <w:spacing w:after="0"/>
              <w:rPr>
                <w:sz w:val="12"/>
                <w:szCs w:val="12"/>
                <w:color w:val="auto"/>
              </w:rPr>
            </w:pPr>
          </w:p>
        </w:tc>
        <w:tc>
          <w:tcPr>
            <w:tcW w:w="8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vMerge w:val="restart"/>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One-time employee termination benefits </w:t>
            </w:r>
            <w:r>
              <w:rPr>
                <w:rFonts w:ascii="Times New Roman" w:cs="Times New Roman" w:eastAsia="Times New Roman" w:hAnsi="Times New Roman"/>
                <w:sz w:val="14"/>
                <w:szCs w:val="14"/>
                <w:color w:val="auto"/>
              </w:rPr>
              <w:t>(1)</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5"/>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termination and other associated</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w:t>
            </w:r>
          </w:p>
        </w:tc>
        <w:tc>
          <w:tcPr>
            <w:tcW w:w="480" w:type="dxa"/>
            <w:vAlign w:val="bottom"/>
          </w:tcPr>
          <w:p>
            <w:pPr>
              <w:spacing w:after="0"/>
              <w:rPr>
                <w:sz w:val="20"/>
                <w:szCs w:val="20"/>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57"/>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9,190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Six Months Ended October 3, 2020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Six Months Ended September 28, 2019</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vMerge w:val="restart"/>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440" w:type="dxa"/>
            <w:vAlign w:val="bottom"/>
          </w:tcPr>
          <w:p>
            <w:pPr>
              <w:spacing w:after="0"/>
              <w:rPr>
                <w:sz w:val="12"/>
                <w:szCs w:val="12"/>
                <w:color w:val="auto"/>
              </w:rPr>
            </w:pPr>
          </w:p>
        </w:tc>
        <w:tc>
          <w:tcPr>
            <w:tcW w:w="8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vMerge w:val="restart"/>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8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One-time employee termination benefits </w:t>
            </w:r>
            <w:r>
              <w:rPr>
                <w:rFonts w:ascii="Times New Roman" w:cs="Times New Roman" w:eastAsia="Times New Roman" w:hAnsi="Times New Roman"/>
                <w:sz w:val="14"/>
                <w:szCs w:val="14"/>
                <w:color w:val="auto"/>
              </w:rPr>
              <w:t>(1)</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25"/>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termination and other associated</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w:t>
            </w:r>
          </w:p>
        </w:tc>
        <w:tc>
          <w:tcPr>
            <w:tcW w:w="480" w:type="dxa"/>
            <w:vAlign w:val="bottom"/>
          </w:tcPr>
          <w:p>
            <w:pPr>
              <w:spacing w:after="0"/>
              <w:rPr>
                <w:sz w:val="20"/>
                <w:szCs w:val="20"/>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6,852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57"/>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24,386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8,596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32,982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reversal due to true-up of previously accrued restructuring charges.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 has entered into other individually immaterial restructuring plans. The Company's restructuring charges related to these plans was $0.7 million for the three and six months ended October 3, 2020 and $0.3 million and $0.4 million for the three and six months ended September 28, 2019,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restructuring liabilities for the six months ended October 3, 2020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Other Associated</w:t>
            </w:r>
          </w:p>
        </w:tc>
        <w:tc>
          <w:tcPr>
            <w:tcW w:w="36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restructuring balance as of March 28, 2020</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activity</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restructuring balance as of October 3,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OPERATING SEGMENT INFORMATION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operating and reportable segments as of October 3, 2020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MP is a global supplier of cellular, UWB and Wi-Fi solutions for a variety of high-volume markets, including smartphones, wearables, laptops, tablets and IoT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IDP is a global supplier of RF, system-on-a-chip and power management solutions for wireless infrastructure, defense, smart home, automotive, and IoT.</w:t>
      </w:r>
    </w:p>
    <w:p>
      <w:pPr>
        <w:spacing w:after="0" w:line="225"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amortization of intangible assets, acquisition and integration related costs, restructuring related charges, start-up costs, accelerated depreciation,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The following tables present details of the Company’s operating and reportable segments and a reconciliation of the “All other” category (in thousands):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3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4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754,294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623,106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1,222,698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1,179,359</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IDP</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305,998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183,592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625,045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402,937</w:t>
            </w: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1,060,292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806,698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1,847,743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1,582,296</w:t>
            </w:r>
          </w:p>
        </w:tc>
      </w:tr>
      <w:tr>
        <w:trPr>
          <w:trHeight w:val="67"/>
        </w:trPr>
        <w:tc>
          <w:tcPr>
            <w:tcW w:w="4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0"/>
        </w:trPr>
        <w:tc>
          <w:tcPr>
            <w:tcW w:w="4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262,858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372,841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333,366</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IDP</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65,093</w:t>
            </w: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(230,466)</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221,644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314,356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167,993</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5,238</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200,078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102,066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297,078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147,263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r>
      <w:tr>
        <w:trPr>
          <w:trHeight w:val="786"/>
        </w:trPr>
        <w:tc>
          <w:tcPr>
            <w:tcW w:w="4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20" w:type="dxa"/>
            <w:vAlign w:val="bottom"/>
          </w:tcPr>
          <w:p>
            <w:pPr>
              <w:spacing w:after="0"/>
              <w:rPr>
                <w:sz w:val="12"/>
                <w:szCs w:val="12"/>
                <w:color w:val="auto"/>
              </w:rPr>
            </w:pPr>
          </w:p>
        </w:tc>
        <w:tc>
          <w:tcPr>
            <w:tcW w:w="134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4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“All other” category: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(45,829)</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(114,470)</w:t>
            </w: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(30,679)</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depreciation</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(22,573)</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(including gain (loss) on assets, start-up costs and</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1"/>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miscellaneous corporate overhead)</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 for “All other”</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(230,466)</w:t>
            </w: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for the three and six months ended October 3, 2020 and September 28, 2019 was calculated by applying an estimate of the annual effective tax rate for the full fiscal year to “ordinary” income or loss (pre-tax income or loss excluding unusual or infrequently occurring discrete items) for those respective periods.</w:t>
      </w:r>
    </w:p>
    <w:p>
      <w:pPr>
        <w:spacing w:after="0" w:line="17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Company’s income tax expense was $63.2 million for the three and six months ended October 3, 2020, and the Company’s income tax expense was $19.0 million and $24.7 million, respectively, for the three and six months ended September 28, 2019. The Company’s effective tax rate was 31.6% and 21.3% for the three and six months ended October 3, 2020, respectively, and 18.6% and 16.8% for the three and six months ended September 28, 2019, respectively.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October 3, 2020 differed from the statutory rate primarily due to tax rate differences in foreign jurisdictions, global intangible low tax income (“GILTI”), domestic tax credits generated, and discrete tax items recorded during the period. A discrete charge of $45.2 million and $35.2 million was recorded during the three and six months ended October 3, 2020, respectively. The discrete charge primarily relates to the intercompany restructuring of the Cavendish intellectual property, partially offset by discrete tax benefits recognized for stock-based compensation deductions and a retroactive incentive allowing previously non-deductible payments to be amortized. The Company's effective tax rate for the three and six months ended September 28, 2019 differed from the statutory rate primarily</w:t>
      </w:r>
    </w:p>
    <w:p>
      <w:pPr>
        <w:sectPr>
          <w:pgSz w:w="11900" w:h="16838" w:orient="portrait"/>
          <w:cols w:equalWidth="0" w:num="1">
            <w:col w:w="11240"/>
          </w:cols>
          <w:pgMar w:left="320" w:top="11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due to tax rate differences in foreign jurisdictions, GILTI, domestic tax credits generated, foreign permanent differences, the discrete treatment of post-combination compensation related expenses due to the Active-Semi acquisition, and a discrete expense related to the Company’s change in its permanent reinvestment assertion for certain unrepatriated foreign earnings previously subject to U.S. federal taxation.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6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40" w:type="dxa"/>
            <w:vAlign w:val="bottom"/>
          </w:tcPr>
          <w:p>
            <w:pPr>
              <w:spacing w:after="0"/>
              <w:rPr>
                <w:sz w:val="22"/>
                <w:szCs w:val="22"/>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Numerator for basic and diluted net income per share —</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136,917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83,038</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233,839</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122,579</w:t>
            </w:r>
          </w:p>
        </w:tc>
        <w:tc>
          <w:tcPr>
            <w:tcW w:w="0" w:type="dxa"/>
            <w:vAlign w:val="bottom"/>
          </w:tcPr>
          <w:p>
            <w:pPr>
              <w:spacing w:after="0"/>
              <w:rPr>
                <w:sz w:val="1"/>
                <w:szCs w:val="1"/>
                <w:color w:val="auto"/>
              </w:rPr>
            </w:pPr>
          </w:p>
        </w:tc>
      </w:tr>
      <w:tr>
        <w:trPr>
          <w:trHeight w:val="281"/>
        </w:trPr>
        <w:tc>
          <w:tcPr>
            <w:tcW w:w="46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Denominator for basic net income per share — weighted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shares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114,328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117,294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117,945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awards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Denominator for diluted net income per share — adjusted</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116,177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119,429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116,395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120,196</w:t>
            </w: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computation of diluted net income per share for the three and six months ended October 3, 2020, approximately 0.3 million and 0.1 million outstanding shares, respectively, were excluded because the effect of their inclusion would have been anti-dilutive. In the computation of diluted net income per share for the three and six months ended September 28, 2019, approximately 0.4 million and 0.2 million outstanding shares, respectively, were excluded because the effect of their inclusion would have been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October 3, 2020, in connection with the offering of the 2031 Notes, the Company delivered to MUFG Union Bank, N.A., as trustee, a Notice of Redemption for the $900.0 million principal balance of the 2026 Notes. On October 16, 2020, the Company completed the redemption of the 2026 Notes at a redemption price equal to 106.363% of the principal amount, plus accrued and unpaid interest, for a total cash payment of $969.8 million. The 2026 Notes were redeemed using proceeds from the recent issuance of the 2031 Notes combined with cash on hand plus borrowings under the 2020 Term Loan.</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principal balance of the 2026 Notes was reclassified as of October 3, 2020 from "Long-term debt" to "Current portion of long-term debt" in the Condensed Consolidated Balance Sheet due to the Company's intention to retire the obligation soon after the balance sheet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a few large customers for a substantial portion of our revenue; a loss of revenue if contracts with the United States government or defense and aerospace contractors are canceled or delayed or if defense spending is reduced; the COVID-19 pandemic, which has and will likely continue to negatively impact the global economy and disrupt normal business activities, and which may have an adverse effect on our results of operations;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risks from international sales and operations; economic regulation in China; changes in government trade policies, including imposition of tariffs and export restrictions; our ability to implement innovative technologies; underutilization of manufacturing facilities as a result of industry overcapacity; we may not be able to borrow funds under our credit facility or secure future financing; we may not be able to generate sufficient cash to service all of our debt; restrictions imposed by the agreements governing our debt; volatility in the price of our common stock; damage to our reputation or brand; fluctuations in the amount and frequency of our stock repurchases; our recent and future acquisitions and other strategic investments could fail to achieve financial or strategic objectives; our ability to attract, retain and motivate key employees;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warranty claims, product recalls and product liability; and risks associated with environmental, health and safety regulations and climate change. Many of the foregoing risks and uncertainties are, and will continue to be exacerbated by the COVID-19 pandemic and any worsening of the global business and economic environment as a result.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Qorvo® is a leader in the development and commercialization of technologies and products for wireless and wired connectivity. We combine a broad portfolio of innovative radio frequency ("RF") solutions, highly differentiated semiconductor technologies, systems-level expertise and global manufacturing scale to supply a diverse set of customers a broad range of products that enable a more connected world.</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COVID-19 pandemic and the resulting economic downturn are affecting business conditions in our industry. During the six months ended October 3, 2020, we did not encounter material disruptions to our global supply chain or operations, and we believe that our cash on hand (including from our recently issued senior notes), cash flows from operations and availability under our revolving credit facility provide us with sufficient liquidity. The duration, severity, and future impact of the COVID-19 pandemic remains highly uncertain, however, and may result in significant disruptions to our operations, including our supply chain, as well as negative impacts to our financial condition. We will continue to monitor the implications of the COVID-19 pandemic on our business, as well as our customers' and suppliers' businesses.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MP is a global supplier of cellular, ultra-wide band and Wi-Fi solutions for a variety of high-volume markets, including smartphones, wearables, laptops, tablets and Internet of Things ("IoT")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IDP is a global supplier of RF, system-on-a-chip and power management solutions for wireless infrastructure, defense, smart home, automotive, and IoT.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operating income (see Note 12 of the Notes to Condensed Consolidated Financial Statements in Part I, Item 1 of this report for additional information regarding our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2021 FINANCIAL HIGHLIGHTS: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Fiscal 2021 is a 53-week fiscal year during which the second fiscal quarter ended October 3, 2020 and included 14 weeks, compared to 13 weeks for the second fiscal quarter ended September 28, 2019. The first six months of fiscal 2021 ended October 3, 2020 and included 27 weeks, compared to 26 weeks for the six months ended September 28, 2019. This additional week impacts the following year-over-year results of operations.</w:t>
      </w:r>
    </w:p>
    <w:p>
      <w:pPr>
        <w:spacing w:after="0" w:line="176" w:lineRule="exact"/>
        <w:rPr>
          <w:sz w:val="20"/>
          <w:szCs w:val="20"/>
          <w:color w:val="auto"/>
        </w:rPr>
      </w:pPr>
    </w:p>
    <w:p>
      <w:pPr>
        <w:ind w:left="280" w:hanging="272"/>
        <w:spacing w:after="0" w:line="266"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increased 31.4% as compared to the second quarter of fiscal 2020, primarily due to higher demand for our mobile products in support of smartphone customers in China and Korea, higher demand for our 5G base station products (primarily in China), and higher demand for our Wi-Fi products.</w:t>
      </w:r>
    </w:p>
    <w:p>
      <w:pPr>
        <w:spacing w:after="0" w:line="175" w:lineRule="exact"/>
        <w:rPr>
          <w:rFonts w:ascii="Times New Roman" w:cs="Times New Roman" w:eastAsia="Times New Roman" w:hAnsi="Times New Roman"/>
          <w:sz w:val="18"/>
          <w:szCs w:val="18"/>
          <w:color w:val="auto"/>
        </w:rPr>
      </w:pPr>
    </w:p>
    <w:p>
      <w:pPr>
        <w:ind w:left="280" w:right="420" w:hanging="272"/>
        <w:spacing w:after="0" w:line="282"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second quarter of fiscal 2021 was 46.4% as compared to 40.1% for the second quarter of fiscal 2020, primarily due to overall favorable factory utilization, lower inventory adjustments and lower restructuring charges, partially offset by average selling price erosion.</w:t>
      </w:r>
    </w:p>
    <w:p>
      <w:pPr>
        <w:spacing w:after="0" w:line="161" w:lineRule="exact"/>
        <w:rPr>
          <w:rFonts w:ascii="Times New Roman" w:cs="Times New Roman" w:eastAsia="Times New Roman" w:hAnsi="Times New Roman"/>
          <w:sz w:val="18"/>
          <w:szCs w:val="18"/>
          <w:color w:val="auto"/>
        </w:rPr>
      </w:pPr>
    </w:p>
    <w:p>
      <w:pPr>
        <w:ind w:left="280" w:right="300" w:hanging="272"/>
        <w:spacing w:after="0" w:line="266"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$221.6 million for the second quarter of fiscal 2021 as compared to $112.8 million for the second quarter of fiscal 2020. This increase was primarily due to higher revenue and higher gross margin, partially offset by higher operating expenses. Operating expenses increased primarily due to higher personnel costs and increased product development spend resulting from our recent acquisitions.</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was $1.18 for the second quarter of fiscal 2021 as compared to $0.70 for the second quarter of fiscal 2020.</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$43.6 million for the second quarter of fiscal 2021 as compared to $38.0 million for the second quarter of fiscal 2020.</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fiscal 2021, we repurchased approximately 0.8 million shares of our common stock for approximately $105.0 million.</w:t>
      </w:r>
    </w:p>
    <w:p>
      <w:pPr>
        <w:spacing w:after="0" w:line="225" w:lineRule="exact"/>
        <w:rPr>
          <w:rFonts w:ascii="Times New Roman" w:cs="Times New Roman" w:eastAsia="Times New Roman" w:hAnsi="Times New Roman"/>
          <w:sz w:val="18"/>
          <w:szCs w:val="18"/>
          <w:color w:val="auto"/>
        </w:rPr>
      </w:pPr>
    </w:p>
    <w:p>
      <w:pPr>
        <w:ind w:left="280" w:right="380" w:hanging="272"/>
        <w:spacing w:after="0" w:line="282"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fiscal 2021, we completed the acquisition of 7Hugs Labs S.A.S. ("7Hugs") for a total purchase price of $48.7 million, including cash acquired of $1.0 million.</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fiscal 2021, we issued $700.0 million aggregate principal amount of 3.375% senior notes due 2031 (the "2031 Notes").</w:t>
      </w:r>
    </w:p>
    <w:p>
      <w:pPr>
        <w:spacing w:after="0" w:line="225" w:lineRule="exact"/>
        <w:rPr>
          <w:rFonts w:ascii="Times New Roman" w:cs="Times New Roman" w:eastAsia="Times New Roman" w:hAnsi="Times New Roman"/>
          <w:sz w:val="18"/>
          <w:szCs w:val="18"/>
          <w:color w:val="auto"/>
        </w:rPr>
      </w:pPr>
    </w:p>
    <w:p>
      <w:pPr>
        <w:ind w:left="280" w:right="40" w:hanging="272"/>
        <w:spacing w:after="0" w:line="289" w:lineRule="auto"/>
        <w:tabs>
          <w:tab w:leader="none" w:pos="2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second quarter of fiscal 2021, we entered into a five-year unsecured senior credit facility, which includes a senior term loan (the "2020 Term Loan") of up to $200.0 million. On the closing date, we drew the full amount of the 2020 Term Loan and concurrently repaid the $97.5 million remaining principal balance of the term loan under a previous credit facility (see Note 7 of the Notes to Condensed Consolidated Financial Statements).</w:t>
      </w:r>
    </w:p>
    <w:p>
      <w:pPr>
        <w:spacing w:after="0" w:line="157" w:lineRule="exact"/>
        <w:rPr>
          <w:rFonts w:ascii="Times New Roman" w:cs="Times New Roman" w:eastAsia="Times New Roman" w:hAnsi="Times New Roman"/>
          <w:sz w:val="17"/>
          <w:szCs w:val="17"/>
          <w:color w:val="auto"/>
        </w:rPr>
      </w:pPr>
    </w:p>
    <w:p>
      <w:pPr>
        <w:ind w:left="280" w:right="60" w:hanging="272"/>
        <w:spacing w:after="0" w:line="266"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we completed the redemption of our 5.50% senior notes due July 15, 2026 (the "2026 Notes") at a redemption price equal to 106.363% of the principal amount of $900.0 million, plus accrued and unpaid interest (see Note 15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results of operations for the three and six months ended October 3, 2020 and September 28, 2019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9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1,060,292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806,698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253,594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568,742</w:t>
            </w:r>
          </w:p>
        </w:tc>
        <w:tc>
          <w:tcPr>
            <w:tcW w:w="1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483,116</w:t>
            </w:r>
          </w:p>
        </w:tc>
        <w:tc>
          <w:tcPr>
            <w:tcW w:w="1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85,626</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491,550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323,582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167,968</w:t>
            </w:r>
          </w:p>
        </w:tc>
        <w:tc>
          <w:tcPr>
            <w:tcW w:w="1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156,342</w:t>
            </w:r>
          </w:p>
        </w:tc>
        <w:tc>
          <w:tcPr>
            <w:tcW w:w="1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115,614</w:t>
            </w:r>
          </w:p>
        </w:tc>
        <w:tc>
          <w:tcPr>
            <w:tcW w:w="1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40,728</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109,372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88,274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21,098</w:t>
            </w:r>
          </w:p>
        </w:tc>
        <w:tc>
          <w:tcPr>
            <w:tcW w:w="1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4,192</w:t>
            </w:r>
          </w:p>
        </w:tc>
        <w:tc>
          <w:tcPr>
            <w:tcW w:w="1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221,644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112,767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108,877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2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vMerge w:val="restart"/>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10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1,847,743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1,582,296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265,447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1,030,404</w:t>
            </w:r>
          </w:p>
        </w:tc>
        <w:tc>
          <w:tcPr>
            <w:tcW w:w="1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964,425</w:t>
            </w:r>
          </w:p>
        </w:tc>
        <w:tc>
          <w:tcPr>
            <w:tcW w:w="1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65,979</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817,339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617,871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199,468</w:t>
            </w:r>
          </w:p>
        </w:tc>
        <w:tc>
          <w:tcPr>
            <w:tcW w:w="1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286,413</w:t>
            </w:r>
          </w:p>
        </w:tc>
        <w:tc>
          <w:tcPr>
            <w:tcW w:w="1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234,534</w:t>
            </w:r>
          </w:p>
        </w:tc>
        <w:tc>
          <w:tcPr>
            <w:tcW w:w="1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51,879</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195,976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177,253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18,723</w:t>
            </w:r>
          </w:p>
        </w:tc>
        <w:tc>
          <w:tcPr>
            <w:tcW w:w="1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20,594</w:t>
            </w:r>
          </w:p>
        </w:tc>
        <w:tc>
          <w:tcPr>
            <w:tcW w:w="1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38,091</w:t>
            </w:r>
          </w:p>
        </w:tc>
        <w:tc>
          <w:tcPr>
            <w:tcW w:w="1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4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314,356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167,993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146,363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Revenue increased for the three months ended October 3, 2020 as compared to the three months ended September 28, 2019, primarily due to higher demand for our mobile products in support of smartphone customers in China and Korea, higher demand for our 5G base station products (primarily in China), and higher demand for our Wi-Fi products.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increased for the six months ended October 3, 2020 as compared to the six months ended September 28, 2019, primarily due to higher demand for our 5G base station products (primarily in China), higher demand for our mobile products in support of smartphone customers in China and Korea, and higher demand for our Wi-Fi products, partially offset by lower shipments of our mobile products to Huawei Technologies Co., Ltd. and affiliates ("Huawei").</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16, 2019, the Bureau of Industry and Security of the U.S. Department of Commerce ("Commerce") added Huawei Technologies Co., Ltd. and over 100 of its affiliates to the Entity List maintained by Commerce, which caused us to temporarily suspend the shipment of all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While we restarted shipments to Huawei of certain products from outside the U.S. that were not subject to the Export Administration Regulations ("EAR") in fiscal 2020, during the second quarter of fiscal 2021, as a result of and in compliance with the most recent Commerce action, we suspended shipments of products to Huawei. While we have obtained a license to allow us to ship certain mobile products in compliance with the most recent Commerce action, our sales to Huawei will continue to be impacted by trade restrictions.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margin increased for the three months ended October 3, 2020 as compared to the three months ended September 28, 2019, primarily due to overall favorable factory utilization, lower inventory adjustments and lower restructuring charges, partially offset by average selling price erosion.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0" w:right="280"/>
        <w:spacing w:after="0" w:line="282" w:lineRule="auto"/>
        <w:rPr>
          <w:sz w:val="20"/>
          <w:szCs w:val="20"/>
          <w:color w:val="auto"/>
        </w:rPr>
      </w:pPr>
      <w:r>
        <w:rPr>
          <w:rFonts w:ascii="Times New Roman" w:cs="Times New Roman" w:eastAsia="Times New Roman" w:hAnsi="Times New Roman"/>
          <w:sz w:val="18"/>
          <w:szCs w:val="18"/>
          <w:color w:val="auto"/>
        </w:rPr>
        <w:t>Gross margin increased for the six months ended October 3, 2020 as compared to the six months ended September 28, 2019, primarily due to favorable changes in product mix, overall favorable factory utilization and lower restructuring charges, partially offset by average selling price erosion.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Research and development expense increased for the three and six months ended October 3, 2020 as compared to the three and six months ended September 28, 2019, primarily due to higher personnel costs and increased product development spend resulting from our recent acquisitions.</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six months ended October 3, 2020 as compared to the three and six months ended September 28, 2019, primarily due to higher personnel costs and higher intangible amortization expense as a result of our recent acquisitions.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operating expense decreased for the three months ended October 3, 2020 as compared to the three months ended September 28, 2019, primarily due to gains realized on the sale of fixed assets, partially offset by increased acquisition and integration-related expenses. Other operating expense decreased for the six months ended October 3, 2020 as compared to the six months ended September 28, 2019, primarily due to gains realized on the sale of fixed assets and lower restructuring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Product Revenue, Operating Income and Operating Income as a Percentage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Products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6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560" w:type="dxa"/>
            <w:vAlign w:val="bottom"/>
          </w:tcPr>
          <w:p>
            <w:pPr>
              <w:spacing w:after="0"/>
              <w:rPr>
                <w:sz w:val="12"/>
                <w:szCs w:val="1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vMerge w:val="restart"/>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754,294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623,106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131,188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262,858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193,431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69,427</w:t>
            </w:r>
          </w:p>
        </w:tc>
        <w:tc>
          <w:tcPr>
            <w:tcW w:w="120" w:type="dxa"/>
            <w:vAlign w:val="bottom"/>
          </w:tcPr>
          <w:p>
            <w:pPr>
              <w:spacing w:after="0"/>
              <w:rPr>
                <w:sz w:val="21"/>
                <w:szCs w:val="21"/>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2"/>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6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560" w:type="dxa"/>
            <w:vAlign w:val="bottom"/>
          </w:tcPr>
          <w:p>
            <w:pPr>
              <w:spacing w:after="0"/>
              <w:rPr>
                <w:sz w:val="12"/>
                <w:szCs w:val="1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vMerge w:val="restart"/>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1,222,698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1,179,359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43,339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372,841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333,366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39,475</w:t>
            </w:r>
          </w:p>
        </w:tc>
        <w:tc>
          <w:tcPr>
            <w:tcW w:w="120" w:type="dxa"/>
            <w:vAlign w:val="bottom"/>
          </w:tcPr>
          <w:p>
            <w:pPr>
              <w:spacing w:after="0"/>
              <w:rPr>
                <w:sz w:val="21"/>
                <w:szCs w:val="21"/>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MP revenue increased for the three months ended October 3, 2020 as compared to the three months ended September 28, 2019, primarily due to higher demand for our mobile products in support of smartphone customers in China and Korea.</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MP revenue increased for the six months ended October 3, 2020 as compared to the six months ended September 28, 2019, primarily due to higher demand for our mobile products in support of smartphone customers in China and Korea, partially offset by lower shipments of our mobile products to Huawei.</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MP operating income increased for the three months ended October 3, 2020 as compared to the three months ended September 28, 2019, primarily due to higher revenue and higher gross margin, partially offset by higher operating expenses. Gross margin was positively impacted by higher factory utilization and favorable changes in product mix, partially offset by average selling price erosion. Operating expenses increased primarily due to higher personnel costs and increased product development spend as a result of recent acquisitions.</w:t>
      </w:r>
    </w:p>
    <w:p>
      <w:pPr>
        <w:spacing w:after="0" w:line="180"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MP operating income increased for the six months ended October 3, 2020 as compared to the six months ended September 28, 2019, primarily due to higher gross margin and higher revenue, partially offset by higher operating expenses. Gross margin was positively impacted by favorable changes in product mix and lower manufacturing costs, partially offset by average selling price erosion. Operating expenses increased primarily due to higher personnel costs and increased product development spend as a result of recent acquisitions.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and Defense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2"/>
                <w:szCs w:val="12"/>
                <w:color w:val="auto"/>
              </w:rPr>
            </w:pPr>
          </w:p>
        </w:tc>
        <w:tc>
          <w:tcPr>
            <w:tcW w:w="11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305,998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183,592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122,406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43"/>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66,495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51,526</w:t>
            </w:r>
          </w:p>
        </w:tc>
        <w:tc>
          <w:tcPr>
            <w:tcW w:w="100" w:type="dxa"/>
            <w:vAlign w:val="bottom"/>
          </w:tcPr>
          <w:p>
            <w:pPr>
              <w:spacing w:after="0"/>
              <w:rPr>
                <w:sz w:val="21"/>
                <w:szCs w:val="21"/>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2"/>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2"/>
                <w:szCs w:val="12"/>
                <w:color w:val="auto"/>
              </w:rPr>
            </w:pPr>
          </w:p>
        </w:tc>
        <w:tc>
          <w:tcPr>
            <w:tcW w:w="11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625,045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402,937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222,108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43"/>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160,250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65,093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95,157</w:t>
            </w:r>
          </w:p>
        </w:tc>
        <w:tc>
          <w:tcPr>
            <w:tcW w:w="100" w:type="dxa"/>
            <w:vAlign w:val="bottom"/>
          </w:tcPr>
          <w:p>
            <w:pPr>
              <w:spacing w:after="0"/>
              <w:rPr>
                <w:sz w:val="21"/>
                <w:szCs w:val="21"/>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IDP revenue increased for the three and six months ended October 3, 2020 as compared to the three and six months ended September 28, 2019, primarily due to higher demand for our 5G base station products (primarily in China), and higher demand for our Wi-Fi products.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IDP operating income increased for the three and six months ended October 3, 2020 as compared to the three and six months ended September 28, 2019, primarily due to higher revenue and higher gross margin, partially offset by higher operating expenses. Gross margin was positively impacted by higher factory utilization and lower inventory adjustments, partially offset by unfavorable changes in product mix. Operating expenses increased primarily due to higher personnel costs and increased product development spend as a result of recent acquisitions.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Note 12 of the Notes to Condensed Consolidated Financial Statements for a reconciliation of segment operating income to the consolidated operating income for the three and six months ended October 3, 2020 and September 28,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(EXPENSE) AND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3"/>
        </w:trPr>
        <w:tc>
          <w:tcPr>
            <w:tcW w:w="4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6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0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2020</w:t>
            </w:r>
          </w:p>
        </w:tc>
        <w:tc>
          <w:tcPr>
            <w:tcW w:w="140" w:type="dxa"/>
            <w:vAlign w:val="bottom"/>
          </w:tcPr>
          <w:p>
            <w:pPr>
              <w:spacing w:after="0"/>
              <w:rPr>
                <w:sz w:val="22"/>
                <w:szCs w:val="22"/>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48"/>
        </w:trPr>
        <w:tc>
          <w:tcPr>
            <w:tcW w:w="4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5,238</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October 3, 2020, we recorded interest expense of $24.6 million and $44.6 million, respectively, which was partially offset by $1.1 million and $2.3 million, respectively, of capitalized interest. During the three and six months ended September 28, 2019, we recorded interest expense of $14.0 million and $27.6 million, respectively, which was partially offset by $1.3 million and $3.0 million, respectively, of capitalized interest. Interest expense increased as a result of the issuance of the 4.375% senior notes due October 15, 2029 (the "2029 Notes"). See Note 7 of the Notes to Condensed Consolidated Financial Statements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October 3, 2020, we recorded $0.1 million of expense and $15.6 million of income, respectively, based on our share of the earnings from our investments in two limited partnerships.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provision for income taxes for the three and six months ended October 3, 2020 and September 28, 2019 has been calculated by applying an estimate of the annual effective tax rate for the full fiscal year to “ordinary” income or loss (pre-tax income or loss excluding unusual or discrete items) for those respective periods.</w:t>
      </w:r>
    </w:p>
    <w:p>
      <w:pPr>
        <w:spacing w:after="0" w:line="1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October 3, 2020, we recorded income tax expense of $63.2 million, which was comprised primarily of tax expense related to international operations generating pre-tax book income, and discrete tax items recorded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period. The discrete tax expense items primarily relate to the intercompany restructuring of the Cavendish Kinetics Limited intellectual property, partially offset by discrete tax benefits recognized for stock-based compensation deductions and a retroactive incentive allowing previously non-deductible payments to be amortized. For the three and six months ended September 28, 2019, we recorded income tax expense of $19.0 million and $24.7 million, respectively, which was comprised primarily of tax expense related to international operations generating pre-tax book income and the reversal of the permanent reinvestment assertion with regards to unrepatriated foreign earnings, partially offset by a tax benefit related to domestic and international operations generating pre-tax book losses and domestic tax credits.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valuation allowance remained against certain domestic and foreign net deferred tax assets as it is more likely than not that the related deferred tax assets will not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October 3, 2020, we had working capital of approximately $1,585.7 million, including $2,000.3 million in cash and cash equivalents, compared to working capital of approximately $1,151.5 million, including $714.9 million in cash and cash equivalents as of March 28, 2020.</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cash balance at October 3, 2020 includes $700.0 million from the issuance of the 2031 Notes which was used subsequent to quarter end (combined with cash on hand and the $200.0 million draw under the 2020 Term Loan) to redeem the $900.0 million principal balance of the 2026 Notes. The principal balance of the 2026 Notes was reclassified as of October 3, 2020, from "Long-term debt" to "Current portion of long-term debt" in the Condensed Consolidated Balance Sheet due to our intention to retire the obligation soon after the balance sheet date. See Note 15 of the Notes to Condensed Consolidated Financial Statements for additional information regarding the redemption of the 2026 Notes.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$2,000.3 million of total cash and cash equivalents as of October 3, 2020 includes approximately $617.0 million held by our foreign subsidiaries, of which $512.7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color w:val="auto"/>
        </w:rPr>
        <w:t>During the six months ended October 3, 2020, we repurchased approximately 1.6 million shares of our common stock for approximately $180.0 million under our share repurchase program. As of October 3, 2020, approximately $585.9 million remained available for repurchases under the program.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Operating activities for the six months ended October 3, 2020 generated cash of $495.2 million, compared to $430.5 million for the six months ended September 28, 2019, primarily due to increased profitability, partially offset by changes in working capital driven by accounts receivable.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$111.3 million for the six months ended October 3, 2020, compared to $387.3 million for the six months ended September 28, 2019. During the six months ended October 3, 2020, we acquired 7Hugs for $47.7 million (net of cash acquired). During the six months ended September 28, 2019, we acquired Active-Semi International, Inc. for $299.7 million (net of cash acquired). See Note 4 of the Notes to Condensed Consolidated Financial Statements for additional information regarding our business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$900.4 million for the six months ended October 3, 2020, compared to $166.3 million of net cash used by financing activities for the six months ended September 28, 2019. During the six months ended October 3, 2020, we received proceeds from (1) the issuance of an additional $300.0 million aggregate principal amount of the 2029 Notes, (2) the issuance of $700.0 million aggregate principal amount of the 2031 Notes, and (3) the $200.0 million draw under the 2020 Term Loan. In addition, during the six months ended October 3, 2020, we made payments of $100.0 million on the term loan (the "2017 Term Loan") under our previous credit agreement dated as of December 5, 2017 (the "2017 Credit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and certain of our U.S. subsidiaries (the “Guarantors”) entered into a five-year unsecured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pursuant to a credit agreement (the "2020 Credit Agreement") with Bank of America, N.A.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acting as administrative agent and a syndicate of lenders. The 2020 Credit Agreement amended and restated the 2017 Credit Agreement. The 2020 Credit Agreement includes a senior term loan (the "2020 Term Loan") of up to $200.0 million and a senior revolving line of credit (the "Revolving Facility") of up to $300.0 million (collectively the “Credit Facility”).</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the closing date of the 2020 Credit Agreement, we repaid the remaining principal balance of $97.5 million on the 2017 Term Loan and concurrently drew $200.0 million under the 2020 Term Loan. Interest paid on the 2017 Term Loan during the three and six months ended October 3, 2020 was $0.4 million and $0.8 million, respectively.</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Pursuant to the 2020 Credit Agreement, we may request one or more additional tranches of term loans or increases in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lawful corporate purposes. Outstanding amounts are due in full on the maturity date of September 29, 2025, subject to scheduled amortization of the 2020 Term Loan principal prior to the maturity date as set forth in the 2020 Credit Agreement. During the six months ended October 3, 2020, there were no borrowings under the Revolving Facility.</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2020 Credit Agreement contains various conditions, covenants and representations with which we must be in compliance in order to borrow funds and to avoid an event of default. As of October 3, 2020, we were in compliance with these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Condensed Consolidated Financial Statements for additional information regarding the 2020 Credit Agreement.</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2025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November 19, 2015, we issued $550.0 million aggregate principal amount of our 7.00% senior notes due December 1, 2025 (the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2025 Notes is payable on June 1 and December 1 of each year. The 2025 Notes are senior unsecured obligations of the Company and are guaranteed, jointly and severally, by the Guarantors.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fiscal years 2018 and 2019, we retired $526.6 million of the 2025 Notes. As of October 3, 2020, an aggregate principal amount of $23.4 million of the 2025 Notes remained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Condensed Consolidated Financial Statements for additional information regarding the 2025 Notes.</w:t>
      </w: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2026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16, 2018, we issued $500.0 million aggregate principal amount of the 2026 Notes. On August 28, 2018 and March 5, 2019, we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additional $130.0 million and $270.0 million, respectively, aggregate principal amount of the 2026 Notes. Interest on the 2026 Notes is payable on January 15 and July 15 of each year at a rate of 5.50% per annum. The 2026 Notes are senior unsecured obligations of the Company and are guaranteed, jointly and severally, by the Guarantors.</w:t>
      </w:r>
    </w:p>
    <w:p>
      <w:pPr>
        <w:spacing w:after="0" w:line="18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16, 2020, we completed the redemption of all of the outstanding 2026 Notes at a redemption price equal to 106.363% of the principal amount of $900.0 million (plus and accrued and unpaid interest), for a total cash payment of $969.8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Condensed Consolidated Financial Statements for additional information regarding the 2026 Notes.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2029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30, 2019, we issued $350.0 million aggregate principal amount of the 2029 Notes. On December 20, 2019 and June 11, 2020,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 additional $200.0 million and $300.0 million, respectively, aggregate principal amount of the 2029 Notes. Interest on the 2029 Notes is payable on April 15 and October 15 of each year at a rate of 4.375% per annum. The 2029 Notes are senior unsecured obligations of the Company and are guaranteed, jointly and severally, by the Guarantors.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Condensed Consolidated Financial Statements for additional information regarding the 2029 Notes.</w:t>
      </w: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2031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issued $700.0 million aggregate principal amount of the 2031 Notes. Interest on the 2031 Notes is payable on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and October 1 of each year, commencing April 1, 2021, at a rate of 3.375% per annum. The 2031 Notes will mature on April 1, 2031, unless earlier redeemed in accordance with their terms. The 2031 Notes are senior unsecured obligations of the Company and are initially guaranteed, jointly and severally, by the Guarantors.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of the Notes to Condensed Consolidated Financial Statements for additional information regarding the 2031 Notes.</w:t>
      </w:r>
    </w:p>
    <w:p>
      <w:pPr>
        <w:spacing w:after="0" w:line="22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October 3, 2020, we had capital commitments of approximately $62.2 million primarily for projects related to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cost savings initiatives, as well as for equipment upgrades and general corporate purposes.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Future Sources of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requirements may differ materially from those currently projected and will depend on many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long-term impact of the COVID-19 pandemic on our business (including our supply chain), financial conditions, results of operations, cash flow, as well as market acceptance of and demand for our products, acquisition opportunities, technological advances and our relationships with suppliers and customers. Based on current and projected levels of cash flow from operations, coupled with our existing cash,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our existing liquidity combined with cash from operations are not sufficient to meet our future requirements or if we perceive conditions to be favorable, we may seek additional debt or equity financing. We cannot be sure that any additional debt or equity financing will not be dilutive to holders of our common stock or that additional debt or equity financing, if required, will be available on favorable terms, if at all.</w:t>
      </w:r>
    </w:p>
    <w:p>
      <w:pPr>
        <w:spacing w:after="0" w:line="18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various legal proceedings and claims that have arisen in the ordinary course of business that have not been fully adjudicated.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actions, when finally concluded and determined, will not, in the opinion of management, have a material adverse effect on our consolidated financial position or results of operations.</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the indentures governing the 2025 Notes, the 2026 Notes, the 2029 Notes and the 2031 Notes (collectively, the "Notes"), our obligations under the Notes are fully and unconditionally guaranteed on a joint and several unsecured basis by the Guarantors, each of which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Balance Sheet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October 3, 2020</w:t>
            </w:r>
          </w:p>
        </w:tc>
      </w:tr>
      <w:tr>
        <w:trPr>
          <w:trHeight w:val="248"/>
        </w:trPr>
        <w:tc>
          <w:tcPr>
            <w:tcW w:w="9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2,101,975</w:t>
            </w:r>
          </w:p>
        </w:tc>
      </w:tr>
      <w:tr>
        <w:trPr>
          <w:trHeight w:val="243"/>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2,504,778</w:t>
            </w:r>
          </w:p>
        </w:tc>
      </w:tr>
      <w:tr>
        <w:trPr>
          <w:trHeight w:val="27"/>
        </w:trPr>
        <w:tc>
          <w:tcPr>
            <w:tcW w:w="9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9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1,147,002</w:t>
            </w:r>
          </w:p>
        </w:tc>
      </w:tr>
      <w:tr>
        <w:trPr>
          <w:trHeight w:val="27"/>
        </w:trPr>
        <w:tc>
          <w:tcPr>
            <w:tcW w:w="9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9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14"/>
                <w:szCs w:val="14"/>
                <w:color w:val="auto"/>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1,969,916</w:t>
            </w:r>
          </w:p>
        </w:tc>
      </w:tr>
      <w:tr>
        <w:trPr>
          <w:trHeight w:val="27"/>
        </w:trPr>
        <w:tc>
          <w:tcPr>
            <w:tcW w:w="9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current receivable from Non-Guarantors of $462.0 million.</w:t>
      </w:r>
    </w:p>
    <w:p>
      <w:pPr>
        <w:spacing w:after="0" w:line="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non-current payable to Non-Guarantors of $83.8 million.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Summarized Statement of Income</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9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October 3, 2020</w:t>
            </w:r>
          </w:p>
        </w:tc>
      </w:tr>
      <w:tr>
        <w:trPr>
          <w:trHeight w:val="248"/>
        </w:trPr>
        <w:tc>
          <w:tcPr>
            <w:tcW w:w="9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786,274</w:t>
            </w:r>
          </w:p>
        </w:tc>
      </w:tr>
      <w:tr>
        <w:trPr>
          <w:trHeight w:val="243"/>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364,018</w:t>
            </w:r>
          </w:p>
        </w:tc>
      </w:tr>
      <w:tr>
        <w:trPr>
          <w:trHeight w:val="27"/>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9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116,083</w:t>
            </w:r>
          </w:p>
        </w:tc>
      </w:tr>
      <w:tr>
        <w:trPr>
          <w:trHeight w:val="27"/>
        </w:trPr>
        <w:tc>
          <w:tcPr>
            <w:tcW w:w="9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second quarter of fiscal 2021. For a discussion of our exposure to market risk, refer to Item 7A, “Quantitative and Qualitative Disclosures About Market Risk,” contained in Qorvo's Annual Report on Form 10-K for the fiscal year ended March 28,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October 3, 2020 that have materially affected, or are reasonably likely to materially affect, our internal control over financial reporting.</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Due to the ongoing COVID-19 pandemic, a significant number of our employees are now working from home. The design of our processes, systems, and controls allows for remote execution with accessibility to secure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Other than the risk factor set forth below, there have been no material changes to the risk factors included in Qorvo’s Annual Report on Form 10-K for the fiscal year ended March 28, 2020. In addition to the risk factor set forth below and the other information set forth in this report and in our other reports and statements that we file with the SEC, careful consideration should be given to the factors discussed in Part I, Item 1A., “Risk Factors” in Qorvo's Annual Report on Form 10-K for the fiscal year ended March 28, 2020,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have limited and could continue to limit our ability to sell our products to certain customers, which may materially adversely affect our sales and results of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or foreign governments have taken and may continue to take administrative, legislative or regulatory action that could materially interfere with our ability to sell products in certain countries, particularly in China. For example, between July 2018 and June 2019, the Office of the United States Trade Representative imposed 25% tariffs on specified product lists, including certain electronic components and equipment, totaling approximately $250 billion in Chinese imports. In response, China imposed or proposed new or higher tariffs on U.S. products. The U.S. government also imposed 15% tariffs on an additional $120 billion of Chinese imports, with China imposing retaliatory tariffs. While the imposition of these tariffs did not have a direct, material adverse impact on our business during fiscal 2020, the direct and indirect effects of tariffs and other restrictive trade policies are difficult to measure and are only one part of a larger U.S./China economic and trade policy disagreement. For example, imposition of tariffs on our customers’ products that are imported from China to the U.S. could harm sales of such products, which would harm our business. We cannot predict what further actions may ultimately be taken with respect to tariffs or trade relations between the U.S. and China or other countries, what products may be subject to such actions, or what actions may be taken by the other countries in retaliation.</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we have experienced restrictions on our ability to sell products to certain foreign customers where sales of products require export licenses or are prohibited by government action. The U.S. government has in the past imposed export restrictions that effectively banned American companies from selling products to ZTE Corporation, one of our customers. In May 2019, the Bureau of Industry and Security of the U.S. Department of Commerce (“Commerce”) added Huawei Technologies Co., Ltd. and over 100 of its affiliates to the “Entity List” maintained by Commerce, which caused us to temporarily suspend the shipment of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Huawei accounted for 10%, 15% and 8% of our total revenue during fiscal years 2020, 2019, and 2018, respectively. While we restarted shipments to Huawei of certain products from outside the U.S. that were not subject to the Export Administration Regulations (“EAR”) in fiscal 2020, during the second quarter of fiscal 2021, as a result of and in compliance with the most recent Commerce action, we suspended shipments of products to Huawei. While we have obtained a license to allow us to ship certain mobile products in compliance with the most recent Commerce action, our sales to Huawei will continue to be impacted by trade restrictions.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the date of this report, we are unable to predict the scope and duration of the export restrictions imposed on Huawei and the corresponding future effects on our business. Even if such restrictions are lifted, any financial or other penalties or continuing export restrictions imposed on Huawei could have a continuing negative impact on our future revenue and results of operations. In addition, Huawei or other foreign customers affected by future U.S. government sanctions or threats of sanctions may respond by developing their own solutions to replace our products or by adopting our foreign competitors’ solutions. Moreover, U.S. government actions targeting exports of certain technologies to China are becoming more pervasive. For example, in 2018, the U.S. adopted new laws designed to address concerns about the export of emerging and foundational technologies to China. In addition, in May 2019, an executive order was issued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customers.</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loss or temporary loss of Huawei or other foreign customers or the imposition of restrictions on our ability to sell products to such customers as a result of tariffs, export restrictions or other U.S. regulatory actions could materially adversely affect our sales, business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wp:posOffset>
            </wp:positionV>
            <wp:extent cx="2108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number</w:t>
      </w:r>
    </w:p>
    <w:p>
      <w:pPr>
        <w:ind w:left="160"/>
        <w:spacing w:after="0" w:line="226" w:lineRule="auto"/>
        <w:rPr>
          <w:sz w:val="20"/>
          <w:szCs w:val="20"/>
          <w:color w:val="auto"/>
        </w:rPr>
      </w:pPr>
      <w:r>
        <w:rPr>
          <w:rFonts w:ascii="Times New Roman" w:cs="Times New Roman" w:eastAsia="Times New Roman" w:hAnsi="Times New Roman"/>
          <w:sz w:val="16"/>
          <w:szCs w:val="16"/>
          <w:b w:val="1"/>
          <w:bCs w:val="1"/>
          <w:color w:val="auto"/>
        </w:rPr>
        <w:t>of shares</w:t>
      </w:r>
    </w:p>
    <w:p>
      <w:pPr>
        <w:ind w:left="20"/>
        <w:spacing w:after="0"/>
        <w:tabs>
          <w:tab w:leader="none" w:pos="1140" w:val="left"/>
        </w:tabs>
        <w:rPr>
          <w:sz w:val="20"/>
          <w:szCs w:val="20"/>
          <w:color w:val="auto"/>
        </w:rPr>
      </w:pPr>
      <w:r>
        <w:rPr>
          <w:rFonts w:ascii="Times New Roman" w:cs="Times New Roman" w:eastAsia="Times New Roman" w:hAnsi="Times New Roman"/>
          <w:sz w:val="23"/>
          <w:szCs w:val="23"/>
          <w:b w:val="1"/>
          <w:bCs w:val="1"/>
          <w:color w:val="auto"/>
          <w:vertAlign w:val="subscript"/>
        </w:rPr>
        <w:t>purchased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9"/>
          <w:szCs w:val="19"/>
          <w:b w:val="1"/>
          <w:bCs w:val="1"/>
          <w:color w:val="auto"/>
          <w:vertAlign w:val="subscript"/>
        </w:rPr>
        <w:t>(in</w:t>
      </w:r>
      <w:r>
        <w:rPr>
          <w:sz w:val="20"/>
          <w:szCs w:val="20"/>
          <w:color w:val="auto"/>
        </w:rPr>
        <w:tab/>
      </w:r>
      <w:r>
        <w:rPr>
          <w:rFonts w:ascii="Times New Roman" w:cs="Times New Roman" w:eastAsia="Times New Roman" w:hAnsi="Times New Roman"/>
          <w:sz w:val="16"/>
          <w:szCs w:val="16"/>
          <w:b w:val="1"/>
          <w:bCs w:val="1"/>
          <w:color w:val="auto"/>
        </w:rPr>
        <w:t>Average price paid per</w:t>
      </w:r>
    </w:p>
    <w:p>
      <w:pPr>
        <w:spacing w:after="0" w:line="1"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13"/>
          <w:szCs w:val="13"/>
          <w:b w:val="1"/>
          <w:bCs w:val="1"/>
          <w:color w:val="auto"/>
        </w:rPr>
        <w:t>thousands)</w:t>
      </w:r>
      <w:r>
        <w:rPr>
          <w:sz w:val="20"/>
          <w:szCs w:val="20"/>
          <w:color w:val="auto"/>
        </w:rPr>
        <w:tab/>
      </w:r>
      <w:r>
        <w:rPr>
          <w:rFonts w:ascii="Times New Roman" w:cs="Times New Roman" w:eastAsia="Times New Roman" w:hAnsi="Times New Roman"/>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26035</wp:posOffset>
            </wp:positionV>
            <wp:extent cx="1817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p>
      <w:pPr>
        <w:spacing w:after="0" w:line="28" w:lineRule="exact"/>
        <w:rPr>
          <w:sz w:val="20"/>
          <w:szCs w:val="20"/>
          <w:color w:val="auto"/>
        </w:rPr>
      </w:pPr>
    </w:p>
    <w:p>
      <w:pPr>
        <w:ind w:firstLine="29"/>
        <w:spacing w:after="0" w:line="264" w:lineRule="auto"/>
        <w:rPr>
          <w:sz w:val="20"/>
          <w:szCs w:val="20"/>
          <w:color w:val="auto"/>
        </w:rPr>
      </w:pPr>
      <w:r>
        <w:rPr>
          <w:rFonts w:ascii="Times New Roman" w:cs="Times New Roman" w:eastAsia="Times New Roman" w:hAnsi="Times New Roman"/>
          <w:sz w:val="16"/>
          <w:szCs w:val="16"/>
          <w:b w:val="1"/>
          <w:bCs w:val="1"/>
          <w:color w:val="auto"/>
        </w:rPr>
        <w:t>purchased as part of publicly announced plans or programs</w:t>
      </w:r>
    </w:p>
    <w:p>
      <w:pPr>
        <w:ind w:left="66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12065</wp:posOffset>
            </wp:positionV>
            <wp:extent cx="1397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240"/>
        <w:spacing w:after="0" w:line="276" w:lineRule="auto"/>
        <w:rPr>
          <w:sz w:val="20"/>
          <w:szCs w:val="20"/>
          <w:color w:val="auto"/>
        </w:rPr>
      </w:pPr>
      <w:r>
        <w:rPr>
          <w:rFonts w:ascii="Times New Roman" w:cs="Times New Roman" w:eastAsia="Times New Roman" w:hAnsi="Times New Roman"/>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4445</wp:posOffset>
            </wp:positionV>
            <wp:extent cx="1466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4">
            <w:col w:w="2920" w:space="720"/>
            <w:col w:w="2740" w:space="200"/>
            <w:col w:w="2080" w:space="300"/>
            <w:col w:w="2280"/>
          </w:cols>
          <w:pgMar w:left="320" w:top="118" w:right="33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June 28, 2020 to August 1, 2020</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August 2, 2020 to August 29, 2020</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August 30, 2020 to October 3, 2020</w:t>
      </w:r>
    </w:p>
    <w:p>
      <w:pPr>
        <w:spacing w:after="0" w:line="109"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110.64</w:t>
            </w:r>
          </w:p>
        </w:tc>
        <w:tc>
          <w:tcPr>
            <w:tcW w:w="100" w:type="dxa"/>
            <w:vAlign w:val="bottom"/>
          </w:tcPr>
          <w:p>
            <w:pPr>
              <w:spacing w:after="0"/>
              <w:rPr>
                <w:sz w:val="16"/>
                <w:szCs w:val="16"/>
                <w:color w:val="auto"/>
              </w:rPr>
            </w:pPr>
          </w:p>
        </w:tc>
        <w:tc>
          <w:tcPr>
            <w:tcW w:w="2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r>
      <w:tr>
        <w:trPr>
          <w:trHeight w:val="270"/>
        </w:trPr>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23"/>
                <w:szCs w:val="23"/>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131.59</w:t>
            </w:r>
          </w:p>
        </w:tc>
        <w:tc>
          <w:tcPr>
            <w:tcW w:w="100" w:type="dxa"/>
            <w:vAlign w:val="bottom"/>
          </w:tcPr>
          <w:p>
            <w:pPr>
              <w:spacing w:after="0"/>
              <w:rPr>
                <w:sz w:val="23"/>
                <w:szCs w:val="23"/>
                <w:color w:val="auto"/>
              </w:rPr>
            </w:pPr>
          </w:p>
        </w:tc>
        <w:tc>
          <w:tcPr>
            <w:tcW w:w="2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w:t>
            </w:r>
          </w:p>
        </w:tc>
      </w:tr>
      <w:tr>
        <w:trPr>
          <w:trHeight w:val="275"/>
        </w:trPr>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23"/>
                <w:szCs w:val="23"/>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126.06</w:t>
            </w:r>
          </w:p>
        </w:tc>
        <w:tc>
          <w:tcPr>
            <w:tcW w:w="100" w:type="dxa"/>
            <w:vAlign w:val="bottom"/>
          </w:tcPr>
          <w:p>
            <w:pPr>
              <w:spacing w:after="0"/>
              <w:rPr>
                <w:sz w:val="23"/>
                <w:szCs w:val="23"/>
                <w:color w:val="auto"/>
              </w:rPr>
            </w:pPr>
          </w:p>
        </w:tc>
        <w:tc>
          <w:tcPr>
            <w:tcW w:w="2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r>
      <w:tr>
        <w:trPr>
          <w:trHeight w:val="237"/>
        </w:trPr>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125.46</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837</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$671.5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$619.2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$585.9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$585.9 million</w:t>
      </w:r>
    </w:p>
    <w:p>
      <w:pPr>
        <w:spacing w:after="0" w:line="262" w:lineRule="exact"/>
        <w:rPr>
          <w:sz w:val="20"/>
          <w:szCs w:val="20"/>
          <w:color w:val="auto"/>
        </w:rPr>
      </w:pPr>
    </w:p>
    <w:p>
      <w:pPr>
        <w:sectPr>
          <w:pgSz w:w="11900" w:h="16838" w:orient="portrait"/>
          <w:cols w:equalWidth="0" w:num="3">
            <w:col w:w="2840" w:space="720"/>
            <w:col w:w="5980" w:space="720"/>
            <w:col w:w="980"/>
          </w:cols>
          <w:pgMar w:left="320" w:top="118" w:right="3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On October 31, 2019, we announced that our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1" w:lineRule="exact"/>
        <w:rPr>
          <w:sz w:val="20"/>
          <w:szCs w:val="20"/>
          <w:color w:val="auto"/>
        </w:rPr>
      </w:pPr>
    </w:p>
    <w:p>
      <w:pPr>
        <w:ind w:left="600" w:right="940" w:hanging="35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27">
        <w:r>
          <w:rPr>
            <w:rFonts w:ascii="Times New Roman" w:cs="Times New Roman" w:eastAsia="Times New Roman" w:hAnsi="Times New Roman"/>
            <w:sz w:val="18"/>
            <w:szCs w:val="18"/>
            <w:u w:val="single" w:color="auto"/>
            <w:color w:val="0000FF"/>
          </w:rPr>
          <w:t>Indenture, dated as of September 29, 2020, among Qorvo, Inc., the Guarantors party thereto and MUFG Union Bank, N.A., as Trustee</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FF"/>
          </w:rPr>
          <w:t>(incorporated by reference to Exhibit 4.1 to the Current Report on Form 8-K filed with the SEC on September 29, 2020)</w:t>
        </w:r>
      </w:hyperlink>
    </w:p>
    <w:p>
      <w:pPr>
        <w:spacing w:after="0" w:line="135" w:lineRule="exact"/>
        <w:rPr>
          <w:sz w:val="20"/>
          <w:szCs w:val="20"/>
          <w:color w:val="auto"/>
        </w:rPr>
      </w:pPr>
    </w:p>
    <w:p>
      <w:pPr>
        <w:ind w:left="600" w:hanging="449"/>
        <w:spacing w:after="0" w:line="25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28">
        <w:r>
          <w:rPr>
            <w:rFonts w:ascii="Times New Roman" w:cs="Times New Roman" w:eastAsia="Times New Roman" w:hAnsi="Times New Roman"/>
            <w:sz w:val="18"/>
            <w:szCs w:val="18"/>
            <w:u w:val="single" w:color="auto"/>
            <w:color w:val="0000FF"/>
          </w:rPr>
          <w:t>Amended and Restated Credit Agreement, dated as of September 29, 2020, by and among Qorvo, Inc., as the Borrower, certain subsidiaries of the</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Borrower identified therein, as the Guarantors, Bank of America, N.A., as Administrative Agent, Swing Line Lender and L/C Issuer, the other</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lenders party thereto, and Wells Fargo Bank, National Association, Citibank, N.A., TD Bank, National Association, MUFG Bank, Ltd., PNC Bank,</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National Association, Bank of the West and Morgan Stanley Bank, N.A., as Co-Syndication Agents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the Current Report on Form 8-K filed with the SEC on September 29, 2020)</w:t>
        </w:r>
      </w:hyperlink>
    </w:p>
    <w:p>
      <w:pPr>
        <w:spacing w:after="0" w:line="156" w:lineRule="exact"/>
        <w:rPr>
          <w:rFonts w:ascii="Times New Roman" w:cs="Times New Roman" w:eastAsia="Times New Roman" w:hAnsi="Times New Roman"/>
          <w:sz w:val="18"/>
          <w:szCs w:val="18"/>
          <w:u w:val="single" w:color="auto"/>
          <w:color w:val="0000FF"/>
        </w:rPr>
      </w:pPr>
    </w:p>
    <w:p>
      <w:pPr>
        <w:ind w:left="600" w:right="100" w:hanging="44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31.1 </w:t>
      </w:r>
      <w:hyperlink w:anchor="page36">
        <w:r>
          <w:rPr>
            <w:rFonts w:ascii="Times New Roman" w:cs="Times New Roman" w:eastAsia="Times New Roman" w:hAnsi="Times New Roman"/>
            <w:sz w:val="18"/>
            <w:szCs w:val="18"/>
            <w:u w:val="single" w:color="auto"/>
            <w:color w:val="0000FF"/>
          </w:rPr>
          <w:t>Certification of Periodic Report by Robert A. Bruggeworth, as Chief Executive Officer, pursuant to Rule 13a-14(a) or 15d-14 (a) of the Exchange</w:t>
        </w:r>
      </w:hyperlink>
      <w:r>
        <w:rPr>
          <w:rFonts w:ascii="Times New Roman" w:cs="Times New Roman" w:eastAsia="Times New Roman" w:hAnsi="Times New Roman"/>
          <w:sz w:val="18"/>
          <w:szCs w:val="18"/>
          <w:color w:val="auto"/>
        </w:rPr>
        <w:t xml:space="preserve"> </w:t>
      </w:r>
      <w:hyperlink w:anchor="page36">
        <w:r>
          <w:rPr>
            <w:rFonts w:ascii="Times New Roman" w:cs="Times New Roman" w:eastAsia="Times New Roman" w:hAnsi="Times New Roman"/>
            <w:sz w:val="18"/>
            <w:szCs w:val="18"/>
            <w:u w:val="single" w:color="auto"/>
            <w:color w:val="0000FF"/>
          </w:rPr>
          <w:t>Act, as adopted pursuant to Section 302 of the Sarbanes-Oxley Act of 2002</w:t>
        </w:r>
      </w:hyperlink>
    </w:p>
    <w:p>
      <w:pPr>
        <w:spacing w:after="0" w:line="283" w:lineRule="exact"/>
        <w:rPr>
          <w:sz w:val="20"/>
          <w:szCs w:val="20"/>
          <w:color w:val="auto"/>
        </w:rPr>
      </w:pPr>
    </w:p>
    <w:p>
      <w:pPr>
        <w:ind w:left="600" w:right="160" w:hanging="44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31.2 </w:t>
      </w:r>
      <w:hyperlink w:anchor="page37">
        <w:r>
          <w:rPr>
            <w:rFonts w:ascii="Times New Roman" w:cs="Times New Roman" w:eastAsia="Times New Roman" w:hAnsi="Times New Roman"/>
            <w:sz w:val="18"/>
            <w:szCs w:val="18"/>
            <w:u w:val="single" w:color="auto"/>
            <w:color w:val="0000FF"/>
          </w:rPr>
          <w:t>Certification of Periodic Report by Mark J. Murphy, as Chief Financial Officer, pursuant to Rule 13a-14(a) or 15d-14 (a) of the Exchange Act, as</w:t>
        </w:r>
      </w:hyperlink>
      <w:r>
        <w:rPr>
          <w:rFonts w:ascii="Times New Roman" w:cs="Times New Roman" w:eastAsia="Times New Roman" w:hAnsi="Times New Roman"/>
          <w:sz w:val="18"/>
          <w:szCs w:val="18"/>
          <w:color w:val="auto"/>
        </w:rPr>
        <w:t xml:space="preserve"> </w:t>
      </w:r>
      <w:hyperlink w:anchor="page37">
        <w:r>
          <w:rPr>
            <w:rFonts w:ascii="Times New Roman" w:cs="Times New Roman" w:eastAsia="Times New Roman" w:hAnsi="Times New Roman"/>
            <w:sz w:val="18"/>
            <w:szCs w:val="18"/>
            <w:u w:val="single" w:color="auto"/>
            <w:color w:val="0000FF"/>
          </w:rPr>
          <w:t>adopted pursuant to Section 302 of the Sarbanes-Oxley Act of 2002</w:t>
        </w:r>
      </w:hyperlink>
    </w:p>
    <w:p>
      <w:pPr>
        <w:spacing w:after="0" w:line="283" w:lineRule="exact"/>
        <w:rPr>
          <w:sz w:val="20"/>
          <w:szCs w:val="20"/>
          <w:color w:val="auto"/>
        </w:rPr>
      </w:pPr>
    </w:p>
    <w:p>
      <w:pPr>
        <w:ind w:left="600" w:hanging="44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32.1 </w:t>
      </w:r>
      <w:hyperlink w:anchor="page38">
        <w:r>
          <w:rPr>
            <w:rFonts w:ascii="Times New Roman" w:cs="Times New Roman" w:eastAsia="Times New Roman" w:hAnsi="Times New Roman"/>
            <w:sz w:val="18"/>
            <w:szCs w:val="18"/>
            <w:u w:val="single" w:color="auto"/>
            <w:color w:val="0000FF"/>
          </w:rPr>
          <w:t>Certification of Periodic Report by Robert A. Bruggeworth, as Chief Executive Officer, pursuant to 18 U.S.C. Section 1350, as adopted pursuant to</w:t>
        </w:r>
      </w:hyperlink>
      <w:r>
        <w:rPr>
          <w:rFonts w:ascii="Times New Roman" w:cs="Times New Roman" w:eastAsia="Times New Roman" w:hAnsi="Times New Roman"/>
          <w:sz w:val="18"/>
          <w:szCs w:val="18"/>
          <w:color w:val="auto"/>
        </w:rPr>
        <w:t xml:space="preserve"> </w:t>
      </w:r>
      <w:hyperlink w:anchor="page38">
        <w:r>
          <w:rPr>
            <w:rFonts w:ascii="Times New Roman" w:cs="Times New Roman" w:eastAsia="Times New Roman" w:hAnsi="Times New Roman"/>
            <w:sz w:val="18"/>
            <w:szCs w:val="18"/>
            <w:u w:val="single" w:color="auto"/>
            <w:color w:val="0000FF"/>
          </w:rPr>
          <w:t>Section 906 of the Sarbanes-Oxley Act of 2002</w:t>
        </w:r>
      </w:hyperlink>
    </w:p>
    <w:p>
      <w:pPr>
        <w:spacing w:after="0" w:line="283" w:lineRule="exact"/>
        <w:rPr>
          <w:sz w:val="20"/>
          <w:szCs w:val="20"/>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hyperlink w:anchor="page39">
        <w:r>
          <w:rPr>
            <w:rFonts w:ascii="Times New Roman" w:cs="Times New Roman" w:eastAsia="Times New Roman" w:hAnsi="Times New Roman"/>
            <w:sz w:val="18"/>
            <w:szCs w:val="18"/>
            <w:u w:val="single" w:color="auto"/>
            <w:color w:val="0000FF"/>
          </w:rPr>
          <w:t>Certification of Periodic Report by Mark J. Murphy, as Chief Financial Officer, pursuant to 18 U.S.C. Section 1350, as adopted pursuant to Section</w:t>
        </w:r>
      </w:hyperlink>
    </w:p>
    <w:p>
      <w:pPr>
        <w:spacing w:after="0" w:line="27" w:lineRule="exact"/>
        <w:rPr>
          <w:sz w:val="20"/>
          <w:szCs w:val="20"/>
          <w:color w:val="auto"/>
        </w:rPr>
      </w:pPr>
    </w:p>
    <w:p>
      <w:pPr>
        <w:ind w:left="60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906 of the Sarbanes-Oxley Act of 2002</w:t>
        </w:r>
      </w:hyperlink>
    </w:p>
    <w:p>
      <w:pPr>
        <w:spacing w:after="0" w:line="328" w:lineRule="exact"/>
        <w:rPr>
          <w:sz w:val="20"/>
          <w:szCs w:val="20"/>
          <w:color w:val="auto"/>
        </w:rPr>
      </w:pPr>
    </w:p>
    <w:p>
      <w:pPr>
        <w:ind w:left="600" w:right="20" w:hanging="403"/>
        <w:spacing w:after="0" w:line="255"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October 3, 2020, formatted in iXBRL (Inline eXtensible Business Reporting Language): (i) the Condensed Consolidated Balance Sheets as of October 3, 2020 and March 28, 2020; (ii) the Condensed Consolidated Statements of Income for the three and six months ended October 3, 2020 and September 28, 2019; (iii) the Condensed Consolidated Statements of Comprehensive Income for the three and six months ended October 3, 2020 and September 28, 2019; (iv) the Condensed Consolidated Statements of Stockholders' Equity for the three and six months ended October 3, 2020 and September 28, 2019; (v) the Condensed Consolidated Statements of Cash Flows for the six months ended October 3, 2020 and September 28, 2019; and (vi) the Notes to Condensed Consolidated Financial Statements</w:t>
      </w: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104  The cover page from our Quarterly Report on Form 10-Q for the quarter ended October 3, 2020, formatted in iXBRL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18" w:right="37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Qorvo, Inc.</w:t>
      </w:r>
    </w:p>
    <w:p>
      <w:pPr>
        <w:spacing w:after="0" w:line="333" w:lineRule="exact"/>
        <w:rPr>
          <w:sz w:val="20"/>
          <w:szCs w:val="20"/>
          <w:color w:val="auto"/>
        </w:rPr>
      </w:pPr>
    </w:p>
    <w:p>
      <w:pPr>
        <w:ind w:left="40"/>
        <w:spacing w:after="0"/>
        <w:tabs>
          <w:tab w:leader="none" w:pos="620" w:val="left"/>
          <w:tab w:leader="none" w:pos="5540" w:val="left"/>
        </w:tabs>
        <w:rPr>
          <w:sz w:val="20"/>
          <w:szCs w:val="20"/>
          <w:color w:val="auto"/>
        </w:rPr>
      </w:pPr>
      <w:r>
        <w:rPr>
          <w:rFonts w:ascii="Times New Roman" w:cs="Times New Roman" w:eastAsia="Times New Roman" w:hAnsi="Times New Roman"/>
          <w:sz w:val="18"/>
          <w:szCs w:val="18"/>
          <w:color w:val="auto"/>
        </w:rPr>
        <w:t>Date:</w:t>
        <w:tab/>
        <w:t>November 5, 2020</w:t>
      </w:r>
      <w:r>
        <w:rPr>
          <w:sz w:val="20"/>
          <w:szCs w:val="20"/>
          <w:color w:val="auto"/>
        </w:rPr>
        <w:tab/>
      </w:r>
      <w:r>
        <w:rPr>
          <w:rFonts w:ascii="Times New Roman" w:cs="Times New Roman" w:eastAsia="Times New Roman" w:hAnsi="Times New Roman"/>
          <w:sz w:val="17"/>
          <w:szCs w:val="17"/>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34290</wp:posOffset>
            </wp:positionV>
            <wp:extent cx="2854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Mark J. Murphy</w:t>
      </w:r>
    </w:p>
    <w:p>
      <w:pPr>
        <w:spacing w:after="0" w:line="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320" w:top="118" w:right="8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800" w:hanging="792"/>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25" w:lineRule="exact"/>
        <w:rPr>
          <w:rFonts w:ascii="Times New Roman" w:cs="Times New Roman" w:eastAsia="Times New Roman" w:hAnsi="Times New Roman"/>
          <w:sz w:val="18"/>
          <w:szCs w:val="18"/>
          <w:color w:val="auto"/>
        </w:rPr>
      </w:pPr>
    </w:p>
    <w:p>
      <w:pPr>
        <w:ind w:right="180" w:firstLine="8"/>
        <w:spacing w:after="0" w:line="26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4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4"/>
        <w:spacing w:after="0" w:line="266" w:lineRule="auto"/>
        <w:tabs>
          <w:tab w:leader="none" w:pos="14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40" w:hanging="4"/>
        <w:spacing w:after="0" w:line="282" w:lineRule="auto"/>
        <w:tabs>
          <w:tab w:leader="none" w:pos="14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4"/>
        <w:spacing w:after="0" w:line="266" w:lineRule="auto"/>
        <w:tabs>
          <w:tab w:leader="none" w:pos="14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7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4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4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9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34290</wp:posOffset>
            </wp:positionV>
            <wp:extent cx="2280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6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549"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9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34290</wp:posOffset>
            </wp:positionV>
            <wp:extent cx="27089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Mark J. Murphy</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549"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10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07" w:lineRule="exact"/>
        <w:rPr>
          <w:sz w:val="20"/>
          <w:szCs w:val="20"/>
          <w:color w:val="auto"/>
        </w:rPr>
      </w:pPr>
    </w:p>
    <w:p>
      <w:pPr>
        <w:ind w:left="660" w:right="140" w:hanging="652"/>
        <w:spacing w:after="0" w:line="269"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October 3, 2020 (the “Report”) fully complies with the requirements of Section 13(a) or 15(d) of the Securities Exchange Act of 1934, as amended; and</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31115</wp:posOffset>
            </wp:positionV>
            <wp:extent cx="27089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November 5, 2020</w:t>
      </w:r>
    </w:p>
    <w:p>
      <w:pPr>
        <w:sectPr>
          <w:pgSz w:w="11900" w:h="16838" w:orient="portrait"/>
          <w:cols w:equalWidth="0" w:num="1">
            <w:col w:w="11220"/>
          </w:cols>
          <w:pgMar w:left="320" w:top="54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10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I, Mark J. Murphy, Chief Financial Officer of Qorvo, Inc. (the “Company”), certify pursuant to Section 906 of the Sarbanes-Oxley Act of 2002, 18 U.S.C. Section 1350, that, to my knowledge:</w:t>
      </w:r>
    </w:p>
    <w:p>
      <w:pPr>
        <w:spacing w:after="0" w:line="173" w:lineRule="exact"/>
        <w:rPr>
          <w:sz w:val="20"/>
          <w:szCs w:val="20"/>
          <w:color w:val="auto"/>
        </w:rPr>
      </w:pPr>
    </w:p>
    <w:p>
      <w:pPr>
        <w:ind w:left="660" w:right="140" w:hanging="652"/>
        <w:spacing w:after="0" w:line="269"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October 3, 2020 (the “Report”) fully complies with the requirements of Section 13(a) or 15(d) of the Securities Exchange Act of 1934, as amended; and</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31115</wp:posOffset>
            </wp:positionV>
            <wp:extent cx="2957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Mark J. Murphy</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November 5, 2020</w:t>
      </w:r>
    </w:p>
    <w:sectPr>
      <w:pgSz w:w="11900" w:h="16838" w:orient="portrait"/>
      <w:cols w:equalWidth="0" w:num="1">
        <w:col w:w="11220"/>
      </w:cols>
      <w:pgMar w:left="320" w:top="54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7" Type="http://schemas.openxmlformats.org/officeDocument/2006/relationships/hyperlink" Target="https://www.sec.gov/Archives/edgar/data/1604778/000119312520257877/d51558dex41.htm" TargetMode="External"/><Relationship Id="rId28" Type="http://schemas.openxmlformats.org/officeDocument/2006/relationships/hyperlink" Target="https://www.sec.gov/Archives/edgar/data/1604778/000119312520257877/d515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2020-11-05T16:23:21Z</dcterms:created>
  <dcterms:modified xsi:type="dcterms:W3CDTF">2020-11-05T16:23:21Z</dcterms:modified>
</cp:coreProperties>
</file>