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4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29, 2018</w:t>
      </w:r>
    </w:p>
    <w:p>
      <w:pPr>
        <w:spacing w:after="0" w:line="63"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20" w:right="4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0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29" w:right="359" w:bottom="1440" w:gutter="0" w:footer="0" w:header="0"/>
        </w:sectPr>
      </w:pPr>
    </w:p>
    <w:p>
      <w:pPr>
        <w:spacing w:after="0" w:line="15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46-5288992</w:t>
      </w:r>
    </w:p>
    <w:p>
      <w:pPr>
        <w:spacing w:after="0" w:line="90" w:lineRule="exact"/>
        <w:rPr>
          <w:sz w:val="24"/>
          <w:szCs w:val="24"/>
          <w:color w:val="auto"/>
        </w:rPr>
      </w:pPr>
    </w:p>
    <w:p>
      <w:pPr>
        <w:sectPr>
          <w:pgSz w:w="11900" w:h="16838" w:orient="portrait"/>
          <w:cols w:equalWidth="0" w:num="2">
            <w:col w:w="7700" w:space="720"/>
            <w:col w:w="2880"/>
          </w:cols>
          <w:pgMar w:left="240" w:top="229" w:right="35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820" w:space="720"/>
            <w:col w:w="3760"/>
          </w:cols>
          <w:pgMar w:left="240" w:top="229" w:right="359" w:bottom="1440" w:gutter="0" w:footer="0" w:header="0"/>
          <w:type w:val="continuous"/>
        </w:sectPr>
      </w:pPr>
    </w:p>
    <w:p>
      <w:pPr>
        <w:spacing w:after="0" w:line="6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(Zip Code)</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ind w:right="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right="46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5"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300"/>
        <w:spacing w:after="0" w:line="184" w:lineRule="exact"/>
        <w:tabs>
          <w:tab w:leader="none" w:pos="2780" w:val="left"/>
          <w:tab w:leader="none" w:pos="4920" w:val="left"/>
          <w:tab w:leader="none" w:pos="7000" w:val="left"/>
          <w:tab w:leader="none" w:pos="9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92" w:lineRule="exact"/>
        <w:rPr>
          <w:sz w:val="24"/>
          <w:szCs w:val="24"/>
          <w:color w:val="auto"/>
        </w:rPr>
      </w:pPr>
    </w:p>
    <w:p>
      <w:pPr>
        <w:ind w:lef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25, 2018, there were 124,905,033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220" w:type="dxa"/>
            <w:vAlign w:val="bottom"/>
            <w:gridSpan w:val="21"/>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6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9"/>
              </w:rPr>
              <w:t>QORVO, INC. AND SUBSIDIARIES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160" w:type="dxa"/>
            <w:vAlign w:val="bottom"/>
            <w:gridSpan w:val="20"/>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1"/>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94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29, 2018 and March 31, 2018</w:t>
              </w:r>
            </w:hyperlink>
          </w:p>
        </w:tc>
        <w:tc>
          <w:tcPr>
            <w:tcW w:w="3740" w:type="dxa"/>
            <w:vAlign w:val="bottom"/>
            <w:gridSpan w:val="5"/>
          </w:tcPr>
          <w:p>
            <w:pPr>
              <w:spacing w:after="0"/>
              <w:rPr>
                <w:sz w:val="21"/>
                <w:szCs w:val="21"/>
                <w:color w:val="auto"/>
              </w:rPr>
            </w:pPr>
          </w:p>
        </w:tc>
        <w:tc>
          <w:tcPr>
            <w:tcW w:w="10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 for the three and six months ended September 29, 2018 and September 30, 2017</w:t>
              </w:r>
            </w:hyperlink>
          </w:p>
        </w:tc>
        <w:tc>
          <w:tcPr>
            <w:tcW w:w="820" w:type="dxa"/>
            <w:vAlign w:val="bottom"/>
            <w:gridSpan w:val="2"/>
          </w:tcPr>
          <w:p>
            <w:pPr>
              <w:spacing w:after="0"/>
              <w:rPr>
                <w:sz w:val="21"/>
                <w:szCs w:val="21"/>
                <w:color w:val="auto"/>
              </w:rPr>
            </w:pPr>
          </w:p>
        </w:tc>
        <w:tc>
          <w:tcPr>
            <w:tcW w:w="10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gridSpan w:val="1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Comprehensive Income (Loss) for the three and six months ended September 29, 2018 and</w:t>
              </w:r>
            </w:hyperlink>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September 30, 2017</w:t>
              </w:r>
            </w:hyperlink>
          </w:p>
        </w:tc>
        <w:tc>
          <w:tcPr>
            <w:tcW w:w="7800" w:type="dxa"/>
            <w:vAlign w:val="bottom"/>
            <w:tcBorders>
              <w:top w:val="single" w:sz="8" w:color="0000EE"/>
            </w:tcBorders>
            <w:gridSpan w:val="12"/>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for the six months ended September 29, 2018 and September 30, 2017</w:t>
              </w:r>
            </w:hyperlink>
          </w:p>
        </w:tc>
        <w:tc>
          <w:tcPr>
            <w:tcW w:w="1220" w:type="dxa"/>
            <w:vAlign w:val="bottom"/>
            <w:gridSpan w:val="3"/>
          </w:tcPr>
          <w:p>
            <w:pPr>
              <w:spacing w:after="0"/>
              <w:rPr>
                <w:sz w:val="21"/>
                <w:szCs w:val="21"/>
                <w:color w:val="auto"/>
              </w:rPr>
            </w:pPr>
          </w:p>
        </w:tc>
        <w:tc>
          <w:tcPr>
            <w:tcW w:w="10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4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1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6"/>
          </w:tcPr>
          <w:p>
            <w:pPr>
              <w:spacing w:after="0"/>
              <w:rPr>
                <w:rFonts w:ascii="Arial" w:cs="Arial" w:eastAsia="Arial" w:hAnsi="Arial"/>
                <w:sz w:val="18"/>
                <w:szCs w:val="18"/>
                <w:b w:val="1"/>
                <w:bCs w:val="1"/>
                <w:color w:val="0000FF"/>
                <w:w w:val="89"/>
              </w:rPr>
            </w:pPr>
            <w:hyperlink w:anchor="page27">
              <w:r>
                <w:rPr>
                  <w:rFonts w:ascii="Arial" w:cs="Arial" w:eastAsia="Arial" w:hAnsi="Arial"/>
                  <w:sz w:val="18"/>
                  <w:szCs w:val="18"/>
                  <w:b w:val="1"/>
                  <w:bCs w:val="1"/>
                  <w:color w:val="0000FF"/>
                  <w:w w:val="89"/>
                </w:rPr>
                <w:t>Item 2. Management's Discussion and Analysis of Financial Condition and Results of Operations.</w:t>
              </w:r>
            </w:hyperlink>
          </w:p>
        </w:tc>
        <w:tc>
          <w:tcPr>
            <w:tcW w:w="2720" w:type="dxa"/>
            <w:vAlign w:val="bottom"/>
            <w:gridSpan w:val="4"/>
          </w:tcPr>
          <w:p>
            <w:pPr>
              <w:spacing w:after="0"/>
              <w:rPr>
                <w:sz w:val="24"/>
                <w:szCs w:val="24"/>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4"/>
          </w:tcPr>
          <w:p>
            <w:pPr>
              <w:spacing w:after="0"/>
              <w:rPr>
                <w:rFonts w:ascii="Arial" w:cs="Arial" w:eastAsia="Arial" w:hAnsi="Arial"/>
                <w:sz w:val="18"/>
                <w:szCs w:val="18"/>
                <w:b w:val="1"/>
                <w:bCs w:val="1"/>
                <w:color w:val="0000FF"/>
                <w:w w:val="91"/>
              </w:rPr>
            </w:pPr>
            <w:hyperlink w:anchor="page37">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720" w:type="dxa"/>
            <w:vAlign w:val="bottom"/>
            <w:gridSpan w:val="4"/>
          </w:tcPr>
          <w:p>
            <w:pPr>
              <w:spacing w:after="0"/>
              <w:rPr>
                <w:sz w:val="21"/>
                <w:szCs w:val="21"/>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8"/>
          </w:tcPr>
          <w:p>
            <w:pPr>
              <w:spacing w:after="0"/>
              <w:rPr>
                <w:rFonts w:ascii="Arial" w:cs="Arial" w:eastAsia="Arial" w:hAnsi="Arial"/>
                <w:sz w:val="18"/>
                <w:szCs w:val="18"/>
                <w:b w:val="1"/>
                <w:bCs w:val="1"/>
                <w:color w:val="0000FF"/>
                <w:w w:val="88"/>
              </w:rPr>
            </w:pPr>
            <w:hyperlink w:anchor="page37">
              <w:r>
                <w:rPr>
                  <w:rFonts w:ascii="Arial" w:cs="Arial" w:eastAsia="Arial" w:hAnsi="Arial"/>
                  <w:sz w:val="18"/>
                  <w:szCs w:val="18"/>
                  <w:b w:val="1"/>
                  <w:bCs w:val="1"/>
                  <w:color w:val="0000FF"/>
                  <w:w w:val="88"/>
                </w:rPr>
                <w:t>Item 4. Controls and Procedures.</w:t>
              </w:r>
            </w:hyperlink>
          </w:p>
        </w:tc>
        <w:tc>
          <w:tcPr>
            <w:tcW w:w="2760" w:type="dxa"/>
            <w:vAlign w:val="bottom"/>
            <w:gridSpan w:val="6"/>
          </w:tcPr>
          <w:p>
            <w:pPr>
              <w:spacing w:after="0"/>
              <w:rPr>
                <w:sz w:val="21"/>
                <w:szCs w:val="21"/>
                <w:color w:val="auto"/>
              </w:rPr>
            </w:pPr>
          </w:p>
        </w:tc>
        <w:tc>
          <w:tcPr>
            <w:tcW w:w="4880" w:type="dxa"/>
            <w:vAlign w:val="bottom"/>
            <w:gridSpan w:val="6"/>
          </w:tcPr>
          <w:p>
            <w:pPr>
              <w:spacing w:after="0"/>
              <w:rPr>
                <w:sz w:val="21"/>
                <w:szCs w:val="21"/>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 OTHER INFORMATION</w:t>
              </w:r>
            </w:hyperlink>
          </w:p>
        </w:tc>
        <w:tc>
          <w:tcPr>
            <w:tcW w:w="118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9"/>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1A. Risk Factors.</w:t>
              </w:r>
            </w:hyperlink>
          </w:p>
        </w:tc>
        <w:tc>
          <w:tcPr>
            <w:tcW w:w="7240" w:type="dxa"/>
            <w:vAlign w:val="bottom"/>
            <w:gridSpan w:val="11"/>
          </w:tcPr>
          <w:p>
            <w:pPr>
              <w:spacing w:after="0"/>
              <w:rPr>
                <w:sz w:val="24"/>
                <w:szCs w:val="24"/>
                <w:color w:val="auto"/>
              </w:rPr>
            </w:pPr>
          </w:p>
        </w:tc>
        <w:tc>
          <w:tcPr>
            <w:tcW w:w="118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Item 2. Unregistered Sales of Equity Securities and Use of Proceeds.</w:t>
              </w:r>
            </w:hyperlink>
          </w:p>
        </w:tc>
        <w:tc>
          <w:tcPr>
            <w:tcW w:w="4980" w:type="dxa"/>
            <w:vAlign w:val="bottom"/>
            <w:gridSpan w:val="7"/>
          </w:tcPr>
          <w:p>
            <w:pPr>
              <w:spacing w:after="0"/>
              <w:rPr>
                <w:sz w:val="21"/>
                <w:szCs w:val="21"/>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40" w:type="dxa"/>
            <w:vAlign w:val="bottom"/>
            <w:gridSpan w:val="8"/>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180" w:type="dxa"/>
            <w:vAlign w:val="bottom"/>
            <w:gridSpan w:val="13"/>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6. Exhibits.</w:t>
              </w:r>
            </w:hyperlink>
          </w:p>
        </w:tc>
        <w:tc>
          <w:tcPr>
            <w:tcW w:w="4980" w:type="dxa"/>
            <w:vAlign w:val="bottom"/>
            <w:gridSpan w:val="7"/>
          </w:tcPr>
          <w:p>
            <w:pPr>
              <w:spacing w:after="0"/>
              <w:rPr>
                <w:sz w:val="21"/>
                <w:szCs w:val="21"/>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92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SIGNATURES</w:t>
              </w:r>
            </w:hyperlink>
          </w:p>
        </w:tc>
        <w:tc>
          <w:tcPr>
            <w:tcW w:w="8920" w:type="dxa"/>
            <w:vAlign w:val="bottom"/>
            <w:gridSpan w:val="15"/>
          </w:tcPr>
          <w:p>
            <w:pPr>
              <w:spacing w:after="0"/>
              <w:rPr>
                <w:sz w:val="24"/>
                <w:szCs w:val="24"/>
                <w:color w:val="auto"/>
              </w:rPr>
            </w:pPr>
          </w:p>
        </w:tc>
        <w:tc>
          <w:tcPr>
            <w:tcW w:w="118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507"/>
        </w:trPr>
        <w:tc>
          <w:tcPr>
            <w:tcW w:w="60" w:type="dxa"/>
            <w:vAlign w:val="bottom"/>
          </w:tcPr>
          <w:p>
            <w:pPr>
              <w:spacing w:after="0"/>
              <w:rPr>
                <w:sz w:val="24"/>
                <w:szCs w:val="24"/>
                <w:color w:val="auto"/>
              </w:rPr>
            </w:pPr>
          </w:p>
        </w:tc>
        <w:tc>
          <w:tcPr>
            <w:tcW w:w="1140" w:type="dxa"/>
            <w:vAlign w:val="bottom"/>
            <w:tcBorders>
              <w:top w:val="single" w:sz="8" w:color="0000FF"/>
            </w:tcBorders>
            <w:gridSpan w:val="4"/>
          </w:tcPr>
          <w:p>
            <w:pPr>
              <w:spacing w:after="0"/>
              <w:rPr>
                <w:sz w:val="24"/>
                <w:szCs w:val="24"/>
                <w:color w:val="auto"/>
              </w:rPr>
            </w:pPr>
          </w:p>
        </w:tc>
        <w:tc>
          <w:tcPr>
            <w:tcW w:w="5280" w:type="dxa"/>
            <w:vAlign w:val="bottom"/>
            <w:gridSpan w:val="11"/>
          </w:tcPr>
          <w:p>
            <w:pPr>
              <w:jc w:val="center"/>
              <w:ind w:left="365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2018</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926,037</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1"/>
              </w:rPr>
              <w:t>Accounts receivable, less allowance of $177 and $134 as of September 29, 2018 and March 31, 2018,</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491,183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345,957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jc w:val="center"/>
              <w:ind w:right="5650"/>
              <w:spacing w:after="0"/>
              <w:rPr>
                <w:sz w:val="20"/>
                <w:szCs w:val="20"/>
                <w:color w:val="auto"/>
              </w:rPr>
            </w:pPr>
            <w:r>
              <w:rPr>
                <w:rFonts w:ascii="Arial" w:cs="Arial" w:eastAsia="Arial" w:hAnsi="Arial"/>
                <w:sz w:val="18"/>
                <w:szCs w:val="18"/>
                <w:color w:val="auto"/>
                <w:w w:val="91"/>
              </w:rPr>
              <w:t xml:space="preserve">Inventories </w:t>
            </w:r>
            <w:r>
              <w:rPr>
                <w:rFonts w:ascii="Arial" w:cs="Arial" w:eastAsia="Arial" w:hAnsi="Arial"/>
                <w:sz w:val="18"/>
                <w:szCs w:val="18"/>
                <w:i w:val="1"/>
                <w:iCs w:val="1"/>
                <w:color w:val="auto"/>
                <w:w w:val="91"/>
              </w:rPr>
              <w:t>(Note 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26,313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43"/>
        </w:trPr>
        <w:tc>
          <w:tcPr>
            <w:tcW w:w="7900" w:type="dxa"/>
            <w:vAlign w:val="bottom"/>
          </w:tcPr>
          <w:p>
            <w:pPr>
              <w:jc w:val="center"/>
              <w:ind w:right="5670"/>
              <w:spacing w:after="0"/>
              <w:rPr>
                <w:sz w:val="20"/>
                <w:szCs w:val="20"/>
                <w:color w:val="auto"/>
              </w:rPr>
            </w:pPr>
            <w:r>
              <w:rPr>
                <w:rFonts w:ascii="Arial" w:cs="Arial" w:eastAsia="Arial" w:hAnsi="Arial"/>
                <w:sz w:val="18"/>
                <w:szCs w:val="18"/>
                <w:color w:val="auto"/>
                <w:w w:val="87"/>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30,845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1,843,805</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8"/>
              </w:rPr>
              <w:t>Property and equipment, net of accumulated depreciation of $1,130,891 at September 29, 2018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$911,910 at March 31, 2018</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1,401,865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1"/>
              </w:rPr>
              <w:t>Intangible assets, net of accumulated amortization of $1,978,206 at September 29, 2018 and $1,711,520 at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jc w:val="center"/>
              <w:ind w:right="5630"/>
              <w:spacing w:after="0"/>
              <w:rPr>
                <w:sz w:val="20"/>
                <w:szCs w:val="20"/>
                <w:color w:val="auto"/>
              </w:rPr>
            </w:pPr>
            <w:r>
              <w:rPr>
                <w:rFonts w:ascii="Arial" w:cs="Arial" w:eastAsia="Arial" w:hAnsi="Arial"/>
                <w:sz w:val="18"/>
                <w:szCs w:val="18"/>
                <w:color w:val="auto"/>
                <w:w w:val="91"/>
              </w:rPr>
              <w:t xml:space="preserve">March 31, 2018 </w:t>
            </w:r>
            <w:r>
              <w:rPr>
                <w:rFonts w:ascii="Arial" w:cs="Arial" w:eastAsia="Arial" w:hAnsi="Arial"/>
                <w:sz w:val="18"/>
                <w:szCs w:val="18"/>
                <w:i w:val="1"/>
                <w:iCs w:val="1"/>
                <w:color w:val="auto"/>
                <w:w w:val="91"/>
              </w:rPr>
              <w:t>(Note 4)</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595,852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860,336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64,782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65,612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5,947,061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229,009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213,193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167,182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51,869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6 )</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735,098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983,290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10)</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95,511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118,302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1,605,955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125,046</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0"/>
              </w:rPr>
              <w:t>and 126,322 shares issued and outstanding at September 29, 2018 and March 31, 2018,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5,089,331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5,237,085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(452,186)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(458,769)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4,632,137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5,947,061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29, 2018</w:t>
      </w:r>
      <w:r>
        <w:rPr>
          <w:sz w:val="20"/>
          <w:szCs w:val="20"/>
          <w:color w:val="auto"/>
        </w:rPr>
        <w:tab/>
      </w: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29, 2018</w:t>
      </w:r>
      <w:r>
        <w:rPr>
          <w:sz w:val="20"/>
          <w:szCs w:val="20"/>
          <w:color w:val="auto"/>
        </w:rPr>
        <w:tab/>
      </w:r>
      <w:r>
        <w:rPr>
          <w:rFonts w:ascii="Arial" w:cs="Arial" w:eastAsia="Arial" w:hAnsi="Arial"/>
          <w:sz w:val="12"/>
          <w:szCs w:val="12"/>
          <w:b w:val="1"/>
          <w:bCs w:val="1"/>
          <w:color w:val="auto"/>
        </w:rPr>
        <w:t>September 30, 2017</w:t>
      </w:r>
    </w:p>
    <w:p>
      <w:pPr>
        <w:spacing w:after="0" w:line="25" w:lineRule="exact"/>
        <w:rPr>
          <w:sz w:val="20"/>
          <w:szCs w:val="20"/>
          <w:color w:val="auto"/>
        </w:rPr>
      </w:pPr>
    </w:p>
    <w:p>
      <w:pPr>
        <w:sectPr>
          <w:pgSz w:w="11900" w:h="16838" w:orient="portrait"/>
          <w:cols w:equalWidth="0" w:num="2">
            <w:col w:w="7820" w:space="500"/>
            <w:col w:w="310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884,443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821,583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1,577,113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1,462,414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530,929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500,561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986,866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905,015</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353,514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590,247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557,399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227,897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139,507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138,867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275,437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278,298</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263,037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271,458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518,985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535,664</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(27,049)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6)</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32,836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35,652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(4,616)</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10)</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9,911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11)</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11):</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125,643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127,257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125,859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127,109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128,550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128,977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131,062</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 2018</w:t>
            </w:r>
          </w:p>
        </w:tc>
        <w:tc>
          <w:tcPr>
            <w:tcW w:w="160" w:type="dxa"/>
            <w:vAlign w:val="bottom"/>
          </w:tcPr>
          <w:p>
            <w:pPr>
              <w:spacing w:after="0"/>
              <w:rPr>
                <w:sz w:val="22"/>
                <w:szCs w:val="22"/>
                <w:color w:val="auto"/>
              </w:rPr>
            </w:pP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September 30, 2017</w:t>
            </w:r>
          </w:p>
        </w:tc>
      </w:tr>
      <w:tr>
        <w:trPr>
          <w:trHeight w:val="27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32,084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35,919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5,295</w:t>
            </w:r>
          </w:p>
        </w:tc>
      </w:tr>
      <w:tr>
        <w:trPr>
          <w:trHeight w:val="22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4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including intra-</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4660" w:type="dxa"/>
            <w:vAlign w:val="bottom"/>
          </w:tcPr>
          <w:p>
            <w:pPr>
              <w:ind w:left="340"/>
              <w:spacing w:after="0"/>
              <w:rPr>
                <w:sz w:val="20"/>
                <w:szCs w:val="20"/>
                <w:color w:val="auto"/>
              </w:rPr>
            </w:pPr>
            <w:r>
              <w:rPr>
                <w:rFonts w:ascii="Arial" w:cs="Arial" w:eastAsia="Arial" w:hAnsi="Arial"/>
                <w:sz w:val="18"/>
                <w:szCs w:val="18"/>
                <w:color w:val="auto"/>
                <w:w w:val="93"/>
              </w:rPr>
              <w:t>entity foreign currency transactions that are of a long-term</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66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722</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Foreign currency gain included in net income</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7"/>
        </w:trPr>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w:t>
            </w:r>
          </w:p>
        </w:tc>
      </w:tr>
      <w:tr>
        <w:trPr>
          <w:trHeight w:val="27"/>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 2018</w:t>
            </w:r>
          </w:p>
        </w:tc>
        <w:tc>
          <w:tcPr>
            <w:tcW w:w="180" w:type="dxa"/>
            <w:vAlign w:val="bottom"/>
          </w:tcPr>
          <w:p>
            <w:pPr>
              <w:spacing w:after="0"/>
              <w:rPr>
                <w:sz w:val="22"/>
                <w:szCs w:val="22"/>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86,267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4)</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270,546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Amortization of debt issuance cost and non-cash items </w:t>
            </w:r>
            <w:r>
              <w:rPr>
                <w:rFonts w:ascii="Arial" w:cs="Arial" w:eastAsia="Arial" w:hAnsi="Arial"/>
                <w:sz w:val="18"/>
                <w:szCs w:val="18"/>
                <w:i w:val="1"/>
                <w:iCs w:val="1"/>
                <w:color w:val="auto"/>
              </w:rPr>
              <w:t>(Note 6)</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82,539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Foreign currency adjustments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on investments and other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40,250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44,584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(102,219)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55,620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Income tax (recoverable) / payable</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289,796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323,494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(192,219)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debt securities and 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maturities of other investments</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133,132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(215,247)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Payment of debt </w:t>
            </w:r>
            <w:r>
              <w:rPr>
                <w:rFonts w:ascii="Arial" w:cs="Arial" w:eastAsia="Arial" w:hAnsi="Arial"/>
                <w:sz w:val="18"/>
                <w:szCs w:val="18"/>
                <w:i w:val="1"/>
                <w:iCs w:val="1"/>
                <w:color w:val="auto"/>
              </w:rPr>
              <w:t>(Note 6)</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(954,745)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Proceeds from debt issuances </w:t>
            </w:r>
            <w:r>
              <w:rPr>
                <w:rFonts w:ascii="Arial" w:cs="Arial" w:eastAsia="Arial" w:hAnsi="Arial"/>
                <w:sz w:val="18"/>
                <w:szCs w:val="18"/>
                <w:i w:val="1"/>
                <w:iCs w:val="1"/>
                <w:color w:val="auto"/>
              </w:rPr>
              <w:t>(Note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7)</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(88,925)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32,867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(522,959)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(80,063)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29,444</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926,402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558,268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575,223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44,634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30,272</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31, 2018.</w:t>
      </w:r>
    </w:p>
    <w:p>
      <w:pPr>
        <w:spacing w:after="0" w:line="1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2019 and 2018 are 52-week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31, 2018.</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2017, the FASB issued Accounting Standards Update ("ASU") 2017-01, </w:t>
      </w:r>
      <w:r>
        <w:rPr>
          <w:rFonts w:ascii="Arial" w:cs="Arial" w:eastAsia="Arial" w:hAnsi="Arial"/>
          <w:sz w:val="18"/>
          <w:szCs w:val="18"/>
          <w:i w:val="1"/>
          <w:iCs w:val="1"/>
          <w:color w:val="auto"/>
        </w:rPr>
        <w:t>"Business Combinations (Topic 805): Clarifying the Definition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The new guidance clarifies the definition of a business and provides further guidance for evaluating whether a transaction will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an acquisition of an asset or a business. The new standard became effective for the Company in the first quarter of fiscal 2019. There was no impact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(a consensus of the FASB’s Emerging Issues Task Force)." </w:t>
      </w:r>
      <w:r>
        <w:rPr>
          <w:rFonts w:ascii="Arial" w:cs="Arial" w:eastAsia="Arial" w:hAnsi="Arial"/>
          <w:sz w:val="16"/>
          <w:szCs w:val="16"/>
          <w:color w:val="auto"/>
        </w:rPr>
        <w:t>The new guidance addresses eight specific cash flow issues with the objective of reducing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diversity in practice. The new standard became effective for the Company in the first quarter of fiscal 2019. The Company's historical policies were consistent with the new standard, and therefore, there was no impact to the Company's Condensed Consolidated Financial Statements.</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requires lessees to recognize a right-of-use asset and a lease liability for all leases with a term longer than 12 months, including those previously described as operating leases. Consistent with current U.S. GAAP, the recognition, measurement, and presentation of expenses and cash flows arising from a lease by a lessee will primarily depend on its classification as a finance or operating lease. The new guidance will become effective for the Company in the first quarter of fiscal 2020. The Company expects the valuation of the right-of-use assets and lease liabilities, for leases previously described as operating leases, to be the present value of its forecasted future lease commitments, as determined by the standard. The Company is continuing to assess the overall impacts of the new standard, including the discount rate to be applied in these valuations.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The new guidance affects the accounting for equity investments, financial liabilities measured under the fair value option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for financial instruments. In addition, the FASB clarified guidance related to the assessment of valuation allowances when recognizing deferred tax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related to unrealized losses on available-for-sale debt securities. The new standard was adopted by the Company in the first quarter of fiscal 2019. There was no impact to the Company's Condensed Consolidated Financial Statements.</w:t>
      </w:r>
    </w:p>
    <w:p>
      <w:pPr>
        <w:spacing w:after="0" w:line="17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several amendments subsequently issued. The new guidance provides an updated framework for revenue recognition, resulting in a single revenue model to be applied by reporting companies under U.S. GAAP. Under the new model, recognition of revenue occurs when a customer obtains control of promised goods or services in an amount that reflects the consideration to which the entity expects to be entitled in exchange for those goods or services. The Company adopted the standard in the first quarter of fiscal 2019 using the modified retrospective approach, under which the cumulative effect of adoption is recognized at the date of initial application. This standard did not have a material impact on the Company's Condensed Consolidated Financial Statements. The Company has implemented changes to its accounting policies, internal controls and disclosures to support the new standard; however, these changes were not material. See Note 8 for further disclosures resulting from the adoption of this new standard.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2018</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110,389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252,891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221,137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109,414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140,766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474,532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472,292</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7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Total intangible assets decreased to $595.9 million as of September 29, 2018, compared to $860.3 million as of March 31, 2018. This decrease was due to amortization expense for the three and six months ended September 29, 2018 of $133.4 million and $266.7 million, respectively, primarily related to developed technology and customer relationships (which had net book values of $386.9 million and $196.8 million respectively, as of September 29,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available-for-sale debt securities as of September 29, 2018 and March 31,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91440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29, 2018</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31, 2018</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estimated fair value of available-for-sale debt securities was based on the prevailing market values on September 29, 2018 and March 31, 2018. The Company determines the cost of an investment sold based on the specific identification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w w:val="97"/>
              </w:rPr>
              <w:t>September 29, 2018</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jc w:val="right"/>
              <w:ind w:right="457"/>
              <w:spacing w:after="0" w:line="153" w:lineRule="exact"/>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110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1,933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1,933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September 29, 2018, the Company has invested $60.0 million to acquire preferred shares of a private limited company. This investment is classified in "Long-term investments" in the Condensed Consolidated Balance Sheets. This investment was determined to be an equity investment without a readily determinable fair value and is accounted for using the measurement alternative in accordance with ASU 2016-01. As of September 29, 2018, there was no impairment or observable price change for this investment.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Marketable securities are measured at fair value and recorded in "Cash and cash equivalents," "Short-term investments" and "Long-term investments" in the Condensed Consolidated Balance Sheets, and the related unrealized gains and losses are included in "Accumulated other comprehensive loss," a component of stockholders’ equity, net of tax.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September 29, 2018 and March 31, 2018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29, 2018</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("ARS")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16,472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18,405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16,472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16,472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16,472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auto"/>
            </w:tcBorders>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16,136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40" w:firstLine="8"/>
        <w:spacing w:after="0" w:line="27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ectPr>
          <w:pgSz w:w="11900" w:h="16838" w:orient="portrait"/>
          <w:cols w:equalWidth="0" w:num="1">
            <w:col w:w="11420"/>
          </w:cols>
          <w:pgMar w:left="240" w:top="121"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30" w:lineRule="exact"/>
        <w:rPr>
          <w:rFonts w:ascii="Arial" w:cs="Arial" w:eastAsia="Arial" w:hAnsi="Arial"/>
          <w:sz w:val="15"/>
          <w:szCs w:val="15"/>
          <w:color w:val="auto"/>
        </w:rPr>
      </w:pPr>
    </w:p>
    <w:p>
      <w:pPr>
        <w:ind w:right="10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2018 and March 31, 2018,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The carrying values of cash and cash equivalents, accounts receivable, accounts payable and other accrued liabilities approximate fair values because of the relatively short-term maturities of these instruments. See Note 6 for further disclosures related to the fair value of the Company's long-term debt.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September 29, 2018 and March 31, 2018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September 29,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444,464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112,110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548,500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unamortized premium and issuance costs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(9,674)</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735,098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983,290</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19, 2015, the Company issued $450.0 million aggregate principal amount of its 6.75% senior notes due December 1, 2023 (the "2023 Notes") and $550.0 million aggregate principal amount of its 7.00% senior notes due December 1, 2025 (the "2025 Notes"). The 2023 Notes were, and the 2025 Notes are, senior unsecured obligations of the Company and guaranteed, jointly and severally, by the Company and certain of its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March 2018, the Company repurchased $5.5 million and $1.5 million of the 2023 Notes and the 2025 Notes, respectively, at prices equal to 107.50% of the principal amount of the 2023 Notes purchased, plus accrued and unpaid interest, and 109.50% of the principal amount of the 2025 Notes purchased, plus accrued and unpaid interest.</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15, 2018, the Company commenced cash tender offers for any and all of the 2023 Notes (the “2023 Tender Offer”) and up to $150.0 million of the 2025 Notes (the "2025 Tender Offer"). On June 29, 2018, the Company completed the purchase of $429.2 million aggregate principal amount of the 2023 Notes at a price equal to 106.75% of the principal amount of the 2023 Notes purchased, plus accrued and unpaid interest. On July 19, 2018, the Company redeemed the remaining $15.3 million principal amount of the 2023 Notes at a redemption price equal to 100.0% of the principal amount, plus a make-whole premium and accrued and unpaid interest.</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July 10, 2018, the Company increased the tender cap for the 2025 Tender Offer to $300.0 million, and on July 16, 2018, the Company completed the purchase of $300.0 million aggregate principal amount of the 2025 Notes at a price equal to 109.63% of the principal amount of the 2025 Notes purchased, plus accrued and unpaid interest.</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August 14, 2018, the Company commenced a cash tender offer for up to $130.0 million of the 2025 Notes. On August 28, 2018, following an increase of the tender cap to $140.0 million, the Company completed the purchase of $136.4 million aggregate principal amount of the 2025 Notes at a price equal to 110.00% of the principal amount of the 2025 Notes purchased, plus accrued and unpaid interest.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three and six months ended September 29, 2018, the Company recognized a loss on debt extinguishment of $48.8 million and $82.2 million, respectively, as "Other expense" in the Company’s Condensed Consolidated Statements of Income.</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of the principal amount of the 2025 Notes redeemed, plus accrued and unpaid interest. Furthermore, at any time on or after December 1, 2020, the Company may redeem the 2025 Notes, in whole or in part, at the redemption prices specified in the 2015 Indenture, plus accrued and unpaid interest.</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2023 Notes and the 2025 Notes during the three and six months ended September 29, 2018 was $7.3 million and $41.5 million, respectively. Interest paid on the 2023 Notes and the 2025 Notes during the six months ended September 30, 2017 was $34.4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On July 16, 2018, the Company completed an offering of $500.0 million aggregate principal amount of its 5.50% Senior Notes due 2026 (the “Initial 2026 Notes”). On August 28, 2018, the Company completed an offering of an additional $130.0 million aggregate principal amount of such notes (the "Additional 2026 Notes", together with the "Initial 2026 Notes", the "2026 Notes"). The 2026 Notes pay interest semi-annually on January 15 and July 15 at a rate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5.50% per annum. The 2026 Notes will mature on July 15, 2026, unless earlier redeemed in accordance with their terms. The 2026 Notes are senior unsecured obligations of the Company and are initially guaranteed, jointly and severally, by its Guarantors.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Initial 2026 Notes were issued pursuant to an indenture, dated as of July 16, 2018 by and among the Company, the Guarantors and MUFG Union Bank, N.A., as trustee, and the Additional 2026 Notes were issued pursuant to a supplemental indenture, dated as of August 28, 2018 (together,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2026 Notes were sold in a private offering to certain institutions that then resold the 2026 Notes in the United States to persons reasonably believed to be qualified institutional buyers pursuant to Rule 144A under the Securities Act of 1933, as amended (the "Securities Act"), and to certain non-U.S. persons in accordance with Regulation S under the Securities Act. The Company used a portion of the net proceeds of the 2026 Notes to fund the tender offers for the 2025 Notes and to pay related fees and expenses of the offering and will use the remaining net proceeds for general corporate purposes.</w:t>
      </w:r>
    </w:p>
    <w:p>
      <w:pPr>
        <w:spacing w:after="0" w:line="15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any time prior to July 15, 2021, the Company may redeem all or part of the 2026 Notes, at a redemption price equal to their principal amount, plus a “make-whole” premium as of the redemption date, and accrued and unpaid interest. In addition, at any time prior to July 15, 2021, the Company may redeem up to 35% of the original aggregate principal amount of the 2026 Notes with the proceeds of one or more equity offerings, at a redemption price equal</w:t>
      </w:r>
    </w:p>
    <w:p>
      <w:pPr>
        <w:ind w:right="360"/>
        <w:spacing w:after="0" w:line="323" w:lineRule="auto"/>
        <w:rPr>
          <w:sz w:val="20"/>
          <w:szCs w:val="20"/>
          <w:color w:val="auto"/>
        </w:rPr>
      </w:pPr>
      <w:r>
        <w:rPr>
          <w:rFonts w:ascii="Arial" w:cs="Arial" w:eastAsia="Arial" w:hAnsi="Arial"/>
          <w:sz w:val="16"/>
          <w:szCs w:val="16"/>
          <w:color w:val="auto"/>
        </w:rPr>
        <w:t>to 105.50% of the principal amount of the 2026 Notes redeemed, plus accrued and unpaid interest. Furthermore, at any time on or after July 15, 2021, the Company may redeem the 2026 Notes, in whole or in part, at the redemption prices specified in the 2018 Indenture, plus accrued and unpaid interest.</w:t>
      </w:r>
    </w:p>
    <w:p>
      <w:pPr>
        <w:spacing w:after="0" w:line="13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2026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offering of the 2026 Notes, the Company entered into a registration rights agreement, dated as of July 16, 2018, by and among the Company and the Guarantors, on the one hand, and Merrill Lynch, Pierce, Fenner &amp; Smith Incorporated, as representative of the initial purchasers of the Initial 2026 Notes, on the other hand, and a substantially similar agreement, dated as of August 28, 2018 with respect to the Additional 2026 Notes (together, the "Registration Rights Agreements").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Registration Rights Agreements, the Company and the Guarantors have agreed to use their commercially reasonable efforts to (i) file with the SEC a registration statement (the "Exchange Offer Registration Statement") relating to the registered exchange offer (the "Exchange Offer") to exchange the 2026 Notes for a new series of the Company’s exchange notes having terms substantially identical in all material respects to, and in the same aggregate principal amount as, the 2026 Notes; (ii) cause the Exchange Offer Registration Statement to be declared effective by the SEC; and (iii) cause the Exchange Offer to be consummated no later than the 360th day after July 16, 2018 (in the case of the Initial 2026 Notes) or August 28, 2018 (in the case of the Additional 2026 Notes)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2026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2026 Notes covered thereby have been sold pursuant thereto).</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the Company fails to meet any of these targets, the annual interest rate on the 2026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2026 Notes will revert to the original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On June 5, 2018, the Company and the Guarantors entered into the First Amendment (the "Amendment") to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subsequently repaid in March 2018), with the remainder available, at the discretion of the Company, in up to two draws. The Amendment, among other things, extended the delayed draw availability period from June 5, 2018 to January 3, 2019. The Revolving Facility includes a $25.0 million sublimit for the issuance of standby letters of credit and a $10.0 million sublimit for swing line loans. The Company may request that the Credit Facility be increased by up to $300.0 million, subject to securing additional funding commitments from the existing or new lenders.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the six months ended September 29, 2018, there were no borrowings under the Revolving Facility and the Company had no outstanding amounts under the Credit Facility as of September 29, 2018.</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September 29, 2018,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 of the 2025 Notes as of September 29, 2018 and March 31, 2018 was $120.0 million and $596.5 million, respectively (compared to a carrying value of $112.1 million and $548.5 million, respectively). The fair value of the 2026 Notes as of September 29, 2018 was $641.0 million (compared to a carrying value of $630.0 million). The Company considers its long-term debt to be Level 2 in the fair value hierarchy. Fair values are generally estimated based on quoted market prices for identical or similar instruments. The 2025 Notes and 2026 Notes trade over the counter and their fair values were estimated based upon the value of their last trade at the end of the period.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three and six months ended September 29, 2018, the Company recognized $10.9 million and $28.0 million, respectively, of interest expense related to the 2023 Notes, 2025 Notes and the 2026 Notes, which was partially offset by $1.8 million and $5.3 million, respectively, of interest capitalized to property and equipment. During the three and six months ended September 30, 2017, the Company recognized $17.3 million and $34.6 million, respectively, of interest expense related to the 2023 Notes and the 2025 Notes, which was partially offset by $3.2 million and $8.8 million, respectively, of interest capitalized to property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23, 2018, the Company announced that its Board of Directors authorized a share repurchase program to repurchase up to $1.0 billion of the Company's outstanding stock, which included approximately $126.3 million authorized under a prior share repurchase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three months ended September 29, 2018, the Company repurchased approximately 1.1 million shares of its common stock for approximately $86.7 million under the current share repurchase program. During the six months ended September 29, 2018, the Company repurchased approximately 2.3 million shares of its common stock for approximately $186.7 million (which included 0.4 million shares of its common stock for approximately $35.9 million under a prior share repurchase program). As of September 29, 2018, $849.2 million remains available for repurchases under the current share repurchase program.</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and six months ended September 30, 2017, the Company repurchased approximately 0.8 million shares and 1.2 million shares of its common stock for approximately $57.0 million and $88.9 million, respectively, under a prior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Policy</w:t>
      </w:r>
    </w:p>
    <w:p>
      <w:pPr>
        <w:spacing w:after="0" w:line="2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The Company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in the first quarter of fiscal 2019 for open contracts using the modified retrospective approach through a cumulative adjustment to "Accumulated deficit" in the Condensed Consolidated Balance Sheet for the fiscal year beginning April 1, 2018. The impact from the cumulative-effect adjustment was immaterial (less than 1% of revenue in the quarter of adoption), related to over-time revenue recognition for customer-controlled inventory and point in time revenue recognition for intellectual property with a right to use. As the adoption of ASU 2014-09 did not have a material impact, comparative financial information for prior periods has not been restated and continues to be presented under the accounting standards in effect for the respective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Policy</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it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 and services over-time is immaterial (less than 2% of overall revenue). The Company applies a five-step approach as defined in the new standard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187"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These rebates represent less than 5% of net revenue. The majority of these accruals are classified as a contra accounts receivable. The Company determines variable consideration by estimating the most likely amount of consideration it expects to receive from the customer. The Company's terms and conditions do not give its customers a right of return associated with the original sale of its products.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However, the Company may authorize sales returns under certain circumstances, which include courtesy returns and like-kind exchanges. Sales returns are classified as a refund liability. The Company reduces revenue and records reserves for product returns and allowances, rebate programs and scrap allowance based on historical experience or specific identification depending on the contractual terms of the arrangement.</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accounts receivable balance is from contracts with customers and represents the Company’s unconditional right to receive consideration from its customers. Payments are due within one year of completion of the performance obligation and subsequent invoicing and, therefore, do not include significant financing components. To date, there have been no material impairment losses on accounts receivable. Contract assets and contract liabilities recorded on the Condensed Consolidated Balance Sheets were immaterial in the periods presented.</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invoices customers upon shipment and recognizes revenues in accordance with delivery terms. As of September 29, 2018, the Company had $41.6 million in remaining unsatisfied performance obligations with an original duration greater than one year, of which the majority is expected to be recognized as income over the next twelve months.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includes shipping charges billed to customers in "Revenue" and includes the related shipping costs in "Cost of goods sold" in the Condensed Consolidated Statements of Income. Taxes assessed by government authorities on revenue-producing transactions, including tariffs, value-added and excise taxes, are excluded from revenue in the Condensed Consolidated Statements of Income.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incurs commission expense that is incremental to obtaining contracts with customers. Sales commissions (which are recorded in the "Selling, general and administrative" expense line item in the Condensed Consolidated Statements of Income)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Company's revenue disaggregated by geography, based on the billing addresses of its customers (in thousands):</w:t>
      </w:r>
    </w:p>
    <w:p>
      <w:pPr>
        <w:sectPr>
          <w:pgSz w:w="11900" w:h="16838" w:orient="portrait"/>
          <w:cols w:equalWidth="0" w:num="1">
            <w:col w:w="11420"/>
          </w:cols>
          <w:pgMar w:left="240" w:top="122" w:right="239" w:bottom="1440" w:gutter="0" w:footer="0" w:header="0"/>
        </w:sectPr>
      </w:pPr>
    </w:p>
    <w:p>
      <w:pPr>
        <w:spacing w:after="0" w:line="242"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2263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03" w:lineRule="exact"/>
        <w:rPr>
          <w:sz w:val="20"/>
          <w:szCs w:val="20"/>
          <w:color w:val="auto"/>
        </w:rPr>
      </w:pPr>
    </w:p>
    <w:p>
      <w:pPr>
        <w:ind w:left="4500"/>
        <w:spacing w:after="0"/>
        <w:tabs>
          <w:tab w:leader="none" w:pos="6320" w:val="left"/>
        </w:tabs>
        <w:rPr>
          <w:sz w:val="20"/>
          <w:szCs w:val="20"/>
          <w:color w:val="auto"/>
        </w:rPr>
      </w:pPr>
      <w:r>
        <w:rPr>
          <w:rFonts w:ascii="Arial" w:cs="Arial" w:eastAsia="Arial" w:hAnsi="Arial"/>
          <w:sz w:val="14"/>
          <w:szCs w:val="14"/>
          <w:b w:val="1"/>
          <w:bCs w:val="1"/>
          <w:color w:val="auto"/>
        </w:rPr>
        <w:t>September 29, 2018</w:t>
      </w:r>
      <w:r>
        <w:rPr>
          <w:sz w:val="20"/>
          <w:szCs w:val="20"/>
          <w:color w:val="auto"/>
        </w:rPr>
        <w:tab/>
      </w: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23495</wp:posOffset>
            </wp:positionV>
            <wp:extent cx="2229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b w:val="1"/>
          <w:bCs w:val="1"/>
          <w:color w:val="auto"/>
        </w:rPr>
        <w:t>September 29, 2018</w:t>
      </w:r>
      <w:r>
        <w:rPr>
          <w:sz w:val="20"/>
          <w:szCs w:val="20"/>
          <w:color w:val="auto"/>
        </w:rPr>
        <w:tab/>
      </w:r>
      <w:r>
        <w:rPr>
          <w:rFonts w:ascii="Arial" w:cs="Arial" w:eastAsia="Arial" w:hAnsi="Arial"/>
          <w:sz w:val="12"/>
          <w:szCs w:val="12"/>
          <w:b w:val="1"/>
          <w:bCs w:val="1"/>
          <w:color w:val="auto"/>
        </w:rPr>
        <w:t>September 30, 2017</w:t>
      </w:r>
    </w:p>
    <w:p>
      <w:pPr>
        <w:spacing w:after="0" w:line="46" w:lineRule="exact"/>
        <w:rPr>
          <w:sz w:val="20"/>
          <w:szCs w:val="20"/>
          <w:color w:val="auto"/>
        </w:rPr>
      </w:pPr>
    </w:p>
    <w:p>
      <w:pPr>
        <w:sectPr>
          <w:pgSz w:w="11900" w:h="16838" w:orient="portrait"/>
          <w:cols w:equalWidth="0" w:num="2">
            <w:col w:w="7560" w:space="600"/>
            <w:col w:w="326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Revenue: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China</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548,848</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430,141</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915,382</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779,772</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316,006</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260,071</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106,294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127,897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214,760</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266,257</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Asia</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39,241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73,810</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101,076</w:t>
            </w:r>
          </w:p>
        </w:tc>
      </w:tr>
      <w:tr>
        <w:trPr>
          <w:trHeight w:val="243"/>
        </w:trPr>
        <w:tc>
          <w:tcPr>
            <w:tcW w:w="4240" w:type="dxa"/>
            <w:vAlign w:val="bottom"/>
          </w:tcPr>
          <w:p>
            <w:pPr>
              <w:ind w:left="120"/>
              <w:spacing w:after="0"/>
              <w:rPr>
                <w:sz w:val="20"/>
                <w:szCs w:val="20"/>
                <w:color w:val="auto"/>
              </w:rPr>
            </w:pPr>
            <w:r>
              <w:rPr>
                <w:rFonts w:ascii="Arial" w:cs="Arial" w:eastAsia="Arial" w:hAnsi="Arial"/>
                <w:sz w:val="18"/>
                <w:szCs w:val="18"/>
                <w:color w:val="auto"/>
              </w:rPr>
              <w:t>Europe</w:t>
            </w: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24,302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46,938</w:t>
            </w: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45,769</w:t>
            </w:r>
          </w:p>
        </w:tc>
      </w:tr>
      <w:tr>
        <w:trPr>
          <w:trHeight w:val="27"/>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4,923</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10,217</w:t>
            </w: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884,443</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821,583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1,577,113</w:t>
            </w: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1,462,414</w:t>
            </w:r>
          </w:p>
        </w:tc>
      </w:tr>
      <w:tr>
        <w:trPr>
          <w:trHeight w:val="20"/>
        </w:trPr>
        <w:tc>
          <w:tcPr>
            <w:tcW w:w="4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OPERATING SEGMENT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operating segments as of September 29, 2018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MP is a leading global supplier of cellular radio frequency ("RF") and Wi-Fi solutions for a variety of mobile devices, including smartphones, 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 factors, improved signal quality, less heat and longer talk and standby times. New wireless communications standards are being deployed, and new frequency bands are being added.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MP offers a comprehensive product portfolio of bulk acoustic wave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and modules incorporating switches, PAs and duplexers.</w:t>
      </w:r>
    </w:p>
    <w:p>
      <w:pPr>
        <w:spacing w:after="0" w:line="16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IDP is a leading global supplier of RF solutions with a diverse portfolio of solutions that "connect and 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IDP products include high power gallium arsenide ("GaAs") and gallium nitride ("GaN")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“All other” category includes operating expenses such as stock-based compensation, amortization of intangible assets, acquisition and integration related costs, restructuring charges,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2" w:right="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440" w:type="dxa"/>
            <w:vAlign w:val="bottom"/>
          </w:tcPr>
          <w:p>
            <w:pPr>
              <w:jc w:val="right"/>
              <w:ind w:right="35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666,539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630,397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1,152,618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1,086,620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217,904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373,854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26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884,443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821,583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1,577,113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1,462,414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260,699</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IDP</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56,311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57,649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111,515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107,235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(346,199)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90,477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49,564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71,262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32,836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35,652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8"/>
        <w:spacing w:after="0" w:line="261" w:lineRule="auto"/>
        <w:tabs>
          <w:tab w:leader="none" w:pos="23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other" revenue relates to royalty income that is not allocated to MP or IDP for the three and six months ended September 30, 2017. As a result of the adoption of ASU 2014-09, income related to a right-to-use license of intellectual property was recognized at a point-in-time and, therefore, was included as a transition adjustment impacting retained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44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4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(20,905)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(23,458)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(40,250)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(44,584)</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(270,325)</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(5,390)</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(13,753)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(including gain (loss) on assets and other</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corporate overhead)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(162,782)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(326,372)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(346,199)</w:t>
            </w:r>
          </w:p>
        </w:tc>
      </w:tr>
      <w:tr>
        <w:trPr>
          <w:trHeight w:val="27"/>
        </w:trPr>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December 22, 2017, the Tax Cuts and Jobs Act ("Tax Act") was enacted into law. This new law includes significant changes to the U.S. corporate income tax system, including a permanent reduction in the corporate income tax rate from 35% to 21%, full expensing for investments in new and used qualified property, limitations on the deductibility of interest expense and executive compensation, and the transition of U.S. international taxation from a worldwide tax system to a territorial tax system.</w:t>
      </w:r>
    </w:p>
    <w:p>
      <w:pPr>
        <w:spacing w:after="0" w:line="1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December 2017, the SEC staff issued Staff Accounting Bulletin 118 (“SAB 118”), which provides guidance on accounting for the tax effects of the Tax Act. SAB 118 provides a measurement period that should not extend beyond one year from the Tax Act enactment date for companies to complete the accounting under ASC Topic 740 </w:t>
      </w:r>
      <w:r>
        <w:rPr>
          <w:rFonts w:ascii="Arial" w:cs="Arial" w:eastAsia="Arial" w:hAnsi="Arial"/>
          <w:sz w:val="18"/>
          <w:szCs w:val="18"/>
          <w:i w:val="1"/>
          <w:iCs w:val="1"/>
          <w:color w:val="auto"/>
        </w:rPr>
        <w:t>- Income Taxes</w:t>
      </w:r>
      <w:r>
        <w:rPr>
          <w:rFonts w:ascii="Arial" w:cs="Arial" w:eastAsia="Arial" w:hAnsi="Arial"/>
          <w:sz w:val="18"/>
          <w:szCs w:val="18"/>
          <w:color w:val="auto"/>
        </w:rPr>
        <w:t xml:space="preserve"> (“ASC 740”). The provisional tax effects recorded to date will be revised during the measurement period, possibly materially, due to further</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refinement of the calculations, changes in interpretations and assumptions made, and additional guidance that may be issued by the Department of the U.S. Treasury, the Internal Revenue Service, and other regulatory and standard setting bodies. The Company will complete its analysis within fiscal 2019 consistent with the guidance provided in SAB 118, and any adjustments during this measurement period will be included in net earnings from continuing operations as an adjustment to income tax expense.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described in Note 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2018 Annual Report on Form 10-K, we were able to reasonably estimate certain effects of the Tax Act provisions that became effective during fiscal 2018 and, therefore, recorded provisional amounts, including a $116.4 million expense related to the one-time transition tax on certain unrepatriated earnings of foreign subsidiaries (the “Transitional Repatriation Tax”) and a $39.1 million benefit from the remeasurement of U.S. deferred tax assets and liabilities. While the Company has not finalized the accounting for the tax effects of the Tax Act, for the six months ended September 29, 2018 we have made a $15.9 million measurement period adjustment to reduce the tax expense related to the previously recorded provisional amounts. This was comprised of an $11.6 million reduction in the Transitional Repatriation Tax and a $4.3 million increase in U.S. deferred tax assets.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Global Intangible Low-Taxed Income (“GILTI”) provisions create a new requirement that certain income earned by foreign subsidiaries be currently included in the gross income of the U.S. shareholder. No provisional adjustments related to the potential GILTI impact on deferred taxes has been made as the Company has not made its accounting policy choice of either: (1) treating taxes due on future U.S. inclusions in taxable income related to GILTI as a current-period expense when incurred (the “period cost method”) or (2) factoring such amounts into the Company's measurement of its deferred taxes (the “deferred method”).</w:t>
      </w:r>
    </w:p>
    <w:p>
      <w:pPr>
        <w:spacing w:after="0" w:line="188"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GILTI and executive compensation limitation provisions in the Tax Act became effective for the Company in fiscal 2019. Provisional estimates for the current year impact of these new provisions are included in the calculation of the fiscal 2019 annual effective tax rate applied to year-to-date income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provision for income taxes for the three and six months ended September 29, 2018 and September 30, 2017 has been calculated by applying an estimate of the annual effective tax rate for the full fiscal year to “ordinary” income or loss (pre-tax income or loss excluding unusual or infrequently occurring discrete items) to year-to-date income (loss) to determine the amounts for the three and six months ended September 29, 2018 and September 30, 2017.</w:t>
      </w:r>
    </w:p>
    <w:p>
      <w:pPr>
        <w:spacing w:after="0" w:line="1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income tax expense was $0.8 million and income tax benefit was $31.4 million for the three and six months ended September 29, 2018, respectively, and the Company's income tax benefit was $0.3 million and $9.9 million for the three and six months ended September 30, 2017, respectively. The Company’s effective tax rate was 2.3% and 107.1% for the three and six months ended September 29, 2018, respectively, and (0.7)% and 214.7% for the three and six months ended September 30, 2017, respectively.</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Company's effective tax rate for the three and six months ended September 29, 2018 differed from the statutory rate primarily due to tax rate differences in foreign jurisdictions, foreign permanent differences, state income taxes, domestic tax credits generated, changes in unrecognized tax benefits, GILTI, a discrete tax benefit for changes in provisional estimates related to the Transitional Repatriation Tax, and a discrete tax benefit resulting from a retroactive incentive allowing previously non-deductible payments to be amortized. The Company's effective tax rate for the three and six months ended September 30, 2017 differed from the statutory rate primarily due to tax rate differences in foreign jurisdictions, state income taxes, domestic tax credits generated, changes in unrecognized tax benefits, a discrete tax benefit for excess stock compensation deductions in accordance with the new guidance for accounting for employee share-based payments ASU 2016-09, </w:t>
      </w:r>
      <w:r>
        <w:rPr>
          <w:rFonts w:ascii="Arial" w:cs="Arial" w:eastAsia="Arial" w:hAnsi="Arial"/>
          <w:sz w:val="16"/>
          <w:szCs w:val="16"/>
          <w:i w:val="1"/>
          <w:iCs w:val="1"/>
          <w:color w:val="auto"/>
        </w:rPr>
        <w:t>"Compensation - Stock Compensation (Topic 718): Improvements to Employee Share 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and a discrete tax expense, for the six months only, associated with intra-entity transfers in accordance with the new guidance for the intra-entity transfer of assets other than inventory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domestic federal and state tax net operating loss ("NOL") and credit carry-forwards that expire in fiscal years 2019 to 2038 if unused.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Company’s gross unrecognized tax benefits increased from $122.8 million as of the end of fiscal 2018 to $134.1 million as of the end of the second quarter of fiscal 2019, primarily due to tax positions taken with respect to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29, 2018</w:t>
            </w:r>
          </w:p>
        </w:tc>
        <w:tc>
          <w:tcPr>
            <w:tcW w:w="18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29, 2018</w:t>
            </w:r>
          </w:p>
        </w:tc>
        <w:tc>
          <w:tcPr>
            <w:tcW w:w="180" w:type="dxa"/>
            <w:vAlign w:val="bottom"/>
          </w:tcPr>
          <w:p>
            <w:pPr>
              <w:spacing w:after="0"/>
              <w:rPr>
                <w:sz w:val="22"/>
                <w:szCs w:val="22"/>
                <w:color w:val="auto"/>
              </w:rPr>
            </w:pPr>
          </w:p>
        </w:tc>
        <w:tc>
          <w:tcPr>
            <w:tcW w:w="15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rPr>
              <w:t>Numerator for basic and diluted net income per</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40"/>
              <w:spacing w:after="0"/>
              <w:rPr>
                <w:sz w:val="20"/>
                <w:szCs w:val="20"/>
                <w:color w:val="auto"/>
              </w:rPr>
            </w:pPr>
            <w:r>
              <w:rPr>
                <w:rFonts w:ascii="Arial" w:cs="Arial" w:eastAsia="Arial" w:hAnsi="Arial"/>
                <w:sz w:val="18"/>
                <w:szCs w:val="18"/>
                <w:color w:val="auto"/>
              </w:rPr>
              <w:t>share — net income available to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ind w:right="34"/>
              <w:spacing w:after="0"/>
              <w:rPr>
                <w:sz w:val="20"/>
                <w:szCs w:val="20"/>
                <w:color w:val="auto"/>
              </w:rPr>
            </w:pPr>
            <w:r>
              <w:rPr>
                <w:rFonts w:ascii="Arial" w:cs="Arial" w:eastAsia="Arial" w:hAnsi="Arial"/>
                <w:sz w:val="18"/>
                <w:szCs w:val="18"/>
                <w:color w:val="auto"/>
              </w:rPr>
              <w:t>32,084</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13"/>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ind w:right="13"/>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rPr>
              <w:t>Denominator for basic net income per share —</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40"/>
              <w:spacing w:after="0"/>
              <w:rPr>
                <w:sz w:val="20"/>
                <w:szCs w:val="20"/>
                <w:color w:val="auto"/>
              </w:rPr>
            </w:pPr>
            <w:r>
              <w:rPr>
                <w:rFonts w:ascii="Arial" w:cs="Arial" w:eastAsia="Arial" w:hAnsi="Arial"/>
                <w:sz w:val="18"/>
                <w:szCs w:val="18"/>
                <w:color w:val="auto"/>
              </w:rPr>
              <w:t>weighted average shares</w:t>
            </w:r>
          </w:p>
        </w:tc>
        <w:tc>
          <w:tcPr>
            <w:tcW w:w="180" w:type="dxa"/>
            <w:vAlign w:val="bottom"/>
          </w:tcPr>
          <w:p>
            <w:pPr>
              <w:spacing w:after="0"/>
              <w:rPr>
                <w:sz w:val="20"/>
                <w:szCs w:val="20"/>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125,643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127,257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125,859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127,109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8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Denominator for diluted net income per share — adjusted</w:t>
            </w:r>
          </w:p>
        </w:tc>
        <w:tc>
          <w:tcPr>
            <w:tcW w:w="180" w:type="dxa"/>
            <w:vAlign w:val="bottom"/>
            <w:shd w:val="clear" w:color="auto" w:fill="CCEEFF"/>
          </w:tcPr>
          <w:p>
            <w:pPr>
              <w:spacing w:after="0"/>
              <w:rPr>
                <w:sz w:val="18"/>
                <w:szCs w:val="18"/>
                <w:color w:val="auto"/>
              </w:rPr>
            </w:pPr>
          </w:p>
        </w:tc>
        <w:tc>
          <w:tcPr>
            <w:tcW w:w="15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128,550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130,778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128,977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131,062</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weighted average shares and assumed conversions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computation of diluted net income per share for the three and six months ended September 29, 2018, outstanding options to purchase 0.3 million shares and 0.2 million shares, respectively, were excluded because the effect of their inclusion would have been anti-dilutive. In the computation of diluted net income per share for the three and six months ended September 30, 2017, outstanding options to purchase less than 0.1 million shares were excluded because the effect of their inclusion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INFORMATION</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accordance with the applicable indentures governing the 2025 Notes and 2026 Notes, the Company's obligations under the 2025 Notes and 2026 Notes are fully and unconditionally guaranteed on a joint and several basis by each Guarantor, each of which is 100% owned, directly or indirectly, by Qorvo, Inc. (the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applicable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entity in the condensed consolidating financial information follows the same accounting policies as described in the consolidated financial statements, except for the use by the Parent Company and Guarantor subsidiaries of the equity method of</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29, 2018</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260" w:type="dxa"/>
            <w:vAlign w:val="bottom"/>
          </w:tcPr>
          <w:p>
            <w:pPr>
              <w:jc w:val="center"/>
              <w:ind w:left="45"/>
              <w:spacing w:after="0" w:line="147" w:lineRule="exact"/>
              <w:rPr>
                <w:sz w:val="20"/>
                <w:szCs w:val="20"/>
                <w:color w:val="auto"/>
              </w:rPr>
            </w:pPr>
            <w:r>
              <w:rPr>
                <w:rFonts w:ascii="Arial" w:cs="Arial" w:eastAsia="Arial" w:hAnsi="Arial"/>
                <w:sz w:val="14"/>
                <w:szCs w:val="14"/>
                <w:b w:val="1"/>
                <w:bCs w:val="1"/>
                <w:color w:val="auto"/>
                <w:w w:val="97"/>
              </w:rPr>
              <w:t>Guarantor</w:t>
            </w:r>
          </w:p>
        </w:tc>
        <w:tc>
          <w:tcPr>
            <w:tcW w:w="1700" w:type="dxa"/>
            <w:vAlign w:val="bottom"/>
          </w:tcPr>
          <w:p>
            <w:pPr>
              <w:jc w:val="center"/>
              <w:ind w:left="2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6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60" w:type="dxa"/>
            <w:vAlign w:val="bottom"/>
          </w:tcPr>
          <w:p>
            <w:pPr>
              <w:jc w:val="center"/>
              <w:ind w:left="25"/>
              <w:spacing w:after="0"/>
              <w:rPr>
                <w:sz w:val="20"/>
                <w:szCs w:val="20"/>
                <w:color w:val="auto"/>
              </w:rPr>
            </w:pPr>
            <w:r>
              <w:rPr>
                <w:rFonts w:ascii="Arial" w:cs="Arial" w:eastAsia="Arial" w:hAnsi="Arial"/>
                <w:sz w:val="14"/>
                <w:szCs w:val="14"/>
                <w:b w:val="1"/>
                <w:bCs w:val="1"/>
                <w:color w:val="auto"/>
                <w:w w:val="91"/>
              </w:rPr>
              <w:t>Subsidiaries</w:t>
            </w:r>
          </w:p>
        </w:tc>
        <w:tc>
          <w:tcPr>
            <w:tcW w:w="1700" w:type="dxa"/>
            <w:vAlign w:val="bottom"/>
          </w:tcPr>
          <w:p>
            <w:pPr>
              <w:jc w:val="center"/>
              <w:ind w:left="5"/>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6,272,369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109,305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6,381,674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9,921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735,098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1,004,518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1,749,537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4,632,137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6,381,674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95,152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462,772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557,924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50,023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441,160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491,183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389,857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50,428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(440,285)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214,519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280,586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474,532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18,699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26,313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3,795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35,178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38,973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29,696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30,845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801,741</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1,278,887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(460,858)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1,619,770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1,127,933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274,463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1,401,865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294,900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300,952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595,852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4,952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85,951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90,903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990,080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92,490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(1,082,570)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2,450,260</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(8,722,629)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32,394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30,496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(107,413)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64,782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6,824,889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3,114,499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(10,374,001)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5,947,061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90,561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138,448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229,009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50,428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389,857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(440,285)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126,420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44,806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181,505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2,989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51,869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270,398</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621,991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(439,927)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462,383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735,098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46,815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21,932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92,490</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(1,082,570)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43,784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51,727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95,511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453,487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664,758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(1,552,858)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1,314,924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6,371,402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2,449,741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(8,821,143)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4,632,137</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6,824,889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3,114,499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(10,374,001)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5,947,061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Guarantor</w:t>
            </w:r>
          </w:p>
        </w:tc>
        <w:tc>
          <w:tcPr>
            <w:tcW w:w="156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5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6,198,885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72,122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6,271,007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23,102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23,102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983,290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489,051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1,495,443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4,775,564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6,271,007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-5239385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629,314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296,723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926,037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76,863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269,094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345,957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272,409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53,363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154,651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339,434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472,292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17,530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23,909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5,959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44,795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29,627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30,815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1,186,353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1,005,017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(347,565)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1,843,805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1,085,255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289,146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1,374,112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1,121,941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1,051,948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395,317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465,019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860,336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1,847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61,918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63,765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543,127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116,494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2,388,222</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(8,587,107)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31,011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65,612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6,753,073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6,381,519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78,278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134,915</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213,193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53,363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272,409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101,286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43,163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167,182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3,882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57,022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60,904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236,809</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507,509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(326,141)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441,279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983,290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83,449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63,084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116,494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62,417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55,885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118,302</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499,169</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633,836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(1,022,493)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1,605,955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6,253,904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2,388,222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(8,642,126)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4,775,564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6,753,073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6,381,519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September 29,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884,443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207,221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476,256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530,929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353,514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58,924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91,399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139,507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64,072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203,528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263,037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32,836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85,263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139,642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(224,905)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32,012</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85,347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139,472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(224,819)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32,012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gridSpan w:val="13"/>
          </w:tcPr>
          <w:p>
            <w:pPr>
              <w:jc w:val="center"/>
              <w:ind w:right="3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September 30, 2017</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821,583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196,350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480,439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500,561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111,398</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66,958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86,004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138,867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94,906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188,092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271,458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35,919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51,042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93,610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(144,652)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35,919</w:t>
            </w:r>
          </w:p>
        </w:tc>
        <w:tc>
          <w:tcPr>
            <w:tcW w:w="0" w:type="dxa"/>
            <w:vAlign w:val="bottom"/>
          </w:tcPr>
          <w:p>
            <w:pPr>
              <w:spacing w:after="0"/>
              <w:rPr>
                <w:sz w:val="1"/>
                <w:szCs w:val="1"/>
                <w:color w:val="auto"/>
              </w:rPr>
            </w:pPr>
          </w:p>
        </w:tc>
      </w:tr>
      <w:tr>
        <w:trPr>
          <w:trHeight w:val="311"/>
        </w:trPr>
        <w:tc>
          <w:tcPr>
            <w:tcW w:w="4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35,527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51,080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90,666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(141,746)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89"/>
              </w:rPr>
              <w:t>Condensed Consolidating Statement of Income and Comprehensive (Loss) Income</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Six Months Ended September 29, 2018</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1,451,805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1,577,113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397,532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885,953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986,866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590,247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227,651</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26,671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116,880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177,778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275,437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133,247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393,409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518,985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71,262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31,384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109,282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172,207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(281,489)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109,371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169,727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0"/>
              </w:rPr>
              <w:t>Six Months Ended September 30, 2017</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240" w:type="dxa"/>
            <w:vAlign w:val="bottom"/>
          </w:tcPr>
          <w:p>
            <w:pPr>
              <w:spacing w:after="0"/>
              <w:rPr>
                <w:sz w:val="12"/>
                <w:szCs w:val="12"/>
                <w:color w:val="auto"/>
              </w:rPr>
            </w:pPr>
          </w:p>
        </w:tc>
        <w:tc>
          <w:tcPr>
            <w:tcW w:w="12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1,462,414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380,354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873,175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905,015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557,399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227,897</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133,170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180,056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278,298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29,469</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44,584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184,916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380,438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535,664</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21,735</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(27,049)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35,773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92,502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(132,556)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40,153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90,216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(130,369)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1"/>
              </w:rPr>
              <w:t>Six Months Ended September 29,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522,959</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289,796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(113,666)</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w w:val="97"/>
              </w:rPr>
              <w:t>Purchase of debt securities and other investments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maturities of other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(19,492)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Payment of debt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(954,745)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(954,745)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631,300</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(186,682)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(186,682)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(522,959)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(decrease) increase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166,028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(368,134)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629,314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297,088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95,152</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463,116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558,268</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gridSpan w:val="8"/>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91"/>
              </w:rPr>
              <w:t>Six Months Ended September 30, 2017</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shd w:val="clear" w:color="auto" w:fill="CCEEFF"/>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80,063</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245,672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323,494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(192,219)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(215,247)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32,867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32,867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(24,005)</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(80,063)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increase (decrease)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159,082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29,444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319,593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96,548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478,675</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575,223</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25</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and Section 21E of the Securities Exchange Act of 1934, as amended (the "Exchange Act"),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"estimate," "forecast," and "predict," and variations of such words and similar expressions, identify such forward-looking statements. Our business is subject to numerous risks and uncertainties, including, but not limited to the factors listed below:</w:t>
      </w:r>
    </w:p>
    <w:p>
      <w:pPr>
        <w:spacing w:after="0" w:line="193" w:lineRule="exact"/>
        <w:rPr>
          <w:sz w:val="20"/>
          <w:szCs w:val="20"/>
          <w:color w:val="auto"/>
        </w:rPr>
      </w:pPr>
    </w:p>
    <w:p>
      <w:pPr>
        <w:ind w:left="740" w:right="48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disputes and downturns in the semiconductor industry and the overall global economy;</w:t>
      </w:r>
    </w:p>
    <w:p>
      <w:pPr>
        <w:spacing w:after="0" w:line="170" w:lineRule="exact"/>
        <w:rPr>
          <w:rFonts w:ascii="Arial" w:cs="Arial" w:eastAsia="Arial" w:hAnsi="Arial"/>
          <w:sz w:val="18"/>
          <w:szCs w:val="18"/>
          <w:color w:val="auto"/>
        </w:rPr>
      </w:pPr>
    </w:p>
    <w:p>
      <w:pPr>
        <w:ind w:left="740" w:right="8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accurately forecast their demand for our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improve our product designs, develop new products, and achieve design wins as our industry's product life cycles are short and our customers’ requirements change rapidly;</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4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efficiently and successfully operate our wafer fabrication, assembly and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in manufacturing yields and product quality;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including distributors,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25" w:lineRule="exact"/>
        <w:rPr>
          <w:rFonts w:ascii="Arial" w:cs="Arial" w:eastAsia="Arial" w:hAnsi="Arial"/>
          <w:sz w:val="18"/>
          <w:szCs w:val="18"/>
          <w:color w:val="auto"/>
        </w:rPr>
      </w:pPr>
    </w:p>
    <w:p>
      <w:pPr>
        <w:ind w:left="740" w:right="70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140" w:hanging="40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disruptions or events, which could compromise our or our customers' proprietary information and expose us to liability and could cause our business and reputation to suffer;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20" w:hanging="415"/>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possibility that we may be subject to theft, loss or misuse of personal data by or about our employees, customers or other third parties;</w:t>
      </w:r>
    </w:p>
    <w:p>
      <w:pPr>
        <w:spacing w:after="0" w:line="236" w:lineRule="exact"/>
        <w:rPr>
          <w:rFonts w:ascii="Arial" w:cs="Arial" w:eastAsia="Arial" w:hAnsi="Arial"/>
          <w:sz w:val="17"/>
          <w:szCs w:val="17"/>
          <w:color w:val="auto"/>
        </w:rPr>
      </w:pPr>
    </w:p>
    <w:p>
      <w:pPr>
        <w:ind w:left="740" w:right="740" w:hanging="408"/>
        <w:spacing w:after="0" w:line="2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impact of environmental, health and safety regulations and climate change;</w:t>
      </w:r>
    </w:p>
    <w:p>
      <w:pPr>
        <w:spacing w:after="0" w:line="225" w:lineRule="exact"/>
        <w:rPr>
          <w:rFonts w:ascii="Arial" w:cs="Arial" w:eastAsia="Arial" w:hAnsi="Arial"/>
          <w:sz w:val="18"/>
          <w:szCs w:val="18"/>
          <w:color w:val="auto"/>
        </w:rPr>
      </w:pPr>
    </w:p>
    <w:p>
      <w:pPr>
        <w:ind w:left="740" w:right="20" w:hanging="408"/>
        <w:spacing w:after="0" w:line="2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impact of changes in generally accepted accounting principles and in tax laws or the interpretation of such tax laws, including the U.S. Tax Cuts and Jobs Act (the "Tax Act");</w:t>
      </w:r>
    </w:p>
    <w:p>
      <w:pPr>
        <w:spacing w:after="0" w:line="170" w:lineRule="exact"/>
        <w:rPr>
          <w:rFonts w:ascii="Arial" w:cs="Arial" w:eastAsia="Arial" w:hAnsi="Arial"/>
          <w:sz w:val="18"/>
          <w:szCs w:val="18"/>
          <w:color w:val="auto"/>
        </w:rPr>
      </w:pPr>
    </w:p>
    <w:p>
      <w:pPr>
        <w:ind w:left="740" w:right="180" w:hanging="408"/>
        <w:spacing w:after="0" w:line="2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impact of the Organisation for Economic Co-operation and Development Base Erosion and Profit Shifting initiative on tax policy and enacted laws in the countries in which we operate;</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 and</w:t>
      </w:r>
    </w:p>
    <w:p>
      <w:pPr>
        <w:spacing w:after="0" w:line="225" w:lineRule="exact"/>
        <w:rPr>
          <w:rFonts w:ascii="Arial" w:cs="Arial" w:eastAsia="Arial" w:hAnsi="Arial"/>
          <w:sz w:val="18"/>
          <w:szCs w:val="18"/>
          <w:color w:val="auto"/>
        </w:rPr>
      </w:pPr>
    </w:p>
    <w:p>
      <w:pPr>
        <w:ind w:left="740" w:right="540" w:hanging="408"/>
        <w:spacing w:after="0" w:line="2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possibility that future acquisitions may dilute our stockholders’ ownership and cause us to incur debt and assume contingent liabilities or adversely affect our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product and technology leader at the forefront of the growing global demand for always-on broadband connectivity. We combine a broad portfolio of radio frequency ("RF") solutions, highly differentiated semiconductor technologies, deep systems-level expertise and scale manufacturing to supply a diverse group of customers in expanding markets, including smartphones and other mobile devices, defense and aerospace, Wi-Fi customer premises equipment, cellular base stations, optical networks, automotive connectivity and smart home applications. Within these markets, our products enable a broad range of leading-edge applications — from very-high-power wired and wireless infrastructure solutions to ultra-low-power smart home solutions. Our products and technologies help transform how people around the world access their data, transact commerce, and interact with their communities.</w:t>
      </w:r>
    </w:p>
    <w:p>
      <w:pPr>
        <w:spacing w:after="0" w:line="165"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We employ more than 8,200 people. We have world-class manufacturing facilities, and our fabrication facility in Richardson, Texas, is a U.S. Department of Defense accredited ‘Trusted Source’ (Category 1A) for gallium arsenide ("GaAs"), gallium nitride ("GaN") and bulk acoustic wave ("BAW") technologies. Our design and manufacturing expertise covers many semiconductor process technologies, which we source both internally and through external suppliers.</w:t>
      </w:r>
    </w:p>
    <w:p>
      <w:pPr>
        <w:ind w:right="320"/>
        <w:spacing w:after="0" w:line="290" w:lineRule="auto"/>
        <w:rPr>
          <w:sz w:val="20"/>
          <w:szCs w:val="20"/>
          <w:color w:val="auto"/>
        </w:rPr>
      </w:pPr>
      <w:r>
        <w:rPr>
          <w:rFonts w:ascii="Arial" w:cs="Arial" w:eastAsia="Arial" w:hAnsi="Arial"/>
          <w:sz w:val="17"/>
          <w:szCs w:val="17"/>
          <w:color w:val="auto"/>
        </w:rPr>
        <w:t>Our primary wafer fabrication facilities are in Florida, North Carolina, Oregon and Texas, and our primary assembly and test facilities are in China, Costa Rica, Germany and Texas. We also operate design, sales and manufacturing facilities throughout Asia, Europe and North America.</w:t>
      </w:r>
    </w:p>
    <w:p>
      <w:pPr>
        <w:spacing w:after="0" w:line="16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leading global supplier of cellular RF and Wi-Fi solutions for a variety of mobile devices, including smartphones,</w:t>
      </w:r>
      <w:r>
        <w:rPr>
          <w:rFonts w:ascii="Arial" w:cs="Arial" w:eastAsia="Arial" w:hAnsi="Arial"/>
          <w:sz w:val="18"/>
          <w:szCs w:val="18"/>
          <w:i w:val="1"/>
          <w:iCs w:val="1"/>
          <w:color w:val="auto"/>
        </w:rPr>
        <w:t xml:space="preserve"> </w:t>
      </w:r>
      <w:r>
        <w:rPr>
          <w:rFonts w:ascii="Arial" w:cs="Arial" w:eastAsia="Arial" w:hAnsi="Arial"/>
          <w:sz w:val="18"/>
          <w:szCs w:val="18"/>
          <w:color w:val="auto"/>
        </w:rPr>
        <w:t>notebook computers, wearables, tablets and cellular-based applications for the Internet of Things ("IoT"). Mobile device manufacturers and mobile network operators are adopting new technologies to address the growing demand for data-intensive, increasingly cloud-based distributed applications and for mobile devices with smaller form</w:t>
      </w:r>
    </w:p>
    <w:p>
      <w:pPr>
        <w:spacing w:after="0" w:line="1" w:lineRule="exact"/>
        <w:rPr>
          <w:rFonts w:ascii="Arial" w:cs="Arial" w:eastAsia="Arial" w:hAnsi="Arial"/>
          <w:sz w:val="18"/>
          <w:szCs w:val="18"/>
          <w:color w:val="auto"/>
        </w:rPr>
      </w:pPr>
    </w:p>
    <w:p>
      <w:pPr>
        <w:ind w:left="340" w:right="80"/>
        <w:spacing w:after="0" w:line="322" w:lineRule="auto"/>
        <w:rPr>
          <w:rFonts w:ascii="Arial" w:cs="Arial" w:eastAsia="Arial" w:hAnsi="Arial"/>
          <w:sz w:val="18"/>
          <w:szCs w:val="18"/>
          <w:color w:val="auto"/>
        </w:rPr>
      </w:pPr>
      <w:r>
        <w:rPr>
          <w:rFonts w:ascii="Arial" w:cs="Arial" w:eastAsia="Arial" w:hAnsi="Arial"/>
          <w:sz w:val="17"/>
          <w:szCs w:val="17"/>
          <w:color w:val="auto"/>
        </w:rPr>
        <w:t>factors, improved signal quality, less heat and longer talk and standby times. New wireless communications standards are being deployed, and new frequency bands are being added. Carrier aggregation is being implemented to support wider bandwidths, increase data rates and improve network performance. These trends increase the complexity of smartphones, require more RF content and place a premium on performance, integration, systems-level expertise, and product and technology portfolio breadth, all of which are MP strengths. We offer a comprehensive product portfolio of BAW and surface acoustic wave ("SAW") filters, power amplifiers ("PAs"), low noise amplifiers ("LNAs"), switches, multimode multi-band PAs and transmit modules, RF power management integrated circuits, diversity receive modules, antenna switch modules, antenna tuning and control solutions, modules incorporating PAs and duplexers ("PADs") and modules incorporating switches, PAs and duplexers.</w:t>
      </w:r>
    </w:p>
    <w:p>
      <w:pPr>
        <w:spacing w:after="0" w:line="149" w:lineRule="exact"/>
        <w:rPr>
          <w:rFonts w:ascii="Arial" w:cs="Arial" w:eastAsia="Arial" w:hAnsi="Arial"/>
          <w:sz w:val="18"/>
          <w:szCs w:val="18"/>
          <w:color w:val="auto"/>
        </w:rPr>
      </w:pPr>
    </w:p>
    <w:p>
      <w:pPr>
        <w:ind w:left="340" w:right="8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with a diverse portfolio of solutions that "connect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spanning communications and defense applications. These applications include high performance defense systems such as radar, electronic warfare and communication systems, Wi-Fi customer premises equipment for home and work, high speed connectivity in Long-Term Evolution ("LTE") and 5G base stations, cloud connectivity via data center communications and telecom transport, automotive connectivity and other IoT, including smart home solutions. Our IDP products include GaAs and GaN PAs, LNAs, switches, Complementary Metal Oxide Semiconductor ("CMOS") system-on-a-chip solutions, premium BAW and SAW filter solutions and various multi-chip and hybrid assemblies.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29, 2018,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operating income and operating income as a percentage of revenue (see Note 9 of the Notes to Condensed Consolidated Financial Statements in Part I, Item 1 of this report for additional information regarding our operating segments).</w:t>
      </w:r>
    </w:p>
    <w:p>
      <w:pPr>
        <w:sectPr>
          <w:pgSz w:w="11900" w:h="16838" w:orient="portrait"/>
          <w:cols w:equalWidth="0" w:num="1">
            <w:col w:w="11400"/>
          </w:cols>
          <w:pgMar w:left="240" w:top="121" w:right="25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SECOND QUARTER FISCAL 2019 FINANCIAL HIGHLIGHTS:</w:t>
      </w:r>
    </w:p>
    <w:p>
      <w:pPr>
        <w:spacing w:after="0" w:line="229" w:lineRule="exact"/>
        <w:rPr>
          <w:sz w:val="20"/>
          <w:szCs w:val="20"/>
          <w:color w:val="auto"/>
        </w:rPr>
      </w:pPr>
    </w:p>
    <w:p>
      <w:pPr>
        <w:ind w:left="280" w:right="500" w:hanging="272"/>
        <w:spacing w:after="0" w:line="342" w:lineRule="auto"/>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Quarterly revenue increased 7.7% as compared to the second quarter of fiscal 2018, primarily due to higher demand for our cellular RF solutions in support of our customers based in China and our largest end customer as well as higher demand for our base station and Wi-Fi products.</w:t>
      </w:r>
    </w:p>
    <w:p>
      <w:pPr>
        <w:spacing w:after="0" w:line="123" w:lineRule="exact"/>
        <w:rPr>
          <w:rFonts w:ascii="Arial" w:cs="Arial" w:eastAsia="Arial" w:hAnsi="Arial"/>
          <w:sz w:val="16"/>
          <w:szCs w:val="16"/>
          <w:color w:val="auto"/>
        </w:rPr>
      </w:pPr>
    </w:p>
    <w:p>
      <w:pPr>
        <w:ind w:left="280" w:right="2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for the second quarter of fiscal 2019 was 40.0% as compared to 39.1% for the second quarter of fiscal 2018. The increase was primarily due to favorable changes in product mix within our cellular RF solutions, partially offset by average selling price erosion.</w:t>
      </w:r>
    </w:p>
    <w:p>
      <w:pPr>
        <w:spacing w:after="0" w:line="170" w:lineRule="exact"/>
        <w:rPr>
          <w:rFonts w:ascii="Arial" w:cs="Arial" w:eastAsia="Arial" w:hAnsi="Arial"/>
          <w:sz w:val="18"/>
          <w:szCs w:val="18"/>
          <w:color w:val="auto"/>
        </w:rPr>
      </w:pPr>
    </w:p>
    <w:p>
      <w:pPr>
        <w:ind w:left="280" w:right="180" w:hanging="272"/>
        <w:spacing w:after="0" w:line="308"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operating income was $90.5 million for the three months ended September 29, 2018 as compared to operating income of $49.6 million for the three months ended September 30, 2017, primarily due to higher revenue, improved gross margin and lower operating expenses.</w:t>
      </w:r>
    </w:p>
    <w:p>
      <w:pPr>
        <w:spacing w:after="0" w:line="146" w:lineRule="exact"/>
        <w:rPr>
          <w:rFonts w:ascii="Arial" w:cs="Arial" w:eastAsia="Arial" w:hAnsi="Arial"/>
          <w:sz w:val="17"/>
          <w:szCs w:val="17"/>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second quarter of fiscal 2019, we recognized a loss on debt extinguishment of $48.8 million.</w:t>
      </w:r>
    </w:p>
    <w:p>
      <w:pPr>
        <w:spacing w:after="0" w:line="225" w:lineRule="exact"/>
        <w:rPr>
          <w:rFonts w:ascii="Arial" w:cs="Arial" w:eastAsia="Arial" w:hAnsi="Arial"/>
          <w:sz w:val="18"/>
          <w:szCs w:val="18"/>
          <w:color w:val="auto"/>
        </w:rPr>
      </w:pPr>
    </w:p>
    <w:p>
      <w:pPr>
        <w:ind w:left="280" w:right="18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Diluted net income per share for the second quarter of fiscal 2019 was $0.25 as compared to $0.27 for the second quarter of fiscal 2018. This year-over-year decrease was primarily due to the loss on debt extinguishment recognized in the second quarter of fiscal 2019.</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flow from operations was $214.5 million for the second quarter of fiscal 2019 as compared to $219.9 million for the second quarter of fiscal 2018.</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Capital expenditures were $70.1 million for the second quarter of fiscal 2019 as compared to $67.8 million for the second quarter of fiscal 2018.</w:t>
      </w:r>
    </w:p>
    <w:p>
      <w:pPr>
        <w:spacing w:after="0" w:line="236" w:lineRule="exact"/>
        <w:rPr>
          <w:rFonts w:ascii="Arial" w:cs="Arial" w:eastAsia="Arial" w:hAnsi="Arial"/>
          <w:sz w:val="17"/>
          <w:szCs w:val="17"/>
          <w:color w:val="auto"/>
        </w:rPr>
      </w:pPr>
    </w:p>
    <w:p>
      <w:pPr>
        <w:ind w:left="28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second quarter of fiscal 2019, we received a Section 19B incentive grant in Singapore which allows us to retroactively amortize $124.2 million of previously non-deductible payments made in prior years.</w:t>
      </w:r>
    </w:p>
    <w:p>
      <w:pPr>
        <w:spacing w:after="0" w:line="170" w:lineRule="exact"/>
        <w:rPr>
          <w:rFonts w:ascii="Arial" w:cs="Arial" w:eastAsia="Arial" w:hAnsi="Arial"/>
          <w:sz w:val="18"/>
          <w:szCs w:val="18"/>
          <w:color w:val="auto"/>
        </w:rPr>
      </w:pPr>
    </w:p>
    <w:p>
      <w:pPr>
        <w:ind w:left="280" w:right="240"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second quarter of fiscal 2019, we completed the purchase of $436.4 million aggregate principal amount of our 7.00% senior notes due 2025 (the "2025 Notes").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80" w:right="120" w:hanging="272"/>
        <w:spacing w:after="0" w:line="277"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second quarter of fiscal 2019, we redeemed the remaining $15.3 million aggregate principal amount of our 6.75% senior notes due 2023 (the "2023 Notes").</w:t>
      </w:r>
    </w:p>
    <w:p>
      <w:pPr>
        <w:spacing w:after="0" w:line="170"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second quarter of fiscal 2019, we completed an offering of $630.0 million aggregate principal amount of our 5.50% senior notes due 2026 (the "2026 Notes").</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second quarter of fiscal 2019, we repurchased approximately 1.1 million shares of our common stock for approximately $86.7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1" w:right="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six months ended September 29, 2018 and September 30,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2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884,443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821,583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62,860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530,929</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500,561</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30,368</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353,514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321,022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32,492</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116,748</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111,398</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5,350</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139,507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138,867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6,782</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21,193</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(14,411)</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90,477</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49,564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40,913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September 29, 2018</w:t>
            </w:r>
          </w:p>
        </w:tc>
        <w:tc>
          <w:tcPr>
            <w:tcW w:w="12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1,577,113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1,462,414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114,699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986,866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905,015</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81,851</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590,247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557,399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32,848</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227,651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227,897</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275,437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278,298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15,897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29,469</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(13,572)</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71,262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49,527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227.9 %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increased for the three and six months ended September 29, 2018, as compared to the three and six months ended September 30, 2017, primarily due to higher demand for our cellular RF solutions in support of our customers based in China and our largest end customer as well as higher demand for our base station and Wi-Fi products.</w:t>
      </w:r>
    </w:p>
    <w:p>
      <w:pPr>
        <w:spacing w:after="0" w:line="181" w:lineRule="exact"/>
        <w:rPr>
          <w:sz w:val="20"/>
          <w:szCs w:val="20"/>
          <w:color w:val="auto"/>
        </w:rPr>
      </w:pPr>
    </w:p>
    <w:p>
      <w:pPr>
        <w:ind w:left="60" w:right="540"/>
        <w:spacing w:after="0" w:line="342" w:lineRule="auto"/>
        <w:rPr>
          <w:sz w:val="20"/>
          <w:szCs w:val="20"/>
          <w:color w:val="auto"/>
        </w:rPr>
      </w:pPr>
      <w:r>
        <w:rPr>
          <w:rFonts w:ascii="Arial" w:cs="Arial" w:eastAsia="Arial" w:hAnsi="Arial"/>
          <w:sz w:val="16"/>
          <w:szCs w:val="16"/>
          <w:color w:val="auto"/>
        </w:rPr>
        <w:t>Gross margin for the three months ended September 29, 2018 was 40.0%, as compared to 39.1% for the three months ended September 30, 2017. The increase was primarily due to favorable changes in product mix within our cellular RF solutions, partially offset by average selling price erosion.</w:t>
      </w:r>
    </w:p>
    <w:p>
      <w:pPr>
        <w:spacing w:after="0" w:line="124" w:lineRule="exact"/>
        <w:rPr>
          <w:sz w:val="20"/>
          <w:szCs w:val="20"/>
          <w:color w:val="auto"/>
        </w:rPr>
      </w:pPr>
    </w:p>
    <w:p>
      <w:pPr>
        <w:ind w:left="60" w:right="180"/>
        <w:spacing w:after="0" w:line="308" w:lineRule="auto"/>
        <w:rPr>
          <w:sz w:val="20"/>
          <w:szCs w:val="20"/>
          <w:color w:val="auto"/>
        </w:rPr>
      </w:pPr>
      <w:r>
        <w:rPr>
          <w:rFonts w:ascii="Arial" w:cs="Arial" w:eastAsia="Arial" w:hAnsi="Arial"/>
          <w:sz w:val="17"/>
          <w:szCs w:val="17"/>
          <w:color w:val="auto"/>
        </w:rPr>
        <w:t>Gross margin for the six months ended September 29, 2018 was 37.4%, as compared to 38.1% for the six months ended September 30, 2017. The decrease was primarily due to average selling price erosion, partially offset by favorable changes in product mix within our cellular RF solutions.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Research and development expense increased for the three months ended September 29, 2018, as compared to the three months ended September 30, 2017, primarily due to higher personnel related costs. Research and development expense was relatively flat for the six months ended September 29, 2018, as compared to the six months ended September 30, 2017, with the timing of product development spend being offset by higher personnel related costs.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 was relatively flat for the three months ended September 29, 2018, as compared to the three months ended September 30, 2017, with higher personnel related costs being offset by lower intangible amortization. Selling, general and administrative expense decreased for the six months ended September 29, 2018, as compared to the six months ended September 30, 2017, primarily due to lower intangible amortization expense.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Other operating expense decreased for the three and six months ended September 29, 2018, as compared to the three and six months ended September 30, 2017, primarily due to a decrease in restructuring charges (primarily related to employee termination benefits and impairment charges on held for sale assets) associated with the cost reduction actions initiated in the second quarter of fiscal 2018. In addition, for the three and six months ended September 29, 2018, as compared to the three and six months ended September 30, 2017, we recorded lower acquisition and integration related costs and start-up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3"/>
                <w:szCs w:val="13"/>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vMerge w:val="restart"/>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666,539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630,397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36,142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196,948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172,892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24,056</w:t>
            </w:r>
          </w:p>
        </w:tc>
        <w:tc>
          <w:tcPr>
            <w:tcW w:w="12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3"/>
                <w:szCs w:val="13"/>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vMerge w:val="restart"/>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1,152,618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1,086,620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65,998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286,119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260,699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25,420</w:t>
            </w:r>
          </w:p>
        </w:tc>
        <w:tc>
          <w:tcPr>
            <w:tcW w:w="12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MP revenue increased for the three and six months ended September 29, 2018, as compared to the three and six months ended September 30, 2017, primarily due to higher demand for our cellular RF solutions in support of customers based in China and our largest end customer.</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MP operating income increased $24.1 million, or 13.9%, for the three months ended September 29, 2018, as compared to the three months ended September 30, 2017, primarily due to higher revenue and higher gross margin. Gross margin was positively impacted by favorable changes in product mix within our cellular RF solutions and higher factory utilization, partially offset by average selling price erosion.</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MP operating income increased $25.4 million, or 9.8%, for the six months ended September 29, 2018, as compared to the six months ended September 30, 2017, primarily due to higher revenue and lower operating expenses, partially offset by lower gross margin. Operating expenses decreased primarily due to timing of product development spend. Gross margin was negatively impacted by average selling price erosion, partially offset by favorable changes in product mix within our cellular RF solutions and higher factory utilization.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9"/>
              </w:rPr>
              <w:t>Increase (Decrease)</w:t>
            </w:r>
          </w:p>
        </w:tc>
        <w:tc>
          <w:tcPr>
            <w:tcW w:w="120" w:type="dxa"/>
            <w:vAlign w:val="bottom"/>
            <w:vMerge w:val="restart"/>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217,904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190,216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27,688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56,311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57,649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580" w:type="dxa"/>
            <w:vAlign w:val="bottom"/>
          </w:tcPr>
          <w:p>
            <w:pPr>
              <w:jc w:val="right"/>
              <w:ind w:right="9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424,495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373,854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50,641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340" w:type="dxa"/>
            <w:vAlign w:val="bottom"/>
          </w:tcPr>
          <w:p>
            <w:pPr>
              <w:jc w:val="right"/>
              <w:ind w:right="117"/>
              <w:spacing w:after="0"/>
              <w:rPr>
                <w:sz w:val="20"/>
                <w:szCs w:val="20"/>
                <w:color w:val="auto"/>
              </w:rPr>
            </w:pPr>
            <w:r>
              <w:rPr>
                <w:rFonts w:ascii="Arial" w:cs="Arial" w:eastAsia="Arial" w:hAnsi="Arial"/>
                <w:sz w:val="18"/>
                <w:szCs w:val="18"/>
                <w:color w:val="auto"/>
              </w:rPr>
              <w:t>111,515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107,235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21"/>
                <w:szCs w:val="21"/>
                <w:color w:val="auto"/>
              </w:rPr>
            </w:pPr>
          </w:p>
        </w:tc>
        <w:tc>
          <w:tcPr>
            <w:tcW w:w="1580" w:type="dxa"/>
            <w:vAlign w:val="bottom"/>
          </w:tcPr>
          <w:p>
            <w:pPr>
              <w:jc w:val="right"/>
              <w:ind w:right="15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IDP revenue increased for the three and six months ended September 29, 2018, as compared to the three and six months ended September 30, 2017, primarily due to higher demand for our base station and Wi-Fi products.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decrease in IDP operating income for the three months ended September 29, 2018, as compared to the three months ended September 30, 2017 was primarily due to lower gross margin and higher operating expenses, partially offset by higher revenue. Gross margin was negatively impacted by lower fab utilization, changes in product mix, and inventory adjustments associated with product quality and end of life products. Operating expenses increased primarily due to higher personnel related costs.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increase in IDP operating income for the six months ended September 29, 2018, as compared to the six months ended September 30, 2017 was primarily due to higher revenue, partially offset by lower gross margin and higher operating expenses. Gross margin was negatively impacted by changes in product mix and inventory adjustments associated with product quality and end of life products. Operating expenses increased primarily due to higher personnel related costs.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Note 9 to the Condensed Consolidated Financial Statements for a reconciliation of segment operating income to the consolidated operating income (loss) for the three and six months ended September 29, 2018 and September 30,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9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29,</w:t>
            </w:r>
          </w:p>
        </w:tc>
        <w:tc>
          <w:tcPr>
            <w:tcW w:w="260" w:type="dxa"/>
            <w:vAlign w:val="bottom"/>
          </w:tcPr>
          <w:p>
            <w:pPr>
              <w:spacing w:after="0"/>
              <w:rPr>
                <w:sz w:val="13"/>
                <w:szCs w:val="13"/>
                <w:color w:val="auto"/>
              </w:rPr>
            </w:pPr>
          </w:p>
        </w:tc>
        <w:tc>
          <w:tcPr>
            <w:tcW w:w="144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1,824</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31,384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9,911</w:t>
            </w:r>
          </w:p>
        </w:tc>
      </w:tr>
      <w:tr>
        <w:trPr>
          <w:trHeight w:val="702"/>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and six months ended September 29, 2018, we recorded interest expense of $10.9 million and $28.0 million, respectively, related to the 2023 Notes, 2025 Notes and the 2026 Notes (which was offset by $1.8 million and $5.3 million of capitalized interest, respectively). During the three and six months ended September 30, 2017, we recorded interest expense of $17.3 million and $34.6 million, respectively, related to the 2023 Notes and 2025 Notes (which was offset by $3.2 million and $8.8 million of capitalized interest, respectively).</w:t>
      </w:r>
    </w:p>
    <w:p>
      <w:pPr>
        <w:spacing w:after="0" w:line="19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the first half of fiscal 2019, we completed the purchase (via tender offer) of $429.2 million and $436.4 million aggregate principal amounts of our 2023 Notes and 2025 Notes, respectively, and we redeemed the remaining $15.3 million aggregate principal amount of our 2023 Notes. In addition, during the second quarter of fiscal 2019 we completed the issuance of $630.0 million aggregate principal amount of our 2026 Notes. Collectively, compared to our long-term debt portfolio at March 31, 2018, these transactions extended the weighted-average maturity of our outstanding senior notes by an additional seventeen months and are expected to decrease our annual interest expense by approximately $25.9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During the three and six months ended September 29, 2018, we recorded a loss on debt extinguishment of $48.8 million and $82.2 million, respectively, primarily as a result of our debt extinguishment activity (see Note 6 of the Notes to the Condensed Consolidated Financial Statements for additional information regarding the tender offers for the 2023 Notes and the 2025 Notes and the redemption of the 2023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22, 2017, the U.S. enacted the Tax Act that instituted fundamental changes to the taxation of multinational corporations, including a reduction in the U.S. federal corporate tax rate from 35% to 21% which became effective as of January 1, 2018, and implemented a territorial tax system. As a result of the Tax Act, we recorded, as of March 31, 2018, a provisional tax expense of $77.3 million, which was comprised of a $116.4 million tax expense related to the one-time transition tax on certain unrepatriated earnings of foreign subsidiaries (the “Transitional Repatriation Tax”), offset by a provisional deferred tax benefit of $39.1 million from the remeasurement of U.S. deferred tax assets and liabilities. As of the end of the second quarter of fiscal 2019, provisional amounts continue to be recorded because certain information related to the computation of earnings and profits, distributable reserves, non-U.S. income taxes paid, and foreign exchange gains and losses related to wholly owned subsidiaries are still being gathered and analyzed; information related to non-wholly owned subsidiaries is not available; and there is evolving information and guidance from federal and state taxing authorities regarding the application and interpretation of the recently enacted legislation. In accordance with current SEC guidance, the Company will finalize its provisional estimates for the impact of the Tax Act in the reporting period in which the accounting is completed, which will not exceed one year from the date of enactment of the Tax Act.</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While as of September 29, 2018 the Company has not completed the accounting for any of the tax effects of tax reform described above, in the first two quarters of fiscal 2019 we recorded a discrete income tax benefit of $15.9 million related to our fiscal 2018 estimated provisional tax expense. This was comprised of an $11.6 million reduction in the provisional Transitional Repatriation Tax and a $4.3 million increase in U.S. deferred tax assets. In addition, provisional amounts are recorded for the impact of the new GILTI and limitations on compensation provisions enacted by the Tax Act, which both became effective for the Company in fiscal 2019. The GILTI provisions result in certain income earned by foreign subsidiaries currently being included in the gross income of the U.S. shareholder.</w:t>
      </w:r>
    </w:p>
    <w:p>
      <w:pPr>
        <w:spacing w:after="0" w:line="19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provision for income taxes for the three and six months ended September 29, 2018 and September 30, 2017 was calculated by applying an estimate of the annual effective tax rate for the full fiscal year to “ordinary” income or loss (pre-tax income or loss excluding unusual or infrequently occurring discrete items) to year-to-date income (loss) to determine the amounts for the three and six months ended September 29, 2018 and September 30, 2017.</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six months ended September 29, 2018, we recorded an income tax expense of $0.8 million and income tax benefit of $31.4 million, respectively, which was comprised primarily of tax benefit related to domestic and international operations generating pre-tax book losses, tax benefit related to the adjustments in the provisional Tax Act estimates, and tax benefit related to the Singapore tax incentive granted during the second quarter, offset by a tax expense related to international operations generating pre-tax book income.</w:t>
      </w:r>
    </w:p>
    <w:p>
      <w:pPr>
        <w:spacing w:after="0" w:line="187"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For the three and six months ended September 30, 2017, income tax benefit was $0.3 million and $9.9 million, respectively, which was comprised primarily of tax benefit related to domestic and international operations generating pre-tax book losses and tax benefit from the adoption of new accounting guidance related to stock compensation, partially offset by tax expense related to international operations generating pre-tax book income and tax expense, for the six months only, from the adoption of new accounting guidance related to intra-entity transfers of assets.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generated by operations is our primary source of liquidity. As of September 29, 2018, we had working capital of approximately $1,157.4 million, including $557.9 million in cash and cash equivalents, compared to working capital of approximately $1,402.5 million at March 31, 2018, including $926.0 million in cash and cash equivalents. The decrease in working capital was primarily due to the retirement of the 2023 Notes and 2025 Notes and the higher share repurchase activity. These amounts were offset by the issuance of the 2026 Notes as well as an increase in accounts receivable as of September 29, 2018 as compared to March 31, 2018.</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$557.9 million of total cash and cash equivalents as of September 29, 2018 includes approximately $462.1 million held by our foreign subsidiaries, of which $361.7 million is held by Qorvo International Pte. Ltd. in Singapore. If the undistributed earnings of our foreign subsidiaries are needed in the U.S., we may be required to accrue and pay state income and/or foreign local withholding taxes to repatriate. Under our current plans, we may repatriate the foreign earnings of Qorvo International Pte. Ltd. and expect to permanently reinvest the undistributed earnings of our other foreign subsidiaries.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During the six months ended September 29, 2018, we repurchased approximately 2.3 million shares of our common stock for approximately $186.7 million under the current and prior share repurchase programs. As of September 29, 2018, $849.2 million remains available for repurchases under our current share repurchase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Operating activities for the six months ended September 29, 2018 generated cash of $289.8 million, compared to $323.5 million for the six months ended September 30, 2017. This year-over-year decrease was primarily due to changes in working capital. Working capital was impacted by increased accounts receivable resulting from higher revenue generated during the last months of the second quarter of fiscal 2019 as compared to the same period of fiscal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$132.8 million for the six months ended September 29, 2018, compared to $215.2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Capital expenditures decreased $78.6 million for the six months ended September 29, 2018, as compared to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primarily due to higher capital expenditures incurred in the first half of fiscal 2018 in support of our premium filter capacity.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financing activities was $523.0 million for the six months ended September 29, 2018, compared to $80.1 million for the six months ended September 30, 2017. This year-over-year increase was primarily due to the retirement of the 2023 Notes and a majority of the 2025 Notes and higher share repurchase activity in the six months ended September 29, 2018. The increase was partially offset by the proceeds from the issuance of the 2026 Notes in the six months ended September 29, 2018.</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Notes Offering 2015</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issued $450.0 million aggregate principal amount of the 2023 Notes and $550.0 million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2025 Notes. The 2023 Notes were, and the 2025 Notes are, senior unsecured obligations of the Company and guaranteed, jointly and severally, by certain of its U.S. subsidiaries (the "Guarantors"). The 2023 Notes and the 2025 Notes were issued pursuant to an indenture dated as of November 19, 2015 containing customary events of default, including payment default, failure to provide certain notices and certain provisions related to bankruptcy events. With respect to the 2023 Notes, interest was payable semi-annually on June 1 and December 1 of each year at a rate of 6.75% per annum, and with respect to the 2025 Notes, interest is payable on June 1 and December 1 of each year at a rate of 7.00% per annum. Interest paid on the 2023 Notes and the 2025 Notes during the three and six months ended September 29, 2018 was $7.3 million and $41.5 million, respectively. Interest paid on the 2023 Notes and the 2025 Notes during the six months ended September 30, 2017 was $34.4 million.</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March 2018, we repurchased $5.5 million of the 2023 Notes at a price equal to 107.50% of the principal amount of the 2023 Notes purchased, plus accrued and unpaid interest, and $1.5 million of the 2025 Notes at a price equal to 109.50% of the principal amount of the 2025 Notes purchased, plus accrued and unpaid interest.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2018, we completed the purchase (via tender offer) of $429.2 million aggregate principal amount of the 2023 Notes at a price equal to 106.75% of the principal amount of the 2023 Notes purchased, plus accrued and unpaid interest. In July 2018, we redeemed the remaining $15.3 million principal amount of the 2023 Notes at a redemption price equal to 100.0% of the principal amount of the 2023 Notes redeemed, plus a make-whole premium and accrued and unpaid interest.</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July 2018, we completed the purchase (via tender offer) of $300.0 million aggregate principal amount of the 2025 Notes at a price equal to 109.63% of the principal amount of the 2025 Notes purchased, plus accrued and unpaid interest. In August 2018, we completed the purchase (via tender offer) of $136.4 million aggregate principal amount of the 2025 Notes at a price equal to 110.00% of the principal amount of the 2025 Notes purchased, plus accrued and unpaid interest. As of September 29, 2018, 2025 Notes with an aggregate principal amount of $112.1 million remained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See Note 6 of the Notes to the Condensed Consolidated Financial Statements for additional information regarding the 2023 Notes and the 2025 Notes.</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Notes Offering 2018</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16, 2018, we completed an offering of $500.0 million aggregate principal amount of our 2026 Notes (the "Initial 2026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28, 2018, we completed an offering of an additional $130.0 million aggregate principal amount of such notes (the "Additional 2026 Notes"). The 2026 Notes were sold in a private offering to certain institutions that then resold the 2026 Notes in the United States to persons reasonably believed to be qualified institutional buyers pursuant to Rule 144A under the Securities Act and to certain non-U.S. persons in accordance with Regulation S under the Securities Act. We used a portion of the net proceeds of the offering of the 2026 Notes to fund the tender offers for the 2025 Notes and to pay related fees and expenses of the offering and will use the remaining net proceeds for general corporate purposes. The 2026 Notes are senior unsecured obligations of the Company and are guaranteed, jointly and severally, by each of the Guarantors. Interest on the 2026 Notes is payable on January 15 and July 15 of each year at a rate of 5.50% per annum.</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Initial 2026 Notes were issued pursuant to an indenture dated as of July 16, 2018 by and among the Company, the Guarantors and MUFG Union Bank, N.A., as trustee, and the Additional 2026 Notes were issued pursuant to a supplemental indenture, dated as of August 28, 2018 (together, the "2018 Indenture"). The 2018 Indenture contains customary events of default, including, among other things, payment default, exchange default, failure to provide certain notices thereunder and certain provisions related to bankruptcy events. The 2018 Indenture also contains customary negative covenants. In connection with the offering of the Initial 2026 Notes and the Additional 2026 Notes, we also entered into registration rights agreements, dated as of July 16, 2018 and August 28, 2018, respectively (see Note 6 of the Notes to the Condensed Consolidated Financial Statements).</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2026 Notes have not been registered under the Securities Act or any state securities laws and may not be offered or sold in the United States absent registration or an applicable exemption from such registration requirements.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2017, we and the Guarantors entered into a five-year unsecured senior credit facility with Bank of America, N.A.,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swing line lender, and L/C issuer, and a syndicate of lenders (the “Credit Agreement”). On the same date, in connection with the execution of the Credit Agreement, we terminated our prior credit agreement, dated April 7, 2015. On June 5, 2018, we and the Guarantors entered into the First Amendment (the "Amendment") to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"Revolving Facility", together with the Term Loan, the "Credit Facility"). On the closing date, $100.0 million of the Term Loan was funded and this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subsequently repaid in March 2018. The remainder of the Term Loan is available, at our discretion, in up to two draws. The Amendment,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things, extended the delayed draw availability period from June 5, 2018 to January 3, 2019. The Revolving Facility includes a $25.0 million sublimit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standby letters of credit and a $10.0 million sublimit for swing line loans. We may request at any time that the Credit Facility be increased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The Credit Facility is available to finance working capital, capital expenditures and other corporate purposes. Our obligations under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are jointly and severally guaranteed by the Guarantors. Outstanding amounts are due in full on the maturity date of December 5, 2022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borrowed under the swing line option due in full no later than ten business days after such loan is made). We had no outstanding amounts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as of September 29, 2018.</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As of September 29, 2018, we were in compliance with all the financial covenants under the Credit Agreement.</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u w:val="single" w:color="auto"/>
          <w:color w:val="auto"/>
        </w:rPr>
        <w:t>Capital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At September 29, 2018, we had capital commitments of approximately $104.2 million primarily related to projects to increase our</w:t>
      </w:r>
      <w:r>
        <w:rPr>
          <w:rFonts w:ascii="Arial" w:cs="Arial" w:eastAsia="Arial" w:hAnsi="Arial"/>
          <w:sz w:val="17"/>
          <w:szCs w:val="17"/>
          <w:i w:val="1"/>
          <w:iCs w:val="1"/>
          <w:color w:val="auto"/>
        </w:rPr>
        <w:t xml:space="preserve"> </w:t>
      </w:r>
      <w:r>
        <w:rPr>
          <w:rFonts w:ascii="Arial" w:cs="Arial" w:eastAsia="Arial" w:hAnsi="Arial"/>
          <w:sz w:val="17"/>
          <w:szCs w:val="17"/>
          <w:color w:val="auto"/>
        </w:rPr>
        <w:t>premium filter capacity, projects for manufacturing cost savings initiatives, equipment replacements and general corporate purposes.</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but not limited to,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second quarter of fiscal 2019. For a discussion of our exposure to market risk, refer to Item 7A, “Quantitative and Qualitative Disclosures About Market Risk,” contained in Qorvo's Annual Report on Form 10-K for the fiscal year ended March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September 29,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31, 2018, which could materially affect our business, financial condition or future results. The risks described in Qorvo's Annual Report on Form 10-K for the fiscal year ended March 31, 2018 are not the only risks that we face. Additional risks and uncertainties not currently known to us or that we currently deem to be immaterial also may materially adversely affect our business, financial condition and/or operating results.</w:t>
      </w:r>
    </w:p>
    <w:p>
      <w:pPr>
        <w:sectPr>
          <w:pgSz w:w="11900" w:h="16838" w:orient="portrait"/>
          <w:cols w:equalWidth="0" w:num="1">
            <w:col w:w="11400"/>
          </w:cols>
          <w:pgMar w:left="240" w:top="121" w:right="259" w:bottom="244"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1" w:right="259" w:bottom="244"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0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240"/>
          </w:cols>
          <w:pgMar w:left="240" w:top="122" w:right="299" w:bottom="1440" w:gutter="0" w:footer="0" w:header="0"/>
          <w:type w:val="continuous"/>
        </w:sectPr>
      </w:pPr>
    </w:p>
    <w:p>
      <w:pPr>
        <w:ind w:left="140"/>
        <w:spacing w:after="0"/>
        <w:rPr>
          <w:sz w:val="20"/>
          <w:szCs w:val="20"/>
          <w:color w:val="auto"/>
        </w:rPr>
      </w:pPr>
      <w:r>
        <w:rPr>
          <w:rFonts w:ascii="Arial" w:cs="Arial" w:eastAsia="Arial" w:hAnsi="Arial"/>
          <w:sz w:val="14"/>
          <w:szCs w:val="14"/>
          <w:color w:val="auto"/>
        </w:rPr>
        <w:t>July 1, 2018 to July 28, 2018</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July 29, 2018 to August 25, 2018</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August 26, 2018 to September 29, 2018</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81.31</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253</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77.67</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78.50</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$935.9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$915.4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$849.2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$849.2 million</w:t>
      </w:r>
    </w:p>
    <w:p>
      <w:pPr>
        <w:spacing w:after="0" w:line="271" w:lineRule="exact"/>
        <w:rPr>
          <w:sz w:val="20"/>
          <w:szCs w:val="20"/>
          <w:color w:val="auto"/>
        </w:rPr>
      </w:pPr>
    </w:p>
    <w:p>
      <w:pPr>
        <w:sectPr>
          <w:pgSz w:w="11900" w:h="16838" w:orient="portrait"/>
          <w:cols w:equalWidth="0" w:num="3">
            <w:col w:w="2900" w:space="720"/>
            <w:col w:w="6100" w:space="720"/>
            <w:col w:w="920"/>
          </w:cols>
          <w:pgMar w:left="240" w:top="122" w:right="299" w:bottom="1440" w:gutter="0" w:footer="0" w:header="0"/>
          <w:type w:val="continuous"/>
        </w:sectPr>
      </w:pP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23, 2018, we announced that our Board of Directors authorized a share repurchase program to repurchase up to $1.0 billion of our outstanding stock, which included approximately $126.3 million authorized under a prior share repurchase program terminated concurrent with the new authorization.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2" w:right="29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right="260" w:hanging="373"/>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69">
        <w:r>
          <w:rPr>
            <w:rFonts w:ascii="Arial" w:cs="Arial" w:eastAsia="Arial" w:hAnsi="Arial"/>
            <w:sz w:val="18"/>
            <w:szCs w:val="18"/>
            <w:u w:val="single" w:color="auto"/>
            <w:color w:val="0000FF"/>
          </w:rPr>
          <w:t>Indenture, dated as of July 16, 2018, among Qorvo, Inc., the Guarantors party thereto and MUFG Union Bank, N.A., as Trustee (incorporated by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reference to Exhibit 4.1 to the Current Report on Form 8-K filed with the SEC on July 16, 2018).</w:t>
        </w:r>
      </w:hyperlink>
    </w:p>
    <w:p>
      <w:pPr>
        <w:spacing w:after="0" w:line="333" w:lineRule="exact"/>
        <w:rPr>
          <w:sz w:val="20"/>
          <w:szCs w:val="20"/>
          <w:color w:val="auto"/>
        </w:rPr>
      </w:pPr>
    </w:p>
    <w:p>
      <w:pPr>
        <w:ind w:left="620" w:right="40" w:hanging="373"/>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70">
        <w:r>
          <w:rPr>
            <w:rFonts w:ascii="Arial" w:cs="Arial" w:eastAsia="Arial" w:hAnsi="Arial"/>
            <w:sz w:val="18"/>
            <w:szCs w:val="18"/>
            <w:u w:val="single" w:color="auto"/>
            <w:color w:val="0000FF"/>
          </w:rPr>
          <w:t>Registration Rights Agreement, dated as of July 16, 2018, among Qorvo, Inc., the Guarantors named therein and Merrill Lynch, Pierce, Fenner &amp;</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Smith Incorporated, as representative of the several Initial Purchasers named therein (incorporated by reference to Exhibit 4.2 to the Current Report</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on Form 8-K filed with the SEC on July 16, 2018).</w:t>
        </w:r>
      </w:hyperlink>
    </w:p>
    <w:p>
      <w:pPr>
        <w:spacing w:after="0" w:line="343" w:lineRule="exact"/>
        <w:rPr>
          <w:rFonts w:ascii="Arial" w:cs="Arial" w:eastAsia="Arial" w:hAnsi="Arial"/>
          <w:sz w:val="18"/>
          <w:szCs w:val="18"/>
          <w:u w:val="single" w:color="auto"/>
          <w:color w:val="0000FF"/>
        </w:rPr>
      </w:pPr>
    </w:p>
    <w:p>
      <w:pPr>
        <w:ind w:left="620" w:right="240" w:hanging="373"/>
        <w:spacing w:after="0" w:line="308"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r:id="rId71">
        <w:r>
          <w:rPr>
            <w:rFonts w:ascii="Arial" w:cs="Arial" w:eastAsia="Arial" w:hAnsi="Arial"/>
            <w:sz w:val="17"/>
            <w:szCs w:val="17"/>
            <w:u w:val="single" w:color="auto"/>
            <w:color w:val="0000FF"/>
          </w:rPr>
          <w:t>Supplemental Indenture, dated as of August 28, 2018, among Qorvo, Inc., the Guarantors party thereto and MUFG Union Bank, N.A., as Trustee</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(incorporated by reference to Exhibit 4.1 to the Current Report on Form 8-K filed with the SEC on August 28, 2018)</w:t>
        </w:r>
      </w:hyperlink>
    </w:p>
    <w:p>
      <w:pPr>
        <w:spacing w:after="0" w:line="309" w:lineRule="exact"/>
        <w:rPr>
          <w:sz w:val="20"/>
          <w:szCs w:val="20"/>
          <w:color w:val="auto"/>
        </w:rPr>
      </w:pPr>
    </w:p>
    <w:p>
      <w:pPr>
        <w:ind w:left="620" w:right="200" w:hanging="373"/>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72">
        <w:r>
          <w:rPr>
            <w:rFonts w:ascii="Arial" w:cs="Arial" w:eastAsia="Arial" w:hAnsi="Arial"/>
            <w:sz w:val="18"/>
            <w:szCs w:val="18"/>
            <w:u w:val="single" w:color="auto"/>
            <w:color w:val="0000FF"/>
          </w:rPr>
          <w:t>Registration Rights Agreement, dated as of August 28, 2018, by and among Qorvo, Inc., the Guarantors named therein and Merrill Lynch, Pierce,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Fenner &amp; Smith Incorporated, as representative of the several Initial Purchasers named therein (incorporated by reference to Exhibit 4.2 to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Current Report on Form 8-K filed with the SEC on August 28, 2018)</w:t>
        </w:r>
      </w:hyperlink>
    </w:p>
    <w:p>
      <w:pPr>
        <w:spacing w:after="0" w:line="343" w:lineRule="exact"/>
        <w:rPr>
          <w:rFonts w:ascii="Arial" w:cs="Arial" w:eastAsia="Arial" w:hAnsi="Arial"/>
          <w:sz w:val="18"/>
          <w:szCs w:val="18"/>
          <w:u w:val="single" w:color="auto"/>
          <w:color w:val="0000FF"/>
        </w:rPr>
      </w:pPr>
    </w:p>
    <w:p>
      <w:pPr>
        <w:ind w:left="620" w:right="420" w:hanging="373"/>
        <w:spacing w:after="0" w:line="308"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r:id="rId73">
        <w:r>
          <w:rPr>
            <w:rFonts w:ascii="Arial" w:cs="Arial" w:eastAsia="Arial" w:hAnsi="Arial"/>
            <w:sz w:val="17"/>
            <w:szCs w:val="17"/>
            <w:u w:val="single" w:color="auto"/>
            <w:color w:val="0000FF"/>
          </w:rPr>
          <w:t>Supplemental Indenture No. 2, dated as of August 28, 2018, among Qorvo, Inc. the Guarantors party thereto and MUFG Union Bank, N.A., as</w:t>
        </w:r>
      </w:hyperlink>
      <w:r>
        <w:rPr>
          <w:rFonts w:ascii="Arial" w:cs="Arial" w:eastAsia="Arial" w:hAnsi="Arial"/>
          <w:sz w:val="17"/>
          <w:szCs w:val="17"/>
          <w:u w:val="single" w:color="auto"/>
          <w:color w:val="0000FF"/>
        </w:rPr>
        <w:t xml:space="preserve"> </w:t>
      </w:r>
      <w:hyperlink r:id="rId73">
        <w:r>
          <w:rPr>
            <w:rFonts w:ascii="Arial" w:cs="Arial" w:eastAsia="Arial" w:hAnsi="Arial"/>
            <w:sz w:val="17"/>
            <w:szCs w:val="17"/>
            <w:u w:val="single" w:color="auto"/>
            <w:color w:val="0000FF"/>
          </w:rPr>
          <w:t>Trustee (incorporated by reference to Exhibit 4.3 to the Current Report on Form 8-K filed with the SEC on August 28, 2018)</w:t>
        </w:r>
      </w:hyperlink>
    </w:p>
    <w:p>
      <w:pPr>
        <w:spacing w:after="0" w:line="309" w:lineRule="exact"/>
        <w:rPr>
          <w:sz w:val="20"/>
          <w:szCs w:val="20"/>
          <w:color w:val="auto"/>
        </w:rPr>
      </w:pPr>
    </w:p>
    <w:p>
      <w:pPr>
        <w:ind w:left="620" w:right="18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24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42">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8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3">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4">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hanging="423"/>
        <w:spacing w:after="0" w:line="255"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September 29, 2018, formatted in XBRL (eXtensible Business Reporting Language): (i) the Condensed Consolidated Balance Sheets as of September 29, 2018 and March 31, 2018; (ii) the Condensed Consolidated Statements of Income for the three and six months ended September 29, 2018 and September 30, 2017; (iii) the Condensed Consolidated Statements of Comprehensive Income (Loss) for the three and six months ended September 29, 2018 and September 30, 2017; (iv) the Condensed Consolidated Statements of Cash Flows for the six months ended September 29, 2018 and September 30, 2017; and (v) the Notes to Condensed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122" w:right="3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20"/>
          </w:cols>
          <w:pgMar w:left="240" w:top="122" w:right="9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2018</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1, 2018</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29,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1, 2018</w:t>
      </w:r>
    </w:p>
    <w:p>
      <w:pPr>
        <w:sectPr>
          <w:pgSz w:w="11900" w:h="16838" w:orient="portrait"/>
          <w:cols w:equalWidth="0" w:num="1">
            <w:col w:w="11400"/>
          </w:cols>
          <w:pgMar w:left="240" w:top="576" w:right="25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September 29, 2018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80" w:hanging="652"/>
        <w:spacing w:after="0" w:line="260" w:lineRule="auto"/>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November 1, 2018</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69" Type="http://schemas.openxmlformats.org/officeDocument/2006/relationships/hyperlink" Target="http://www.sec.gov/Archives/edgar/data/1604778/000160477818000064/qorvo-exhibit41xindenture2.htm" TargetMode="External"/><Relationship Id="rId70" Type="http://schemas.openxmlformats.org/officeDocument/2006/relationships/hyperlink" Target="http://www.sec.gov/Archives/edgar/data/1604778/000160477818000064/qorvo-exhibit42xregistrati.htm" TargetMode="External"/><Relationship Id="rId71" Type="http://schemas.openxmlformats.org/officeDocument/2006/relationships/hyperlink" Target="http://www.sec.gov/Archives/edgar/data/1604778/000160477818000084/exhibit41-supplementalinde.htm" TargetMode="External"/><Relationship Id="rId72" Type="http://schemas.openxmlformats.org/officeDocument/2006/relationships/hyperlink" Target="http://www.sec.gov/Archives/edgar/data/1604778/000160477818000084/exhibit42-registrationrigh.htm" TargetMode="External"/><Relationship Id="rId73" Type="http://schemas.openxmlformats.org/officeDocument/2006/relationships/hyperlink" Target="http://www.sec.gov/Archives/edgar/data/1604778/000160477818000084/exhibit43-supplementali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2019-12-28T18:41:01Z</dcterms:created>
  <dcterms:modified xsi:type="dcterms:W3CDTF">2019-12-28T18:41:01Z</dcterms:modified>
</cp:coreProperties>
</file>