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CREVISTON STEVEN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Connectivity &amp; Sensors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7"/>
        <w:gridCol w:w="917"/>
        <w:gridCol w:w="785"/>
        <w:gridCol w:w="660"/>
        <w:gridCol w:w="300"/>
        <w:gridCol w:w="1027"/>
        <w:gridCol w:w="454"/>
        <w:gridCol w:w="619"/>
        <w:gridCol w:w="1169"/>
        <w:gridCol w:w="100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18,717</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133,358</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(1)(2)(3)</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133,358</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 Under the terms of the Merger Agreement, the number of shares of Qorvo common stock subject to any Accelerated Qorvo RSU or Adjusted RSU Award (each as defined below) held by the Reporting Person that remained subject to performance-based vesting conditions was deemed achieved at the greater of target and actual performance levels.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(ii) each outstanding restricted stock unit award corresponding to shares of Qorvo common stock (each, a "Qorvo RSU Award") held by the Reporting Person that was (A) vested but not yet settled as of immediately prior to the Effective Time or (cont. in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Due to a character limitation, footnote 3 is a continuation of footnote 2: (B) by its terms became vested in all respects as a result of the occurrence of the Closing (as defined in the Merger Agreement) (each, an "Accelerated Qorvo RSU") was cancelled in consideration for the right to receive (x) the Merger Consideration in respect of each share of Qorvo common stock then subject thereto and (y) an amount in cash equal to all dividend equivalents accrued but unpaid with respect thereto, and (iii) each Qorvo RSU Award held by the Reporting Person that was not an Accelerated Qorvo RSU (each, an "Adjusted RSU Award") was assumed by Skyworks and converted into a time-based restricted stock unit award covering a number of shares of Skyworks common stock determined by multiplying (A) the number of shares of Qorvo common stock then subject thereto by (B) the Conversion Ratio (as defined in the Merger Agreement), with any fractional shares rounded to the nearest whole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3929"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965</Words>
  <Characters>5119</Characters>
  <CharactersWithSpaces>6006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