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5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 the quarterly period ended December 31, 2016</w:t>
      </w:r>
    </w:p>
    <w:p>
      <w:pPr>
        <w:spacing w:after="0" w:line="63" w:lineRule="exact"/>
        <w:rPr>
          <w:sz w:val="24"/>
          <w:szCs w:val="24"/>
          <w:color w:val="auto"/>
        </w:rPr>
      </w:pPr>
    </w:p>
    <w:p>
      <w:pPr>
        <w:ind w:left="6120"/>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56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55880</wp:posOffset>
            </wp:positionV>
            <wp:extent cx="192976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976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4320" w:type="dxa"/>
            <w:vAlign w:val="bottom"/>
          </w:tcPr>
          <w:p>
            <w:pPr>
              <w:jc w:val="center"/>
              <w:ind w:right="2050"/>
              <w:spacing w:after="0"/>
              <w:rPr>
                <w:sz w:val="20"/>
                <w:szCs w:val="20"/>
                <w:color w:val="auto"/>
              </w:rPr>
            </w:pPr>
            <w:r>
              <w:rPr>
                <w:rFonts w:ascii="Arial" w:cs="Arial" w:eastAsia="Arial" w:hAnsi="Arial"/>
                <w:sz w:val="18"/>
                <w:szCs w:val="18"/>
                <w:b w:val="1"/>
                <w:bCs w:val="1"/>
                <w:color w:val="auto"/>
                <w:w w:val="93"/>
              </w:rPr>
              <w:t>Delaware</w:t>
            </w:r>
          </w:p>
        </w:tc>
        <w:tc>
          <w:tcPr>
            <w:tcW w:w="3480" w:type="dxa"/>
            <w:vAlign w:val="bottom"/>
          </w:tcPr>
          <w:p>
            <w:pPr>
              <w:jc w:val="center"/>
              <w:ind w:left="2050"/>
              <w:spacing w:after="0"/>
              <w:rPr>
                <w:sz w:val="20"/>
                <w:szCs w:val="20"/>
                <w:color w:val="auto"/>
              </w:rPr>
            </w:pPr>
            <w:r>
              <w:rPr>
                <w:rFonts w:ascii="Arial" w:cs="Arial" w:eastAsia="Arial" w:hAnsi="Arial"/>
                <w:sz w:val="18"/>
                <w:szCs w:val="18"/>
                <w:b w:val="1"/>
                <w:bCs w:val="1"/>
                <w:color w:val="auto"/>
                <w:w w:val="89"/>
              </w:rPr>
              <w:t>46-5288992</w:t>
            </w:r>
          </w:p>
        </w:tc>
      </w:tr>
      <w:tr>
        <w:trPr>
          <w:trHeight w:val="256"/>
        </w:trPr>
        <w:tc>
          <w:tcPr>
            <w:tcW w:w="4320" w:type="dxa"/>
            <w:vAlign w:val="bottom"/>
          </w:tcPr>
          <w:p>
            <w:pPr>
              <w:jc w:val="center"/>
              <w:ind w:right="2050"/>
              <w:spacing w:after="0"/>
              <w:rPr>
                <w:sz w:val="20"/>
                <w:szCs w:val="20"/>
                <w:color w:val="auto"/>
              </w:rPr>
            </w:pPr>
            <w:r>
              <w:rPr>
                <w:rFonts w:ascii="Arial" w:cs="Arial" w:eastAsia="Arial" w:hAnsi="Arial"/>
                <w:sz w:val="18"/>
                <w:szCs w:val="18"/>
                <w:color w:val="auto"/>
                <w:w w:val="93"/>
              </w:rPr>
              <w:t>(State or other jurisdiction of</w:t>
            </w:r>
          </w:p>
        </w:tc>
        <w:tc>
          <w:tcPr>
            <w:tcW w:w="3480" w:type="dxa"/>
            <w:vAlign w:val="bottom"/>
          </w:tcPr>
          <w:p>
            <w:pPr>
              <w:jc w:val="center"/>
              <w:ind w:left="2050"/>
              <w:spacing w:after="0"/>
              <w:rPr>
                <w:sz w:val="20"/>
                <w:szCs w:val="20"/>
                <w:color w:val="auto"/>
              </w:rPr>
            </w:pPr>
            <w:r>
              <w:rPr>
                <w:rFonts w:ascii="Arial" w:cs="Arial" w:eastAsia="Arial" w:hAnsi="Arial"/>
                <w:sz w:val="18"/>
                <w:szCs w:val="18"/>
                <w:color w:val="auto"/>
                <w:w w:val="92"/>
              </w:rPr>
              <w:t>(I.R.S. Employer</w:t>
            </w:r>
          </w:p>
        </w:tc>
      </w:tr>
      <w:tr>
        <w:trPr>
          <w:trHeight w:val="230"/>
        </w:trPr>
        <w:tc>
          <w:tcPr>
            <w:tcW w:w="4320" w:type="dxa"/>
            <w:vAlign w:val="bottom"/>
          </w:tcPr>
          <w:p>
            <w:pPr>
              <w:jc w:val="center"/>
              <w:ind w:right="2050"/>
              <w:spacing w:after="0"/>
              <w:rPr>
                <w:sz w:val="20"/>
                <w:szCs w:val="20"/>
                <w:color w:val="auto"/>
              </w:rPr>
            </w:pPr>
            <w:r>
              <w:rPr>
                <w:rFonts w:ascii="Arial" w:cs="Arial" w:eastAsia="Arial" w:hAnsi="Arial"/>
                <w:sz w:val="18"/>
                <w:szCs w:val="18"/>
                <w:color w:val="auto"/>
                <w:w w:val="93"/>
              </w:rPr>
              <w:t>incorporation or organization)</w:t>
            </w:r>
          </w:p>
        </w:tc>
        <w:tc>
          <w:tcPr>
            <w:tcW w:w="3480" w:type="dxa"/>
            <w:vAlign w:val="bottom"/>
          </w:tcPr>
          <w:p>
            <w:pPr>
              <w:jc w:val="center"/>
              <w:ind w:left="2050"/>
              <w:spacing w:after="0"/>
              <w:rPr>
                <w:sz w:val="20"/>
                <w:szCs w:val="20"/>
                <w:color w:val="auto"/>
              </w:rPr>
            </w:pPr>
            <w:r>
              <w:rPr>
                <w:rFonts w:ascii="Arial" w:cs="Arial" w:eastAsia="Arial" w:hAnsi="Arial"/>
                <w:sz w:val="18"/>
                <w:szCs w:val="18"/>
                <w:color w:val="auto"/>
                <w:w w:val="95"/>
              </w:rPr>
              <w:t>Identification No.)</w:t>
            </w:r>
          </w:p>
        </w:tc>
      </w:tr>
    </w:tbl>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7628 Thorndike Road, Greensboro, North Carolina 27409-9421</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(Zip Code)</w:t>
      </w: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(336) 664-1233</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22"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2540" w:right="520" w:hanging="4577"/>
        <w:spacing w:after="0" w:line="267" w:lineRule="exact"/>
        <w:tabs>
          <w:tab w:leader="none" w:pos="25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96" w:lineRule="exact"/>
        <w:rPr>
          <w:sz w:val="20"/>
          <w:szCs w:val="20"/>
          <w:color w:val="auto"/>
        </w:rPr>
      </w:pPr>
    </w:p>
    <w:p>
      <w:pPr>
        <w:ind w:right="1039"/>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January 25, 2017, there were 126,452,577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500" w:type="dxa"/>
            <w:vAlign w:val="bottom"/>
            <w:gridSpan w:val="20"/>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340" w:type="dxa"/>
            <w:vAlign w:val="bottom"/>
            <w:gridSpan w:val="8"/>
          </w:tcPr>
          <w:p>
            <w:pPr>
              <w:jc w:val="center"/>
              <w:ind w:right="3220"/>
              <w:spacing w:after="0"/>
              <w:rPr>
                <w:sz w:val="20"/>
                <w:szCs w:val="20"/>
                <w:color w:val="auto"/>
              </w:rPr>
            </w:pPr>
            <w:r>
              <w:rPr>
                <w:rFonts w:ascii="Arial" w:cs="Arial" w:eastAsia="Arial" w:hAnsi="Arial"/>
                <w:sz w:val="18"/>
                <w:szCs w:val="18"/>
                <w:b w:val="1"/>
                <w:bCs w:val="1"/>
                <w:color w:val="auto"/>
                <w:w w:val="99"/>
              </w:rPr>
              <w:t>QORVO, INC. AND SUBSIDIARIES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gridSpan w:val="6"/>
          </w:tcPr>
          <w:p>
            <w:pPr>
              <w:jc w:val="center"/>
              <w:ind w:right="4420"/>
              <w:spacing w:after="0"/>
              <w:rPr>
                <w:sz w:val="20"/>
                <w:szCs w:val="20"/>
                <w:color w:val="auto"/>
              </w:rPr>
            </w:pPr>
            <w:r>
              <w:rPr>
                <w:rFonts w:ascii="Arial" w:cs="Arial" w:eastAsia="Arial" w:hAnsi="Arial"/>
                <w:sz w:val="18"/>
                <w:szCs w:val="18"/>
                <w:b w:val="1"/>
                <w:bCs w:val="1"/>
                <w:color w:val="auto"/>
              </w:rPr>
              <w:t>INDEX</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7"/>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30"/>
        </w:trPr>
        <w:tc>
          <w:tcPr>
            <w:tcW w:w="60" w:type="dxa"/>
            <w:vAlign w:val="bottom"/>
          </w:tcPr>
          <w:p>
            <w:pPr>
              <w:spacing w:after="0"/>
              <w:rPr>
                <w:sz w:val="19"/>
                <w:szCs w:val="19"/>
                <w:color w:val="auto"/>
              </w:rPr>
            </w:pPr>
          </w:p>
        </w:tc>
        <w:tc>
          <w:tcPr>
            <w:tcW w:w="10440" w:type="dxa"/>
            <w:vAlign w:val="bottom"/>
            <w:gridSpan w:val="19"/>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 FINANCIAL INFORMATION</w:t>
              </w:r>
            </w:hyperlink>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7"/>
        </w:trPr>
        <w:tc>
          <w:tcPr>
            <w:tcW w:w="60" w:type="dxa"/>
            <w:vAlign w:val="bottom"/>
          </w:tcPr>
          <w:p>
            <w:pPr>
              <w:spacing w:after="0"/>
              <w:rPr>
                <w:sz w:val="24"/>
                <w:szCs w:val="24"/>
                <w:color w:val="auto"/>
              </w:rPr>
            </w:pPr>
          </w:p>
        </w:tc>
        <w:tc>
          <w:tcPr>
            <w:tcW w:w="3220" w:type="dxa"/>
            <w:vAlign w:val="bottom"/>
            <w:tcBorders>
              <w:top w:val="single" w:sz="8" w:color="0000FF"/>
            </w:tcBorders>
            <w:gridSpan w:val="10"/>
          </w:tcPr>
          <w:p>
            <w:pPr>
              <w:spacing w:after="0"/>
              <w:rPr>
                <w:rFonts w:ascii="Arial" w:cs="Arial" w:eastAsia="Arial" w:hAnsi="Arial"/>
                <w:sz w:val="18"/>
                <w:szCs w:val="18"/>
                <w:b w:val="1"/>
                <w:bCs w:val="1"/>
                <w:color w:val="0000FF"/>
                <w:w w:val="90"/>
              </w:rPr>
            </w:pPr>
            <w:hyperlink w:anchor="page4">
              <w:r>
                <w:rPr>
                  <w:rFonts w:ascii="Arial" w:cs="Arial" w:eastAsia="Arial" w:hAnsi="Arial"/>
                  <w:sz w:val="18"/>
                  <w:szCs w:val="18"/>
                  <w:b w:val="1"/>
                  <w:bCs w:val="1"/>
                  <w:color w:val="0000FF"/>
                  <w:w w:val="90"/>
                </w:rPr>
                <w:t xml:space="preserve">Item 1. Financial Statements </w:t>
              </w:r>
            </w:hyperlink>
            <w:r>
              <w:rPr>
                <w:rFonts w:ascii="Arial" w:cs="Arial" w:eastAsia="Arial" w:hAnsi="Arial"/>
                <w:sz w:val="18"/>
                <w:szCs w:val="18"/>
                <w:b w:val="1"/>
                <w:bCs w:val="1"/>
                <w:color w:val="0000FF"/>
                <w:w w:val="90"/>
              </w:rPr>
              <w:t>(Unaudited).</w:t>
            </w:r>
          </w:p>
        </w:tc>
        <w:tc>
          <w:tcPr>
            <w:tcW w:w="7220" w:type="dxa"/>
            <w:vAlign w:val="bottom"/>
            <w:gridSpan w:val="9"/>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December 31, 2016 and April 2, 2016</w:t>
              </w:r>
            </w:hyperlink>
          </w:p>
        </w:tc>
        <w:tc>
          <w:tcPr>
            <w:tcW w:w="9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for the three and nine months ended December 31, 2016 and January 2, 2016</w:t>
              </w:r>
            </w:hyperlink>
          </w:p>
        </w:tc>
        <w:tc>
          <w:tcPr>
            <w:tcW w:w="1080" w:type="dxa"/>
            <w:vAlign w:val="bottom"/>
            <w:gridSpan w:val="2"/>
          </w:tcPr>
          <w:p>
            <w:pPr>
              <w:spacing w:after="0"/>
              <w:rPr>
                <w:sz w:val="21"/>
                <w:szCs w:val="21"/>
                <w:color w:val="auto"/>
              </w:rPr>
            </w:pPr>
          </w:p>
        </w:tc>
        <w:tc>
          <w:tcPr>
            <w:tcW w:w="8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20" w:type="dxa"/>
            <w:vAlign w:val="bottom"/>
            <w:gridSpan w:val="18"/>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Comprehensive Loss for the three and nine months ended December 31, 2016 and January 2, 2016</w:t>
              </w:r>
            </w:hyperlink>
          </w:p>
        </w:tc>
        <w:tc>
          <w:tcPr>
            <w:tcW w:w="90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6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nine months ended December 31, 2016 and January 2, 2016</w:t>
              </w:r>
            </w:hyperlink>
          </w:p>
        </w:tc>
        <w:tc>
          <w:tcPr>
            <w:tcW w:w="360" w:type="dxa"/>
            <w:vAlign w:val="bottom"/>
          </w:tcPr>
          <w:p>
            <w:pPr>
              <w:spacing w:after="0"/>
              <w:rPr>
                <w:sz w:val="21"/>
                <w:szCs w:val="21"/>
                <w:color w:val="auto"/>
              </w:rPr>
            </w:pPr>
          </w:p>
        </w:tc>
        <w:tc>
          <w:tcPr>
            <w:tcW w:w="80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580" w:type="dxa"/>
            <w:vAlign w:val="bottom"/>
            <w:tcBorders>
              <w:top w:val="single" w:sz="8" w:color="0000EE"/>
            </w:tcBorders>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1740" w:type="dxa"/>
            <w:vAlign w:val="bottom"/>
            <w:gridSpan w:val="3"/>
          </w:tcPr>
          <w:p>
            <w:pPr>
              <w:spacing w:after="0"/>
              <w:rPr>
                <w:sz w:val="21"/>
                <w:szCs w:val="21"/>
                <w:color w:val="auto"/>
              </w:rPr>
            </w:pPr>
          </w:p>
        </w:tc>
        <w:tc>
          <w:tcPr>
            <w:tcW w:w="80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7440" w:type="dxa"/>
            <w:vAlign w:val="bottom"/>
            <w:gridSpan w:val="15"/>
          </w:tcPr>
          <w:p>
            <w:pPr>
              <w:spacing w:after="0"/>
              <w:rPr>
                <w:rFonts w:ascii="Arial" w:cs="Arial" w:eastAsia="Arial" w:hAnsi="Arial"/>
                <w:sz w:val="18"/>
                <w:szCs w:val="18"/>
                <w:b w:val="1"/>
                <w:bCs w:val="1"/>
                <w:color w:val="0000FF"/>
                <w:w w:val="89"/>
              </w:rPr>
            </w:pPr>
            <w:hyperlink w:anchor="page26">
              <w:r>
                <w:rPr>
                  <w:rFonts w:ascii="Arial" w:cs="Arial" w:eastAsia="Arial" w:hAnsi="Arial"/>
                  <w:sz w:val="18"/>
                  <w:szCs w:val="18"/>
                  <w:b w:val="1"/>
                  <w:bCs w:val="1"/>
                  <w:color w:val="0000FF"/>
                  <w:w w:val="89"/>
                </w:rPr>
                <w:t>Item 2. Management's Discussion and Analysis of Financial Condition and Results of Operations.</w:t>
              </w:r>
            </w:hyperlink>
          </w:p>
        </w:tc>
        <w:tc>
          <w:tcPr>
            <w:tcW w:w="3000" w:type="dxa"/>
            <w:vAlign w:val="bottom"/>
            <w:gridSpan w:val="4"/>
          </w:tcPr>
          <w:p>
            <w:pPr>
              <w:spacing w:after="0"/>
              <w:rPr>
                <w:sz w:val="24"/>
                <w:szCs w:val="24"/>
                <w:color w:val="auto"/>
              </w:rPr>
            </w:pPr>
          </w:p>
        </w:tc>
        <w:tc>
          <w:tcPr>
            <w:tcW w:w="90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80" w:type="dxa"/>
            <w:vAlign w:val="bottom"/>
            <w:gridSpan w:val="13"/>
          </w:tcPr>
          <w:p>
            <w:pPr>
              <w:spacing w:after="0"/>
              <w:rPr>
                <w:rFonts w:ascii="Arial" w:cs="Arial" w:eastAsia="Arial" w:hAnsi="Arial"/>
                <w:sz w:val="18"/>
                <w:szCs w:val="18"/>
                <w:b w:val="1"/>
                <w:bCs w:val="1"/>
                <w:color w:val="0000FF"/>
                <w:w w:val="91"/>
              </w:rPr>
            </w:pPr>
            <w:hyperlink w:anchor="page34">
              <w:r>
                <w:rPr>
                  <w:rFonts w:ascii="Arial" w:cs="Arial" w:eastAsia="Arial" w:hAnsi="Arial"/>
                  <w:sz w:val="18"/>
                  <w:szCs w:val="18"/>
                  <w:b w:val="1"/>
                  <w:bCs w:val="1"/>
                  <w:color w:val="0000FF"/>
                  <w:w w:val="91"/>
                </w:rPr>
                <w:t>Item 3. Quantitative and Qualitative Disclosures About Market Risk.</w:t>
              </w:r>
            </w:hyperlink>
          </w:p>
        </w:tc>
        <w:tc>
          <w:tcPr>
            <w:tcW w:w="2160" w:type="dxa"/>
            <w:vAlign w:val="bottom"/>
            <w:gridSpan w:val="2"/>
          </w:tcPr>
          <w:p>
            <w:pPr>
              <w:spacing w:after="0"/>
              <w:rPr>
                <w:sz w:val="21"/>
                <w:szCs w:val="21"/>
                <w:color w:val="auto"/>
              </w:rPr>
            </w:pPr>
          </w:p>
        </w:tc>
        <w:tc>
          <w:tcPr>
            <w:tcW w:w="3000" w:type="dxa"/>
            <w:vAlign w:val="bottom"/>
            <w:gridSpan w:val="4"/>
          </w:tcPr>
          <w:p>
            <w:pPr>
              <w:spacing w:after="0"/>
              <w:rPr>
                <w:sz w:val="21"/>
                <w:szCs w:val="21"/>
                <w:color w:val="auto"/>
              </w:rPr>
            </w:pPr>
          </w:p>
        </w:tc>
        <w:tc>
          <w:tcPr>
            <w:tcW w:w="90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520" w:type="dxa"/>
            <w:vAlign w:val="bottom"/>
            <w:gridSpan w:val="7"/>
          </w:tcPr>
          <w:p>
            <w:pPr>
              <w:spacing w:after="0"/>
              <w:rPr>
                <w:rFonts w:ascii="Arial" w:cs="Arial" w:eastAsia="Arial" w:hAnsi="Arial"/>
                <w:sz w:val="18"/>
                <w:szCs w:val="18"/>
                <w:b w:val="1"/>
                <w:bCs w:val="1"/>
                <w:color w:val="0000FF"/>
                <w:w w:val="88"/>
              </w:rPr>
            </w:pPr>
            <w:hyperlink w:anchor="page34">
              <w:r>
                <w:rPr>
                  <w:rFonts w:ascii="Arial" w:cs="Arial" w:eastAsia="Arial" w:hAnsi="Arial"/>
                  <w:sz w:val="18"/>
                  <w:szCs w:val="18"/>
                  <w:b w:val="1"/>
                  <w:bCs w:val="1"/>
                  <w:color w:val="0000FF"/>
                  <w:w w:val="88"/>
                </w:rPr>
                <w:t>Item 4. Controls and Procedures.</w:t>
              </w:r>
            </w:hyperlink>
          </w:p>
        </w:tc>
        <w:tc>
          <w:tcPr>
            <w:tcW w:w="2760" w:type="dxa"/>
            <w:vAlign w:val="bottom"/>
            <w:gridSpan w:val="6"/>
          </w:tcPr>
          <w:p>
            <w:pPr>
              <w:spacing w:after="0"/>
              <w:rPr>
                <w:sz w:val="21"/>
                <w:szCs w:val="21"/>
                <w:color w:val="auto"/>
              </w:rPr>
            </w:pPr>
          </w:p>
        </w:tc>
        <w:tc>
          <w:tcPr>
            <w:tcW w:w="5160" w:type="dxa"/>
            <w:vAlign w:val="bottom"/>
            <w:gridSpan w:val="6"/>
          </w:tcPr>
          <w:p>
            <w:pPr>
              <w:spacing w:after="0"/>
              <w:rPr>
                <w:sz w:val="21"/>
                <w:szCs w:val="21"/>
                <w:color w:val="auto"/>
              </w:rPr>
            </w:pPr>
          </w:p>
        </w:tc>
        <w:tc>
          <w:tcPr>
            <w:tcW w:w="90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0440" w:type="dxa"/>
            <w:vAlign w:val="bottom"/>
            <w:gridSpan w:val="19"/>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PART II — OTHER INFORMATION</w:t>
              </w:r>
            </w:hyperlink>
          </w:p>
        </w:tc>
        <w:tc>
          <w:tcPr>
            <w:tcW w:w="90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2920" w:type="dxa"/>
            <w:vAlign w:val="bottom"/>
            <w:gridSpan w:val="8"/>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Item 1A. Risk Factors.</w:t>
              </w:r>
            </w:hyperlink>
          </w:p>
        </w:tc>
        <w:tc>
          <w:tcPr>
            <w:tcW w:w="7520" w:type="dxa"/>
            <w:vAlign w:val="bottom"/>
            <w:gridSpan w:val="11"/>
          </w:tcPr>
          <w:p>
            <w:pPr>
              <w:spacing w:after="0"/>
              <w:rPr>
                <w:sz w:val="24"/>
                <w:szCs w:val="24"/>
                <w:color w:val="auto"/>
              </w:rPr>
            </w:pPr>
          </w:p>
        </w:tc>
        <w:tc>
          <w:tcPr>
            <w:tcW w:w="90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2"/>
          </w:tcPr>
          <w:p>
            <w:pPr>
              <w:spacing w:after="0"/>
              <w:rPr>
                <w:sz w:val="20"/>
                <w:szCs w:val="20"/>
                <w:color w:val="auto"/>
              </w:rPr>
            </w:pPr>
            <w:r>
              <w:rPr>
                <w:rFonts w:ascii="Arial" w:cs="Arial" w:eastAsia="Arial" w:hAnsi="Arial"/>
                <w:sz w:val="18"/>
                <w:szCs w:val="18"/>
                <w:b w:val="1"/>
                <w:bCs w:val="1"/>
                <w:color w:val="0000FF"/>
                <w:w w:val="88"/>
              </w:rPr>
              <w:t>Item 2. Unregistered Sales of Equity Securities and Use of Proceeds.</w:t>
            </w:r>
          </w:p>
        </w:tc>
        <w:tc>
          <w:tcPr>
            <w:tcW w:w="5260" w:type="dxa"/>
            <w:vAlign w:val="bottom"/>
            <w:gridSpan w:val="7"/>
          </w:tcPr>
          <w:p>
            <w:pPr>
              <w:spacing w:after="0"/>
              <w:rPr>
                <w:sz w:val="21"/>
                <w:szCs w:val="21"/>
                <w:color w:val="auto"/>
              </w:rPr>
            </w:pPr>
          </w:p>
        </w:tc>
        <w:tc>
          <w:tcPr>
            <w:tcW w:w="90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0" w:type="dxa"/>
            <w:vAlign w:val="bottom"/>
            <w:gridSpan w:val="7"/>
            <w:shd w:val="clear" w:color="auto" w:fill="0000FF"/>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2"/>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6. Exhibits.</w:t>
              </w:r>
            </w:hyperlink>
          </w:p>
        </w:tc>
        <w:tc>
          <w:tcPr>
            <w:tcW w:w="5260" w:type="dxa"/>
            <w:vAlign w:val="bottom"/>
            <w:gridSpan w:val="7"/>
          </w:tcPr>
          <w:p>
            <w:pPr>
              <w:spacing w:after="0"/>
              <w:rPr>
                <w:sz w:val="21"/>
                <w:szCs w:val="21"/>
                <w:color w:val="auto"/>
              </w:rPr>
            </w:pPr>
          </w:p>
        </w:tc>
        <w:tc>
          <w:tcPr>
            <w:tcW w:w="90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60" w:type="dxa"/>
            <w:vAlign w:val="bottom"/>
            <w:gridSpan w:val="1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140" w:type="dxa"/>
            <w:vAlign w:val="bottom"/>
            <w:gridSpan w:val="3"/>
          </w:tcPr>
          <w:p>
            <w:pPr>
              <w:spacing w:after="0"/>
              <w:rPr>
                <w:rFonts w:ascii="Arial" w:cs="Arial" w:eastAsia="Arial" w:hAnsi="Arial"/>
                <w:sz w:val="18"/>
                <w:szCs w:val="18"/>
                <w:b w:val="1"/>
                <w:bCs w:val="1"/>
                <w:color w:val="0000FF"/>
                <w:w w:val="94"/>
              </w:rPr>
            </w:pPr>
            <w:hyperlink w:anchor="page37">
              <w:r>
                <w:rPr>
                  <w:rFonts w:ascii="Arial" w:cs="Arial" w:eastAsia="Arial" w:hAnsi="Arial"/>
                  <w:sz w:val="18"/>
                  <w:szCs w:val="18"/>
                  <w:b w:val="1"/>
                  <w:bCs w:val="1"/>
                  <w:color w:val="0000FF"/>
                  <w:w w:val="94"/>
                </w:rPr>
                <w:t>SIGNATURES</w:t>
              </w:r>
            </w:hyperlink>
          </w:p>
        </w:tc>
        <w:tc>
          <w:tcPr>
            <w:tcW w:w="100" w:type="dxa"/>
            <w:vAlign w:val="bottom"/>
          </w:tcPr>
          <w:p>
            <w:pPr>
              <w:spacing w:after="0"/>
              <w:rPr>
                <w:sz w:val="24"/>
                <w:szCs w:val="24"/>
                <w:color w:val="auto"/>
              </w:rPr>
            </w:pPr>
          </w:p>
        </w:tc>
        <w:tc>
          <w:tcPr>
            <w:tcW w:w="9200" w:type="dxa"/>
            <w:vAlign w:val="bottom"/>
            <w:gridSpan w:val="15"/>
          </w:tcPr>
          <w:p>
            <w:pPr>
              <w:spacing w:after="0"/>
              <w:rPr>
                <w:sz w:val="24"/>
                <w:szCs w:val="24"/>
                <w:color w:val="auto"/>
              </w:rPr>
            </w:pPr>
          </w:p>
        </w:tc>
        <w:tc>
          <w:tcPr>
            <w:tcW w:w="90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60" w:type="dxa"/>
            <w:vAlign w:val="bottom"/>
            <w:gridSpan w:val="1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440" w:type="dxa"/>
            <w:vAlign w:val="bottom"/>
            <w:gridSpan w:val="19"/>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EXHIBIT INDEX</w:t>
              </w:r>
            </w:hyperlink>
          </w:p>
        </w:tc>
        <w:tc>
          <w:tcPr>
            <w:tcW w:w="90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r>
      <w:tr>
        <w:trPr>
          <w:trHeight w:val="507"/>
        </w:trPr>
        <w:tc>
          <w:tcPr>
            <w:tcW w:w="60" w:type="dxa"/>
            <w:vAlign w:val="bottom"/>
          </w:tcPr>
          <w:p>
            <w:pPr>
              <w:spacing w:after="0"/>
              <w:rPr>
                <w:sz w:val="24"/>
                <w:szCs w:val="24"/>
                <w:color w:val="auto"/>
              </w:rPr>
            </w:pPr>
          </w:p>
        </w:tc>
        <w:tc>
          <w:tcPr>
            <w:tcW w:w="1380" w:type="dxa"/>
            <w:vAlign w:val="bottom"/>
            <w:tcBorders>
              <w:top w:val="single" w:sz="8" w:color="0000FF"/>
            </w:tcBorders>
            <w:gridSpan w:val="5"/>
          </w:tcPr>
          <w:p>
            <w:pPr>
              <w:spacing w:after="0"/>
              <w:rPr>
                <w:sz w:val="24"/>
                <w:szCs w:val="24"/>
                <w:color w:val="auto"/>
              </w:rPr>
            </w:pPr>
          </w:p>
        </w:tc>
        <w:tc>
          <w:tcPr>
            <w:tcW w:w="4820" w:type="dxa"/>
            <w:vAlign w:val="bottom"/>
            <w:gridSpan w:val="9"/>
          </w:tcPr>
          <w:p>
            <w:pPr>
              <w:jc w:val="center"/>
              <w:ind w:left="3630"/>
              <w:spacing w:after="0"/>
              <w:rPr>
                <w:sz w:val="20"/>
                <w:szCs w:val="20"/>
                <w:color w:val="auto"/>
              </w:rPr>
            </w:pPr>
            <w:r>
              <w:rPr>
                <w:rFonts w:ascii="Arial" w:cs="Arial" w:eastAsia="Arial" w:hAnsi="Arial"/>
                <w:sz w:val="18"/>
                <w:szCs w:val="18"/>
                <w:color w:val="auto"/>
                <w:w w:val="99"/>
              </w:rPr>
              <w:t>2</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2016</w:t>
            </w:r>
          </w:p>
        </w:tc>
        <w:tc>
          <w:tcPr>
            <w:tcW w:w="280" w:type="dxa"/>
            <w:vAlign w:val="bottom"/>
          </w:tcPr>
          <w:p>
            <w:pPr>
              <w:spacing w:after="0"/>
              <w:rPr>
                <w:sz w:val="16"/>
                <w:szCs w:val="16"/>
                <w:color w:val="auto"/>
              </w:rPr>
            </w:pPr>
          </w:p>
        </w:tc>
        <w:tc>
          <w:tcPr>
            <w:tcW w:w="1420" w:type="dxa"/>
            <w:vAlign w:val="bottom"/>
          </w:tcPr>
          <w:p>
            <w:pPr>
              <w:jc w:val="right"/>
              <w:ind w:right="371"/>
              <w:spacing w:after="0"/>
              <w:rPr>
                <w:sz w:val="20"/>
                <w:szCs w:val="20"/>
                <w:color w:val="auto"/>
              </w:rPr>
            </w:pPr>
            <w:r>
              <w:rPr>
                <w:rFonts w:ascii="Arial" w:cs="Arial" w:eastAsia="Arial" w:hAnsi="Arial"/>
                <w:sz w:val="14"/>
                <w:szCs w:val="14"/>
                <w:b w:val="1"/>
                <w:bCs w:val="1"/>
                <w:color w:val="auto"/>
              </w:rPr>
              <w:t>April 2, 2016</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8"/>
                <w:szCs w:val="18"/>
                <w:i w:val="1"/>
                <w:iCs w:val="1"/>
                <w:color w:val="auto"/>
              </w:rPr>
              <w:t>(Note 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425,881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8"/>
                <w:szCs w:val="18"/>
                <w:i w:val="1"/>
                <w:iCs w:val="1"/>
                <w:color w:val="auto"/>
              </w:rPr>
              <w:t>(Note 7)</w:t>
            </w: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186,808</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Accounts receivable, less allowance of $85 and $143 as of December 31, 2016 and April 2, 2016,</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421,100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316,356</w:t>
            </w: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8"/>
                <w:szCs w:val="18"/>
                <w:i w:val="1"/>
                <w:iCs w:val="1"/>
                <w:color w:val="auto"/>
              </w:rPr>
              <w:t>(Note 3)</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404,617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427,551</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63,850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82,266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47,380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41,384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1,487,917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1,509,210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Property and equipment, net of accumulated depreciation of $871,441 at December 31, 2016 and $751,898</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at April 2, 2016</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1,335,767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1,046,888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8"/>
                <w:szCs w:val="18"/>
                <w:i w:val="1"/>
                <w:iCs w:val="1"/>
                <w:color w:val="auto"/>
              </w:rPr>
              <w:t>(Note 4)</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2,173,914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2,135,697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assets, net </w:t>
            </w:r>
            <w:r>
              <w:rPr>
                <w:rFonts w:ascii="Arial" w:cs="Arial" w:eastAsia="Arial" w:hAnsi="Arial"/>
                <w:sz w:val="18"/>
                <w:szCs w:val="18"/>
                <w:i w:val="1"/>
                <w:iCs w:val="1"/>
                <w:color w:val="auto"/>
              </w:rPr>
              <w:t>(Note 4)</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1,534,098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1,812,515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(Note 7)</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34,733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26,050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66,459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6,624,911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6,596,819</w:t>
            </w:r>
          </w:p>
        </w:tc>
      </w:tr>
      <w:tr>
        <w:trPr>
          <w:trHeight w:val="67"/>
        </w:trPr>
        <w:tc>
          <w:tcPr>
            <w:tcW w:w="79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287,953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205,364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136,999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137,889</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Other current liabilities </w:t>
            </w:r>
            <w:r>
              <w:rPr>
                <w:rFonts w:ascii="Arial" w:cs="Arial" w:eastAsia="Arial" w:hAnsi="Arial"/>
                <w:sz w:val="18"/>
                <w:szCs w:val="18"/>
                <w:i w:val="1"/>
                <w:iCs w:val="1"/>
                <w:color w:val="auto"/>
              </w:rPr>
              <w:t>(Note 6)</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123,644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30,548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548,596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373,801</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8"/>
                <w:szCs w:val="18"/>
                <w:i w:val="1"/>
                <w:iCs w:val="1"/>
                <w:color w:val="auto"/>
              </w:rPr>
              <w:t>(Note 5)</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988,886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988,130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Deferred tax liabilities </w:t>
            </w:r>
            <w:r>
              <w:rPr>
                <w:rFonts w:ascii="Arial" w:cs="Arial" w:eastAsia="Arial" w:hAnsi="Arial"/>
                <w:sz w:val="18"/>
                <w:szCs w:val="18"/>
                <w:i w:val="1"/>
                <w:iCs w:val="1"/>
                <w:color w:val="auto"/>
              </w:rPr>
              <w:t>(Note 6)</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139,253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152,160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85,060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83,056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1,761,795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1,597,147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$.0001 par value; 5,000 shares authorized; no shares issued and outstanding</w:t>
            </w: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Common stock and additional paid-in capital, $.0001 par value; 405,000 shares authorized; 126,331</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4"/>
              </w:rPr>
              <w:t>and 127,386 shares issued and outstanding at December 31, 2016 and April 2, 2016,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5,378,944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5,442,613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(3,133)</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(512,274)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(439,808)</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4,863,116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4,999,672</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6,624,911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6,596,819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122" w:right="239" w:bottom="1440" w:gutter="0" w:footer="0" w:header="0"/>
        </w:sect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2109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4920"/>
        <w:spacing w:after="0"/>
        <w:tabs>
          <w:tab w:leader="none" w:pos="6720" w:val="left"/>
        </w:tabs>
        <w:rPr>
          <w:sz w:val="20"/>
          <w:szCs w:val="20"/>
          <w:color w:val="auto"/>
        </w:rPr>
      </w:pPr>
      <w:r>
        <w:rPr>
          <w:rFonts w:ascii="Arial" w:cs="Arial" w:eastAsia="Arial" w:hAnsi="Arial"/>
          <w:sz w:val="14"/>
          <w:szCs w:val="14"/>
          <w:b w:val="1"/>
          <w:bCs w:val="1"/>
          <w:color w:val="auto"/>
        </w:rPr>
        <w:t>December 31, 2016</w:t>
      </w:r>
      <w:r>
        <w:rPr>
          <w:sz w:val="20"/>
          <w:szCs w:val="20"/>
          <w:color w:val="auto"/>
        </w:rPr>
        <w:tab/>
      </w:r>
      <w:r>
        <w:rPr>
          <w:rFonts w:ascii="Arial" w:cs="Arial" w:eastAsia="Arial" w:hAnsi="Arial"/>
          <w:sz w:val="12"/>
          <w:szCs w:val="12"/>
          <w:b w:val="1"/>
          <w:bCs w:val="1"/>
          <w:color w:val="auto"/>
        </w:rPr>
        <w:t>January 2, 2016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23495</wp:posOffset>
            </wp:positionV>
            <wp:extent cx="2092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b w:val="1"/>
          <w:bCs w:val="1"/>
          <w:color w:val="auto"/>
        </w:rPr>
        <w:t>December 31, 2016</w:t>
      </w:r>
      <w:r>
        <w:rPr>
          <w:sz w:val="20"/>
          <w:szCs w:val="20"/>
          <w:color w:val="auto"/>
        </w:rPr>
        <w:tab/>
      </w:r>
      <w:r>
        <w:rPr>
          <w:rFonts w:ascii="Arial" w:cs="Arial" w:eastAsia="Arial" w:hAnsi="Arial"/>
          <w:sz w:val="13"/>
          <w:szCs w:val="13"/>
          <w:b w:val="1"/>
          <w:bCs w:val="1"/>
          <w:color w:val="auto"/>
        </w:rPr>
        <w:t>January 2, 2016</w:t>
      </w:r>
    </w:p>
    <w:p>
      <w:pPr>
        <w:spacing w:after="0" w:line="25" w:lineRule="exact"/>
        <w:rPr>
          <w:sz w:val="20"/>
          <w:szCs w:val="20"/>
          <w:color w:val="auto"/>
        </w:rPr>
      </w:pPr>
    </w:p>
    <w:p>
      <w:pPr>
        <w:sectPr>
          <w:pgSz w:w="11900" w:h="16838" w:orient="portrait"/>
          <w:cols w:equalWidth="0" w:num="2">
            <w:col w:w="7700" w:space="640"/>
            <w:col w:w="30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826,347</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620,681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2,389,582</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2,002,657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4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515,705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389,693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1,485,666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1,207,304</w:t>
            </w:r>
          </w:p>
        </w:tc>
      </w:tr>
      <w:tr>
        <w:trPr>
          <w:trHeight w:val="27"/>
        </w:trPr>
        <w:tc>
          <w:tcPr>
            <w:tcW w:w="47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310,642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230,988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903,916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795,353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355,166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341,495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130,672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126,294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412,850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407,016</w:t>
            </w:r>
          </w:p>
        </w:tc>
      </w:tr>
      <w:tr>
        <w:trPr>
          <w:trHeight w:val="27"/>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w:t>
            </w:r>
          </w:p>
        </w:tc>
        <w:tc>
          <w:tcPr>
            <w:tcW w:w="4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11,915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43,351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249,261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244,201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791,401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791,862</w:t>
            </w:r>
          </w:p>
        </w:tc>
      </w:tr>
      <w:tr>
        <w:trPr>
          <w:trHeight w:val="27"/>
        </w:trPr>
        <w:tc>
          <w:tcPr>
            <w:tcW w:w="47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8"/>
                <w:szCs w:val="18"/>
                <w:i w:val="1"/>
                <w:iCs w:val="1"/>
                <w:color w:val="auto"/>
              </w:rPr>
              <w:t>(Note 5)</w:t>
            </w: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(45,205)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(8,876)</w:t>
            </w:r>
          </w:p>
        </w:tc>
      </w:tr>
      <w:tr>
        <w:trPr>
          <w:trHeight w:val="27"/>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3,861</w:t>
            </w:r>
          </w:p>
        </w:tc>
      </w:tr>
      <w:tr>
        <w:trPr>
          <w:trHeight w:val="27"/>
        </w:trPr>
        <w:tc>
          <w:tcPr>
            <w:tcW w:w="47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18"/>
        </w:trPr>
        <w:tc>
          <w:tcPr>
            <w:tcW w:w="47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4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44,541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64,593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18"/>
                <w:szCs w:val="18"/>
                <w:i w:val="1"/>
                <w:iCs w:val="1"/>
                <w:color w:val="auto"/>
              </w:rPr>
              <w:t>(Note 6)</w:t>
            </w: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(123,179)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9,874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(137,059)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(4,502)</w:t>
            </w:r>
          </w:p>
        </w:tc>
      </w:tr>
      <w:tr>
        <w:trPr>
          <w:trHeight w:val="27"/>
        </w:trPr>
        <w:tc>
          <w:tcPr>
            <w:tcW w:w="47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(78,638)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(72,466)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loss per share </w:t>
            </w:r>
            <w:r>
              <w:rPr>
                <w:rFonts w:ascii="Arial" w:cs="Arial" w:eastAsia="Arial" w:hAnsi="Arial"/>
                <w:sz w:val="18"/>
                <w:szCs w:val="18"/>
                <w:i w:val="1"/>
                <w:iCs w:val="1"/>
                <w:color w:val="auto"/>
              </w:rPr>
              <w:t>(Note 2):</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67"/>
        </w:trPr>
        <w:tc>
          <w:tcPr>
            <w:tcW w:w="47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 xml:space="preserve">Weighted average shares of common stock outstanding </w:t>
            </w:r>
            <w:r>
              <w:rPr>
                <w:rFonts w:ascii="Arial" w:cs="Arial" w:eastAsia="Arial" w:hAnsi="Arial"/>
                <w:sz w:val="18"/>
                <w:szCs w:val="18"/>
                <w:i w:val="1"/>
                <w:iCs w:val="1"/>
                <w:color w:val="auto"/>
                <w:w w:val="94"/>
              </w:rPr>
              <w:t>(Note</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2):</w:t>
            </w:r>
          </w:p>
        </w:tc>
        <w:tc>
          <w:tcPr>
            <w:tcW w:w="4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126,852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139,343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127,313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144,936</w:t>
            </w:r>
          </w:p>
        </w:tc>
      </w:tr>
      <w:tr>
        <w:trPr>
          <w:trHeight w:val="27"/>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126,852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139,343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127,313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144,936</w:t>
            </w:r>
          </w:p>
        </w:tc>
      </w:tr>
      <w:tr>
        <w:trPr>
          <w:trHeight w:val="27"/>
        </w:trPr>
        <w:tc>
          <w:tcPr>
            <w:tcW w:w="4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 2016</w:t>
            </w: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22"/>
                <w:szCs w:val="22"/>
                <w:color w:val="auto"/>
              </w:rPr>
            </w:pPr>
          </w:p>
        </w:tc>
        <w:tc>
          <w:tcPr>
            <w:tcW w:w="120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January 2, 2016</w:t>
            </w:r>
          </w:p>
        </w:tc>
      </w:tr>
      <w:tr>
        <w:trPr>
          <w:trHeight w:val="27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(78,638)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(72,466)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gain on marketable securities, net of tax</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w:t>
            </w: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w w:val="99"/>
              </w:rPr>
              <w:t>Foreign currency translation adjustment, including intra-entity foreign</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currency transactions that are of a long-term-investment nature</w:t>
            </w:r>
          </w:p>
        </w:tc>
        <w:tc>
          <w:tcPr>
            <w:tcW w:w="100" w:type="dxa"/>
            <w:vAlign w:val="bottom"/>
          </w:tcPr>
          <w:p>
            <w:pPr>
              <w:spacing w:after="0"/>
              <w:rPr>
                <w:sz w:val="20"/>
                <w:szCs w:val="20"/>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20"/>
              <w:spacing w:after="0"/>
              <w:rPr>
                <w:sz w:val="20"/>
                <w:szCs w:val="20"/>
                <w:color w:val="auto"/>
              </w:rPr>
            </w:pPr>
            <w:r>
              <w:rPr>
                <w:rFonts w:ascii="Arial" w:cs="Arial" w:eastAsia="Arial" w:hAnsi="Arial"/>
                <w:sz w:val="18"/>
                <w:szCs w:val="18"/>
                <w:color w:val="auto"/>
              </w:rPr>
              <w:t>Realized gain on marketable securities</w:t>
            </w:r>
          </w:p>
        </w:tc>
        <w:tc>
          <w:tcPr>
            <w:tcW w:w="1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(1,975)</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w:t>
            </w: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2016</w:t>
            </w:r>
          </w:p>
        </w:tc>
        <w:tc>
          <w:tcPr>
            <w:tcW w:w="240" w:type="dxa"/>
            <w:vAlign w:val="bottom"/>
          </w:tcPr>
          <w:p>
            <w:pPr>
              <w:spacing w:after="0"/>
              <w:rPr>
                <w:sz w:val="22"/>
                <w:szCs w:val="22"/>
                <w:color w:val="auto"/>
              </w:rPr>
            </w:pPr>
          </w:p>
        </w:tc>
        <w:tc>
          <w:tcPr>
            <w:tcW w:w="1460" w:type="dxa"/>
            <w:vAlign w:val="bottom"/>
          </w:tcPr>
          <w:p>
            <w:pPr>
              <w:jc w:val="right"/>
              <w:ind w:right="270"/>
              <w:spacing w:after="0"/>
              <w:rPr>
                <w:sz w:val="20"/>
                <w:szCs w:val="20"/>
                <w:color w:val="auto"/>
              </w:rPr>
            </w:pPr>
            <w:r>
              <w:rPr>
                <w:rFonts w:ascii="Arial" w:cs="Arial" w:eastAsia="Arial" w:hAnsi="Arial"/>
                <w:sz w:val="14"/>
                <w:szCs w:val="14"/>
                <w:b w:val="1"/>
                <w:bCs w:val="1"/>
                <w:color w:val="auto"/>
              </w:rPr>
              <w:t>January 2, 2016</w:t>
            </w: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(72,466)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(4,643)</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153,286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137,329</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and other non-cash items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365,932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379,587</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Excess tax benefit from exercises of stock options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(19,053)</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Foreign currency adjustments</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586</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(gain) on investments and other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73,291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114,208</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(100,374)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56,867</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(64,997)</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Prepaid expenses and other current and non-current assets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(8,628)</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(37,679)</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Income tax payable / (recoverable)</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86,873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(5,435)</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(15,945)</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529,749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528,233</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(386,955)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(231,154)</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Purchase of a business, net of cash acquired </w:t>
            </w:r>
            <w:r>
              <w:rPr>
                <w:rFonts w:ascii="Arial" w:cs="Arial" w:eastAsia="Arial" w:hAnsi="Arial"/>
                <w:sz w:val="18"/>
                <w:szCs w:val="18"/>
                <w:i w:val="1"/>
                <w:iCs w:val="1"/>
                <w:color w:val="auto"/>
              </w:rPr>
              <w:t>(Note 4)</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available-for-sale securities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(343,466)</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186,793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391,522</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Other investing activities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668</w:t>
            </w: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(182,430)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debt issuances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1,125,000</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Payment of debt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(125,000)</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(12,890)</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Excess tax benefit from exercises of stock options</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339</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40,474</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Repurchase of common stock, including transaction costs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(158,491)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(800,009)</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(21,303)</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Other financing activities</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206,698</w:t>
            </w:r>
          </w:p>
        </w:tc>
      </w:tr>
      <w:tr>
        <w:trPr>
          <w:trHeight w:val="169"/>
        </w:trPr>
        <w:tc>
          <w:tcPr>
            <w:tcW w:w="80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69,930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551,783</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425,881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299,814</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495,811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851,597</w:t>
            </w:r>
          </w:p>
        </w:tc>
      </w:tr>
      <w:tr>
        <w:trPr>
          <w:trHeight w:val="67"/>
        </w:trPr>
        <w:tc>
          <w:tcPr>
            <w:tcW w:w="80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31"/>
        </w:trPr>
        <w:tc>
          <w:tcPr>
            <w:tcW w:w="8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Non-cash investing information:</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Capital expenditure adjustments included in Accounts payable and 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59,491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32,683</w:t>
            </w:r>
          </w:p>
        </w:tc>
      </w:tr>
    </w:tbl>
    <w:p>
      <w:pPr>
        <w:spacing w:after="0" w:line="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accompanying Condensed Consolidated Financial Statements of Qorvo, Inc. and Subsidiaries (together, the "Company" or "Qorvo") have been prepared in conformity with accounting principles generally accepted in the United States. The preparation of these financial statements requires management to make estimates and assumptions, which could differ materially from actual results. In addition, certain information or footnote disclosures normally included in financial statements prepared in accordance with accounting principles generally accepted in the United States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April 2, 2016.</w:t>
      </w:r>
    </w:p>
    <w:p>
      <w:pPr>
        <w:spacing w:after="0" w:line="1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February 22, 2014, RF Micro Devices, Inc. (“RFMD”) entered into an Agreement and Plan of Merger and Reorganization as subsequently amended on July 15, 2014 (the "Merger Agreement"), with TriQuint Semiconductor, Inc. ("TriQuint") providing for the combination of RFMD and TriQuint in a merger of equals (the "Business Combination") under a new holding company named Qorvo, Inc. The transactions contemplated by the Merger Agreement were consummated on January 1, 2015.</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Fiscal 2017 is a 52-week year and the three and nine months ended December 31, 2016 included 13 and 39 weeks, respectively. Comparatively, fiscal 2016 was a 53-week year and the three and nine months ended January 2, 2016 included 13 and 40 weeks,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 2016</w:t>
            </w:r>
          </w:p>
        </w:tc>
        <w:tc>
          <w:tcPr>
            <w:tcW w:w="18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Pr>
          <w:p>
            <w:pPr>
              <w:spacing w:after="0"/>
              <w:rPr>
                <w:sz w:val="22"/>
                <w:szCs w:val="22"/>
                <w:color w:val="auto"/>
              </w:rPr>
            </w:pPr>
          </w:p>
        </w:tc>
        <w:tc>
          <w:tcPr>
            <w:tcW w:w="1380" w:type="dxa"/>
            <w:vAlign w:val="bottom"/>
          </w:tcPr>
          <w:p>
            <w:pPr>
              <w:jc w:val="right"/>
              <w:ind w:right="213"/>
              <w:spacing w:after="0"/>
              <w:rPr>
                <w:sz w:val="20"/>
                <w:szCs w:val="20"/>
                <w:color w:val="auto"/>
              </w:rPr>
            </w:pPr>
            <w:r>
              <w:rPr>
                <w:rFonts w:ascii="Arial" w:cs="Arial" w:eastAsia="Arial" w:hAnsi="Arial"/>
                <w:sz w:val="14"/>
                <w:szCs w:val="14"/>
                <w:b w:val="1"/>
                <w:bCs w:val="1"/>
                <w:color w:val="auto"/>
              </w:rPr>
              <w:t>January 2, 2016</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5"/>
              </w:rPr>
              <w:t>Numerator for basic and diluted net loss per share — net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(78,638)</w:t>
            </w:r>
          </w:p>
        </w:tc>
        <w:tc>
          <w:tcPr>
            <w:tcW w:w="10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(11,127)</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(72,466)</w:t>
            </w:r>
          </w:p>
        </w:tc>
        <w:tc>
          <w:tcPr>
            <w:tcW w:w="10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loss available to common stockholders</w:t>
            </w:r>
          </w:p>
        </w:tc>
        <w:tc>
          <w:tcPr>
            <w:tcW w:w="160" w:type="dxa"/>
            <w:vAlign w:val="bottom"/>
            <w:tcBorders>
              <w:bottom w:val="single" w:sz="8" w:color="auto"/>
            </w:tcBorders>
            <w:vMerge w:val="continue"/>
          </w:tcPr>
          <w:p>
            <w:pPr>
              <w:spacing w:after="0"/>
              <w:rPr>
                <w:sz w:val="24"/>
                <w:szCs w:val="24"/>
                <w:color w:val="auto"/>
              </w:rPr>
            </w:pPr>
          </w:p>
        </w:tc>
        <w:tc>
          <w:tcPr>
            <w:tcW w:w="1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Denominator for basic net loss per share — weighted</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540"/>
              <w:spacing w:after="0"/>
              <w:rPr>
                <w:sz w:val="20"/>
                <w:szCs w:val="20"/>
                <w:color w:val="auto"/>
              </w:rPr>
            </w:pPr>
            <w:r>
              <w:rPr>
                <w:rFonts w:ascii="Arial" w:cs="Arial" w:eastAsia="Arial" w:hAnsi="Arial"/>
                <w:sz w:val="18"/>
                <w:szCs w:val="18"/>
                <w:color w:val="auto"/>
              </w:rPr>
              <w:t>average shares</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126,852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139,343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127,313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144,936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Stock-based awards</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Denominator for diluted net loss per share — adjusted weighted</w:t>
            </w:r>
          </w:p>
        </w:tc>
        <w:tc>
          <w:tcPr>
            <w:tcW w:w="1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126,852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139,343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127,313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144,936</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shares and assumed conversions</w:t>
            </w: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net loss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the computation of diluted net loss per share for the three and nine months ended December 31, 2016 and January 2, 2016, all outstanding options were excluded because the effect of their inclusion would have been anti-dilutive.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Inventories are stated at the lower of cost or market based on standard costs which approximates actual average costs. The components of inventories, net of reserves, are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Pr>
          <w:p>
            <w:pPr>
              <w:spacing w:after="0"/>
              <w:rPr>
                <w:sz w:val="16"/>
                <w:szCs w:val="16"/>
                <w:color w:val="auto"/>
              </w:rPr>
            </w:pPr>
          </w:p>
        </w:tc>
        <w:tc>
          <w:tcPr>
            <w:tcW w:w="1120" w:type="dxa"/>
            <w:vAlign w:val="bottom"/>
          </w:tcPr>
          <w:p>
            <w:pPr>
              <w:jc w:val="right"/>
              <w:ind w:right="194"/>
              <w:spacing w:after="0"/>
              <w:rPr>
                <w:sz w:val="20"/>
                <w:szCs w:val="20"/>
                <w:color w:val="auto"/>
              </w:rPr>
            </w:pPr>
            <w:r>
              <w:rPr>
                <w:rFonts w:ascii="Arial" w:cs="Arial" w:eastAsia="Arial" w:hAnsi="Arial"/>
                <w:sz w:val="14"/>
                <w:szCs w:val="14"/>
                <w:b w:val="1"/>
                <w:bCs w:val="1"/>
                <w:color w:val="auto"/>
                <w:w w:val="99"/>
              </w:rPr>
              <w:t>April 2, 2016</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89,928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180,735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228,626</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108,997</w:t>
            </w: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404,617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427,551</w:t>
            </w:r>
          </w:p>
        </w:tc>
      </w:tr>
      <w:tr>
        <w:trPr>
          <w:trHeight w:val="27"/>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goodwill for the nine months ended December 31, 2016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Mobile Products</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Infrastructure and</w:t>
            </w:r>
          </w:p>
        </w:tc>
        <w:tc>
          <w:tcPr>
            <w:tcW w:w="300" w:type="dxa"/>
            <w:vAlign w:val="bottom"/>
          </w:tcPr>
          <w:p>
            <w:pPr>
              <w:spacing w:after="0"/>
              <w:rPr>
                <w:sz w:val="14"/>
                <w:szCs w:val="14"/>
                <w:color w:val="auto"/>
              </w:rPr>
            </w:pPr>
          </w:p>
        </w:tc>
        <w:tc>
          <w:tcPr>
            <w:tcW w:w="10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Defense Products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April 2,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1,751,503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2,135,697</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38,217</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1,751,503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2,173,914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29, 2016, the Company completed the acquisition of GreenPeak Technologies, B.V. ("GreenPeak"), a leader in ultra-low power, short range radio frequency ("RF") communication technology, for a purchase price of $118.7 million. The acquisition expanded the Company's offerings to include integrated RF solutions and systems-on-a-chip ("SoCs") for the connected home and the Internet of Things ("IoT"). The acquisition resulted in initial goodwill of $39.2 million and an increase in intangible assets of $82.1 million. A Business Combination adjustment reduced goodwill by $1.0 million. The more significant intangible assets acquired were developed technology of $74.2 million (which is being amortized over 7 years) and customer relationships of $5.6 million (which is being amortized over 3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information regarding the gross carrying amounts and accumulated amortization of intangible assets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4"/>
                <w:szCs w:val="14"/>
                <w:b w:val="1"/>
                <w:bCs w:val="1"/>
                <w:color w:val="auto"/>
              </w:rPr>
              <w:t>December 31, 2016</w:t>
            </w: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953"/>
              <w:spacing w:after="0"/>
              <w:rPr>
                <w:sz w:val="20"/>
                <w:szCs w:val="20"/>
                <w:color w:val="auto"/>
              </w:rPr>
            </w:pPr>
            <w:r>
              <w:rPr>
                <w:rFonts w:ascii="Arial" w:cs="Arial" w:eastAsia="Arial" w:hAnsi="Arial"/>
                <w:sz w:val="14"/>
                <w:szCs w:val="14"/>
                <w:b w:val="1"/>
                <w:bCs w:val="1"/>
                <w:color w:val="auto"/>
              </w:rPr>
              <w:t>April 2, 2016</w:t>
            </w: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center"/>
              <w:ind w:right="236"/>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2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1160" w:type="dxa"/>
            <w:vAlign w:val="bottom"/>
          </w:tcPr>
          <w:p>
            <w:pPr>
              <w:jc w:val="center"/>
              <w:ind w:right="236"/>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2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1,272,725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586,816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1,267,103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377,357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Developed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1,209,335</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420,554</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915,163</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277,736</w:t>
            </w:r>
          </w:p>
        </w:tc>
        <w:tc>
          <w:tcPr>
            <w:tcW w:w="0" w:type="dxa"/>
            <w:vAlign w:val="bottom"/>
          </w:tcPr>
          <w:p>
            <w:pPr>
              <w:spacing w:after="0"/>
              <w:rPr>
                <w:sz w:val="1"/>
                <w:szCs w:val="1"/>
                <w:color w:val="auto"/>
              </w:rPr>
            </w:pPr>
          </w:p>
        </w:tc>
      </w:tr>
      <w:tr>
        <w:trPr>
          <w:trHeight w:val="243"/>
        </w:trPr>
        <w:tc>
          <w:tcPr>
            <w:tcW w:w="3240" w:type="dxa"/>
            <w:vAlign w:val="bottom"/>
          </w:tcPr>
          <w:p>
            <w:pPr>
              <w:ind w:left="36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65,000</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65,000</w:t>
            </w:r>
          </w:p>
        </w:tc>
        <w:tc>
          <w:tcPr>
            <w:tcW w:w="3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65,000</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29,353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19,451</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29,000</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0" w:type="dxa"/>
            <w:vAlign w:val="bottom"/>
          </w:tcPr>
          <w:p>
            <w:pPr>
              <w:spacing w:after="0"/>
              <w:rPr>
                <w:sz w:val="1"/>
                <w:szCs w:val="1"/>
                <w:color w:val="auto"/>
              </w:rPr>
            </w:pPr>
          </w:p>
        </w:tc>
      </w:tr>
      <w:tr>
        <w:trPr>
          <w:trHeight w:val="243"/>
        </w:trPr>
        <w:tc>
          <w:tcPr>
            <w:tcW w:w="3240" w:type="dxa"/>
            <w:vAlign w:val="bottom"/>
          </w:tcPr>
          <w:p>
            <w:pPr>
              <w:ind w:left="380"/>
              <w:spacing w:after="0"/>
              <w:rPr>
                <w:sz w:val="20"/>
                <w:szCs w:val="20"/>
                <w:color w:val="auto"/>
              </w:rPr>
            </w:pPr>
            <w:r>
              <w:rPr>
                <w:rFonts w:ascii="Arial" w:cs="Arial" w:eastAsia="Arial" w:hAnsi="Arial"/>
                <w:sz w:val="18"/>
                <w:szCs w:val="18"/>
                <w:color w:val="auto"/>
              </w:rPr>
              <w:t>Wafer supply agreement</w:t>
            </w:r>
          </w:p>
        </w:tc>
        <w:tc>
          <w:tcPr>
            <w:tcW w:w="28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20,443</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20,443</w:t>
            </w:r>
          </w:p>
        </w:tc>
        <w:tc>
          <w:tcPr>
            <w:tcW w:w="3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20,443</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20,443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licenses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13,346</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11,524</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12,446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11,021</w:t>
            </w:r>
          </w:p>
        </w:tc>
        <w:tc>
          <w:tcPr>
            <w:tcW w:w="0" w:type="dxa"/>
            <w:vAlign w:val="bottom"/>
          </w:tcPr>
          <w:p>
            <w:pPr>
              <w:spacing w:after="0"/>
              <w:rPr>
                <w:sz w:val="1"/>
                <w:szCs w:val="1"/>
                <w:color w:val="auto"/>
              </w:rPr>
            </w:pPr>
          </w:p>
        </w:tc>
      </w:tr>
      <w:tr>
        <w:trPr>
          <w:trHeight w:val="243"/>
        </w:trPr>
        <w:tc>
          <w:tcPr>
            <w:tcW w:w="3240" w:type="dxa"/>
            <w:vAlign w:val="bottom"/>
          </w:tcPr>
          <w:p>
            <w:pPr>
              <w:ind w:left="360"/>
              <w:spacing w:after="0"/>
              <w:rPr>
                <w:sz w:val="20"/>
                <w:szCs w:val="20"/>
                <w:color w:val="auto"/>
              </w:rPr>
            </w:pPr>
            <w:r>
              <w:rPr>
                <w:rFonts w:ascii="Arial" w:cs="Arial" w:eastAsia="Arial" w:hAnsi="Arial"/>
                <w:sz w:val="18"/>
                <w:szCs w:val="18"/>
                <w:color w:val="auto"/>
              </w:rPr>
              <w:t>Non-compete agreement</w:t>
            </w:r>
          </w:p>
        </w:tc>
        <w:tc>
          <w:tcPr>
            <w:tcW w:w="28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1,026</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342</w:t>
            </w:r>
          </w:p>
        </w:tc>
        <w:tc>
          <w:tcPr>
            <w:tcW w:w="3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In-process research and development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47,000</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267,000</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2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2,658,228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1,124,130</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2,576,155</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763,640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21" w:right="31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third quarter of fiscal 2017, $220.0 million of in-process research and development assets were completed, transferred to finite-lived intangible assets and are being amortized over their useful lives of 4 years.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intangible assets amortization expense was $122.0 million and $361.2 million for the three and nine months ended December 31, 2016, respectively, and $128.5 million and $379.8 million for the three and nine months ended January 2,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Based on identified intangible assets as of December 31, 2016, we expect amortization expense for each period to be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67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Expense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494,032</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gridSpan w:val="2"/>
          </w:tcPr>
          <w:p>
            <w:pPr>
              <w:ind w:left="11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542,621</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455,451</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gridSpan w:val="2"/>
          </w:tcPr>
          <w:p>
            <w:pPr>
              <w:ind w:left="11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206,986</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155,525</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5. DEBT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color w:val="auto"/>
              </w:rPr>
              <w:t>Debt as of December 31, 2016 and April 2, 2016 is as follows (in thousands):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20" w:type="dxa"/>
            <w:vAlign w:val="bottom"/>
            <w:tcBorders>
              <w:bottom w:val="single" w:sz="8" w:color="CCEEFF"/>
            </w:tcBorders>
          </w:tcPr>
          <w:p>
            <w:pPr>
              <w:spacing w:after="0"/>
              <w:rPr>
                <w:sz w:val="24"/>
                <w:szCs w:val="24"/>
                <w:color w:val="auto"/>
              </w:rPr>
            </w:pPr>
          </w:p>
        </w:tc>
        <w:tc>
          <w:tcPr>
            <w:tcW w:w="67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w w:val="96"/>
              </w:rPr>
              <w:t>December 31, 2016</w:t>
            </w: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April 2, 2016</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6.75% Senior Notes due 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450,000</w:t>
            </w:r>
          </w:p>
        </w:tc>
        <w:tc>
          <w:tcPr>
            <w:tcW w:w="74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43"/>
        </w:trPr>
        <w:tc>
          <w:tcPr>
            <w:tcW w:w="7860" w:type="dxa"/>
            <w:vAlign w:val="bottom"/>
            <w:gridSpan w:val="2"/>
          </w:tcPr>
          <w:p>
            <w:pPr>
              <w:ind w:left="40"/>
              <w:spacing w:after="0"/>
              <w:rPr>
                <w:sz w:val="20"/>
                <w:szCs w:val="20"/>
                <w:color w:val="auto"/>
              </w:rPr>
            </w:pPr>
            <w:r>
              <w:rPr>
                <w:rFonts w:ascii="Arial" w:cs="Arial" w:eastAsia="Arial" w:hAnsi="Arial"/>
                <w:sz w:val="18"/>
                <w:szCs w:val="18"/>
                <w:color w:val="auto"/>
              </w:rPr>
              <w:t>7.00% Senior Notes due 2025</w:t>
            </w:r>
          </w:p>
        </w:tc>
        <w:tc>
          <w:tcPr>
            <w:tcW w:w="200" w:type="dxa"/>
            <w:vAlign w:val="bottom"/>
          </w:tcPr>
          <w:p>
            <w:pPr>
              <w:spacing w:after="0"/>
              <w:rPr>
                <w:sz w:val="21"/>
                <w:szCs w:val="21"/>
                <w:color w:val="auto"/>
              </w:rPr>
            </w:pPr>
          </w:p>
        </w:tc>
        <w:tc>
          <w:tcPr>
            <w:tcW w:w="1520" w:type="dxa"/>
            <w:vAlign w:val="bottom"/>
            <w:gridSpan w:val="2"/>
          </w:tcPr>
          <w:p>
            <w:pPr>
              <w:jc w:val="right"/>
              <w:ind w:right="28"/>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7"/>
        </w:trPr>
        <w:tc>
          <w:tcPr>
            <w:tcW w:w="7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(11,114)</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(11,870)</w:t>
            </w:r>
          </w:p>
        </w:tc>
        <w:tc>
          <w:tcPr>
            <w:tcW w:w="0" w:type="dxa"/>
            <w:vAlign w:val="bottom"/>
          </w:tcPr>
          <w:p>
            <w:pPr>
              <w:spacing w:after="0"/>
              <w:rPr>
                <w:sz w:val="1"/>
                <w:szCs w:val="1"/>
                <w:color w:val="auto"/>
              </w:rPr>
            </w:pPr>
          </w:p>
        </w:tc>
      </w:tr>
      <w:tr>
        <w:trPr>
          <w:trHeight w:val="257"/>
        </w:trPr>
        <w:tc>
          <w:tcPr>
            <w:tcW w:w="7860" w:type="dxa"/>
            <w:vAlign w:val="bottom"/>
            <w:gridSpan w:val="2"/>
          </w:tcPr>
          <w:p>
            <w:pPr>
              <w:ind w:left="380"/>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988,886</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988,130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On November 19, 2015, the Company completed an offering of $450.0 million aggregate principal amount of its 6.75% senior notes due December 1, 2023 (the “2023 Notes”) and $550.0 million aggregate principal amount of its 7.00% senior notes due December 1, 2025 (the “2025 Notes” and, together with the 2023 Notes, the “Notes”). The Notes were sold in the United States to qualified institutional buyers pursuant to Rule 144A under the Securities Act of 1933, as amended (the “Securities Act”), and outside the United States pursuant to Regulation S under the Securities Act. The carrying value of issuance costs related to the Notes was $11.1 million as of December 31, 2016 and $11.9 million as of April 2, 2016, and is presented on the Condensed Consolidated Balance Sheets as a direct deduction of Long-term debt.</w:t>
      </w:r>
    </w:p>
    <w:p>
      <w:pPr>
        <w:spacing w:after="0" w:line="1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Notes were issued pursuant to an indenture, dated as of November 19, 2015 (the “Indenture”), by and among the Company, the Company’s domestic subsidiaries that guarantee the Company’s obligations under its revolving credit facility, as guarantors (the “Guarantors”), and MUFG Union Bank, N.A., as trustee. The Company used the net proceeds of the offering of the Notes for general corporate purposes, including share repurchases and merger and acquisition activity.</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Interest is payable on the 2023 Notes at a rate of 6.75% per annum and on the 2025 Notes at a rate of 7.00% per annum. For the three and nine months ended December 31, 2016, the Company recognized $17.4 million and $52.2 million, respectively, of interest expense related to the Notes, which was offset by $3.6 million and $9.0 million, respectively, of interest capitalized to property and equipment. For the three and nine months ended January 2, 2016, the Company recognized $8.3 million of interest expense related to the Notes, which was offset by $1.6 million of interest capitalized to property and equipment. Interest on both series of Notes is payable semi-annually on June 1 and December 1 of each year, and commenced on June 1, 2016. Interest paid on the Notes during the three and nine months ended December 31, 2016 was $34.5 million and $71.2 million, respectively.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any time prior to December 1, 2018, the Company may redeem all or part of the 2023 Notes, at a redemption price equal to their principal amount, plus a “make whole” premium as of the redemption date, and accrued and unpaid interest. In addition, at any time prior to December 1, 2018, the Company may redeem up to 35% of the original aggregate principal amount of the 2023 Notes with the proceeds of one or more equity offerings, at a redemption price equal to 106.75%, plus accrued and unpaid interest. Furthermore, at any time on or after December 1, 2018, the Company may redeem the 2023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any time prior to December 1, 2020, the Company may redeem all or part of the 2025 Notes, at a redemption price equal to their principal amount, plus a “make whole” premium as of the redemption date, and accrued and unpaid interest. In addition, at any time prior to December 1, 2018, the Company may redeem up to 35% of the original aggregate principal amount of the 2025 Notes with the proceeds of one or more equity offerings, at a redemption price equal to 107.00%, plus accrued and unpaid interest. Furthermore, at any time on or after December 1, 2020, the Company may redeem the 2025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Indenture contains customary events of default, including payment default, failure to provide certain notices and certain provisions related to bankruptcy events. The Indenture also contains customary negative covenants.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offering of the Notes, the Company agreed to provide the holders of the Notes with an opportunity to exchange the Notes for registered notes having terms substantially identical to the Notes. On September 19, 2016, the Company completed an exchange offer, in which all of the 2023 Notes and substantially all of the 2025 Notes were exchanged for new notes that have been registered under the Securities Act.</w:t>
      </w:r>
    </w:p>
    <w:p>
      <w:pPr>
        <w:spacing w:after="0" w:line="166"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2023 Notes and the 2025 Notes are traded over the counter and their fair values as of December 31, 2016, of $495.6 million and $609.5 million, respectively (compared to carrying values of $450.0 million and $550.0 million, respectively), were estimated based upon the values of their last trade at the end of the period. The fair values of the 2023 Notes and the 2025 Notes were $465.8 million and $581.6 million, respectively, as of April 2,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April 7, 2015, the Company and the Guarantors entered into a five-year unsecured senior credit facility with Bank of America, N.A., as administrative agent (in such capacity, the “Administrative Agent”), swing line lender, and L/C issuer, and a syndicate of lenders (the “Credit Agreement”). The Credit Agreement includes a $300.0 million revolving credit facility, which includes a $25.0 million sublimit for the issuance of standby letters of credit and a $10.0 million sublimit for swing line loans. The Company may request, at any time and from time to time, that the revolving credit facility be increased by an amount not to exceed $150.0 million. The revolving credit facility is available to finance working capital, capital expenditures and other corporate purposes. The Company’s obligations under the Credit Agreement are jointly and severally guaranteed by the Guarantors. During the nine months ended December 31, 2016, there were no borrowings under the revolving credit facility. The Company had no outstanding amounts under the Credit Agreement as of December 31, 2016 and April 2, 2016.</w:t>
      </w:r>
    </w:p>
    <w:p>
      <w:pPr>
        <w:spacing w:after="0" w:line="1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the Company’s option, loans under the Credit Agreement will bear interest at (i) the Applicable Rate (as defined in the Credit Agreement) plus the Eurodollar Rate (as defined in the Credit Agreement) or (ii) the Applicable Rate plus a rate equal to the highest of (a) the federal funds rate plus 0.50%, (b) the prime rate of the Administrative Agent, or (c) the Eurodollar Base Rate plus 1.0% (the “Base Rate”). All swing line loans will bear interest at a rate equal to the Applicable Rate plus the Base Rate. The Eurodollar Base Rate is the rate per annum equal to the London Interbank Offered Rate, as published by Bloomberg, for dollar deposits for interest periods of one, two, three or six months, as selected by the Company. The Applicable Rate for Eurodollar Rate loans ranges from 1.50% per annum to 2.00% per annum. The Applicable Rate for Base Rate loans ranges from 0.50% per annum to 1.00% per annum. Interest for Eurodollar Rate loans will be payable at the end of each applicable interest period or at three-month intervals, if such interest period exceeds three months. Interest for Base Rate loans will be payable quarterly in arrears. The Company will pay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Credit Agreement contains various conditions, covenants and representations with which the Company must be in compliance in order to borrow funds and to avoid an event of default, including financial covenants that the Company must maintain. On November 12, 2015, the Credit Agreement was amended to increase the size of certain of the negative covenant baskets and the threshold for certain negative covenant incurrence-based permissions and to raise the consolidated leverage ratio test from 2.50 to 1.00 to 3.00 to 1.00 as of the end of any fiscal quarter. The Company must also maintain a consolidated interest coverage ratio of not less than 3.00 to 1.00 as of the end of any fiscal quarter.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 also contains customary events of default, and the occurrence of an event of default will increase the applicable rate of interest by</w:t>
      </w:r>
    </w:p>
    <w:p>
      <w:pPr>
        <w:spacing w:after="0" w:line="4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2.00% and could result in the termination of commitments under the revolving credit facility, the declaration that all outstanding loans are due and payable in whole or in part and the requirement of cash collateral deposits in respect of outstanding letters of credit. Outstanding amounts are due in full on the maturity date of April 7, 2020 (with amounts borrowed under the swing line option due in full no later than ten business days after such loan is made).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provision for income taxes for the three and nine months ended December 31, 2016 and January 2, 2016 has been calculated by applying an estimate of the annual effective tax rate for the full fiscal year to “ordinary” income or loss (pre-tax income or loss excluding unusual or infrequently occurring discrete items) for the three and nine months ended December 31, 2016 and January 2, 2016.</w:t>
      </w:r>
    </w:p>
    <w:p>
      <w:pPr>
        <w:spacing w:after="0" w:line="19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Company’s income tax expense was $123.2 million and $137.1 million for the three and nine months ended December 31, 2016, respectively, and the Company's income tax (benefit) expense was $(9.9) million and $4.5 million for the three and nine months ended January 2, 2016, respectively. The Company’s effective tax rate was 276.6% and 212.2% for the three and nine months ended December 31, 2016, respectively, and 47.0% and (3,183.0)% for the three and nine months ended January 2, 2016, respectively. The Company's effective tax rate for both the third quarter of fiscal 2017 and the third quarter of fiscal 2016 differed from the statutory rate primarily due to tax rate differences in foreign jurisdictions, state income taxes, domestic tax credits generated, changes in unrecognized tax benefits, and the timing of when income and loss is recognized in the various tax jurisdictions.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Income taxes payable of $122.8 million and $29.9 million as of December 31, 2016 and April 2, 2016, respectively, are included in "Other current liabilities" on the Company's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2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domestic federal and state tax net operating loss (“NOLs”) carry-forwards that expire in fiscal years 2017 to 2036 if unused. The use of the NOLs that were acquired in prior year acquisitions is subject to certain annual limitations under Internal Revenue Code Section 382 and similar state income tax provisions.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gross unrecognized tax benefits increased from $69.1 million as of the end of fiscal 2016 to $86.0 million as of the end of the third quarter of fiscal 2017, due to a $16.9 million increase primarily related to tax positions taken with respect to the current fiscal year.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121" w:right="29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equivalents and available-for-sale securities as of December 31, 2016 and April 2, 2016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91440</wp:posOffset>
            </wp:positionV>
            <wp:extent cx="3319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3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1300" w:type="dxa"/>
            <w:vAlign w:val="bottom"/>
          </w:tcPr>
          <w:p>
            <w:pPr>
              <w:jc w:val="right"/>
              <w:ind w:right="47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0"/>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December 31, 2016</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96,934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96,934</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99,084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98,642</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April 2, 2016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government/agency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149,892</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45,510</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146,779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146,779</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344,313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343,981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estimated fair value of available-for-sale securities was based on the prevailing market values on December 31, 2016 and April 2, 2016. The Company determines the cost of an investment sold based on the specific identification method.</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There were no gross realized gains and insignificant gross realized losses recognized on available-for-sale securities for the three and nine months ended December 31, 2016. The gross realized gains and losses realized on available-for-sale securities for the three months ended January 2, 2016 were insignificant. There were $4.0 million of gross realized gains and insignificant gross realized losses recognized on available-for-sale securities for the nine months ended January 2, 2016.</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There were no unrealized losses on available-for-sale securities in a continuous loss position for fewer than 12 months as of December 31, 2016, and as of April 2, 2016, such unrealized losses were insignificant. Unrealized losses on available-for-sale securities in a continuous loss position for 12 months or greater were $0.4 million as of December 31, 2016 and April 2, 2016.</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aggregate amount of available-for-sale securities in an unrealized loss position at December 31, 2016 was $1.7 million, with $0.4 million in unrealized losses. The aggregate amount of available-for-sale securities in an unrealized loss position at April 2, 2016 was $55.6 million, with $0.4 million in unrealized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expected maturity distribution of cash equivalents and available-for-sale debt securities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April 2, 2016</w:t>
            </w:r>
          </w:p>
        </w:tc>
        <w:tc>
          <w:tcPr>
            <w:tcW w:w="0" w:type="dxa"/>
            <w:vAlign w:val="bottom"/>
          </w:tcPr>
          <w:p>
            <w:pPr>
              <w:spacing w:after="0"/>
              <w:rPr>
                <w:sz w:val="1"/>
                <w:szCs w:val="1"/>
                <w:color w:val="auto"/>
              </w:rPr>
            </w:pPr>
          </w:p>
        </w:tc>
      </w:tr>
      <w:tr>
        <w:trPr>
          <w:trHeight w:val="152"/>
        </w:trPr>
        <w:tc>
          <w:tcPr>
            <w:tcW w:w="6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96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96,934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96,934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342,163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342,181</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28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investments in debt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99,084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98,642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344,313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343,981</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first quarter of fiscal 2017, our investments in commercial paper and U.S. government treasury bills matured and a portion of the proceeds was used for the GreenPeak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August 4, 2015, the Company invested $25.0 million to acquire shares of Series F Preferred Stock of Cavendish Kinetics Limited, a private limited company incorporated in England and Wales. This investment is accounted for as a cost method investment and classified in "Long-term investments" on the Company's Condensed Consolidated Balance Sheets.</w:t>
      </w: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22" w:right="25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a quarterly basis, the Company measures the fair value of its marketable securities, which are comprised of U.S. government/agency securities, corporate debt, auction rate securities (ARS), and money market funds. Marketable securities are reported at fair value in "Cash and cash equivalents," "Short-term investments" and "Long-term investments" on the Company’s Condensed Consolidated Balance Sheets. The related unrealized gains and losses are included in "Accumulated other comprehensive loss," a component of stockholders’ equity, net of tax.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fair value of the financial assets measured at fair value on a recurring basis was determined using the following levels of inputs as of December 31, 2016 and April 2, 2016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0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92"/>
        </w:trPr>
        <w:tc>
          <w:tcPr>
            <w:tcW w:w="6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00" w:type="dxa"/>
            <w:vAlign w:val="bottom"/>
          </w:tcPr>
          <w:p>
            <w:pPr>
              <w:jc w:val="center"/>
              <w:ind w:right="113"/>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2016</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96,934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560"/>
              <w:spacing w:after="0"/>
              <w:rPr>
                <w:sz w:val="20"/>
                <w:szCs w:val="20"/>
                <w:color w:val="auto"/>
              </w:rPr>
            </w:pPr>
            <w:r>
              <w:rPr>
                <w:rFonts w:ascii="Arial" w:cs="Arial" w:eastAsia="Arial" w:hAnsi="Arial"/>
                <w:sz w:val="18"/>
                <w:szCs w:val="18"/>
                <w:color w:val="auto"/>
              </w:rPr>
              <w:t>Total available-for-sale securities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98,642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96,934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(3)</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108,141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106,433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67"/>
        </w:trPr>
        <w:tc>
          <w:tcPr>
            <w:tcW w:w="6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2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56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(3)</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9,499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9,499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April 2, 2016</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Arial" w:cs="Arial" w:eastAsia="Arial" w:hAnsi="Arial"/>
                <w:sz w:val="18"/>
                <w:szCs w:val="18"/>
                <w:color w:val="auto"/>
              </w:rPr>
              <w:t>U.S. government/agency securities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149,892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149,892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Arial" w:cs="Arial" w:eastAsia="Arial" w:hAnsi="Arial"/>
                <w:sz w:val="18"/>
                <w:szCs w:val="18"/>
                <w:color w:val="auto"/>
              </w:rPr>
              <w:t xml:space="preserve">Corporate debt </w:t>
            </w:r>
            <w:r>
              <w:rPr>
                <w:rFonts w:ascii="Arial" w:cs="Arial" w:eastAsia="Arial" w:hAnsi="Arial"/>
                <w:sz w:val="14"/>
                <w:szCs w:val="14"/>
                <w:color w:val="auto"/>
              </w:rPr>
              <w:t>(2)</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45,510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45,510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146,779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560"/>
              <w:spacing w:after="0"/>
              <w:rPr>
                <w:sz w:val="20"/>
                <w:szCs w:val="20"/>
                <w:color w:val="auto"/>
              </w:rPr>
            </w:pPr>
            <w:r>
              <w:rPr>
                <w:rFonts w:ascii="Arial" w:cs="Arial" w:eastAsia="Arial" w:hAnsi="Arial"/>
                <w:sz w:val="18"/>
                <w:szCs w:val="18"/>
                <w:color w:val="auto"/>
              </w:rPr>
              <w:t>Total available-for-sale securities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343,981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296,671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47,310</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(3)</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350,449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303,139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47,310</w:t>
            </w:r>
          </w:p>
        </w:tc>
        <w:tc>
          <w:tcPr>
            <w:tcW w:w="0" w:type="dxa"/>
            <w:vAlign w:val="bottom"/>
          </w:tcPr>
          <w:p>
            <w:pPr>
              <w:spacing w:after="0"/>
              <w:rPr>
                <w:sz w:val="1"/>
                <w:szCs w:val="1"/>
                <w:color w:val="auto"/>
              </w:rPr>
            </w:pPr>
          </w:p>
        </w:tc>
      </w:tr>
      <w:tr>
        <w:trPr>
          <w:trHeight w:val="67"/>
        </w:trPr>
        <w:tc>
          <w:tcPr>
            <w:tcW w:w="6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2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56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(3)</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6,468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firstLine="8"/>
        <w:spacing w:after="0" w:line="255" w:lineRule="auto"/>
        <w:tabs>
          <w:tab w:leader="none" w:pos="230" w:val="left"/>
        </w:tabs>
        <w:numPr>
          <w:ilvl w:val="0"/>
          <w:numId w:val="3"/>
        </w:numPr>
        <w:rPr>
          <w:rFonts w:ascii="Arial" w:cs="Arial" w:eastAsia="Arial" w:hAnsi="Arial"/>
          <w:sz w:val="16"/>
          <w:szCs w:val="16"/>
          <w:color w:val="auto"/>
        </w:rPr>
      </w:pPr>
      <w:r>
        <w:rPr>
          <w:rFonts w:ascii="Arial" w:cs="Arial" w:eastAsia="Arial" w:hAnsi="Arial"/>
          <w:sz w:val="16"/>
          <w:szCs w:val="16"/>
          <w:color w:val="auto"/>
        </w:rPr>
        <w:t>ARS are debt instruments with interest rates that reset through periodic short-term auctions. The Company’s Level 2 ARS are valued based on quoted prices for identical or similar instruments in markets that are not active.</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Corporate debt includes corporate bonds and commercial paper that are valued using observable market prices for identical securities that are traded in less active markets.</w:t>
      </w:r>
    </w:p>
    <w:p>
      <w:pPr>
        <w:spacing w:after="0" w:line="28" w:lineRule="exact"/>
        <w:rPr>
          <w:rFonts w:ascii="Arial" w:cs="Arial" w:eastAsia="Arial" w:hAnsi="Arial"/>
          <w:sz w:val="14"/>
          <w:szCs w:val="14"/>
          <w:color w:val="auto"/>
        </w:rPr>
      </w:pPr>
    </w:p>
    <w:p>
      <w:pPr>
        <w:ind w:left="240" w:hanging="232"/>
        <w:spacing w:after="0"/>
        <w:tabs>
          <w:tab w:leader="none" w:pos="2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Company's non-qualified deferred compensation plan provides eligible employees and members of the Board of Directors with the opportunity to defer a specified</w:t>
      </w:r>
    </w:p>
    <w:p>
      <w:pPr>
        <w:spacing w:after="0" w:line="16" w:lineRule="exact"/>
        <w:rPr>
          <w:rFonts w:ascii="Arial" w:cs="Arial" w:eastAsia="Arial" w:hAnsi="Arial"/>
          <w:sz w:val="15"/>
          <w:szCs w:val="15"/>
          <w:color w:val="auto"/>
        </w:rPr>
      </w:pPr>
    </w:p>
    <w:p>
      <w:pPr>
        <w:ind w:right="60"/>
        <w:spacing w:after="0" w:line="252" w:lineRule="auto"/>
        <w:rPr>
          <w:rFonts w:ascii="Arial" w:cs="Arial" w:eastAsia="Arial" w:hAnsi="Arial"/>
          <w:sz w:val="15"/>
          <w:szCs w:val="15"/>
          <w:color w:val="auto"/>
        </w:rPr>
      </w:pPr>
      <w:r>
        <w:rPr>
          <w:rFonts w:ascii="Arial" w:cs="Arial" w:eastAsia="Arial" w:hAnsi="Arial"/>
          <w:sz w:val="16"/>
          <w:szCs w:val="16"/>
          <w:color w:val="auto"/>
        </w:rPr>
        <w:t>percentage of their cash compensation. The Company includes the assets deferred by the participants in the “Other current assets” and “Other non-current assets” line items of its Condensed Consolidated Balance Sheets and the Company's obligation to deliver the deferred compensation in the "Other current liabilities" and “Other long-term liabilities” line items of its Condensed Consolidated Balance Sheets.</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2" w:right="27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carrying values of cash and cash equivalents, accounts receivable, accounts payable and other accrued liabilities approximate fair values because of the relatively short-term maturities of these instruments. See Note 5 for the fair value of the Company's long-term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REPURCHASES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November 3, 2016, the Company announced that its Board of Directors authorized a new share repurchase program to repurchase up to $500.0 million of the Company's outstanding stock. Under this program, share repurchases will be made in accordance with applicable securities laws on the open market or in privately negotiated transactions. The extent to which the Company repurchases its shares, the number of shares and the timing of any repurchases will depend on general market conditions, regulatory requirements, alternative investment opportunities and other considerations. The program does not require the Company to repurchase a minimum number of shares and does not have a fixed term, and may be modified, suspended or terminated at any time without prior notice. During the three and nine months ended December 31, 2016, the Company repurchased approximately 1.3 million shares and 2.9 million shares of its common stock for approximately $67.1 million and $158.5 million, respectively. As of December 31, 2016, $432.9 million remains available for repurchases under our current share repurchase program.</w:t>
      </w:r>
    </w:p>
    <w:p>
      <w:pPr>
        <w:spacing w:after="0" w:line="179"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During the three and nine months ended January 2, 2016, the Company repurchased approximately 4.6 million shares and 14.3 million shares for approximately $250.0 million and $800.0 million, respectively, under prior share repurchase programs.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Effective</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 consensus of the FASB Emerging Issues Task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Force)." </w:t>
      </w:r>
      <w:r>
        <w:rPr>
          <w:rFonts w:ascii="Arial" w:cs="Arial" w:eastAsia="Arial" w:hAnsi="Arial"/>
          <w:sz w:val="16"/>
          <w:szCs w:val="16"/>
          <w:color w:val="auto"/>
        </w:rPr>
        <w:t>The new guidance requires the inclusion of restricted cash along with cash and cash equivalents when reconciling the beginning-of-period and end-of-period total amounts shown on the statement of cash flows. The new standard will become effective for the Company beginning in the first quarter of fiscal year 2019 with early adoption permitted. The Company does not believe it will have a significant impact on its consolidated financial statements.</w:t>
      </w:r>
    </w:p>
    <w:p>
      <w:pPr>
        <w:spacing w:after="0" w:line="16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which requires the recognition of the income tax consequences of an intra-entity transfer of an asset, other than inventory, when the transfer occurs. The new standard will become effective for the Company in the first quarter of fiscal year 2019 with early adoption permitted. The Company is currently evaluating the effects this new guidance will have on its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 Payments</w:t>
      </w:r>
    </w:p>
    <w:p>
      <w:pPr>
        <w:spacing w:after="0" w:line="35"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i w:val="1"/>
          <w:iCs w:val="1"/>
          <w:color w:val="auto"/>
        </w:rPr>
        <w:t xml:space="preserve">(a consensus of the FASB’s Emerging Issues Task Force)." </w:t>
      </w:r>
      <w:r>
        <w:rPr>
          <w:rFonts w:ascii="Arial" w:cs="Arial" w:eastAsia="Arial" w:hAnsi="Arial"/>
          <w:sz w:val="17"/>
          <w:szCs w:val="17"/>
          <w:color w:val="auto"/>
        </w:rPr>
        <w:t>The new guidance addresses eight specific cash flow issues with the objective of reducing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diversity in practice. The new standard will become effective for the Company beginning in the first quarter of fiscal year 2019 with early adoption permitted. The Company is currently evaluating the effects the new guidance will have on its consolidated financial statements.</w:t>
      </w:r>
    </w:p>
    <w:p>
      <w:pPr>
        <w:spacing w:after="0" w:line="1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The new guidance requires entities to use a current lifetime expected credit loss methodology to measure impairments of certain financial instruments. It also modifies the impairment model for available-for-sale debt securities and provides for a simplified accounting model for purchased financial assets with credit deterioration since their origination. The new standard will become effective for the Company beginning in the first quarter of fiscal year 2021 with early adoption permitted. The Company does not believe it will have a significant impact on its consolidated financial statements.</w:t>
      </w:r>
    </w:p>
    <w:p>
      <w:pPr>
        <w:spacing w:after="0" w:line="173"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The new guidance will simplify certain aspects of accounting for share-based payment transactions, including income tax consequences,</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forfeitures, classification of awards on the balance sheet and presentation 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statement of cash flows. The new standard will become effective for the Company beginning in the first quarter of fiscal 2018. The Company is currently evaluating the effects this new guidance will have on its consolidated financial statements.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new standard will revise the current guidance for lessees, lessors and sale-leaseback transactions. Under the new guidance, substantially all lessees will now recognize a right-of-use asset and a lease liability for all of their leases with terms greater than 12 months even if the lease is an operating lease. Consistent with current GAAP, the recognition, measurement, and presentation of expenses and cash flow arising from a lease by a lessee primarily will depend on its classification as a finance or operating lease. The new guidance becomes effective for the Company in the first quarter of fiscal 2020 with early adoption permitted. The Company is currently evaluating the effects this new guidance will have on its consolidated financial statements.</w:t>
      </w:r>
    </w:p>
    <w:p>
      <w:pPr>
        <w:spacing w:after="0" w:line="19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This new standard will affect the accounting for equity investments, financial liabilities measured under the fair value option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and disclosure requirements for financial instruments. In addition, the FASB clarified guidance related to the assessment of valuation allowances when recognizing deferred tax assets related to unrealized losses on available-for-sale debt securities. The new standard is effective for the Company beginning in the first quarter of fiscal 2019. The Company does not believe it will have a significant impact on its consolidated financial statements.</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Entities that measure their inventory other than pursuant to the last-in, first-out and retail inventory methods will measure their inventory at the lower of cost or net realized value. Net realized value is the estimated selling price in the ordinary course of business less reasonably predictable costs to completion, transportation, or disposal. Currently, inventory is required to be measured at the lower of cost or market where market could be the replacement cost, net realizable value, or net realizable value less an approximated normal profit margin. The Company will adopt the provisions of this standard in the first quarter of fiscal 2018, and is currently evaluating the impact on its consolidated financial statements.</w:t>
      </w:r>
    </w:p>
    <w:p>
      <w:pPr>
        <w:spacing w:after="0" w:line="19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that amends existing guidance on revenue recognition. The new guidance is based on principles that an entity will recognize revenue to depict the transfer of goods and services to customers at an amount the entity expects to be entitled to in exchange for those goods and services. The guidance requires additional disclosures regarding the nature, amount, timing, and uncertainty of cash flows and both qualitative and quantitative information about contracts with customers and applied significant judgments. The FASB has issued several amendments to the new guidance. In August 2015, it delayed the effective date for adoption by one year. In March 2016, additional guidance was issued that clarifies the principal versus agent considerations within the new revenue standard. In April, 2016, additional guidance was issued that clarifies the identification of distinct performance obligations in a contract as well as clarifies the accounting for licenses of intellectual property. In May 2016, additional guidance was issued related to transition, collectibility, non-cash consideration and the presentation of sales and other similar taxes. In December 2016, additional guidance was issued for technical corrections and improvements to Topic 606 and other Topics amended by Update 2014-09. The new amended guidance will become effective for the Company in the first quarter of fiscal 2019, using one of two retrospective methods of adoption. The Company has not determined which method it will adopt and is evaluating the effects the new guidance will have on its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April 2015, the FASB issued ASU 2015-05</w:t>
      </w:r>
      <w:r>
        <w:rPr>
          <w:rFonts w:ascii="Arial" w:cs="Arial" w:eastAsia="Arial" w:hAnsi="Arial"/>
          <w:sz w:val="17"/>
          <w:szCs w:val="17"/>
          <w:i w:val="1"/>
          <w:iCs w:val="1"/>
          <w:color w:val="auto"/>
        </w:rPr>
        <w:t>, "Intangibles - Goodwill and Other - Internal-Use Software (Subtopic 350-40): Customer's Accounting for Fees</w:t>
      </w:r>
      <w:r>
        <w:rPr>
          <w:rFonts w:ascii="Arial" w:cs="Arial" w:eastAsia="Arial" w:hAnsi="Arial"/>
          <w:sz w:val="17"/>
          <w:szCs w:val="17"/>
          <w:color w:val="auto"/>
        </w:rPr>
        <w:t xml:space="preserve"> </w:t>
      </w:r>
      <w:r>
        <w:rPr>
          <w:rFonts w:ascii="Arial" w:cs="Arial" w:eastAsia="Arial" w:hAnsi="Arial"/>
          <w:sz w:val="17"/>
          <w:szCs w:val="17"/>
          <w:i w:val="1"/>
          <w:iCs w:val="1"/>
          <w:color w:val="auto"/>
        </w:rPr>
        <w:t>Paid in a Cloud Computing Arrangement</w:t>
      </w:r>
      <w:r>
        <w:rPr>
          <w:rFonts w:ascii="Arial" w:cs="Arial" w:eastAsia="Arial" w:hAnsi="Arial"/>
          <w:sz w:val="17"/>
          <w:szCs w:val="17"/>
          <w:color w:val="auto"/>
        </w:rPr>
        <w:t>" which provided additional guidance to customers about whether a cloud computing arrangement includes a</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license. Under this guidance, if a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The Company adopted the provisions of this standard in the first quarter of fiscal 2017, and there was no impact on its condensed consolidated financial statements.</w:t>
      </w:r>
    </w:p>
    <w:p>
      <w:pPr>
        <w:spacing w:after="0" w:line="17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September 2015, the FASB issued ASU 2015-16, "</w:t>
      </w:r>
      <w:r>
        <w:rPr>
          <w:rFonts w:ascii="Arial" w:cs="Arial" w:eastAsia="Arial" w:hAnsi="Arial"/>
          <w:sz w:val="18"/>
          <w:szCs w:val="18"/>
          <w:i w:val="1"/>
          <w:iCs w:val="1"/>
          <w:color w:val="auto"/>
        </w:rPr>
        <w:t>Business Combinations (Topic 805): Simplifying the Accounting for Measurement-Period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Adjustments." </w:t>
      </w:r>
      <w:r>
        <w:rPr>
          <w:rFonts w:ascii="Arial" w:cs="Arial" w:eastAsia="Arial" w:hAnsi="Arial"/>
          <w:sz w:val="18"/>
          <w:szCs w:val="18"/>
          <w:color w:val="auto"/>
        </w:rPr>
        <w:t>This standard requires an acquirer in a business combination to recognize adjustments to provisional amounts that are identified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period in the reporting period in which the adjustment amounts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are determined. The effect on earnings of changes in depreciation, amortization or other income effects, as a result of the change in provisional amounts, are to be included in the same period’s financial statements, calculated as if the accounting had been completed at the acquisition date. The amendments in this update became effective for the Company beginning in the first quarter of fiscal 2017 and will be applied prospectively to adjustments to provisional amounts that occur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SEGMENT INFORMATION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operating segments as of December 31, 2016 are Mobile Products (MP) and Infrastructure and Defense Products (IDP) based on the organizational structure and information reviewed by the Company's Chief Executive Officer, who is the Company's chief operating decision maker (or CODM), and these segments are managed separately based on the end markets and applications they support. The CODM allocates resources and assesses the performance of each operating segment primarily based on non-GAAP operating income (loss) and non-GAAP operating income (loss) as a percentage of revenue.</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MP is a leading global supplier of RF solutions that perform various functions in the increasingly complex cellular radio front end section of smartphones and other cellular devices. These RF solutions are required in fourth generation (“4G”) data-centric devices operating under Long-Term Evolution (“LTE”) 4G networks, as well as third generation (“3G”) and second generation mobile devices. These solutions include complete RF front end modules that combine high-performance filters, power amplifiers (“PAs”), low noise amplifiers (“LNAs”) and switches, PA modules, transmit modules, antenna control solutions, antenna switch modules, diversity receive modules and envelope tracking power management devices. MP supplies its broad portfolio of RF solutions into a variety of mobile devices, including smartphones, notebook computers, wearables, tablets and cellular-based applications for the IoT, including the connected car.</w:t>
      </w:r>
    </w:p>
    <w:p>
      <w:pPr>
        <w:spacing w:after="0" w:line="18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IDP is a leading global supplier of RF solutions that support diverse global applications, including ubiquitous high-speed network connectivity to the cloud, data center communications, rapid internet connectivity throughout the home and workplace, and upgraded military capabilities across the globe. These RF solutions enhance performance and reduce complexity in cellular base stations, optical long haul, data center and metro networks, WiFi networks, cable networks, and emerging fifth generation (“5G”) wireless networks. Products include high power gallium arsenide (“GaAs”) and gallium nitride (“GaN”) PAs, LNAs, switches, RF filter solutions, CMOS system-on-a-chip (“SoC”) solutions and various multichip and hybrid assemblies. IDP market-leading RF solutions for defense and aerospace upgrade communications and radar systems for air, land and sea. IDP RF solutions for the IoT enable the connected car and an array of industrial applications, and serve the home automation market with SoC solutions based on ZigBee and Bluetooth Smart technologies. During the first quarter of fiscal 2017, the Company acquired GreenPeak, a leader in ultra-low power, short range RF communication technology. The acquisition expanded the Company's offerings to include integrated RF solutions and SoCs for the connected home and the IoT.</w:t>
      </w:r>
    </w:p>
    <w:p>
      <w:pPr>
        <w:spacing w:after="0" w:line="16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“All other” category includes operating expenses such as stock-based compensation, amortization of intangible assets, acquisition and integration related costs, acquired inventory step-up and revaluation, intellectual property rights (IPR) litigation (costs) settlement, restructuring and disposal costs, start-up costs, gain (loss)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details of the Company’s reportable segments and a reconciliation of the “All other” category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3"/>
                <w:szCs w:val="13"/>
                <w:color w:val="auto"/>
              </w:rPr>
            </w:pPr>
          </w:p>
        </w:tc>
        <w:tc>
          <w:tcPr>
            <w:tcW w:w="150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January 2,</w:t>
            </w:r>
          </w:p>
        </w:tc>
        <w:tc>
          <w:tcPr>
            <w:tcW w:w="280" w:type="dxa"/>
            <w:vAlign w:val="bottom"/>
          </w:tcPr>
          <w:p>
            <w:pPr>
              <w:spacing w:after="0"/>
              <w:rPr>
                <w:sz w:val="13"/>
                <w:szCs w:val="13"/>
                <w:color w:val="auto"/>
              </w:rPr>
            </w:pPr>
          </w:p>
        </w:tc>
        <w:tc>
          <w:tcPr>
            <w:tcW w:w="15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3"/>
                <w:szCs w:val="13"/>
                <w:color w:val="auto"/>
              </w:rPr>
            </w:pPr>
          </w:p>
        </w:tc>
        <w:tc>
          <w:tcPr>
            <w:tcW w:w="1400" w:type="dxa"/>
            <w:vAlign w:val="bottom"/>
          </w:tcPr>
          <w:p>
            <w:pPr>
              <w:jc w:val="right"/>
              <w:ind w:right="453"/>
              <w:spacing w:after="0" w:line="153"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MP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656,788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489,397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1,910,003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1,618,444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168,589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130,314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476,669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381,303</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All other (1)</w:t>
            </w:r>
          </w:p>
        </w:tc>
        <w:tc>
          <w:tcPr>
            <w:tcW w:w="28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826,347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620,681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2,389,582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2,002,657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163,401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126,019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460,775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471,736</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IDP</w:t>
            </w:r>
          </w:p>
        </w:tc>
        <w:tc>
          <w:tcPr>
            <w:tcW w:w="28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45,278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30,896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112,345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67,818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(460,605)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(536,063)</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61,381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112,515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44,541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(21,001)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64,593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(1) "All other" revenue relates to royalty income that is not allocated to MP or IDP.</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3"/>
                <w:szCs w:val="13"/>
                <w:color w:val="auto"/>
              </w:rPr>
            </w:pPr>
          </w:p>
        </w:tc>
        <w:tc>
          <w:tcPr>
            <w:tcW w:w="14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January 2,</w:t>
            </w:r>
          </w:p>
        </w:tc>
        <w:tc>
          <w:tcPr>
            <w:tcW w:w="24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3"/>
                <w:szCs w:val="13"/>
                <w:color w:val="auto"/>
              </w:rPr>
            </w:pPr>
          </w:p>
        </w:tc>
        <w:tc>
          <w:tcPr>
            <w:tcW w:w="1400" w:type="dxa"/>
            <w:vAlign w:val="bottom"/>
          </w:tcPr>
          <w:p>
            <w:pPr>
              <w:jc w:val="right"/>
              <w:ind w:right="453"/>
              <w:spacing w:after="0" w:line="15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44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(16,655)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(30,308)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(73,291)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(114,208)</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(379,772)</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(20,958)</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inventory step-up and revaluation</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Restructuring and disposal costs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(4,131)</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IPR litigation (costs) settlement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Start-up costs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(11,041)</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Other expenses (including gain (loss) on assets and other</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7"/>
        </w:trPr>
        <w:tc>
          <w:tcPr>
            <w:tcW w:w="4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miscellaneous corporate overhead)</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(147,298)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(170,128)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(460,605)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(536,063)</w:t>
            </w:r>
          </w:p>
        </w:tc>
      </w:tr>
      <w:tr>
        <w:trPr>
          <w:trHeight w:val="27"/>
        </w:trPr>
        <w:tc>
          <w:tcPr>
            <w:tcW w:w="4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656"/>
        </w:trPr>
        <w:tc>
          <w:tcPr>
            <w:tcW w:w="4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3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CONDENSED CONSOLIDATING FINANCIAL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discussed in Note 5, the Notes were issued pursuant to the Indenture by and among the Company, the Company's domestic subsidiaries that guarantee the Company's obligations under its revolving credit facility, as guarantors, and MUFG Union Bank, N.A., as trustee. The Notes are fully and unconditionally guaranteed on a joint and several basis by each guarantor subsidiary, each of which is a direct or indirect wholly owned subsidiary of the Company. A guarantor subsidiary’s guarantee can be released in certain customary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Rule 3-10 of Regulation S-X, the following presents the condensed consolidating financial information separately for:</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the issuer of the Notes;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guarantor subsidiaries, on a combined basis, as specified in the Indenture;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non-guarantor subsidiaries, on a combined basis;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consolidating entries and eliminations representing adjustments to (a) eliminate intercompany transactions between or among the Company, the guarantor subsidiaries and the non-guarantor subsidiaries, (b) eliminate intercompany profit in inventory, (c) eliminate the investments in the Company’s subsidiaries and (d) record consolidating entries;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on a consolidated basis.</w:t>
      </w:r>
    </w:p>
    <w:p>
      <w:pPr>
        <w:spacing w:after="0" w:line="21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Each entity in the condensed consolidating financial information follows the same accounting policies as described in the consolidated financial statements, except for the use by the Company and guarantor subsidiaries of the equity method of accounting to reflect ownership interests in subsidiaries that are eliminated upon consolidation. The financial information may not necessarily be indicative of the financial position, results of operations, comprehensive income (loss), and cash flows, had the Company, guarantor or non-guarantor subsidiaries operated as independent entities.</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122" w:right="3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w w:val="88"/>
              </w:rPr>
              <w:t>Condensed Consolidating Balance Sheet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2016</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9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Parent Company</w:t>
            </w:r>
          </w:p>
        </w:tc>
        <w:tc>
          <w:tcPr>
            <w:tcW w:w="160" w:type="dxa"/>
            <w:vAlign w:val="bottom"/>
          </w:tcPr>
          <w:p>
            <w:pPr>
              <w:spacing w:after="0"/>
              <w:rPr>
                <w:sz w:val="12"/>
                <w:szCs w:val="12"/>
                <w:color w:val="auto"/>
              </w:rPr>
            </w:pPr>
          </w:p>
        </w:tc>
        <w:tc>
          <w:tcPr>
            <w:tcW w:w="980" w:type="dxa"/>
            <w:vAlign w:val="bottom"/>
          </w:tcPr>
          <w:p>
            <w:pPr>
              <w:jc w:val="right"/>
              <w:ind w:right="151"/>
              <w:spacing w:after="0" w:line="147" w:lineRule="exact"/>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2"/>
                <w:szCs w:val="12"/>
                <w:color w:val="auto"/>
              </w:rPr>
            </w:pPr>
          </w:p>
        </w:tc>
        <w:tc>
          <w:tcPr>
            <w:tcW w:w="124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2940" w:type="dxa"/>
            <w:vAlign w:val="bottom"/>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209,656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495,811</w:t>
            </w:r>
          </w:p>
        </w:tc>
        <w:tc>
          <w:tcPr>
            <w:tcW w:w="0" w:type="dxa"/>
            <w:vAlign w:val="bottom"/>
          </w:tcPr>
          <w:p>
            <w:pPr>
              <w:spacing w:after="0"/>
              <w:rPr>
                <w:sz w:val="1"/>
                <w:szCs w:val="1"/>
                <w:color w:val="auto"/>
              </w:rPr>
            </w:pPr>
          </w:p>
        </w:tc>
      </w:tr>
      <w:tr>
        <w:trPr>
          <w:trHeight w:val="229"/>
        </w:trPr>
        <w:tc>
          <w:tcPr>
            <w:tcW w:w="2940" w:type="dxa"/>
            <w:vAlign w:val="bottom"/>
          </w:tcPr>
          <w:p>
            <w:pPr>
              <w:ind w:left="360"/>
              <w:spacing w:after="0"/>
              <w:rPr>
                <w:sz w:val="20"/>
                <w:szCs w:val="20"/>
                <w:color w:val="auto"/>
              </w:rPr>
            </w:pPr>
            <w:r>
              <w:rPr>
                <w:rFonts w:ascii="Arial" w:cs="Arial" w:eastAsia="Arial" w:hAnsi="Arial"/>
                <w:sz w:val="18"/>
                <w:szCs w:val="18"/>
                <w:color w:val="auto"/>
              </w:rPr>
              <w:t>Accounts receivable, less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360"/>
              <w:spacing w:after="0"/>
              <w:rPr>
                <w:sz w:val="20"/>
                <w:szCs w:val="20"/>
                <w:color w:val="auto"/>
              </w:rPr>
            </w:pPr>
            <w:r>
              <w:rPr>
                <w:rFonts w:ascii="Arial" w:cs="Arial" w:eastAsia="Arial" w:hAnsi="Arial"/>
                <w:sz w:val="18"/>
                <w:szCs w:val="18"/>
                <w:color w:val="auto"/>
              </w:rPr>
              <w:t>allowance</w:t>
            </w: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368,376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421,100</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Intercompany accounts and notes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receivable</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416,247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(435,663)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381,726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404,617</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38,106</w:t>
            </w:r>
          </w:p>
        </w:tc>
        <w:tc>
          <w:tcPr>
            <w:tcW w:w="0" w:type="dxa"/>
            <w:vAlign w:val="bottom"/>
          </w:tcPr>
          <w:p>
            <w:pPr>
              <w:spacing w:after="0"/>
              <w:rPr>
                <w:sz w:val="1"/>
                <w:szCs w:val="1"/>
                <w:color w:val="auto"/>
              </w:rPr>
            </w:pPr>
          </w:p>
        </w:tc>
      </w:tr>
      <w:tr>
        <w:trPr>
          <w:trHeight w:val="243"/>
        </w:trPr>
        <w:tc>
          <w:tcPr>
            <w:tcW w:w="294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82,266</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46,017</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855,143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1,138,457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(505,683)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1,487,917</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1,018,563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1,335,767</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1,953,102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220,812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2,173,914</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884,046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1,534,098</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34,733</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Long-term intercompany accounts and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555,909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(688,481)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Investment in subsidiaries</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6,149,591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1,664,718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(7,814,309)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58,482</w:t>
            </w:r>
          </w:p>
        </w:tc>
        <w:tc>
          <w:tcPr>
            <w:tcW w:w="0" w:type="dxa"/>
            <w:vAlign w:val="bottom"/>
          </w:tcPr>
          <w:p>
            <w:pPr>
              <w:spacing w:after="0"/>
              <w:rPr>
                <w:sz w:val="1"/>
                <w:szCs w:val="1"/>
                <w:color w:val="auto"/>
              </w:rPr>
            </w:pPr>
          </w:p>
        </w:tc>
      </w:tr>
      <w:tr>
        <w:trPr>
          <w:trHeight w:val="297"/>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6,150,479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6,757,617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2,725,288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(9,008,473)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6,624,911</w:t>
            </w:r>
          </w:p>
        </w:tc>
        <w:tc>
          <w:tcPr>
            <w:tcW w:w="0" w:type="dxa"/>
            <w:vAlign w:val="bottom"/>
          </w:tcPr>
          <w:p>
            <w:pPr>
              <w:spacing w:after="0"/>
              <w:rPr>
                <w:sz w:val="1"/>
                <w:szCs w:val="1"/>
                <w:color w:val="auto"/>
              </w:rPr>
            </w:pPr>
          </w:p>
        </w:tc>
      </w:tr>
      <w:tr>
        <w:trPr>
          <w:trHeight w:val="185"/>
        </w:trPr>
        <w:tc>
          <w:tcPr>
            <w:tcW w:w="29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LIABILITIES AND</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129,372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287,953</w:t>
            </w:r>
          </w:p>
        </w:tc>
        <w:tc>
          <w:tcPr>
            <w:tcW w:w="0" w:type="dxa"/>
            <w:vAlign w:val="bottom"/>
          </w:tcPr>
          <w:p>
            <w:pPr>
              <w:spacing w:after="0"/>
              <w:rPr>
                <w:sz w:val="1"/>
                <w:szCs w:val="1"/>
                <w:color w:val="auto"/>
              </w:rPr>
            </w:pPr>
          </w:p>
        </w:tc>
      </w:tr>
      <w:tr>
        <w:trPr>
          <w:trHeight w:val="229"/>
        </w:trPr>
        <w:tc>
          <w:tcPr>
            <w:tcW w:w="2940" w:type="dxa"/>
            <w:vAlign w:val="bottom"/>
          </w:tcPr>
          <w:p>
            <w:pPr>
              <w:ind w:left="360"/>
              <w:spacing w:after="0"/>
              <w:rPr>
                <w:sz w:val="20"/>
                <w:szCs w:val="20"/>
                <w:color w:val="auto"/>
              </w:rPr>
            </w:pPr>
            <w:r>
              <w:rPr>
                <w:rFonts w:ascii="Arial" w:cs="Arial" w:eastAsia="Arial" w:hAnsi="Arial"/>
                <w:sz w:val="18"/>
                <w:szCs w:val="18"/>
                <w:color w:val="auto"/>
                <w:w w:val="94"/>
              </w:rPr>
              <w:t>Intercompany accounts and notes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360"/>
              <w:spacing w:after="0"/>
              <w:rPr>
                <w:sz w:val="20"/>
                <w:szCs w:val="20"/>
                <w:color w:val="auto"/>
              </w:rPr>
            </w:pPr>
            <w:r>
              <w:rPr>
                <w:rFonts w:ascii="Arial" w:cs="Arial" w:eastAsia="Arial" w:hAnsi="Arial"/>
                <w:sz w:val="18"/>
                <w:szCs w:val="18"/>
                <w:color w:val="auto"/>
              </w:rPr>
              <w:t>payable</w:t>
            </w: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416,247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(435,663)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136,999</w:t>
            </w:r>
          </w:p>
        </w:tc>
        <w:tc>
          <w:tcPr>
            <w:tcW w:w="0" w:type="dxa"/>
            <w:vAlign w:val="bottom"/>
          </w:tcPr>
          <w:p>
            <w:pPr>
              <w:spacing w:after="0"/>
              <w:rPr>
                <w:sz w:val="1"/>
                <w:szCs w:val="1"/>
                <w:color w:val="auto"/>
              </w:rPr>
            </w:pPr>
          </w:p>
        </w:tc>
      </w:tr>
      <w:tr>
        <w:trPr>
          <w:trHeight w:val="243"/>
        </w:trPr>
        <w:tc>
          <w:tcPr>
            <w:tcW w:w="294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122,373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123,644</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(435,137)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548,596</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988,886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988,886</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139,253</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w w:val="94"/>
              </w:rPr>
              <w:t>Long-term intercompany accounts and</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2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412,710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132,572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143,199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(688,481)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85,060</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1,287,363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625,796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972,254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(1,123,618)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1,761,795</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4,863,116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6,131,821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1,753,034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(7,884,855)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4,863,116</w:t>
            </w:r>
          </w:p>
        </w:tc>
        <w:tc>
          <w:tcPr>
            <w:tcW w:w="0" w:type="dxa"/>
            <w:vAlign w:val="bottom"/>
          </w:tcPr>
          <w:p>
            <w:pPr>
              <w:spacing w:after="0"/>
              <w:rPr>
                <w:sz w:val="1"/>
                <w:szCs w:val="1"/>
                <w:color w:val="auto"/>
              </w:rPr>
            </w:pPr>
          </w:p>
        </w:tc>
      </w:tr>
      <w:tr>
        <w:trPr>
          <w:trHeight w:val="209"/>
        </w:trPr>
        <w:tc>
          <w:tcPr>
            <w:tcW w:w="2940" w:type="dxa"/>
            <w:vAlign w:val="bottom"/>
          </w:tcPr>
          <w:p>
            <w:pPr>
              <w:ind w:left="20"/>
              <w:spacing w:after="0"/>
              <w:rPr>
                <w:sz w:val="20"/>
                <w:szCs w:val="20"/>
                <w:color w:val="auto"/>
              </w:rPr>
            </w:pPr>
            <w:r>
              <w:rPr>
                <w:rFonts w:ascii="Arial" w:cs="Arial" w:eastAsia="Arial" w:hAnsi="Arial"/>
                <w:sz w:val="18"/>
                <w:szCs w:val="18"/>
                <w:color w:val="auto"/>
              </w:rPr>
              <w:t>Total liabilities and stockholders’</w:t>
            </w:r>
          </w:p>
        </w:tc>
        <w:tc>
          <w:tcPr>
            <w:tcW w:w="2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6,150,479</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6,757,617</w:t>
            </w:r>
          </w:p>
        </w:tc>
        <w:tc>
          <w:tcPr>
            <w:tcW w:w="100" w:type="dxa"/>
            <w:vAlign w:val="bottom"/>
            <w:vMerge w:val="restart"/>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2,725,288</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(9,008,473)</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6,624,911</w:t>
            </w:r>
          </w:p>
        </w:tc>
        <w:tc>
          <w:tcPr>
            <w:tcW w:w="0" w:type="dxa"/>
            <w:vAlign w:val="bottom"/>
          </w:tcPr>
          <w:p>
            <w:pPr>
              <w:spacing w:after="0"/>
              <w:rPr>
                <w:sz w:val="1"/>
                <w:szCs w:val="1"/>
                <w:color w:val="auto"/>
              </w:rPr>
            </w:pPr>
          </w:p>
        </w:tc>
      </w:tr>
      <w:tr>
        <w:trPr>
          <w:trHeight w:val="242"/>
        </w:trPr>
        <w:tc>
          <w:tcPr>
            <w:tcW w:w="2940" w:type="dxa"/>
            <w:vAlign w:val="bottom"/>
          </w:tcPr>
          <w:p>
            <w:pPr>
              <w:ind w:left="20"/>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21" w:right="1379" w:bottom="1440" w:gutter="0" w:footer="0" w:header="0"/>
        </w:sect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280"/>
          </w:cols>
          <w:pgMar w:left="240" w:top="121" w:right="137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w w:val="88"/>
              </w:rPr>
              <w:t>Condensed Consolidating Balance Sheet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April 2, 2016</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9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Parent Company</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24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2940" w:type="dxa"/>
            <w:vAlign w:val="bottom"/>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425,881</w:t>
            </w:r>
          </w:p>
        </w:tc>
        <w:tc>
          <w:tcPr>
            <w:tcW w:w="0" w:type="dxa"/>
            <w:vAlign w:val="bottom"/>
          </w:tcPr>
          <w:p>
            <w:pPr>
              <w:spacing w:after="0"/>
              <w:rPr>
                <w:sz w:val="1"/>
                <w:szCs w:val="1"/>
                <w:color w:val="auto"/>
              </w:rPr>
            </w:pPr>
          </w:p>
        </w:tc>
      </w:tr>
      <w:tr>
        <w:trPr>
          <w:trHeight w:val="243"/>
        </w:trPr>
        <w:tc>
          <w:tcPr>
            <w:tcW w:w="29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186,808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186,808</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2"/>
              </w:rPr>
              <w:t>Accounts receivable, less allowance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316,356</w:t>
            </w:r>
          </w:p>
        </w:tc>
        <w:tc>
          <w:tcPr>
            <w:tcW w:w="0" w:type="dxa"/>
            <w:vAlign w:val="bottom"/>
          </w:tcPr>
          <w:p>
            <w:pPr>
              <w:spacing w:after="0"/>
              <w:rPr>
                <w:sz w:val="1"/>
                <w:szCs w:val="1"/>
                <w:color w:val="auto"/>
              </w:rPr>
            </w:pPr>
          </w:p>
        </w:tc>
      </w:tr>
      <w:tr>
        <w:trPr>
          <w:trHeight w:val="229"/>
        </w:trPr>
        <w:tc>
          <w:tcPr>
            <w:tcW w:w="2940" w:type="dxa"/>
            <w:vAlign w:val="bottom"/>
          </w:tcPr>
          <w:p>
            <w:pPr>
              <w:ind w:left="260"/>
              <w:spacing w:after="0"/>
              <w:rPr>
                <w:sz w:val="20"/>
                <w:szCs w:val="20"/>
                <w:color w:val="auto"/>
              </w:rPr>
            </w:pPr>
            <w:r>
              <w:rPr>
                <w:rFonts w:ascii="Arial" w:cs="Arial" w:eastAsia="Arial" w:hAnsi="Arial"/>
                <w:sz w:val="18"/>
                <w:szCs w:val="18"/>
                <w:color w:val="auto"/>
                <w:w w:val="98"/>
              </w:rPr>
              <w:t>Intercompany accounts and notes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60"/>
              <w:spacing w:after="0"/>
              <w:rPr>
                <w:sz w:val="20"/>
                <w:szCs w:val="20"/>
                <w:color w:val="auto"/>
              </w:rPr>
            </w:pPr>
            <w:r>
              <w:rPr>
                <w:rFonts w:ascii="Arial" w:cs="Arial" w:eastAsia="Arial" w:hAnsi="Arial"/>
                <w:sz w:val="18"/>
                <w:szCs w:val="18"/>
                <w:color w:val="auto"/>
              </w:rPr>
              <w:t>receivable</w:t>
            </w: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532,508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404,330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(936,838)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427,551</w:t>
            </w:r>
          </w:p>
        </w:tc>
        <w:tc>
          <w:tcPr>
            <w:tcW w:w="0" w:type="dxa"/>
            <w:vAlign w:val="bottom"/>
          </w:tcPr>
          <w:p>
            <w:pPr>
              <w:spacing w:after="0"/>
              <w:rPr>
                <w:sz w:val="1"/>
                <w:szCs w:val="1"/>
                <w:color w:val="auto"/>
              </w:rPr>
            </w:pPr>
          </w:p>
        </w:tc>
      </w:tr>
      <w:tr>
        <w:trPr>
          <w:trHeight w:val="243"/>
        </w:trPr>
        <w:tc>
          <w:tcPr>
            <w:tcW w:w="294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56,151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63,850</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47,380</w:t>
            </w:r>
          </w:p>
        </w:tc>
        <w:tc>
          <w:tcPr>
            <w:tcW w:w="0" w:type="dxa"/>
            <w:vAlign w:val="bottom"/>
          </w:tcPr>
          <w:p>
            <w:pPr>
              <w:spacing w:after="0"/>
              <w:rPr>
                <w:sz w:val="1"/>
                <w:szCs w:val="1"/>
                <w:color w:val="auto"/>
              </w:rPr>
            </w:pPr>
          </w:p>
        </w:tc>
      </w:tr>
      <w:tr>
        <w:trPr>
          <w:trHeight w:val="243"/>
        </w:trPr>
        <w:tc>
          <w:tcPr>
            <w:tcW w:w="294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40,866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41,384</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1,464,114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(1,021,260)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1,509,210</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807,586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1,046,888</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1,868,816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2,135,697</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786,314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1,026,201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1,812,515</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26,050</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w w:val="94"/>
              </w:rPr>
              <w:t>Long-term intercompany accounts and</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notes receivable</w:t>
            </w: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564,397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267,823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(832,220)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6,151,119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1,645,846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(7,796,965)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66,459</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6,152,210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7,202,601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2,892,646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(9,650,638)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6,596,819</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141,792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66,508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205,364</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Intercompany accounts and notes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payable</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532,508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(936,838)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25,445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93,609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137,889</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30,548</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659,853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628,277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(939,774)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373,801</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988,130</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195,462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152,160</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Long-term intercompany accounts and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232,303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(832,220)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83,056</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1,152,538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1,162,426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(1,771,994)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1,597,147</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4,999,672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6,040,175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1,838,469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(7,878,644)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4,999,672</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w:t>
            </w:r>
          </w:p>
        </w:tc>
        <w:tc>
          <w:tcPr>
            <w:tcW w:w="2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6,152,210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7,202,601</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2,892,646</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(9,650,638)</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6,596,819</w:t>
            </w: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6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40" w:type="dxa"/>
            <w:vAlign w:val="bottom"/>
            <w:gridSpan w:val="13"/>
          </w:tcPr>
          <w:p>
            <w:pPr>
              <w:jc w:val="center"/>
              <w:ind w:right="1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Income (Loss)</w:t>
            </w: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2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1"/>
              </w:rPr>
              <w:t>Three Months Ended December 31, 2016</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9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7"/>
              </w:rPr>
              <w:t>Guarantor</w:t>
            </w:r>
          </w:p>
        </w:tc>
        <w:tc>
          <w:tcPr>
            <w:tcW w:w="126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826,347</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227,543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800,529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(512,367)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515,705</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255,220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310,642</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111,951</w:t>
            </w:r>
          </w:p>
        </w:tc>
        <w:tc>
          <w:tcPr>
            <w:tcW w:w="0" w:type="dxa"/>
            <w:vAlign w:val="bottom"/>
          </w:tcPr>
          <w:p>
            <w:pPr>
              <w:spacing w:after="0"/>
              <w:rPr>
                <w:sz w:val="1"/>
                <w:szCs w:val="1"/>
                <w:color w:val="auto"/>
              </w:rPr>
            </w:pPr>
          </w:p>
        </w:tc>
      </w:tr>
      <w:tr>
        <w:trPr>
          <w:trHeight w:val="243"/>
        </w:trPr>
        <w:tc>
          <w:tcPr>
            <w:tcW w:w="2960" w:type="dxa"/>
            <w:vAlign w:val="bottom"/>
          </w:tcPr>
          <w:p>
            <w:pPr>
              <w:ind w:left="260"/>
              <w:spacing w:after="0"/>
              <w:rPr>
                <w:sz w:val="20"/>
                <w:szCs w:val="20"/>
                <w:color w:val="auto"/>
              </w:rPr>
            </w:pPr>
            <w:r>
              <w:rPr>
                <w:rFonts w:ascii="Arial" w:cs="Arial" w:eastAsia="Arial" w:hAnsi="Arial"/>
                <w:sz w:val="18"/>
                <w:szCs w:val="18"/>
                <w:color w:val="auto"/>
                <w:w w:val="97"/>
              </w:rPr>
              <w:t>Selling, general and administrative</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7,540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43,652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91,052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130,672</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6,638</w:t>
            </w:r>
          </w:p>
        </w:tc>
        <w:tc>
          <w:tcPr>
            <w:tcW w:w="0" w:type="dxa"/>
            <w:vAlign w:val="bottom"/>
          </w:tcPr>
          <w:p>
            <w:pPr>
              <w:spacing w:after="0"/>
              <w:rPr>
                <w:sz w:val="1"/>
                <w:szCs w:val="1"/>
                <w:color w:val="auto"/>
              </w:rPr>
            </w:pPr>
          </w:p>
        </w:tc>
      </w:tr>
      <w:tr>
        <w:trPr>
          <w:trHeight w:val="237"/>
        </w:trPr>
        <w:tc>
          <w:tcPr>
            <w:tcW w:w="29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51,711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198,352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(17,457)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249,261</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272,677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61,381</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(14,464)</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270,851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44,541</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(123,179)</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(78,638)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(321,719)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325,692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(78,638)</w:t>
            </w:r>
          </w:p>
        </w:tc>
        <w:tc>
          <w:tcPr>
            <w:tcW w:w="0" w:type="dxa"/>
            <w:vAlign w:val="bottom"/>
          </w:tcPr>
          <w:p>
            <w:pPr>
              <w:spacing w:after="0"/>
              <w:rPr>
                <w:sz w:val="1"/>
                <w:szCs w:val="1"/>
                <w:color w:val="auto"/>
              </w:rPr>
            </w:pPr>
          </w:p>
        </w:tc>
      </w:tr>
      <w:tr>
        <w:trPr>
          <w:trHeight w:val="311"/>
        </w:trPr>
        <w:tc>
          <w:tcPr>
            <w:tcW w:w="2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6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(78,462)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(321,515)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325,516</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(78,462)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40" w:type="dxa"/>
            <w:vAlign w:val="bottom"/>
            <w:gridSpan w:val="13"/>
          </w:tcPr>
          <w:p>
            <w:pPr>
              <w:jc w:val="center"/>
              <w:ind w:right="1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Income (Loss)</w:t>
            </w: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2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2"/>
              </w:rPr>
              <w:t>Three Months Ended January 2, 2016</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9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7"/>
              </w:rPr>
              <w:t>Guarantor</w:t>
            </w:r>
          </w:p>
        </w:tc>
        <w:tc>
          <w:tcPr>
            <w:tcW w:w="126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361,796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780,824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(521,939)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620,681</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343,516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567,436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(521,259)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389,693</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213,388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230,988</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105,992</w:t>
            </w:r>
          </w:p>
        </w:tc>
        <w:tc>
          <w:tcPr>
            <w:tcW w:w="0" w:type="dxa"/>
            <w:vAlign w:val="bottom"/>
          </w:tcPr>
          <w:p>
            <w:pPr>
              <w:spacing w:after="0"/>
              <w:rPr>
                <w:sz w:val="1"/>
                <w:szCs w:val="1"/>
                <w:color w:val="auto"/>
              </w:rPr>
            </w:pPr>
          </w:p>
        </w:tc>
      </w:tr>
      <w:tr>
        <w:trPr>
          <w:trHeight w:val="243"/>
        </w:trPr>
        <w:tc>
          <w:tcPr>
            <w:tcW w:w="2960" w:type="dxa"/>
            <w:vAlign w:val="bottom"/>
          </w:tcPr>
          <w:p>
            <w:pPr>
              <w:ind w:left="260"/>
              <w:spacing w:after="0"/>
              <w:rPr>
                <w:sz w:val="20"/>
                <w:szCs w:val="20"/>
                <w:color w:val="auto"/>
              </w:rPr>
            </w:pPr>
            <w:r>
              <w:rPr>
                <w:rFonts w:ascii="Arial" w:cs="Arial" w:eastAsia="Arial" w:hAnsi="Arial"/>
                <w:sz w:val="18"/>
                <w:szCs w:val="18"/>
                <w:color w:val="auto"/>
                <w:w w:val="97"/>
              </w:rPr>
              <w:t>Selling, general and administrative</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16,481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27,815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90,819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126,294</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11,915</w:t>
            </w:r>
          </w:p>
        </w:tc>
        <w:tc>
          <w:tcPr>
            <w:tcW w:w="0" w:type="dxa"/>
            <w:vAlign w:val="bottom"/>
          </w:tcPr>
          <w:p>
            <w:pPr>
              <w:spacing w:after="0"/>
              <w:rPr>
                <w:sz w:val="1"/>
                <w:szCs w:val="1"/>
                <w:color w:val="auto"/>
              </w:rPr>
            </w:pPr>
          </w:p>
        </w:tc>
      </w:tr>
      <w:tr>
        <w:trPr>
          <w:trHeight w:val="237"/>
        </w:trPr>
        <w:tc>
          <w:tcPr>
            <w:tcW w:w="29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45,045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184,098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(15,250)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244,201</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(13,213)</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(7,668)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(21,001)</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9,811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(26,411)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28,328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(11,127)</w:t>
            </w:r>
          </w:p>
        </w:tc>
        <w:tc>
          <w:tcPr>
            <w:tcW w:w="0" w:type="dxa"/>
            <w:vAlign w:val="bottom"/>
          </w:tcPr>
          <w:p>
            <w:pPr>
              <w:spacing w:after="0"/>
              <w:rPr>
                <w:sz w:val="1"/>
                <w:szCs w:val="1"/>
                <w:color w:val="auto"/>
              </w:rPr>
            </w:pPr>
          </w:p>
        </w:tc>
      </w:tr>
      <w:tr>
        <w:trPr>
          <w:trHeight w:val="311"/>
        </w:trPr>
        <w:tc>
          <w:tcPr>
            <w:tcW w:w="2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6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28,278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(11,199)</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21" w:right="1379"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280"/>
          </w:cols>
          <w:pgMar w:left="240" w:top="121" w:right="137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20" w:type="dxa"/>
            <w:vAlign w:val="bottom"/>
            <w:gridSpan w:val="15"/>
          </w:tcPr>
          <w:p>
            <w:pPr>
              <w:jc w:val="center"/>
              <w:ind w:right="1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Income (Loss)</w:t>
            </w: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8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1"/>
              </w:rPr>
              <w:t>Nine Months Ended December 31, 2016</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8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Parent Company</w:t>
            </w:r>
          </w:p>
        </w:tc>
        <w:tc>
          <w:tcPr>
            <w:tcW w:w="100" w:type="dxa"/>
            <w:vAlign w:val="bottom"/>
            <w:gridSpan w:val="2"/>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7"/>
              </w:rPr>
              <w:t>Guarantor</w:t>
            </w:r>
          </w:p>
        </w:tc>
        <w:tc>
          <w:tcPr>
            <w:tcW w:w="128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2"/>
                <w:szCs w:val="12"/>
                <w:color w:val="auto"/>
              </w:rPr>
            </w:pP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gridSpan w:val="2"/>
            <w:vMerge w:val="continue"/>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2,377,752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(945,593)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2,389,582</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812,947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1,808,869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(1,136,150)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1,485,666</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144,476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568,883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190,557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903,916</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320,280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355,166</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80"/>
              <w:spacing w:after="0"/>
              <w:rPr>
                <w:sz w:val="20"/>
                <w:szCs w:val="20"/>
                <w:color w:val="auto"/>
              </w:rPr>
            </w:pPr>
            <w:r>
              <w:rPr>
                <w:rFonts w:ascii="Arial" w:cs="Arial" w:eastAsia="Arial" w:hAnsi="Arial"/>
                <w:sz w:val="18"/>
                <w:szCs w:val="18"/>
                <w:color w:val="auto"/>
                <w:w w:val="93"/>
              </w:rPr>
              <w:t>Selling, general and administrative</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118,465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290,290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412,850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operating expense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23,385</w:t>
            </w:r>
          </w:p>
        </w:tc>
        <w:tc>
          <w:tcPr>
            <w:tcW w:w="0" w:type="dxa"/>
            <w:vAlign w:val="bottom"/>
          </w:tcPr>
          <w:p>
            <w:pPr>
              <w:spacing w:after="0"/>
              <w:rPr>
                <w:sz w:val="1"/>
                <w:szCs w:val="1"/>
                <w:color w:val="auto"/>
              </w:rPr>
            </w:pPr>
          </w:p>
        </w:tc>
      </w:tr>
      <w:tr>
        <w:trPr>
          <w:trHeight w:val="237"/>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73,291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152,978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618,074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791,401</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243,499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112,515</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5,891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(45,205)</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Other (expense) income</w:t>
            </w:r>
          </w:p>
        </w:tc>
        <w:tc>
          <w:tcPr>
            <w:tcW w:w="140" w:type="dxa"/>
            <w:vAlign w:val="bottom"/>
          </w:tcPr>
          <w:p>
            <w:pPr>
              <w:spacing w:after="0"/>
              <w:rPr>
                <w:sz w:val="21"/>
                <w:szCs w:val="21"/>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240,366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64,593</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(56,493)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(107,390)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(137,059)</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(72,466)</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(62,692)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(159,648)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222,340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(72,466)</w:t>
            </w:r>
          </w:p>
        </w:tc>
        <w:tc>
          <w:tcPr>
            <w:tcW w:w="0" w:type="dxa"/>
            <w:vAlign w:val="bottom"/>
          </w:tcPr>
          <w:p>
            <w:pPr>
              <w:spacing w:after="0"/>
              <w:rPr>
                <w:sz w:val="1"/>
                <w:szCs w:val="1"/>
                <w:color w:val="auto"/>
              </w:rPr>
            </w:pPr>
          </w:p>
        </w:tc>
      </w:tr>
      <w:tr>
        <w:trPr>
          <w:trHeight w:val="311"/>
        </w:trPr>
        <w:tc>
          <w:tcPr>
            <w:tcW w:w="28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(72,887)</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(62,647)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(160,114)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222,761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(72,887)</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20" w:type="dxa"/>
            <w:vAlign w:val="bottom"/>
            <w:gridSpan w:val="15"/>
          </w:tcPr>
          <w:p>
            <w:pPr>
              <w:jc w:val="center"/>
              <w:ind w:right="5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Income (Loss)</w:t>
            </w: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8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2"/>
              </w:rPr>
              <w:t>Nine Months Ended January 2, 2016</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8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 w:type="dxa"/>
            <w:vAlign w:val="bottom"/>
            <w:vMerge w:val="restart"/>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7"/>
              </w:rPr>
              <w:t>Guarantor</w:t>
            </w:r>
          </w:p>
        </w:tc>
        <w:tc>
          <w:tcPr>
            <w:tcW w:w="128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2"/>
                <w:szCs w:val="12"/>
                <w:color w:val="auto"/>
              </w:rPr>
            </w:pP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1,727,819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2,045,111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(1,770,273)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2,002,657</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1,382,666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1,570,039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(1,745,401)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1,207,304</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475,072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795,353</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213,339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341,495</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80"/>
              <w:spacing w:after="0"/>
              <w:rPr>
                <w:sz w:val="20"/>
                <w:szCs w:val="20"/>
                <w:color w:val="auto"/>
              </w:rPr>
            </w:pPr>
            <w:r>
              <w:rPr>
                <w:rFonts w:ascii="Arial" w:cs="Arial" w:eastAsia="Arial" w:hAnsi="Arial"/>
                <w:sz w:val="18"/>
                <w:szCs w:val="18"/>
                <w:color w:val="auto"/>
                <w:w w:val="93"/>
              </w:rPr>
              <w:t>Selling, general and administrative</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62,106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129,073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257,330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407,016</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43,351</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114,208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267,484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473,447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791,862</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77,669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1"/>
                <w:szCs w:val="21"/>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35,460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81,960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64,158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(41,173)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311"/>
        </w:trPr>
        <w:tc>
          <w:tcPr>
            <w:tcW w:w="28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Comprehensive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(5,872)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62,885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(22,941)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(39,944)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21" w:right="1379"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280"/>
          </w:cols>
          <w:pgMar w:left="240" w:top="121" w:right="137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2900"/>
        <w:spacing w:after="0"/>
        <w:rPr>
          <w:sz w:val="20"/>
          <w:szCs w:val="20"/>
          <w:color w:val="auto"/>
        </w:rPr>
      </w:pPr>
      <w:r>
        <w:rPr>
          <w:rFonts w:ascii="Arial" w:cs="Arial" w:eastAsia="Arial" w:hAnsi="Arial"/>
          <w:sz w:val="14"/>
          <w:szCs w:val="14"/>
          <w:b w:val="1"/>
          <w:bCs w:val="1"/>
          <w:color w:val="auto"/>
        </w:rPr>
        <w:t>Condensed Consolidating Statement of Cash Flows</w:t>
      </w:r>
    </w:p>
    <w:p>
      <w:pPr>
        <w:spacing w:after="0" w:line="109" w:lineRule="exact"/>
        <w:rPr>
          <w:sz w:val="20"/>
          <w:szCs w:val="20"/>
          <w:color w:val="auto"/>
        </w:rPr>
      </w:pPr>
    </w:p>
    <w:p>
      <w:pPr>
        <w:jc w:val="center"/>
        <w:ind w:left="2900"/>
        <w:spacing w:after="0"/>
        <w:rPr>
          <w:sz w:val="20"/>
          <w:szCs w:val="20"/>
          <w:color w:val="auto"/>
        </w:rPr>
      </w:pPr>
      <w:r>
        <w:rPr>
          <w:rFonts w:ascii="Arial" w:cs="Arial" w:eastAsia="Arial" w:hAnsi="Arial"/>
          <w:sz w:val="16"/>
          <w:szCs w:val="16"/>
          <w:b w:val="1"/>
          <w:bCs w:val="1"/>
          <w:color w:val="auto"/>
        </w:rPr>
        <w:t>Nine Months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37465</wp:posOffset>
            </wp:positionV>
            <wp:extent cx="3978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ectPr>
          <w:pgSz w:w="11900" w:h="16838" w:orient="portrait"/>
          <w:cols w:equalWidth="0" w:num="1">
            <w:col w:w="10280"/>
          </w:cols>
          <w:pgMar w:left="240" w:top="121" w:right="1379" w:bottom="1440" w:gutter="0" w:footer="0" w:header="0"/>
        </w:sectPr>
      </w:pPr>
    </w:p>
    <w:p>
      <w:pPr>
        <w:spacing w:after="0" w:line="185" w:lineRule="exact"/>
        <w:rPr>
          <w:sz w:val="20"/>
          <w:szCs w:val="20"/>
          <w:color w:val="auto"/>
        </w:rPr>
      </w:pPr>
    </w:p>
    <w:p>
      <w:pPr>
        <w:ind w:left="1180"/>
        <w:spacing w:after="0"/>
        <w:rPr>
          <w:sz w:val="20"/>
          <w:szCs w:val="20"/>
          <w:color w:val="auto"/>
        </w:rPr>
      </w:pPr>
      <w:r>
        <w:rPr>
          <w:rFonts w:ascii="Arial" w:cs="Arial" w:eastAsia="Arial" w:hAnsi="Arial"/>
          <w:sz w:val="16"/>
          <w:szCs w:val="16"/>
          <w:i w:val="1"/>
          <w:iCs w:val="1"/>
          <w:color w:val="auto"/>
        </w:rPr>
        <w:t>(in thousands)</w:t>
      </w:r>
    </w:p>
    <w:p>
      <w:pPr>
        <w:spacing w:after="0" w:line="68" w:lineRule="exact"/>
        <w:rPr>
          <w:sz w:val="20"/>
          <w:szCs w:val="20"/>
          <w:color w:val="auto"/>
        </w:rPr>
      </w:pPr>
    </w:p>
    <w:p>
      <w:pPr>
        <w:ind w:left="1180"/>
        <w:spacing w:after="0" w:line="277" w:lineRule="auto"/>
        <w:rPr>
          <w:sz w:val="20"/>
          <w:szCs w:val="20"/>
          <w:color w:val="auto"/>
        </w:rPr>
      </w:pPr>
      <w:r>
        <w:rPr>
          <w:rFonts w:ascii="Arial" w:cs="Arial" w:eastAsia="Arial" w:hAnsi="Arial"/>
          <w:sz w:val="18"/>
          <w:szCs w:val="18"/>
          <w:color w:val="auto"/>
        </w:rPr>
        <w:t>Net cash provided by operating activities</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300" w:type="dxa"/>
            <w:vAlign w:val="bottom"/>
          </w:tcPr>
          <w:p>
            <w:pPr>
              <w:jc w:val="right"/>
              <w:ind w:right="119"/>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135,096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2"/>
              <w:spacing w:after="0"/>
              <w:rPr>
                <w:sz w:val="20"/>
                <w:szCs w:val="20"/>
                <w:color w:val="auto"/>
              </w:rPr>
            </w:pPr>
            <w:r>
              <w:rPr>
                <w:rFonts w:ascii="Arial" w:cs="Arial" w:eastAsia="Arial" w:hAnsi="Arial"/>
                <w:sz w:val="18"/>
                <w:szCs w:val="18"/>
                <w:color w:val="auto"/>
              </w:rPr>
              <w:t>72,180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322,473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529,749</w:t>
            </w: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-316865</wp:posOffset>
            </wp:positionV>
            <wp:extent cx="579755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7550" cy="30861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3440" w:space="580"/>
            <w:col w:w="6260"/>
          </w:cols>
          <w:pgMar w:left="240" w:top="121" w:right="1379" w:bottom="1440" w:gutter="0" w:footer="0" w:header="0"/>
          <w:type w:val="continuous"/>
        </w:sectPr>
      </w:pPr>
    </w:p>
    <w:tbl>
      <w:tblPr>
        <w:tblLayout w:type="fixed"/>
        <w:tblInd w:w="1160" w:type="dxa"/>
        <w:tblCellMar>
          <w:top w:w="0" w:type="dxa"/>
          <w:left w:w="0" w:type="dxa"/>
          <w:bottom w:w="0" w:type="dxa"/>
          <w:right w:w="0" w:type="dxa"/>
        </w:tblCellMar>
      </w:tblPr>
      <w:tr>
        <w:trPr>
          <w:trHeight w:val="270"/>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Purchase of property and equipment</w:t>
            </w:r>
          </w:p>
        </w:tc>
        <w:tc>
          <w:tcPr>
            <w:tcW w:w="26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(275,018)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(111,937)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(386,955)</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w w:val="93"/>
              </w:rPr>
              <w:t>Purchase of a business, net of cash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acquired</w:t>
            </w:r>
          </w:p>
        </w:tc>
        <w:tc>
          <w:tcPr>
            <w:tcW w:w="260" w:type="dxa"/>
            <w:vAlign w:val="bottom"/>
          </w:tcPr>
          <w:p>
            <w:pPr>
              <w:spacing w:after="0"/>
              <w:rPr>
                <w:sz w:val="20"/>
                <w:szCs w:val="20"/>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(118,133)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(118,133)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available-for-sale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w w:val="94"/>
              </w:rPr>
              <w:t>Proceeds from maturities and sales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of available-for-sale securities</w:t>
            </w:r>
          </w:p>
        </w:tc>
        <w:tc>
          <w:tcPr>
            <w:tcW w:w="260" w:type="dxa"/>
            <w:vAlign w:val="bottom"/>
          </w:tcPr>
          <w:p>
            <w:pPr>
              <w:spacing w:after="0"/>
              <w:rPr>
                <w:sz w:val="20"/>
                <w:szCs w:val="20"/>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186,793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186,793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w w:val="99"/>
              </w:rPr>
              <w:t>Net cash used in investing activities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(238,970)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(323,385)</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w w:val="92"/>
              </w:rPr>
              <w:t>Excess tax benefit from exercises of</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issuance of</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38,417</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including transaction costs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(158,491)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(158,491)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withholding paid on behalf of</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employees for restricted stock units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Other financing activities</w:t>
            </w:r>
          </w:p>
        </w:tc>
        <w:tc>
          <w:tcPr>
            <w:tcW w:w="260" w:type="dxa"/>
            <w:vAlign w:val="bottom"/>
          </w:tcPr>
          <w:p>
            <w:pPr>
              <w:spacing w:after="0"/>
              <w:rPr>
                <w:sz w:val="21"/>
                <w:szCs w:val="21"/>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Net transactions with related parties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rPr>
              <w:t>Net cash (used in) provided by</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(135,096)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(135,076)</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Effect of exchange rate changes 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w w:val="97"/>
              </w:rPr>
              <w:t>Net increase (decrease) in cash and</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20"/>
                <w:szCs w:val="20"/>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80,907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69,930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the period</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220,633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205,248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425,881</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20"/>
              <w:spacing w:after="0"/>
              <w:rPr>
                <w:sz w:val="20"/>
                <w:szCs w:val="20"/>
                <w:color w:val="auto"/>
              </w:rPr>
            </w:pPr>
            <w:r>
              <w:rPr>
                <w:rFonts w:ascii="Arial" w:cs="Arial" w:eastAsia="Arial" w:hAnsi="Arial"/>
                <w:sz w:val="18"/>
                <w:szCs w:val="18"/>
                <w:color w:val="auto"/>
                <w:w w:val="93"/>
              </w:rPr>
              <w:t>Cash and cash equivalents at the end</w:t>
            </w: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vMerge w:val="continue"/>
          </w:tcPr>
          <w:p>
            <w:pPr>
              <w:spacing w:after="0"/>
              <w:rPr>
                <w:sz w:val="18"/>
                <w:szCs w:val="18"/>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3"/>
            <w:vMerge w:val="restart"/>
          </w:tcPr>
          <w:p>
            <w:pPr>
              <w:ind w:left="640"/>
              <w:spacing w:after="0"/>
              <w:rPr>
                <w:sz w:val="20"/>
                <w:szCs w:val="20"/>
                <w:color w:val="auto"/>
              </w:rPr>
            </w:pPr>
            <w:r>
              <w:rPr>
                <w:rFonts w:ascii="Arial" w:cs="Arial" w:eastAsia="Arial" w:hAnsi="Arial"/>
                <w:sz w:val="18"/>
                <w:szCs w:val="18"/>
                <w:color w:val="auto"/>
              </w:rPr>
              <w:t>—   $</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209,656</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286,155</w:t>
            </w:r>
          </w:p>
        </w:tc>
        <w:tc>
          <w:tcPr>
            <w:tcW w:w="100" w:type="dxa"/>
            <w:vAlign w:val="bottom"/>
          </w:tcPr>
          <w:p>
            <w:pPr>
              <w:spacing w:after="0"/>
              <w:rPr>
                <w:sz w:val="18"/>
                <w:szCs w:val="18"/>
                <w:color w:val="auto"/>
              </w:rPr>
            </w:pPr>
          </w:p>
        </w:tc>
        <w:tc>
          <w:tcPr>
            <w:tcW w:w="5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gridSpan w:val="3"/>
            <w:vMerge w:val="restart"/>
          </w:tcPr>
          <w:p>
            <w:pPr>
              <w:ind w:left="380"/>
              <w:spacing w:after="0"/>
              <w:rPr>
                <w:sz w:val="20"/>
                <w:szCs w:val="20"/>
                <w:color w:val="auto"/>
              </w:rPr>
            </w:pPr>
            <w:r>
              <w:rPr>
                <w:rFonts w:ascii="Arial" w:cs="Arial" w:eastAsia="Arial" w:hAnsi="Arial"/>
                <w:sz w:val="18"/>
                <w:szCs w:val="18"/>
                <w:color w:val="auto"/>
              </w:rPr>
              <w:t>—  $</w:t>
            </w: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495,811</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of the period</w:t>
            </w:r>
          </w:p>
        </w:tc>
        <w:tc>
          <w:tcPr>
            <w:tcW w:w="260" w:type="dxa"/>
            <w:vAlign w:val="bottom"/>
            <w:vMerge w:val="continue"/>
          </w:tcPr>
          <w:p>
            <w:pPr>
              <w:spacing w:after="0"/>
              <w:rPr>
                <w:sz w:val="20"/>
                <w:szCs w:val="20"/>
                <w:color w:val="auto"/>
              </w:rPr>
            </w:pPr>
          </w:p>
        </w:tc>
        <w:tc>
          <w:tcPr>
            <w:tcW w:w="1240" w:type="dxa"/>
            <w:vAlign w:val="bottom"/>
            <w:gridSpan w:val="3"/>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9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p>
      <w:pPr>
        <w:jc w:val="center"/>
        <w:ind w:left="2900"/>
        <w:spacing w:after="0"/>
        <w:rPr>
          <w:sz w:val="20"/>
          <w:szCs w:val="20"/>
          <w:color w:val="auto"/>
        </w:rPr>
      </w:pPr>
      <w:r>
        <w:rPr>
          <w:rFonts w:ascii="Arial" w:cs="Arial" w:eastAsia="Arial" w:hAnsi="Arial"/>
          <w:sz w:val="14"/>
          <w:szCs w:val="14"/>
          <w:b w:val="1"/>
          <w:bCs w:val="1"/>
          <w:color w:val="auto"/>
        </w:rPr>
        <w:t>Condensed Consolidating Statement of Cash Flows</w:t>
      </w:r>
    </w:p>
    <w:p>
      <w:pPr>
        <w:spacing w:after="0" w:line="109" w:lineRule="exact"/>
        <w:rPr>
          <w:sz w:val="20"/>
          <w:szCs w:val="20"/>
          <w:color w:val="auto"/>
        </w:rPr>
      </w:pPr>
    </w:p>
    <w:p>
      <w:pPr>
        <w:jc w:val="center"/>
        <w:ind w:left="2900"/>
        <w:spacing w:after="0"/>
        <w:rPr>
          <w:sz w:val="20"/>
          <w:szCs w:val="20"/>
          <w:color w:val="auto"/>
        </w:rPr>
      </w:pPr>
      <w:r>
        <w:rPr>
          <w:rFonts w:ascii="Arial" w:cs="Arial" w:eastAsia="Arial" w:hAnsi="Arial"/>
          <w:sz w:val="16"/>
          <w:szCs w:val="16"/>
          <w:b w:val="1"/>
          <w:bCs w:val="1"/>
          <w:color w:val="auto"/>
        </w:rPr>
        <w:t>Nine Months Ended January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37465</wp:posOffset>
            </wp:positionV>
            <wp:extent cx="3978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ectPr>
          <w:pgSz w:w="11900" w:h="16838" w:orient="portrait"/>
          <w:cols w:equalWidth="0" w:num="1">
            <w:col w:w="10280"/>
          </w:cols>
          <w:pgMar w:left="240" w:top="121" w:right="1379" w:bottom="1440" w:gutter="0" w:footer="0" w:header="0"/>
        </w:sectPr>
      </w:pPr>
    </w:p>
    <w:p>
      <w:pPr>
        <w:spacing w:after="0" w:line="185" w:lineRule="exact"/>
        <w:rPr>
          <w:sz w:val="20"/>
          <w:szCs w:val="20"/>
          <w:color w:val="auto"/>
        </w:rPr>
      </w:pPr>
    </w:p>
    <w:p>
      <w:pPr>
        <w:ind w:left="1180"/>
        <w:spacing w:after="0"/>
        <w:rPr>
          <w:sz w:val="20"/>
          <w:szCs w:val="20"/>
          <w:color w:val="auto"/>
        </w:rPr>
      </w:pPr>
      <w:r>
        <w:rPr>
          <w:rFonts w:ascii="Arial" w:cs="Arial" w:eastAsia="Arial" w:hAnsi="Arial"/>
          <w:sz w:val="16"/>
          <w:szCs w:val="16"/>
          <w:i w:val="1"/>
          <w:iCs w:val="1"/>
          <w:color w:val="auto"/>
        </w:rPr>
        <w:t>(in thousands)</w:t>
      </w:r>
    </w:p>
    <w:p>
      <w:pPr>
        <w:spacing w:after="0" w:line="6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Net cash provided by (used in)</w:t>
      </w:r>
    </w:p>
    <w:p>
      <w:pPr>
        <w:spacing w:after="0" w:line="4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operating activities</w:t>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280" w:type="dxa"/>
            <w:vAlign w:val="bottom"/>
          </w:tcPr>
          <w:p>
            <w:pPr>
              <w:jc w:val="right"/>
              <w:ind w:right="99"/>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(206,611)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2"/>
              <w:spacing w:after="0"/>
              <w:rPr>
                <w:sz w:val="20"/>
                <w:szCs w:val="20"/>
                <w:color w:val="auto"/>
              </w:rPr>
            </w:pPr>
            <w:r>
              <w:rPr>
                <w:rFonts w:ascii="Arial" w:cs="Arial" w:eastAsia="Arial" w:hAnsi="Arial"/>
                <w:sz w:val="18"/>
                <w:szCs w:val="18"/>
                <w:color w:val="auto"/>
              </w:rPr>
              <w:t>643,342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91,502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528,233</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-316865</wp:posOffset>
            </wp:positionV>
            <wp:extent cx="579755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7550" cy="30861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3400" w:space="620"/>
            <w:col w:w="6260"/>
          </w:cols>
          <w:pgMar w:left="240" w:top="121" w:right="1379" w:bottom="1440" w:gutter="0" w:footer="0" w:header="0"/>
          <w:type w:val="continuous"/>
        </w:sectPr>
      </w:pPr>
    </w:p>
    <w:tbl>
      <w:tblPr>
        <w:tblLayout w:type="fixed"/>
        <w:tblInd w:w="1160" w:type="dxa"/>
        <w:tblCellMar>
          <w:top w:w="0" w:type="dxa"/>
          <w:left w:w="0" w:type="dxa"/>
          <w:bottom w:w="0" w:type="dxa"/>
          <w:right w:w="0" w:type="dxa"/>
        </w:tblCellMar>
      </w:tblPr>
      <w:tr>
        <w:trPr>
          <w:trHeight w:val="270"/>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Purchase of property and equipment</w:t>
            </w:r>
          </w:p>
        </w:tc>
        <w:tc>
          <w:tcPr>
            <w:tcW w:w="24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(196,067)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(231,154)</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Purchase of available-for-sale</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20"/>
                <w:szCs w:val="20"/>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(343,466)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(343,466)</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Proceeds from maturities and sales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available-for-sale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391,522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391,522</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240" w:type="dxa"/>
            <w:vAlign w:val="bottom"/>
          </w:tcPr>
          <w:p>
            <w:pPr>
              <w:spacing w:after="0"/>
              <w:rPr>
                <w:sz w:val="21"/>
                <w:szCs w:val="21"/>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cash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(182,430)</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debt issuances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1,125,000</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Payment of debt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w w:val="92"/>
              </w:rPr>
              <w:t>Excess tax benefit from exercises of</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issuance of</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40,474</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including transaction costs</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(800,009)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(800,009)</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withholding paid on behalf of</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employees for restricted stock units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(21,303)</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Other financing activities</w:t>
            </w:r>
          </w:p>
        </w:tc>
        <w:tc>
          <w:tcPr>
            <w:tcW w:w="240" w:type="dxa"/>
            <w:vAlign w:val="bottom"/>
          </w:tcPr>
          <w:p>
            <w:pPr>
              <w:spacing w:after="0"/>
              <w:rPr>
                <w:sz w:val="21"/>
                <w:szCs w:val="21"/>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Net transactions with related parties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206,611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206,698</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Effect of exchange rate changes on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rPr>
              <w:t>Net increase in cash and cash</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equivalents</w:t>
            </w:r>
          </w:p>
        </w:tc>
        <w:tc>
          <w:tcPr>
            <w:tcW w:w="240" w:type="dxa"/>
            <w:vAlign w:val="bottom"/>
          </w:tcPr>
          <w:p>
            <w:pPr>
              <w:spacing w:after="0"/>
              <w:rPr>
                <w:sz w:val="20"/>
                <w:szCs w:val="20"/>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495,032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56,751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551,783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the period</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154,332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145,482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299,814</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20"/>
              <w:spacing w:after="0"/>
              <w:rPr>
                <w:sz w:val="20"/>
                <w:szCs w:val="20"/>
                <w:color w:val="auto"/>
              </w:rPr>
            </w:pPr>
            <w:r>
              <w:rPr>
                <w:rFonts w:ascii="Arial" w:cs="Arial" w:eastAsia="Arial" w:hAnsi="Arial"/>
                <w:sz w:val="18"/>
                <w:szCs w:val="18"/>
                <w:color w:val="auto"/>
                <w:w w:val="93"/>
              </w:rPr>
              <w:t>Cash and cash equivalents at the end</w:t>
            </w: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vMerge w:val="continue"/>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3"/>
            <w:vMerge w:val="restart"/>
          </w:tcPr>
          <w:p>
            <w:pPr>
              <w:ind w:left="660"/>
              <w:spacing w:after="0"/>
              <w:rPr>
                <w:sz w:val="20"/>
                <w:szCs w:val="20"/>
                <w:color w:val="auto"/>
              </w:rPr>
            </w:pPr>
            <w:r>
              <w:rPr>
                <w:rFonts w:ascii="Arial" w:cs="Arial" w:eastAsia="Arial" w:hAnsi="Arial"/>
                <w:sz w:val="18"/>
                <w:szCs w:val="18"/>
                <w:color w:val="auto"/>
              </w:rPr>
              <w:t>—   $</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649,364</w:t>
            </w:r>
          </w:p>
        </w:tc>
        <w:tc>
          <w:tcPr>
            <w:tcW w:w="10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202,233</w:t>
            </w:r>
          </w:p>
        </w:tc>
        <w:tc>
          <w:tcPr>
            <w:tcW w:w="100" w:type="dxa"/>
            <w:vAlign w:val="bottom"/>
          </w:tcPr>
          <w:p>
            <w:pPr>
              <w:spacing w:after="0"/>
              <w:rPr>
                <w:sz w:val="18"/>
                <w:szCs w:val="18"/>
                <w:color w:val="auto"/>
              </w:rPr>
            </w:pPr>
          </w:p>
        </w:tc>
        <w:tc>
          <w:tcPr>
            <w:tcW w:w="5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gridSpan w:val="3"/>
            <w:vMerge w:val="restart"/>
          </w:tcPr>
          <w:p>
            <w:pPr>
              <w:ind w:left="380"/>
              <w:spacing w:after="0"/>
              <w:rPr>
                <w:sz w:val="20"/>
                <w:szCs w:val="20"/>
                <w:color w:val="auto"/>
              </w:rPr>
            </w:pPr>
            <w:r>
              <w:rPr>
                <w:rFonts w:ascii="Arial" w:cs="Arial" w:eastAsia="Arial" w:hAnsi="Arial"/>
                <w:sz w:val="18"/>
                <w:szCs w:val="18"/>
                <w:color w:val="auto"/>
              </w:rPr>
              <w:t>—  $</w:t>
            </w: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851,597</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of the period</w:t>
            </w:r>
          </w:p>
        </w:tc>
        <w:tc>
          <w:tcPr>
            <w:tcW w:w="240" w:type="dxa"/>
            <w:vAlign w:val="bottom"/>
            <w:vMerge w:val="continue"/>
          </w:tcPr>
          <w:p>
            <w:pPr>
              <w:spacing w:after="0"/>
              <w:rPr>
                <w:sz w:val="20"/>
                <w:szCs w:val="20"/>
                <w:color w:val="auto"/>
              </w:rPr>
            </w:pPr>
          </w:p>
        </w:tc>
        <w:tc>
          <w:tcPr>
            <w:tcW w:w="1260" w:type="dxa"/>
            <w:vAlign w:val="bottom"/>
            <w:gridSpan w:val="3"/>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960" w:type="dxa"/>
            <w:vAlign w:val="bottom"/>
            <w:gridSpan w:val="3"/>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2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and Section 21E of the Securities Exchange Act of 1934, as amended (the "Exchange Act"), that relate to our plans, objectives, estimates and goals. Statements expressing expectations regarding our future and projections relating to products, sales, revenues and earnings are typical of such statements and are made under the Private Securities Litigation Reform Act of 1995. Words such as “expect,” “anticipate,” “intend,” “plan,” “believe,” and “estimate,” and variations of such words and similar expressions, identify such forward-looking statements. Our business is subject to numerous risks and uncertainties, including, but not limited to the factors listed below:</w:t>
      </w:r>
    </w:p>
    <w:p>
      <w:pPr>
        <w:spacing w:after="0" w:line="193" w:lineRule="exact"/>
        <w:rPr>
          <w:sz w:val="20"/>
          <w:szCs w:val="20"/>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business and economic conditions, including downturns in the semiconductor industry and the overall economy;</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accurately predict market requirements and evolving industry standards in a timely manner;</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accurately predict customer demand and thereby avoid the possibility of obsolete inventory, which would reduce our profit margins;</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and distributors’ ability to manage the inventory they hold and forecast their demand;</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 operations, product technologies and personnel as well as achieve expected synergies;</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cost savings and improve yields and margins on our new and existing products;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respond to possible downward pressure on the average selling prices of our products caused by our customers or our competitors;</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utilize our capacity efficiently, or to acquire or source additional capacity, in response to customer demand;</w:t>
      </w:r>
    </w:p>
    <w:p>
      <w:pPr>
        <w:spacing w:after="0" w:line="225"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of one or more of our customers to access their traditional sources of credit, which could lead them to reduce their level of purchases or seek credit or other accommodations from us;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continue to improve our product designs, develop new products in response to new technologies, and achieve design wins;</w:t>
      </w:r>
    </w:p>
    <w:p>
      <w:pPr>
        <w:spacing w:after="0" w:line="236" w:lineRule="exact"/>
        <w:rPr>
          <w:rFonts w:ascii="Arial" w:cs="Arial" w:eastAsia="Arial" w:hAnsi="Arial"/>
          <w:sz w:val="17"/>
          <w:szCs w:val="17"/>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limited number of customers for a substantial portion of our revenue;</w:t>
      </w:r>
    </w:p>
    <w:p>
      <w:pPr>
        <w:spacing w:after="0" w:line="225" w:lineRule="exact"/>
        <w:rPr>
          <w:rFonts w:ascii="Arial" w:cs="Arial" w:eastAsia="Arial" w:hAnsi="Arial"/>
          <w:sz w:val="18"/>
          <w:szCs w:val="18"/>
          <w:color w:val="auto"/>
        </w:rPr>
      </w:pPr>
    </w:p>
    <w:p>
      <w:pPr>
        <w:ind w:left="740" w:right="4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the U.S. government and on U.S. government sponsored programs (principally for defense and aerospace applications) for a portion of our revenue;</w:t>
      </w:r>
    </w:p>
    <w:p>
      <w:pPr>
        <w:spacing w:after="0" w:line="170" w:lineRule="exact"/>
        <w:rPr>
          <w:rFonts w:ascii="Arial" w:cs="Arial" w:eastAsia="Arial" w:hAnsi="Arial"/>
          <w:sz w:val="18"/>
          <w:szCs w:val="18"/>
          <w:color w:val="auto"/>
        </w:rPr>
      </w:pPr>
    </w:p>
    <w:p>
      <w:pPr>
        <w:ind w:left="740" w:right="52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bring new products to market in response to market shifts and to use technological innovation to shorten time-to-market for our products;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efficiently and successfully operate our wafer fabrication facilities, assembly facilities and test and tape and reel facilities;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variability in manufacturing yields and product quality;</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variability in raw material costs and availability of raw materials;</w:t>
      </w:r>
    </w:p>
    <w:p>
      <w:pPr>
        <w:spacing w:after="0" w:line="225" w:lineRule="exact"/>
        <w:rPr>
          <w:rFonts w:ascii="Arial" w:cs="Arial" w:eastAsia="Arial" w:hAnsi="Arial"/>
          <w:sz w:val="18"/>
          <w:szCs w:val="18"/>
          <w:color w:val="auto"/>
        </w:rPr>
      </w:pPr>
    </w:p>
    <w:p>
      <w:pPr>
        <w:ind w:left="740" w:right="42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third parties, including wafer foundries, wafer starting material suppliers, passive component manufacturers, assembly and packaging suppliers and test and tape and reel suppliers;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platform provider and customer relationships;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74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procure, commercialize and enforce intellectual property rights (IPR) and to operate our business without infringing on the unlicensed IPR of others;</w:t>
      </w:r>
    </w:p>
    <w:p>
      <w:pPr>
        <w:spacing w:after="0" w:line="170" w:lineRule="exact"/>
        <w:rPr>
          <w:rFonts w:ascii="Arial" w:cs="Arial" w:eastAsia="Arial" w:hAnsi="Arial"/>
          <w:sz w:val="18"/>
          <w:szCs w:val="18"/>
          <w:color w:val="auto"/>
        </w:rPr>
      </w:pPr>
    </w:p>
    <w:p>
      <w:pPr>
        <w:ind w:left="740" w:right="22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associated with security breaches and other similar disruptions, which could compromise our information and expose us to liability and could cause our business and reputation to suffer;</w:t>
      </w:r>
    </w:p>
    <w:p>
      <w:pPr>
        <w:spacing w:after="0" w:line="170" w:lineRule="exact"/>
        <w:rPr>
          <w:rFonts w:ascii="Arial" w:cs="Arial" w:eastAsia="Arial" w:hAnsi="Arial"/>
          <w:sz w:val="18"/>
          <w:szCs w:val="18"/>
          <w:color w:val="auto"/>
        </w:rPr>
      </w:pPr>
    </w:p>
    <w:p>
      <w:pPr>
        <w:ind w:left="740" w:right="70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fluctuations, tariffs, trade barriers, tax and export license requirements and health and security issues associated with our foreign operations;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stringent environmental regulations;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adverse impact of any future decision to repatriate non-U.S. earnings;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skilled personnel and develop leaders for key business units and functions; and</w:t>
      </w:r>
    </w:p>
    <w:p>
      <w:pPr>
        <w:spacing w:after="0" w:line="225" w:lineRule="exact"/>
        <w:rPr>
          <w:rFonts w:ascii="Arial" w:cs="Arial" w:eastAsia="Arial" w:hAnsi="Arial"/>
          <w:sz w:val="18"/>
          <w:szCs w:val="18"/>
          <w:color w:val="auto"/>
        </w:rPr>
      </w:pPr>
    </w:p>
    <w:p>
      <w:pPr>
        <w:ind w:left="740" w:right="12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realize the anticipated benefits of the Business Combination, including difficulty in integrating the businesses of RFMD and TriQuint or not realizing the expected amount and timing of cost savings and operating synergies.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and other risks and uncertainties, which are described in more detail in our most recent Annual Report on Form 10-K and in other reports and statements that we file with the SEC, could cause the actual results and developments to be materially different from those expressed or implied by any of these forward-looking statements. Forward-looking statements speak only as of the date they were made, and we undertake no obligation to update or revise such statements, except as required by the federal securities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 to Condensed Consolidated Financial Statements.</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 leading provider of technologies and solutions that address the growing demand for always-on, high reliability, broadband data connectivity. We combine one of the industry’s broadest portfolios of radio frequency (“RF”) solutions and semiconductor technologies with deep systems-level expertise and scale manufacturing capabilities to enable a diverse set of cutting-edge customer products and applications, including smartphones, tablets, wearables, broadband customer premises equipment, home automation, in-vehicle infotainment, data center and military radar and communications. Our products are helping to drive the ongoing, rapid transformation of how people around the world interact with their communities, access and use data, and transact commerce.</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more than 8,500 global employees dedicated to delivering solutions for everything that connects the world. We have world-class ISO-certified manufacturing facilities, and our Richardson, Texas facility is a U.S. Department of Defense- accredited ‘Trusted Source’ (Category 1A) for gallium arsenide ("GaAs"), gallium nitride ("GaN") and bulk acoustic wave (“BAW”) technologies, products and services. Our design and manufacturing expertise encompasses many semiconductor process technologies, which we source both internally and through external suppliers. We operate worldwide with design, sales and manufacturing facilities located throughout Asia, Europe and North America. Our primary wafer fabrication facilities are located in North Carolina, Oregon, Texas and Florida, and our primary assembly and test facilities are located in China, Costa Rica, Germany and Texas.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original equipment manufacturers ("OEMs") and original design manufacturers ("ODMs") in the following operating segments:</w:t>
      </w:r>
    </w:p>
    <w:p>
      <w:pPr>
        <w:spacing w:after="0" w:line="170" w:lineRule="exact"/>
        <w:rPr>
          <w:sz w:val="20"/>
          <w:szCs w:val="20"/>
          <w:color w:val="auto"/>
        </w:rPr>
      </w:pPr>
    </w:p>
    <w:p>
      <w:pPr>
        <w:ind w:left="340" w:right="10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Mobile Products (MP) </w:t>
      </w:r>
      <w:r>
        <w:rPr>
          <w:rFonts w:ascii="Arial" w:cs="Arial" w:eastAsia="Arial" w:hAnsi="Arial"/>
          <w:sz w:val="18"/>
          <w:szCs w:val="18"/>
          <w:color w:val="auto"/>
        </w:rPr>
        <w:t>- MP is a leading global supplier of RF solutions that perform various functions in the increasingly complex cellular radio front</w:t>
      </w:r>
      <w:r>
        <w:rPr>
          <w:rFonts w:ascii="Arial" w:cs="Arial" w:eastAsia="Arial" w:hAnsi="Arial"/>
          <w:sz w:val="18"/>
          <w:szCs w:val="18"/>
          <w:i w:val="1"/>
          <w:iCs w:val="1"/>
          <w:color w:val="auto"/>
        </w:rPr>
        <w:t xml:space="preserve"> </w:t>
      </w:r>
      <w:r>
        <w:rPr>
          <w:rFonts w:ascii="Arial" w:cs="Arial" w:eastAsia="Arial" w:hAnsi="Arial"/>
          <w:sz w:val="18"/>
          <w:szCs w:val="18"/>
          <w:color w:val="auto"/>
        </w:rPr>
        <w:t>end section of smartphones and other cellular devices. These RF solutions are required in fourth generation (“4G”) data-centric devices operating under Long-Term Evolution 4G networks, as well as third generation and second generation mobile devices. Our solutions include complete RF front end modules that combine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21" w:right="29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340"/>
        <w:spacing w:after="0" w:line="306" w:lineRule="auto"/>
        <w:rPr>
          <w:sz w:val="20"/>
          <w:szCs w:val="20"/>
          <w:color w:val="auto"/>
        </w:rPr>
      </w:pPr>
      <w:r>
        <w:rPr>
          <w:rFonts w:ascii="Arial" w:cs="Arial" w:eastAsia="Arial" w:hAnsi="Arial"/>
          <w:sz w:val="18"/>
          <w:szCs w:val="18"/>
          <w:color w:val="auto"/>
        </w:rPr>
        <w:t>high-performance filters, power amplifiers ("PAs"), low noise amplifiers ("LNAs") and switches, PA modules, transmit modules, antenna control solutions, antenna switch modules, diversity receive modules and envelope tracking power management devices. MP supplies its broad portfolio of RF solutions into a variety of mobile devices, including smartphones, notebook computers, wearables, tablets, and cellular-based applications for the Internet of Things (“IoT”), including the connected car.</w:t>
      </w:r>
    </w:p>
    <w:p>
      <w:pPr>
        <w:spacing w:after="0" w:line="160" w:lineRule="exact"/>
        <w:rPr>
          <w:sz w:val="20"/>
          <w:szCs w:val="20"/>
          <w:color w:val="auto"/>
        </w:rPr>
      </w:pPr>
    </w:p>
    <w:p>
      <w:pPr>
        <w:ind w:left="340" w:hanging="332"/>
        <w:spacing w:after="0" w:line="270"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Infrastructure and Defense Products (IDP) </w:t>
      </w:r>
      <w:r>
        <w:rPr>
          <w:rFonts w:ascii="Arial" w:cs="Arial" w:eastAsia="Arial" w:hAnsi="Arial"/>
          <w:sz w:val="17"/>
          <w:szCs w:val="17"/>
          <w:color w:val="auto"/>
        </w:rPr>
        <w:t>- IDP is a leading global supplier of RF solutions that support diverse global applications,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ubiquitous high-speed network connectivity to the cloud, data center communications, rapid internet connectivity throughout the home and workplace, and upgraded military capabilities across the globe. Qorvo’s RF solutions enhance performance and reduce complexity in cellular base stations, optical long haul, data center and metro networks, WiFi networks, cable networks, and emerging fifth generation ("5G") wireless networks. Our IDP products include high power GaAs and GaN PAs, LNAs, switches, RF filter solutions, CMOS system-on-a-chip ("SoC") solutions and various multichip and hybrid assemblies. Our market-leading RF solutions for defense and aerospace upgrade communications and radar systems for air, land and sea. Our RF solutions for the IoT enable the connected car and an array of industrial applications, and we serve the home automation market with SoC solutions based on ZigBee and Bluetooth Smart technologies. During the first quarter of fiscal 2017, we acquired GreenPeak Technologies, B.V. ("GreenPeak"), a leader in ultra-low power, short range RF communication technology. The acquisition expanded our offerings to include integrated RF solutions and SoCs for the connected home and the IoT.</w:t>
      </w:r>
    </w:p>
    <w:p>
      <w:pPr>
        <w:spacing w:after="0" w:line="178" w:lineRule="exact"/>
        <w:rPr>
          <w:sz w:val="20"/>
          <w:szCs w:val="20"/>
          <w:color w:val="auto"/>
        </w:rPr>
      </w:pPr>
    </w:p>
    <w:p>
      <w:pPr>
        <w:ind w:left="80" w:right="60"/>
        <w:spacing w:after="0" w:line="297" w:lineRule="auto"/>
        <w:rPr>
          <w:sz w:val="20"/>
          <w:szCs w:val="20"/>
          <w:color w:val="auto"/>
        </w:rPr>
      </w:pPr>
      <w:r>
        <w:rPr>
          <w:rFonts w:ascii="Arial" w:cs="Arial" w:eastAsia="Arial" w:hAnsi="Arial"/>
          <w:sz w:val="16"/>
          <w:szCs w:val="16"/>
          <w:color w:val="auto"/>
        </w:rPr>
        <w:t>As of December 31, 2016, our reportable segments are MP and IDP. These business segments are based on the organizational structure and information reviewed by our Chief Executive Officer, who is our chief operating decision maker (or CODM), and these segments are managed separately based on the end markets and applications they support. The CODM allocates resources and assesses the performance of each operating segment primarily based on non-GAAP operating income (loss) and non-GAAP operating income (loss) as a percentage of revenue (see Note 10 of the Notes to Condensed Consolidated Financial Statements in Part I, Item 1 of this report for additional information regarding our operating segments).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2017 FINANCIAL HIGHLIGHTS:</w:t>
      </w:r>
    </w:p>
    <w:p>
      <w:pPr>
        <w:spacing w:after="0" w:line="229" w:lineRule="exact"/>
        <w:rPr>
          <w:sz w:val="20"/>
          <w:szCs w:val="20"/>
          <w:color w:val="auto"/>
        </w:rPr>
      </w:pPr>
    </w:p>
    <w:p>
      <w:pPr>
        <w:ind w:left="280" w:right="500" w:hanging="272"/>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revenue increased 33.1% as compared to the third quarter of fiscal 2016, due to higher demand for our cellular RF solutions in support of marquee smartphones and customers based in China, as well as wireless infrastructure and WiFi products.</w:t>
      </w:r>
    </w:p>
    <w:p>
      <w:pPr>
        <w:spacing w:after="0" w:line="170" w:lineRule="exact"/>
        <w:rPr>
          <w:rFonts w:ascii="Arial" w:cs="Arial" w:eastAsia="Arial" w:hAnsi="Arial"/>
          <w:sz w:val="18"/>
          <w:szCs w:val="18"/>
          <w:color w:val="auto"/>
        </w:rPr>
      </w:pPr>
    </w:p>
    <w:p>
      <w:pPr>
        <w:jc w:val="both"/>
        <w:ind w:left="280" w:right="60" w:hanging="272"/>
        <w:spacing w:after="0" w:line="312" w:lineRule="auto"/>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Gross margin for the third quarter of fiscal 2017 was 37.6% as compared to 37.2% for the third quarter of fiscal 2016. The small increase reflected lower costs related to the Business Combination (including lower intangible amortization and stock-based compensation), which was partially offset by average selling price erosion and an unfavorable change in product mix towards lower margin low-band power amplifier + duplexer (“PAD”) modules.</w:t>
      </w:r>
    </w:p>
    <w:p>
      <w:pPr>
        <w:spacing w:after="0" w:line="146" w:lineRule="exact"/>
        <w:rPr>
          <w:rFonts w:ascii="Arial" w:cs="Arial" w:eastAsia="Arial" w:hAnsi="Arial"/>
          <w:sz w:val="16"/>
          <w:szCs w:val="16"/>
          <w:color w:val="auto"/>
        </w:rPr>
      </w:pPr>
    </w:p>
    <w:p>
      <w:pPr>
        <w:ind w:left="280" w:right="300" w:hanging="272"/>
        <w:spacing w:after="0" w:line="264"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was $61.4 million for the third quarter of fiscal 2017 as compared to an operating loss of $13.2 million for the third quarter of fiscal 2016, primarily due to increased gross profit from higher revenue and lower costs related to the Business Combination (including lower intangible amortization and stock-based compensation).</w:t>
      </w:r>
    </w:p>
    <w:p>
      <w:pPr>
        <w:spacing w:after="0" w:line="181"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Diluted loss per share for the third quarter of fiscal 2017 was $0.62 as compared to diluted loss per share of $0.08 for the third quarter of fiscal 2016.</w:t>
      </w:r>
    </w:p>
    <w:p>
      <w:pPr>
        <w:spacing w:after="0" w:line="248" w:lineRule="exact"/>
        <w:rPr>
          <w:rFonts w:ascii="Arial" w:cs="Arial" w:eastAsia="Arial" w:hAnsi="Arial"/>
          <w:sz w:val="16"/>
          <w:szCs w:val="16"/>
          <w:color w:val="auto"/>
        </w:rPr>
      </w:pPr>
    </w:p>
    <w:p>
      <w:pPr>
        <w:ind w:left="280" w:hanging="272"/>
        <w:spacing w:after="0"/>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Cash flow from operations was $220.4 million for the third quarter of fiscal 2017 as compared to $218.0 million for the third quarter of fiscal 2016.</w:t>
      </w:r>
    </w:p>
    <w:p>
      <w:pPr>
        <w:spacing w:after="0" w:line="236" w:lineRule="exact"/>
        <w:rPr>
          <w:rFonts w:ascii="Arial" w:cs="Arial" w:eastAsia="Arial" w:hAnsi="Arial"/>
          <w:sz w:val="17"/>
          <w:szCs w:val="17"/>
          <w:color w:val="auto"/>
        </w:rPr>
      </w:pPr>
    </w:p>
    <w:p>
      <w:pPr>
        <w:ind w:left="280" w:right="180" w:hanging="272"/>
        <w:spacing w:after="0" w:line="342" w:lineRule="auto"/>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Capital expenditures were $136.5 million for the third quarter of fiscal 2017 as compared to $61.5 million for the third quarter of fiscal 2016. This year-over-year increase was primarily related to projects for increasing premium filter capacity as well as for manufacturing cost savings initiatives.</w:t>
      </w:r>
    </w:p>
    <w:p>
      <w:pPr>
        <w:spacing w:after="0" w:line="123" w:lineRule="exact"/>
        <w:rPr>
          <w:rFonts w:ascii="Arial" w:cs="Arial" w:eastAsia="Arial" w:hAnsi="Arial"/>
          <w:sz w:val="16"/>
          <w:szCs w:val="16"/>
          <w:color w:val="auto"/>
        </w:rPr>
      </w:pPr>
    </w:p>
    <w:p>
      <w:pPr>
        <w:ind w:left="280" w:right="20" w:hanging="272"/>
        <w:spacing w:after="0" w:line="264"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third quarter of fiscal 2017, we recorded interest expense of $17.4 million (which was offset by $3.6 million of capitalized interest) on the $1.0 billion of senior notes that were issued in the third quarter of fiscal 2016. Interest paid on these notes during the three months ended December 31, 2016 was $34.5 million.</w:t>
      </w:r>
    </w:p>
    <w:p>
      <w:pPr>
        <w:spacing w:after="0" w:line="181"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During the third quarter of fiscal 2017, we repurchased approximately 1.3 million shares of our common stock for approximately $67.1 million.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presents a summary of our results of operations for the three and nine months ended December 31, 2016 and January 2, 2016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2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January 2,</w:t>
            </w: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Increase</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826,347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620,681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205,666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0" w:type="dxa"/>
            <w:vAlign w:val="bottom"/>
          </w:tcPr>
          <w:p>
            <w:pPr>
              <w:spacing w:after="0"/>
              <w:rPr>
                <w:sz w:val="1"/>
                <w:szCs w:val="1"/>
                <w:color w:val="auto"/>
              </w:rPr>
            </w:pP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515,705</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389,693</w:t>
            </w:r>
          </w:p>
        </w:tc>
        <w:tc>
          <w:tcPr>
            <w:tcW w:w="10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126,012</w:t>
            </w:r>
          </w:p>
        </w:tc>
        <w:tc>
          <w:tcPr>
            <w:tcW w:w="10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310,642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230,988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79,654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111,951</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105,992</w:t>
            </w:r>
          </w:p>
        </w:tc>
        <w:tc>
          <w:tcPr>
            <w:tcW w:w="10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5,959</w:t>
            </w:r>
          </w:p>
        </w:tc>
        <w:tc>
          <w:tcPr>
            <w:tcW w:w="10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130,672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126,294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4,378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6,638</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11,915</w:t>
            </w:r>
          </w:p>
        </w:tc>
        <w:tc>
          <w:tcPr>
            <w:tcW w:w="10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(5,277)</w:t>
            </w:r>
          </w:p>
        </w:tc>
        <w:tc>
          <w:tcPr>
            <w:tcW w:w="100" w:type="dxa"/>
            <w:vAlign w:val="bottom"/>
          </w:tcPr>
          <w:p>
            <w:pPr>
              <w:spacing w:after="0"/>
              <w:rPr>
                <w:sz w:val="21"/>
                <w:szCs w:val="21"/>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61,381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74,594</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20" w:type="dxa"/>
            <w:vAlign w:val="bottom"/>
          </w:tcPr>
          <w:p>
            <w:pPr>
              <w:spacing w:after="0"/>
              <w:rPr>
                <w:sz w:val="13"/>
                <w:szCs w:val="13"/>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December 31, 2016</w:t>
            </w:r>
          </w:p>
        </w:tc>
        <w:tc>
          <w:tcPr>
            <w:tcW w:w="100" w:type="dxa"/>
            <w:vAlign w:val="bottom"/>
            <w:vMerge w:val="restart"/>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 of Revenue</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3"/>
              </w:rPr>
              <w:t>January 2, 2016</w:t>
            </w:r>
          </w:p>
        </w:tc>
        <w:tc>
          <w:tcPr>
            <w:tcW w:w="100" w:type="dxa"/>
            <w:vAlign w:val="bottom"/>
            <w:vMerge w:val="restart"/>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 of Revenue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Increase</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2,389,582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2,002,657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386,925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1,485,666</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1,207,304</w:t>
            </w:r>
          </w:p>
        </w:tc>
        <w:tc>
          <w:tcPr>
            <w:tcW w:w="10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278,362</w:t>
            </w:r>
          </w:p>
        </w:tc>
        <w:tc>
          <w:tcPr>
            <w:tcW w:w="10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903,916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795,353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108,563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355,166</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341,495</w:t>
            </w:r>
          </w:p>
        </w:tc>
        <w:tc>
          <w:tcPr>
            <w:tcW w:w="10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13,671</w:t>
            </w:r>
          </w:p>
        </w:tc>
        <w:tc>
          <w:tcPr>
            <w:tcW w:w="10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412,850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407,016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5,834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23,385</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43,351</w:t>
            </w:r>
          </w:p>
        </w:tc>
        <w:tc>
          <w:tcPr>
            <w:tcW w:w="10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(19,966)</w:t>
            </w:r>
          </w:p>
        </w:tc>
        <w:tc>
          <w:tcPr>
            <w:tcW w:w="100" w:type="dxa"/>
            <w:vAlign w:val="bottom"/>
          </w:tcPr>
          <w:p>
            <w:pPr>
              <w:spacing w:after="0"/>
              <w:rPr>
                <w:sz w:val="21"/>
                <w:szCs w:val="21"/>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112,515</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3,491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109,024</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 Not meaningful</w:t>
      </w:r>
    </w:p>
    <w:p>
      <w:pPr>
        <w:spacing w:after="0" w:line="217"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Revenue increased for the three and nine months ended December 31, 2016, as compared to the three and nine months ended January 2, 2016, due to higher demand for our cellular RF solutions in support of marquee smartphones and customers based in China, as well as wireless infrastructure and WiFi products.</w:t>
      </w:r>
    </w:p>
    <w:p>
      <w:pPr>
        <w:spacing w:after="0" w:line="124" w:lineRule="exact"/>
        <w:rPr>
          <w:sz w:val="20"/>
          <w:szCs w:val="20"/>
          <w:color w:val="auto"/>
        </w:rPr>
      </w:pPr>
    </w:p>
    <w:p>
      <w:pPr>
        <w:jc w:val="both"/>
        <w:ind w:left="60" w:right="440"/>
        <w:spacing w:after="0" w:line="312" w:lineRule="auto"/>
        <w:rPr>
          <w:sz w:val="20"/>
          <w:szCs w:val="20"/>
          <w:color w:val="auto"/>
        </w:rPr>
      </w:pPr>
      <w:r>
        <w:rPr>
          <w:rFonts w:ascii="Arial" w:cs="Arial" w:eastAsia="Arial" w:hAnsi="Arial"/>
          <w:sz w:val="16"/>
          <w:szCs w:val="16"/>
          <w:color w:val="auto"/>
        </w:rPr>
        <w:t>Gross margin for the three months ended December 31, 2016 was 37.6%, as compared to 37.2% for the three months ended January 2, 2016. The small increase reflected lower costs related to the Business Combination (including lower intangible amortization and stock-based compensation), which was partially offset by average selling price erosion and an unfavorable change in product mix towards lower margin low-band PAD modules.</w:t>
      </w:r>
    </w:p>
    <w:p>
      <w:pPr>
        <w:spacing w:after="0" w:line="147" w:lineRule="exact"/>
        <w:rPr>
          <w:sz w:val="20"/>
          <w:szCs w:val="20"/>
          <w:color w:val="auto"/>
        </w:rPr>
      </w:pPr>
    </w:p>
    <w:p>
      <w:pPr>
        <w:ind w:left="60"/>
        <w:spacing w:after="0" w:line="273" w:lineRule="auto"/>
        <w:rPr>
          <w:sz w:val="20"/>
          <w:szCs w:val="20"/>
          <w:color w:val="auto"/>
        </w:rPr>
      </w:pPr>
      <w:r>
        <w:rPr>
          <w:rFonts w:ascii="Arial" w:cs="Arial" w:eastAsia="Arial" w:hAnsi="Arial"/>
          <w:sz w:val="17"/>
          <w:szCs w:val="17"/>
          <w:color w:val="auto"/>
        </w:rPr>
        <w:t>Gross margin for the nine months ended December 31, 2016 was 37.8%, as compared to 39.7% for the nine months ended January 2, 2016. Gross margin was adversely impacted in fiscal 2017 by an unfavorable change in product mix towards lower margin low-band PAD modules, average selling price erosion and unfavorable inventory adjustments primarily due to lower than expected manufacturing and assembly yields on the low-band PAD modules in the second quarter of fiscal 2017. The lower yield was associated with device packaging, not device functionality, however the impact was significant because the issue was identified late in the production process. These negative factors on gross margin were partially offset by lower costs related to the Business Combination (including lower intangible amortization and stock-based compensation).</w:t>
      </w:r>
    </w:p>
    <w:p>
      <w:pPr>
        <w:spacing w:after="0" w:line="178" w:lineRule="exact"/>
        <w:rPr>
          <w:sz w:val="20"/>
          <w:szCs w:val="20"/>
          <w:color w:val="auto"/>
        </w:rPr>
      </w:pPr>
    </w:p>
    <w:p>
      <w:pPr>
        <w:ind w:left="60" w:right="100"/>
        <w:spacing w:after="0" w:line="277" w:lineRule="auto"/>
        <w:rPr>
          <w:sz w:val="20"/>
          <w:szCs w:val="20"/>
          <w:color w:val="auto"/>
        </w:rPr>
      </w:pPr>
      <w:r>
        <w:rPr>
          <w:rFonts w:ascii="Arial" w:cs="Arial" w:eastAsia="Arial" w:hAnsi="Arial"/>
          <w:sz w:val="18"/>
          <w:szCs w:val="18"/>
          <w:color w:val="auto"/>
        </w:rPr>
        <w:t>Operating income increased for the three and nine months ended December 31, 2016, primarily due to increased gross profit from higher revenue and lower costs related to the Business Combination (including lower intangible amortization and stock-based compensation).</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Stock-based compensation expense included in operating expense for the three and nine months ended December 31, 2016 included post-combination service award expense related to the Business Combination. As the requisite service periods roll-off, the stock-based compensation expense associated with the Business Combination will continue to decline.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Research and development expense increased for the three and nine months ended December 31, 2016 as compared to the three and nine months ended January 2, 2016, primarily due to increased headcount and related personnel expense associated with the design and development of high-performance filter based products as well as the acquisition of GreenPeak, partially offset by lower stock-based compensation expense.</w:t>
      </w:r>
    </w:p>
    <w:p>
      <w:pPr>
        <w:spacing w:after="0" w:line="16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Other operating expense decreased for the three and nine months ended December 31, 2016 as compared to the three and nine months ended January 2, 2016, primarily due to lower restructuring and integration costs associated with the Business Combination, as well as lower start-up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3"/>
                <w:szCs w:val="13"/>
                <w:color w:val="auto"/>
              </w:rPr>
            </w:pPr>
          </w:p>
        </w:tc>
        <w:tc>
          <w:tcPr>
            <w:tcW w:w="15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5"/>
              </w:rPr>
              <w:t>January 2,</w:t>
            </w:r>
          </w:p>
        </w:tc>
        <w:tc>
          <w:tcPr>
            <w:tcW w:w="180" w:type="dxa"/>
            <w:vAlign w:val="bottom"/>
          </w:tcPr>
          <w:p>
            <w:pPr>
              <w:spacing w:after="0"/>
              <w:rPr>
                <w:sz w:val="13"/>
                <w:szCs w:val="13"/>
                <w:color w:val="auto"/>
              </w:rPr>
            </w:pPr>
          </w:p>
        </w:tc>
        <w:tc>
          <w:tcPr>
            <w:tcW w:w="14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Increase</w:t>
            </w:r>
          </w:p>
        </w:tc>
        <w:tc>
          <w:tcPr>
            <w:tcW w:w="120" w:type="dxa"/>
            <w:vAlign w:val="bottom"/>
            <w:vMerge w:val="restart"/>
          </w:tcPr>
          <w:p>
            <w:pPr>
              <w:spacing w:after="0"/>
              <w:rPr>
                <w:sz w:val="13"/>
                <w:szCs w:val="13"/>
                <w:color w:val="auto"/>
              </w:rPr>
            </w:pPr>
          </w:p>
        </w:tc>
        <w:tc>
          <w:tcPr>
            <w:tcW w:w="1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656,788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489,397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167,391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34.2 %</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460" w:type="dxa"/>
            <w:vAlign w:val="bottom"/>
          </w:tcPr>
          <w:p>
            <w:pPr>
              <w:jc w:val="right"/>
              <w:ind w:right="97"/>
              <w:spacing w:after="0"/>
              <w:rPr>
                <w:sz w:val="20"/>
                <w:szCs w:val="20"/>
                <w:color w:val="auto"/>
              </w:rPr>
            </w:pPr>
            <w:r>
              <w:rPr>
                <w:rFonts w:ascii="Arial" w:cs="Arial" w:eastAsia="Arial" w:hAnsi="Arial"/>
                <w:sz w:val="18"/>
                <w:szCs w:val="18"/>
                <w:color w:val="auto"/>
              </w:rPr>
              <w:t>163,401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ind w:right="119"/>
              <w:spacing w:after="0"/>
              <w:rPr>
                <w:sz w:val="20"/>
                <w:szCs w:val="20"/>
                <w:color w:val="auto"/>
              </w:rPr>
            </w:pPr>
            <w:r>
              <w:rPr>
                <w:rFonts w:ascii="Arial" w:cs="Arial" w:eastAsia="Arial" w:hAnsi="Arial"/>
                <w:sz w:val="18"/>
                <w:szCs w:val="18"/>
                <w:color w:val="auto"/>
              </w:rPr>
              <w:t>126,019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37,382</w:t>
            </w:r>
          </w:p>
        </w:tc>
        <w:tc>
          <w:tcPr>
            <w:tcW w:w="120" w:type="dxa"/>
            <w:vAlign w:val="bottom"/>
          </w:tcPr>
          <w:p>
            <w:pPr>
              <w:spacing w:after="0"/>
              <w:rPr>
                <w:sz w:val="21"/>
                <w:szCs w:val="21"/>
                <w:color w:val="auto"/>
              </w:rPr>
            </w:pPr>
          </w:p>
        </w:tc>
        <w:tc>
          <w:tcPr>
            <w:tcW w:w="1760" w:type="dxa"/>
            <w:vAlign w:val="bottom"/>
          </w:tcPr>
          <w:p>
            <w:pPr>
              <w:jc w:val="right"/>
              <w:ind w:right="139"/>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4"/>
              </w:rPr>
              <w:t>Nine Months Ended</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3"/>
                <w:szCs w:val="13"/>
                <w:color w:val="auto"/>
              </w:rPr>
            </w:pPr>
          </w:p>
        </w:tc>
        <w:tc>
          <w:tcPr>
            <w:tcW w:w="15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5"/>
              </w:rPr>
              <w:t>January 2,</w:t>
            </w:r>
          </w:p>
        </w:tc>
        <w:tc>
          <w:tcPr>
            <w:tcW w:w="180" w:type="dxa"/>
            <w:vAlign w:val="bottom"/>
          </w:tcPr>
          <w:p>
            <w:pPr>
              <w:spacing w:after="0"/>
              <w:rPr>
                <w:sz w:val="13"/>
                <w:szCs w:val="13"/>
                <w:color w:val="auto"/>
              </w:rPr>
            </w:pPr>
          </w:p>
        </w:tc>
        <w:tc>
          <w:tcPr>
            <w:tcW w:w="14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3"/>
              </w:rPr>
              <w:t>Increase (Decrease)</w:t>
            </w:r>
          </w:p>
        </w:tc>
        <w:tc>
          <w:tcPr>
            <w:tcW w:w="120" w:type="dxa"/>
            <w:vAlign w:val="bottom"/>
            <w:vMerge w:val="restart"/>
          </w:tcPr>
          <w:p>
            <w:pPr>
              <w:spacing w:after="0"/>
              <w:rPr>
                <w:sz w:val="13"/>
                <w:szCs w:val="13"/>
                <w:color w:val="auto"/>
              </w:rPr>
            </w:pPr>
          </w:p>
        </w:tc>
        <w:tc>
          <w:tcPr>
            <w:tcW w:w="1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1,910,003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1,618,444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291,559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460" w:type="dxa"/>
            <w:vAlign w:val="bottom"/>
          </w:tcPr>
          <w:p>
            <w:pPr>
              <w:jc w:val="right"/>
              <w:ind w:right="97"/>
              <w:spacing w:after="0"/>
              <w:rPr>
                <w:sz w:val="20"/>
                <w:szCs w:val="20"/>
                <w:color w:val="auto"/>
              </w:rPr>
            </w:pPr>
            <w:r>
              <w:rPr>
                <w:rFonts w:ascii="Arial" w:cs="Arial" w:eastAsia="Arial" w:hAnsi="Arial"/>
                <w:sz w:val="18"/>
                <w:szCs w:val="18"/>
                <w:color w:val="auto"/>
              </w:rPr>
              <w:t>460,775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ind w:right="119"/>
              <w:spacing w:after="0"/>
              <w:rPr>
                <w:sz w:val="20"/>
                <w:szCs w:val="20"/>
                <w:color w:val="auto"/>
              </w:rPr>
            </w:pPr>
            <w:r>
              <w:rPr>
                <w:rFonts w:ascii="Arial" w:cs="Arial" w:eastAsia="Arial" w:hAnsi="Arial"/>
                <w:sz w:val="18"/>
                <w:szCs w:val="18"/>
                <w:color w:val="auto"/>
              </w:rPr>
              <w:t>471,736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(10,961)</w:t>
            </w:r>
          </w:p>
        </w:tc>
        <w:tc>
          <w:tcPr>
            <w:tcW w:w="120" w:type="dxa"/>
            <w:vAlign w:val="bottom"/>
          </w:tcPr>
          <w:p>
            <w:pPr>
              <w:spacing w:after="0"/>
              <w:rPr>
                <w:sz w:val="21"/>
                <w:szCs w:val="21"/>
                <w:color w:val="auto"/>
              </w:rPr>
            </w:pPr>
          </w:p>
        </w:tc>
        <w:tc>
          <w:tcPr>
            <w:tcW w:w="1760" w:type="dxa"/>
            <w:vAlign w:val="bottom"/>
          </w:tcPr>
          <w:p>
            <w:pPr>
              <w:jc w:val="right"/>
              <w:ind w:right="79"/>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MP revenue increased for the three and nine months ended December 31, 2016 as compared to the three and nine months ended January 2, 2016, primarily due to higher demand for our cellular RF solutions in support of marquee smartphones and customers based in China.</w:t>
      </w:r>
    </w:p>
    <w:p>
      <w:pPr>
        <w:spacing w:after="0" w:line="17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slight decrease in MP operating income as a percentage of revenue for the three months ended December 31, 2016 as compared to the three months ended January 2, 2016 was primarily due to lower gross margin resulting from average selling price erosion and an unfavorable change in product mix towards lower margin low-band PAD modules.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MP operating income as a percentage of revenue for the nine months ended December 31, 2016 decreased as compared to the nine months ended January 2, 2016 primarily due to lower gross margin. Gross margin was adversely impacted in fiscal 2017 by an unfavorable change in product mix towards lower margin low-band PAD modules, average selling price erosion and unfavorable inventory adjustments primarily due to lower than expected manufacturing and assembly yields on the low-band PAD modules in the second quarter of fiscal 2017. The lower yield was associated with device packaging, not device functionality, however the impact was significant because the issue was identified late in the production process.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3"/>
                <w:szCs w:val="13"/>
                <w:color w:val="auto"/>
              </w:rPr>
            </w:pPr>
          </w:p>
        </w:tc>
        <w:tc>
          <w:tcPr>
            <w:tcW w:w="13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January 2,</w:t>
            </w:r>
          </w:p>
        </w:tc>
        <w:tc>
          <w:tcPr>
            <w:tcW w:w="280" w:type="dxa"/>
            <w:vAlign w:val="bottom"/>
          </w:tcPr>
          <w:p>
            <w:pPr>
              <w:spacing w:after="0"/>
              <w:rPr>
                <w:sz w:val="13"/>
                <w:szCs w:val="13"/>
                <w:color w:val="auto"/>
              </w:rPr>
            </w:pPr>
          </w:p>
        </w:tc>
        <w:tc>
          <w:tcPr>
            <w:tcW w:w="118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Increase</w:t>
            </w:r>
          </w:p>
        </w:tc>
        <w:tc>
          <w:tcPr>
            <w:tcW w:w="100" w:type="dxa"/>
            <w:vAlign w:val="bottom"/>
            <w:vMerge w:val="restart"/>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168,589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130,314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38,275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93"/>
              </w:rPr>
              <w:t>29.4%</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45,278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30,896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14,382</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3"/>
                <w:szCs w:val="13"/>
                <w:color w:val="auto"/>
              </w:rPr>
            </w:pPr>
          </w:p>
        </w:tc>
        <w:tc>
          <w:tcPr>
            <w:tcW w:w="13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January 2,</w:t>
            </w:r>
          </w:p>
        </w:tc>
        <w:tc>
          <w:tcPr>
            <w:tcW w:w="280" w:type="dxa"/>
            <w:vAlign w:val="bottom"/>
          </w:tcPr>
          <w:p>
            <w:pPr>
              <w:spacing w:after="0"/>
              <w:rPr>
                <w:sz w:val="13"/>
                <w:szCs w:val="13"/>
                <w:color w:val="auto"/>
              </w:rPr>
            </w:pPr>
          </w:p>
        </w:tc>
        <w:tc>
          <w:tcPr>
            <w:tcW w:w="118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Increase</w:t>
            </w:r>
          </w:p>
        </w:tc>
        <w:tc>
          <w:tcPr>
            <w:tcW w:w="100" w:type="dxa"/>
            <w:vAlign w:val="bottom"/>
            <w:vMerge w:val="restart"/>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476,669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381,303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95,366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93"/>
              </w:rPr>
              <w:t>25.0%</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112,345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67,818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44,527</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Revenue increased for the three and nine months ended December 31, 2016 as compared to the three and nine months ended January 2, 2016, primarily due to improved global demand for our wireless infrastructure and WiFi products, as well as the inclusion of GreenPeak revenue in the three and nine months ended December 31, 2016.</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increase in IDP operating income as a percentage of revenue for the three months ended December 31, 2016 as compared to the three months ended January 2, 2016 was primarily due to increased revenue, improved product yields and favorable factory utilization.</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increase in IDP operating income as a percentage of revenue for the nine months ended December 31, 2016 as compared to the nine months ended January 2, 2016 was primarily due to increased revenue, favorable factory utilization, lower unfavorable inventory adjustments and improved product yields.</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See Note 10 to the Condensed Consolidated Financial Statements for a reconciliation of segment operating income to the consolidated operating income (loss) for the three and nine months ended December 31, 2016 and January 2,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AND 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420" w:type="dxa"/>
            <w:vAlign w:val="bottom"/>
            <w:tcBorders>
              <w:bottom w:val="single" w:sz="8" w:color="auto"/>
            </w:tcBorders>
          </w:tcPr>
          <w:p>
            <w:pPr>
              <w:spacing w:after="0"/>
              <w:rPr>
                <w:sz w:val="16"/>
                <w:szCs w:val="16"/>
                <w:color w:val="auto"/>
              </w:rPr>
            </w:pPr>
          </w:p>
        </w:tc>
      </w:tr>
      <w:tr>
        <w:trPr>
          <w:trHeight w:val="152"/>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December 31,</w:t>
            </w:r>
          </w:p>
        </w:tc>
        <w:tc>
          <w:tcPr>
            <w:tcW w:w="640" w:type="dxa"/>
            <w:vAlign w:val="bottom"/>
          </w:tcPr>
          <w:p>
            <w:pPr>
              <w:spacing w:after="0"/>
              <w:rPr>
                <w:sz w:val="13"/>
                <w:szCs w:val="13"/>
                <w:color w:val="auto"/>
              </w:rPr>
            </w:pPr>
          </w:p>
        </w:tc>
        <w:tc>
          <w:tcPr>
            <w:tcW w:w="15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January 2,</w:t>
            </w:r>
          </w:p>
        </w:tc>
        <w:tc>
          <w:tcPr>
            <w:tcW w:w="360" w:type="dxa"/>
            <w:vAlign w:val="bottom"/>
          </w:tcPr>
          <w:p>
            <w:pPr>
              <w:spacing w:after="0"/>
              <w:rPr>
                <w:sz w:val="13"/>
                <w:szCs w:val="13"/>
                <w:color w:val="auto"/>
              </w:rPr>
            </w:pPr>
          </w:p>
        </w:tc>
        <w:tc>
          <w:tcPr>
            <w:tcW w:w="18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3"/>
                <w:szCs w:val="13"/>
                <w:color w:val="auto"/>
              </w:rPr>
            </w:pPr>
          </w:p>
        </w:tc>
        <w:tc>
          <w:tcPr>
            <w:tcW w:w="1420" w:type="dxa"/>
            <w:vAlign w:val="bottom"/>
          </w:tcPr>
          <w:p>
            <w:pPr>
              <w:jc w:val="right"/>
              <w:ind w:right="636"/>
              <w:spacing w:after="0" w:line="153" w:lineRule="exact"/>
              <w:rPr>
                <w:sz w:val="20"/>
                <w:szCs w:val="20"/>
                <w:color w:val="auto"/>
              </w:rPr>
            </w:pPr>
            <w:r>
              <w:rPr>
                <w:rFonts w:ascii="Arial" w:cs="Arial" w:eastAsia="Arial" w:hAnsi="Arial"/>
                <w:sz w:val="14"/>
                <w:szCs w:val="14"/>
                <w:b w:val="1"/>
                <w:bCs w:val="1"/>
                <w:color w:val="auto"/>
                <w:w w:val="98"/>
              </w:rPr>
              <w:t>January 2,</w:t>
            </w: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1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7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2016</w:t>
            </w: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(45,205)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(8,876)</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720" w:type="dxa"/>
            <w:vAlign w:val="bottom"/>
          </w:tcPr>
          <w:p>
            <w:pPr>
              <w:jc w:val="right"/>
              <w:ind w:right="58"/>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tcPr>
          <w:p>
            <w:pPr>
              <w:jc w:val="right"/>
              <w:ind w:right="18"/>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1,383</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3,861</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(123,179)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9,874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(137,059)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(4,502)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three and nine months ended December 31, 2016, we recorded interest expense of $17.4 million and $52.2 million, respectively, related to the $1.0 billion of senior notes that were issued in the third quarter of fiscal 2016. Interest expense in the preceding table is net of capitalized interest for all periods presented.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December 31, 2016, we incurred a net loss primarily from foreign currency due to the strengthening of the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dollar against the Renminbi. During the nine months ended January 2, 2016, we incurred a net gain primarily from the sale of equity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Our provision for income taxes for the three and nine months ended December 31, 2016 and January 2, 2016 has been calculated by applying an estimate of the annual effective tax rate for the full fiscal year to “ordinary” income or loss (pre-tax income or loss excluding unusual or infrequently occurring discrete items) for the three and nine months ended December 31, 2016 and January 2, 2016.</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the three and nine months ended December 31, 2016, we had an income tax expense of $123.2 million and $137.1 million, respectively, which was comprised primarily of tax expense related to domestic and international operations generating pre-tax book income offset by a tax benefit related to international operations generating pre-tax book losses. For the three and nine months ended January 2, 2016, income tax (benefit) expense was $(9.9) million and $4.5 million, respectively, which was comprised primarily of tax benefit related to domestic operations generating pre-tax book losses offset by a tax expense related to international operations generating pre-tax book income and changes in the domestic tax asset valuation allowance.</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have funded our operations to date through revenue from product sales, sales of equity and debt securities, bank borrowings and capital equipment leases. As of December 31, 2016, we had working capital of approximately $939.3 million, including $495.8 million in cash and cash equivalents, compared to working capital of approximately $1,135.4 million at April 2, 2016, including $425.9 million in cash and cash equivalents.</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$495.8 million of total cash and cash equivalents as of December 31, 2016 includes approximately $286.1 million held by our foreign subsidiaries. If the undistributed earnings of our foreign subsidiaries are needed in the U.S., we may be required to accrue and pay U.S. taxes to repatriate. Our current plans are to permanently reinvest the undistributed earnings of our foreign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November 3, 2016, our Board of Directors authorized a new share repurchase program to repurchase up to $500.0 million of our outstanding stock. Under this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and does not have a fixed term, and may be modified, suspended or terminated at any time without prior notice. During the three and nine months ended December 31, 2016, we repurchased approximately 1.3 million shares and 2.9 million shares of our common stock for approximately $67.1 million and $158.5 million, respectively. As of December 31, 2016, $432.9 million remains available for repurchases under our current share repurchase program.</w:t>
      </w:r>
    </w:p>
    <w:p>
      <w:pPr>
        <w:spacing w:after="0" w:line="1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three and nine months ended January 2, 2016, we repurchased approximately 4.6 million shares and 14.3 million shares for approximately $250.0 million and $800.0 million, respectively, under prior share repurchase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Operating activities for the nine months ended December 31, 2016 generated cash of $529.7 million, compared to $528.2 million for the nine months ended January 2, 2016, primarily due to improvements in working capital offset by lower net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Net cash used in investing activities was $323.4 million for the nine months ended December 31, 2016, compared to $182.4 million for the nine months ended January 2, 2016. This increase was primarily due to higher capital expenditures related to projects for increasing premium filter capacity, manufacturing cost savings initiatives and the acquisition of GreenPeak, partially offset by higher net proceeds from available-for-sale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cash used in financing activities was $135.1 million for the nine months ended December 31, 2016, compared to net cash provided by financing activities of $206.7 million for the nine months ended January 2, 2016. This year over year increase in cash used in financing activities was primarily due to lower net proceeds from borrowings, partially offset by lower share repurchase activity.</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April 7, 2015, we and certain of our material domestic subsidiaries (the “Guarantors”) entered into a five-year unsecured senior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with Bank of America, N.A., as administrative agent, swing line lender, and L/C issuer, and a syndicate of lenders (the “Credit Agreement”). The Credit Agreement includes a $300.0 million revolving credit facility, which includes a $25.0 million sublimit for the issuance of standby letters of credit and a $10.0 million sublimit for swing line loans. We may request, at any time and from time to time, that the revolving credit facility be increased by an amount not to exceed $150.0 million. The revolving credit facility is available to finance working capital, capital expenditures and other corporate purposes. Our obligations under the Credit Agreement are jointly and severally guaranteed by the Guarantors. We had no outstanding amounts under the Credit Agreement as of December 31, 2016.</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Credit Agreement contains various conditions, covenants and representations with which we must be in compliance in order to borrow funds and to avoid an event of default, including financial covenants that we must maintain. On November 12, 2015, the Credit Agreement was amended to increase the size of certain of the negative covenant baskets and the threshold for certain negative covenant incurrence-based permissions and to raise the consolidated leverage ratio test from 2.50 to 1.00 to 3.00 to 1.00 as of the end of any fiscal quarter. We must also maintain a consolidated interest coverage ratio of not less than 3.00 to 1.00 as of the end of any fiscal quarter. At December 31, 2016, we were in full compliance with these covenants.</w:t>
      </w:r>
    </w:p>
    <w:p>
      <w:pPr>
        <w:spacing w:after="0" w:line="1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u w:val="single" w:color="auto"/>
          <w:color w:val="auto"/>
        </w:rPr>
        <w:t>Notes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On November 19, 2015, we completed an offering of $450.0 million aggregate principal amount of 6.75% senior notes due December 1, 2023</w:t>
      </w:r>
      <w:r>
        <w:rPr>
          <w:rFonts w:ascii="Arial" w:cs="Arial" w:eastAsia="Arial" w:hAnsi="Arial"/>
          <w:sz w:val="17"/>
          <w:szCs w:val="17"/>
          <w:i w:val="1"/>
          <w:iCs w:val="1"/>
          <w:color w:val="auto"/>
        </w:rPr>
        <w:t xml:space="preserve"> </w:t>
      </w:r>
      <w:r>
        <w:rPr>
          <w:rFonts w:ascii="Arial" w:cs="Arial" w:eastAsia="Arial" w:hAnsi="Arial"/>
          <w:sz w:val="17"/>
          <w:szCs w:val="17"/>
          <w:color w:val="auto"/>
        </w:rPr>
        <w:t>and $550.0 million aggregate principal amount of 7.00% senior notes due December 1, 2025 (collectively the "Notes"). The Notes are senior unsecured obligations and are guaranteed, jointly and severally, by our domestic subsidiaries that guarantee our obligations under our revolving credit facility. Interest on both series of the Notes is payable semi-annually on June 1 and December 1 of each year and commenced on June 1, 2016.</w:t>
      </w:r>
    </w:p>
    <w:p>
      <w:pPr>
        <w:spacing w:after="0" w:line="17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indenture governing the Notes contains customary events of default, including among other things, payment default, exchange default, failure to provide certain notices thereunder and certain provisions related to bankruptcy events. The indenture also contains customary negative covenants.</w:t>
      </w:r>
    </w:p>
    <w:p>
      <w:pPr>
        <w:spacing w:after="0" w:line="1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completed an exchange offer on September 19, 2016 under which substantially all of the Notes were exchanged for senior notes registered under the Securities Act (see Note 5 of the Notes to Condensed Consolidated Financial Statements).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u w:val="single" w:color="auto"/>
          <w:color w:val="auto"/>
        </w:rPr>
        <w:t>Capital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At December 31, 2016, we had capital commitments of approximately $162.0 million primarily related to projects to increase our</w:t>
      </w:r>
      <w:r>
        <w:rPr>
          <w:rFonts w:ascii="Arial" w:cs="Arial" w:eastAsia="Arial" w:hAnsi="Arial"/>
          <w:sz w:val="18"/>
          <w:szCs w:val="18"/>
          <w:i w:val="1"/>
          <w:iCs w:val="1"/>
          <w:color w:val="auto"/>
        </w:rPr>
        <w:t xml:space="preserve"> </w:t>
      </w:r>
      <w:r>
        <w:rPr>
          <w:rFonts w:ascii="Arial" w:cs="Arial" w:eastAsia="Arial" w:hAnsi="Arial"/>
          <w:sz w:val="18"/>
          <w:szCs w:val="18"/>
          <w:color w:val="auto"/>
        </w:rPr>
        <w:t>premium filter capacity, constructing a new office and design center, projects for manufacturing cost savings initiatives, equipment replacements and general corporate purposes.</w:t>
      </w:r>
    </w:p>
    <w:p>
      <w:pPr>
        <w:spacing w:after="0" w:line="1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u w:val="single" w:color="auto"/>
          <w:color w:val="auto"/>
        </w:rPr>
        <w:t>Future Sources of Funding</w:t>
      </w:r>
      <w:r>
        <w:rPr>
          <w:rFonts w:ascii="Arial" w:cs="Arial" w:eastAsia="Arial" w:hAnsi="Arial"/>
          <w:sz w:val="16"/>
          <w:szCs w:val="16"/>
          <w:i w:val="1"/>
          <w:iCs w:val="1"/>
          <w:color w:val="auto"/>
        </w:rPr>
        <w:t xml:space="preserve"> </w:t>
      </w:r>
      <w:r>
        <w:rPr>
          <w:rFonts w:ascii="Arial" w:cs="Arial" w:eastAsia="Arial" w:hAnsi="Arial"/>
          <w:sz w:val="16"/>
          <w:szCs w:val="16"/>
          <w:color w:val="auto"/>
        </w:rPr>
        <w:t>Our future capital requirements may differ materially from those currently anticipated and will depend on many factors,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but not limited to, market acceptance of and demand for our products, acquisition opportunities, technological advances and our relationships with suppliers and customers. Based on current and projected levels of cash flow from operations, coupled with our existing cash and cash equivalents and our revolving credit facility, we believe that we have sufficient liquidity to meet both our short-term and long-term cash requirements. However, if there is a significant decrease in demand for our products, or in the event that growth is faster than we had anticipated, operating cash flows may be insufficient to meet our needs. If existing resources and cash from operations are not sufficient to meet our future requirements or if we perceive conditions to be favorable, we may seek additional debt or equity financing. We cannot be sure that any additional equity or debt financing will not be dilutive to holders of our common stock. Further, we cannot be sure that additional equity or debt financing, if required, will be available on favorable terms, if at all.</w:t>
      </w:r>
    </w:p>
    <w:p>
      <w:pPr>
        <w:spacing w:after="0" w:line="16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when finally concluded and determined, will not, in the opinion of management, have a material adverse effect on our consolidated financial position or results of operations.</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have been no material changes to our market risk exposures during the third quarter of fiscal 2017. For a discussion of our exposure to market risk, refer to Item 7A, “Quantitative and Qualitative Disclosures About Market Risk,” contained in Qorvo's Annual Report on Form 10-K for the fiscal year ended April 2,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preparation of this Quarterly Report on Form 10-Q, we carried out an evaluation under the supervision of and with the participation of our management, including our Chief Executive Officer and Chief Financial Officer, as of December 31, 2016,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not effective as of December 31, 2016, as we cannot conclude that the material weakness in internal control over financial reporting related to accounting for income taxes described in Part II, Item 9A of the Annual Report on Form 10-K for the fiscal year ended April 2, 2016 has been fully remediated as of the date of this Quarterly Report on Form 10-Q.</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on Remediation Plan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December 31, 2016, we continued to make substantial progress toward remediating the material weakness that existed in accounting for income taxes as of April 2, 2016. Our remediation plan is subject to ongoing senior management review, as well as Audit Committee oversight. As part of such plan, as of the date of this Quarterly Report on Form 10-Q:</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implemented a single income tax provision model in conjunction with completing our move to a single integrated ERP system.</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filled all open positions within the tax department.</w:t>
      </w:r>
    </w:p>
    <w:p>
      <w:pPr>
        <w:spacing w:after="0" w:line="9" w:lineRule="exact"/>
        <w:rPr>
          <w:rFonts w:ascii="Arial" w:cs="Arial" w:eastAsia="Arial" w:hAnsi="Arial"/>
          <w:sz w:val="18"/>
          <w:szCs w:val="18"/>
          <w:color w:val="auto"/>
        </w:rPr>
      </w:pPr>
    </w:p>
    <w:p>
      <w:pPr>
        <w:ind w:left="660" w:right="34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the assistance of a qualified outside party, we have undergone a review and assessment of our internal controls over accounting for income taxes and the tax provision process. Based on that review and assessment, we have redesigned and enhanced our procedures to improve the effectiveness of the internal controls related to accounting for income taxes.</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believes that the remediation steps completed to date have significantly improved our internal control over the accounting for income taxes. However, the Company expects to continue to further strengthen internal controls over accounting for income taxes and make additional improvements in the tax provision process during the remainder of fiscal 2017. Until these remediation steps are fully implemented and tested, the material weakness described above will continue to exist.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Other than the remediation steps described above, no change in our internal control over financial reporting (as defined in Rules 13a-15(f) and 15d-15(f) under the Exchange Act) occurred during the quarter ended December 31, 2016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the other information set forth in this report and in our other reports and statements that we file with the SEC, including our quarterly reports on Form 10-Q, careful consideration should be given to the factors discussed in Part I, Item 1A., “Risk Factors” in Qorvo's Annual Report on Form 10-K for the fiscal year ended April 2, 2016, which could materially affect our business, financial condition or future results. The risks described in Qorvo's Annual Report on Form 10-K are not the only risks that we face. Additional risks and uncertainties not currently known to us or that we currently deem to be immaterial also may materially adversely affect our business, financial condition and/or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Purchases of Equity Securities</w:t>
      </w: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660"/>
        <w:spacing w:after="0"/>
        <w:rPr>
          <w:sz w:val="20"/>
          <w:szCs w:val="20"/>
          <w:color w:val="auto"/>
        </w:rPr>
      </w:pPr>
      <w:r>
        <w:rPr>
          <w:rFonts w:ascii="Arial" w:cs="Arial" w:eastAsia="Arial" w:hAnsi="Arial"/>
          <w:sz w:val="16"/>
          <w:szCs w:val="16"/>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37465</wp:posOffset>
            </wp:positionV>
            <wp:extent cx="2143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October 2, 2016 through October 29, 2016</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October 30, 2016 through November 26, 2016</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November 27, 2016 through December 31, 2016</w:t>
      </w:r>
    </w:p>
    <w:p>
      <w:pPr>
        <w:spacing w:after="0" w:line="121" w:lineRule="exact"/>
        <w:rPr>
          <w:sz w:val="20"/>
          <w:szCs w:val="20"/>
          <w:color w:val="auto"/>
        </w:rPr>
      </w:pPr>
    </w:p>
    <w:p>
      <w:pPr>
        <w:jc w:val="center"/>
        <w:ind w:left="66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Total number</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16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3"/>
              </w:rPr>
              <w:t>Average price paid per</w:t>
            </w:r>
          </w:p>
        </w:tc>
        <w:tc>
          <w:tcPr>
            <w:tcW w:w="0" w:type="dxa"/>
            <w:vAlign w:val="bottom"/>
          </w:tcPr>
          <w:p>
            <w:pPr>
              <w:spacing w:after="0"/>
              <w:rPr>
                <w:sz w:val="1"/>
                <w:szCs w:val="1"/>
                <w:color w:val="auto"/>
              </w:rPr>
            </w:pPr>
          </w:p>
        </w:tc>
      </w:tr>
      <w:tr>
        <w:trPr>
          <w:trHeight w:val="135"/>
        </w:trPr>
        <w:tc>
          <w:tcPr>
            <w:tcW w:w="12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 xml:space="preserve">purchased </w:t>
            </w:r>
            <w:r>
              <w:rPr>
                <w:rFonts w:ascii="Arial" w:cs="Arial" w:eastAsia="Arial" w:hAnsi="Arial"/>
                <w:sz w:val="12"/>
                <w:szCs w:val="12"/>
                <w:b w:val="1"/>
                <w:bCs w:val="1"/>
                <w:color w:val="auto"/>
                <w:w w:val="89"/>
              </w:rPr>
              <w:t>(in</w:t>
            </w:r>
          </w:p>
        </w:tc>
        <w:tc>
          <w:tcPr>
            <w:tcW w:w="1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2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vMerge w:val="restart"/>
          </w:tcPr>
          <w:p>
            <w:pPr>
              <w:jc w:val="right"/>
              <w:ind w:right="586"/>
              <w:spacing w:after="0"/>
              <w:rPr>
                <w:sz w:val="20"/>
                <w:szCs w:val="20"/>
                <w:color w:val="auto"/>
              </w:rPr>
            </w:pPr>
            <w:r>
              <w:rPr>
                <w:rFonts w:ascii="Arial" w:cs="Arial" w:eastAsia="Arial" w:hAnsi="Arial"/>
                <w:sz w:val="16"/>
                <w:szCs w:val="16"/>
                <w:b w:val="1"/>
                <w:bCs w:val="1"/>
                <w:color w:val="auto"/>
              </w:rPr>
              <w:t>share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thousands)</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3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20" w:type="dxa"/>
            <w:vAlign w:val="bottom"/>
          </w:tcPr>
          <w:p>
            <w:pPr>
              <w:jc w:val="right"/>
              <w:ind w:right="46"/>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6"/>
              <w:spacing w:after="0"/>
              <w:rPr>
                <w:sz w:val="20"/>
                <w:szCs w:val="20"/>
                <w:color w:val="auto"/>
              </w:rPr>
            </w:pPr>
            <w:r>
              <w:rPr>
                <w:rFonts w:ascii="Arial" w:cs="Arial" w:eastAsia="Arial" w:hAnsi="Arial"/>
                <w:sz w:val="14"/>
                <w:szCs w:val="14"/>
                <w:color w:val="auto"/>
              </w:rPr>
              <w:t>52.58</w:t>
            </w:r>
          </w:p>
        </w:tc>
        <w:tc>
          <w:tcPr>
            <w:tcW w:w="0" w:type="dxa"/>
            <w:vAlign w:val="bottom"/>
          </w:tcPr>
          <w:p>
            <w:pPr>
              <w:spacing w:after="0"/>
              <w:rPr>
                <w:sz w:val="1"/>
                <w:szCs w:val="1"/>
                <w:color w:val="auto"/>
              </w:rPr>
            </w:pPr>
          </w:p>
        </w:tc>
      </w:tr>
      <w:tr>
        <w:trPr>
          <w:trHeight w:val="276"/>
        </w:trPr>
        <w:tc>
          <w:tcPr>
            <w:tcW w:w="11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54.23</w:t>
            </w:r>
          </w:p>
        </w:tc>
        <w:tc>
          <w:tcPr>
            <w:tcW w:w="0" w:type="dxa"/>
            <w:vAlign w:val="bottom"/>
          </w:tcPr>
          <w:p>
            <w:pPr>
              <w:spacing w:after="0"/>
              <w:rPr>
                <w:sz w:val="1"/>
                <w:szCs w:val="1"/>
                <w:color w:val="auto"/>
              </w:rPr>
            </w:pPr>
          </w:p>
        </w:tc>
      </w:tr>
      <w:tr>
        <w:trPr>
          <w:trHeight w:val="237"/>
        </w:trPr>
        <w:tc>
          <w:tcPr>
            <w:tcW w:w="11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1,260</w:t>
            </w:r>
          </w:p>
        </w:tc>
        <w:tc>
          <w:tcPr>
            <w:tcW w:w="120" w:type="dxa"/>
            <w:vAlign w:val="bottom"/>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53.26</w:t>
            </w: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Total number of shares</w:t>
      </w:r>
    </w:p>
    <w:p>
      <w:pPr>
        <w:spacing w:after="0" w:line="26" w:lineRule="exact"/>
        <w:rPr>
          <w:sz w:val="20"/>
          <w:szCs w:val="20"/>
          <w:color w:val="auto"/>
        </w:rPr>
      </w:pPr>
    </w:p>
    <w:p>
      <w:pPr>
        <w:ind w:firstLine="29"/>
        <w:spacing w:after="0" w:line="301" w:lineRule="auto"/>
        <w:rPr>
          <w:sz w:val="20"/>
          <w:szCs w:val="20"/>
          <w:color w:val="auto"/>
        </w:rPr>
      </w:pPr>
      <w:r>
        <w:rPr>
          <w:rFonts w:ascii="Arial" w:cs="Arial" w:eastAsia="Arial" w:hAnsi="Arial"/>
          <w:sz w:val="14"/>
          <w:szCs w:val="14"/>
          <w:b w:val="1"/>
          <w:bCs w:val="1"/>
          <w:color w:val="auto"/>
        </w:rPr>
        <w:t>purchased as part of publicly announced plans or programs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12065</wp:posOffset>
            </wp:positionV>
            <wp:extent cx="1414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74"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w:t>
      </w:r>
    </w:p>
    <w:p>
      <w:pPr>
        <w:spacing w:after="0" w:line="10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737</w:t>
      </w:r>
    </w:p>
    <w:p>
      <w:pPr>
        <w:spacing w:after="0" w:line="10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523</w:t>
      </w:r>
    </w:p>
    <w:p>
      <w:pPr>
        <w:spacing w:after="0" w:line="10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1,260</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40"/>
        <w:spacing w:after="0" w:line="275" w:lineRule="auto"/>
        <w:rPr>
          <w:sz w:val="20"/>
          <w:szCs w:val="20"/>
          <w:color w:val="auto"/>
        </w:rPr>
      </w:pPr>
      <w:r>
        <w:rPr>
          <w:rFonts w:ascii="Arial" w:cs="Arial" w:eastAsia="Arial" w:hAnsi="Arial"/>
          <w:sz w:val="16"/>
          <w:szCs w:val="16"/>
          <w:b w:val="1"/>
          <w:bCs w:val="1"/>
          <w:color w:val="auto"/>
        </w:rPr>
        <w:t>Approximate dollar value of shares that may yet be purchased under the plans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5080</wp:posOffset>
            </wp:positionV>
            <wp:extent cx="14922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64"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$ 158.6 million</w:t>
      </w:r>
    </w:p>
    <w:p>
      <w:pPr>
        <w:spacing w:after="0" w:line="12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$ 461.2 million</w:t>
      </w:r>
    </w:p>
    <w:p>
      <w:pPr>
        <w:spacing w:after="0" w:line="12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$ 432.9 million</w:t>
      </w:r>
    </w:p>
    <w:p>
      <w:pPr>
        <w:spacing w:after="0" w:line="121"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$432.9 million</w:t>
      </w:r>
    </w:p>
    <w:p>
      <w:pPr>
        <w:spacing w:after="0" w:line="260" w:lineRule="exact"/>
        <w:rPr>
          <w:sz w:val="20"/>
          <w:szCs w:val="20"/>
          <w:color w:val="auto"/>
        </w:rPr>
      </w:pPr>
    </w:p>
    <w:p>
      <w:pPr>
        <w:sectPr>
          <w:pgSz w:w="11900" w:h="16838" w:orient="portrait"/>
          <w:cols w:equalWidth="0" w:num="4">
            <w:col w:w="2940" w:space="680"/>
            <w:col w:w="2920" w:space="180"/>
            <w:col w:w="2060" w:space="340"/>
            <w:col w:w="2280"/>
          </w:cols>
          <w:pgMar w:left="240" w:top="122" w:right="259" w:bottom="1440" w:gutter="0" w:footer="0" w:header="0"/>
          <w:type w:val="continuous"/>
        </w:sectPr>
      </w:pPr>
    </w:p>
    <w:p>
      <w:pPr>
        <w:spacing w:after="0" w:line="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November 3, 2016, our Board of Directors authorized a new share repurchase program to repurchase up to $500.0 million of our outstanding stock. Under this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and does not have a fixed term, and may be modified, suspended or terminated at any time without prior notice. During the three and nine months ended December 31, 2016, we repurchased approximately 1.3 million shares and 2.9 million shares of our common stock for approximately $67.1 million and $158.5 million, respectively. As of December 31, 2016, $432.9 million remains available for repurchases under our current share repurchase program.</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2" w:right="25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20" w:right="620" w:hanging="449"/>
        <w:spacing w:after="0" w:line="277" w:lineRule="auto"/>
        <w:rPr>
          <w:sz w:val="20"/>
          <w:szCs w:val="20"/>
          <w:color w:val="auto"/>
        </w:rPr>
      </w:pPr>
      <w:r>
        <w:rPr>
          <w:rFonts w:ascii="Arial" w:cs="Arial" w:eastAsia="Arial" w:hAnsi="Arial"/>
          <w:sz w:val="18"/>
          <w:szCs w:val="18"/>
          <w:color w:val="auto"/>
        </w:rPr>
        <w:t>31.1 Certification of Periodic Report by Robert A. Bruggeworth, as Chief Executive Officer, pursuant to Rule 13a-14(a) or 15d-14(a) of the Exchange Act, as adopted pursuant to Section 302 of the Sarbanes-Oxley Act of 2002</w:t>
      </w:r>
    </w:p>
    <w:p>
      <w:pPr>
        <w:spacing w:after="0" w:line="292" w:lineRule="exact"/>
        <w:rPr>
          <w:sz w:val="20"/>
          <w:szCs w:val="20"/>
          <w:color w:val="auto"/>
        </w:rPr>
      </w:pPr>
    </w:p>
    <w:p>
      <w:pPr>
        <w:ind w:left="720" w:right="60" w:hanging="449"/>
        <w:spacing w:after="0" w:line="277" w:lineRule="auto"/>
        <w:rPr>
          <w:sz w:val="20"/>
          <w:szCs w:val="20"/>
          <w:color w:val="auto"/>
        </w:rPr>
      </w:pPr>
      <w:r>
        <w:rPr>
          <w:rFonts w:ascii="Arial" w:cs="Arial" w:eastAsia="Arial" w:hAnsi="Arial"/>
          <w:sz w:val="18"/>
          <w:szCs w:val="18"/>
          <w:color w:val="auto"/>
        </w:rPr>
        <w:t>31.2 Certification of Periodic Report by Mark J. Murphy, as Chief Financial Officer, pursuant to Rule 13a-14(a) or 15d-14 (a) of the Exchange Act, as adopted pursuant to Section 302 of the Sarbanes-Oxley Act of 2002</w:t>
      </w:r>
    </w:p>
    <w:p>
      <w:pPr>
        <w:spacing w:after="0" w:line="292" w:lineRule="exact"/>
        <w:rPr>
          <w:sz w:val="20"/>
          <w:szCs w:val="20"/>
          <w:color w:val="auto"/>
        </w:rPr>
      </w:pPr>
    </w:p>
    <w:p>
      <w:pPr>
        <w:ind w:left="720" w:right="560" w:hanging="449"/>
        <w:spacing w:after="0" w:line="277" w:lineRule="auto"/>
        <w:rPr>
          <w:sz w:val="20"/>
          <w:szCs w:val="20"/>
          <w:color w:val="auto"/>
        </w:rPr>
      </w:pPr>
      <w:r>
        <w:rPr>
          <w:rFonts w:ascii="Arial" w:cs="Arial" w:eastAsia="Arial" w:hAnsi="Arial"/>
          <w:sz w:val="18"/>
          <w:szCs w:val="18"/>
          <w:color w:val="auto"/>
        </w:rPr>
        <w:t>32.1 Certification of Periodic Report by Robert A. Bruggeworth, as Chief Executive Officer, pursuant to 18 U.S.C. Section 1350, as adopted pursuant to Section 906 of the Sarbanes-Oxley Act of 2002</w:t>
      </w:r>
    </w:p>
    <w:p>
      <w:pPr>
        <w:spacing w:after="0" w:line="292" w:lineRule="exact"/>
        <w:rPr>
          <w:sz w:val="20"/>
          <w:szCs w:val="20"/>
          <w:color w:val="auto"/>
        </w:rPr>
      </w:pPr>
    </w:p>
    <w:p>
      <w:pPr>
        <w:ind w:left="720" w:right="300" w:hanging="449"/>
        <w:spacing w:after="0" w:line="277" w:lineRule="auto"/>
        <w:rPr>
          <w:sz w:val="20"/>
          <w:szCs w:val="20"/>
          <w:color w:val="auto"/>
        </w:rPr>
      </w:pPr>
      <w:r>
        <w:rPr>
          <w:rFonts w:ascii="Arial" w:cs="Arial" w:eastAsia="Arial" w:hAnsi="Arial"/>
          <w:sz w:val="18"/>
          <w:szCs w:val="18"/>
          <w:color w:val="auto"/>
        </w:rPr>
        <w:t>32.2 Certification of Periodic Report by Mark J. Murphy, as Chief Financial Officer, pursuant to 18 U.S.C. Section 1350, as adopted pursuant to Section 906 of the Sarbanes-Oxley Act of 2002</w:t>
      </w:r>
    </w:p>
    <w:p>
      <w:pPr>
        <w:spacing w:after="0" w:line="292" w:lineRule="exact"/>
        <w:rPr>
          <w:sz w:val="20"/>
          <w:szCs w:val="20"/>
          <w:color w:val="auto"/>
        </w:rPr>
      </w:pPr>
    </w:p>
    <w:p>
      <w:pPr>
        <w:ind w:left="720" w:hanging="415"/>
        <w:spacing w:after="0" w:line="255"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materials from our Quarterly Report on Form 10-Q for the quarter ended December 31, 2016, formatted in XBRL (eXtensible Business Reporting Language): (i) the Condensed Consolidated Balance Sheets as of December 31, 2016 and April 2, 2016; (ii) the Condensed Consolidated Statements of Operations for the three and nine months ended December 31, 2016 and January 2, 2016; (iii) the Condensed Consolidated Statements of Comprehensive Loss for the three and nine months ended December 31, 2016 and January 2, 2016; (iv) the Condensed Consolidated Statements of Cash Flows for the nine months ended December 31, 2016 and January 2, 2016; and (v) the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240" w:top="121" w:right="6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Qorvo, Inc.</w:t>
      </w:r>
    </w:p>
    <w:p>
      <w:pPr>
        <w:spacing w:after="0" w:line="333" w:lineRule="exact"/>
        <w:rPr>
          <w:sz w:val="20"/>
          <w:szCs w:val="20"/>
          <w:color w:val="auto"/>
        </w:rPr>
      </w:pPr>
    </w:p>
    <w:p>
      <w:pPr>
        <w:ind w:left="40"/>
        <w:spacing w:after="0"/>
        <w:tabs>
          <w:tab w:leader="none" w:pos="640" w:val="left"/>
          <w:tab w:leader="none" w:pos="5620" w:val="left"/>
        </w:tabs>
        <w:rPr>
          <w:sz w:val="20"/>
          <w:szCs w:val="20"/>
          <w:color w:val="auto"/>
        </w:rPr>
      </w:pPr>
      <w:r>
        <w:rPr>
          <w:rFonts w:ascii="Arial" w:cs="Arial" w:eastAsia="Arial" w:hAnsi="Arial"/>
          <w:sz w:val="18"/>
          <w:szCs w:val="18"/>
          <w:color w:val="auto"/>
        </w:rPr>
        <w:t>Date:</w:t>
        <w:tab/>
        <w:t>February 2, 2017</w:t>
      </w:r>
      <w:r>
        <w:rPr>
          <w:sz w:val="20"/>
          <w:szCs w:val="20"/>
          <w:color w:val="auto"/>
        </w:rPr>
        <w:tab/>
      </w:r>
      <w:r>
        <w:rPr>
          <w:rFonts w:ascii="Arial" w:cs="Arial" w:eastAsia="Arial" w:hAnsi="Arial"/>
          <w:sz w:val="16"/>
          <w:szCs w:val="16"/>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907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20"/>
          </w:cols>
          <w:pgMar w:left="240" w:top="121" w:right="9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INDEX</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31.1 Certification of Periodic Report by Robert A. Bruggeworth, as Chief Executive Officer, pursuant to Rule 13a-14(a) or</w:t>
      </w:r>
    </w:p>
    <w:p>
      <w:pPr>
        <w:spacing w:after="0" w:line="4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15d-14(a) of the Exchange Act, as adopted pursuant to Section 302 of the Sarbanes-Oxley Act of 2002</w:t>
      </w:r>
    </w:p>
    <w:p>
      <w:pPr>
        <w:spacing w:after="0" w:line="3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31.2 Certification of Periodic Report by Mark J. Murphy, as Chief Financial Officer, pursuant to Rule 13a-14(a) or 15d-14</w:t>
      </w:r>
    </w:p>
    <w:p>
      <w:pPr>
        <w:spacing w:after="0" w:line="4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 of the Exchange Act, as adopted pursuant to Section 302 of the Sarbanes-Oxley Act of 2002</w:t>
      </w:r>
    </w:p>
    <w:p>
      <w:pPr>
        <w:spacing w:after="0" w:line="3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32.1 Certification of Periodic Report by Robert A. Bruggeworth, as Chief Executive Officer, pursuant to 18 U.S.C. Section</w:t>
      </w:r>
    </w:p>
    <w:p>
      <w:pPr>
        <w:spacing w:after="0" w:line="4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1350, as adopted pursuant to Section 906 of the Sarbanes-Oxley Act of 2002</w:t>
      </w:r>
    </w:p>
    <w:p>
      <w:pPr>
        <w:spacing w:after="0" w:line="332" w:lineRule="exact"/>
        <w:rPr>
          <w:sz w:val="20"/>
          <w:szCs w:val="20"/>
          <w:color w:val="auto"/>
        </w:rPr>
      </w:pPr>
    </w:p>
    <w:p>
      <w:pPr>
        <w:ind w:left="1640" w:right="19" w:hanging="395"/>
        <w:spacing w:after="0" w:line="277" w:lineRule="auto"/>
        <w:rPr>
          <w:sz w:val="20"/>
          <w:szCs w:val="20"/>
          <w:color w:val="auto"/>
        </w:rPr>
      </w:pPr>
      <w:r>
        <w:rPr>
          <w:rFonts w:ascii="Arial" w:cs="Arial" w:eastAsia="Arial" w:hAnsi="Arial"/>
          <w:sz w:val="18"/>
          <w:szCs w:val="18"/>
          <w:color w:val="auto"/>
        </w:rPr>
        <w:t>32.2 Certification of Periodic Report by Mark J. Murphy, as Chief Financial Officer, pursuant to 18 U.S.C. Section 1350, as adopted pursuant to Section 906 of the Sarbanes-Oxley Act of 2002</w:t>
      </w:r>
    </w:p>
    <w:p>
      <w:pPr>
        <w:spacing w:after="0" w:line="292" w:lineRule="exact"/>
        <w:rPr>
          <w:sz w:val="20"/>
          <w:szCs w:val="20"/>
          <w:color w:val="auto"/>
        </w:rPr>
      </w:pPr>
    </w:p>
    <w:p>
      <w:pPr>
        <w:ind w:left="1640" w:right="19" w:hanging="342"/>
        <w:spacing w:after="0" w:line="272" w:lineRule="auto"/>
        <w:tabs>
          <w:tab w:leader="none" w:pos="1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following materials from our Quarterly Report on Form 10-Q for the quarter ended December 31, 2016, formatted in XBRL (eXtensible Business Reporting Language): (i) the Condensed Consolidated Balance Sheets as of December 31, 2016 and April 2, 2016; (ii) the Condensed Consolidated Statements of Operations for the three and nine months ended December 31, 2016 and January 2, 2016; (iii) the Condensed Consolidated Statements of Comprehensive Income Loss for the three and nine months ended December 31, 2016 and January 2, 2016; (iv) the Condensed Consolidated Statements of Cash Flows for the nine months ended December 31, 2016 and January 2, 2016; and (v) the Notes to Condensed Consolidated Financial Statements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Our SEC file number for documents filed with the SEC pursuant to the Securities Exchange Act of 1934, as amended, is 001-36801.</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19"/>
          </w:cols>
          <w:pgMar w:left="240" w:top="122"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52" w:lineRule="exact"/>
        <w:rPr>
          <w:sz w:val="20"/>
          <w:szCs w:val="20"/>
          <w:color w:val="auto"/>
        </w:rPr>
      </w:pPr>
    </w:p>
    <w:p>
      <w:pPr>
        <w:ind w:left="800" w:hanging="792"/>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65" w:lineRule="exact"/>
        <w:rPr>
          <w:rFonts w:ascii="Arial" w:cs="Arial" w:eastAsia="Arial" w:hAnsi="Arial"/>
          <w:sz w:val="18"/>
          <w:szCs w:val="18"/>
          <w:color w:val="auto"/>
        </w:rPr>
      </w:pPr>
    </w:p>
    <w:p>
      <w:pPr>
        <w:ind w:right="40" w:firstLine="8"/>
        <w:spacing w:after="0" w:line="395" w:lineRule="auto"/>
        <w:tabs>
          <w:tab w:leader="none" w:pos="783"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324" w:lineRule="auto"/>
        <w:tabs>
          <w:tab w:leader="none" w:pos="78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311" w:lineRule="auto"/>
        <w:tabs>
          <w:tab w:leader="none" w:pos="78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40" w:hanging="4"/>
        <w:spacing w:after="0" w:line="311" w:lineRule="auto"/>
        <w:tabs>
          <w:tab w:leader="none" w:pos="14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4"/>
        <w:spacing w:after="0" w:line="311" w:lineRule="auto"/>
        <w:tabs>
          <w:tab w:leader="none" w:pos="14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60" w:hanging="4"/>
        <w:spacing w:after="0" w:line="395" w:lineRule="auto"/>
        <w:tabs>
          <w:tab w:leader="none" w:pos="1448"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hanging="4"/>
        <w:spacing w:after="0" w:line="311" w:lineRule="auto"/>
        <w:tabs>
          <w:tab w:leader="none" w:pos="14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57" w:lineRule="auto"/>
        <w:tabs>
          <w:tab w:leader="none" w:pos="78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right="360" w:hanging="4"/>
        <w:spacing w:after="0" w:line="357" w:lineRule="auto"/>
        <w:tabs>
          <w:tab w:leader="none" w:pos="1448"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60" w:right="40" w:hanging="4"/>
        <w:spacing w:after="0" w:line="324" w:lineRule="auto"/>
        <w:tabs>
          <w:tab w:leader="none" w:pos="14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February 2, 2017</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00"/>
          </w:cols>
          <w:pgMar w:left="240" w:top="580"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25"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9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20" w:hanging="4"/>
        <w:spacing w:after="0" w:line="342" w:lineRule="auto"/>
        <w:tabs>
          <w:tab w:leader="none" w:pos="9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9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7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February 2, 2017</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2752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580" w:right="25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hanging="652"/>
        <w:spacing w:after="0" w:line="260" w:lineRule="auto"/>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December 31, 2016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40" w:hanging="652"/>
        <w:spacing w:after="0" w:line="260" w:lineRule="auto"/>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auto"/>
        </w:rPr>
        <w:t>/s/ 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February 2, 2017</w:t>
      </w:r>
    </w:p>
    <w:p>
      <w:pPr>
        <w:sectPr>
          <w:pgSz w:w="11900" w:h="16838" w:orient="portrait"/>
          <w:cols w:equalWidth="0" w:num="1">
            <w:col w:w="11360"/>
          </w:cols>
          <w:pgMar w:left="240" w:top="576" w:right="29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190" w:lineRule="exact"/>
        <w:rPr>
          <w:sz w:val="20"/>
          <w:szCs w:val="20"/>
          <w:color w:val="auto"/>
        </w:rPr>
      </w:pPr>
    </w:p>
    <w:p>
      <w:pPr>
        <w:ind w:left="660" w:right="20" w:hanging="652"/>
        <w:spacing w:after="0" w:line="26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December 31, 2016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60" w:hanging="652"/>
        <w:spacing w:after="0" w:line="26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auto"/>
        </w:rPr>
        <w:t>/s/MARK J. MURPHY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Mark J. Murphy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Chief Financial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February 2, 2017</w:t>
      </w:r>
    </w:p>
    <w:sectPr>
      <w:pgSz w:w="11900" w:h="16838" w:orient="portrait"/>
      <w:cols w:equalWidth="0" w:num="1">
        <w:col w:w="11380"/>
      </w:cols>
      <w:pgMar w:left="240" w:top="57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lowerRoman"/>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01"/>
    </w:lvl>
  </w:abstractNum>
  <w:abstractNum w:abstractNumId="11">
    <w:nsid w:val="DED7263"/>
    <w:multiLevelType w:val="hybridMultilevel"/>
    <w:lvl w:ilvl="0">
      <w:lvlJc w:val="left"/>
      <w:lvlText w:val="%1"/>
      <w:numFmt w:val="decimal"/>
      <w:start w:val="10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2019-12-29T09:09:46Z</dcterms:created>
  <dcterms:modified xsi:type="dcterms:W3CDTF">2019-12-29T09:09:46Z</dcterms:modified>
</cp:coreProperties>
</file>